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44"/>
        </w:rPr>
      </w:pPr>
      <w:bookmarkStart w:id="0" w:name="_GoBack"/>
      <w:r>
        <w:rPr>
          <w:rFonts w:hint="eastAsia" w:ascii="黑体" w:hAnsi="黑体" w:eastAsia="黑体" w:cs="黑体"/>
          <w:sz w:val="44"/>
          <w:szCs w:val="44"/>
        </w:rPr>
        <w:t>信阳市浉河区农村集体经营性建设用地</w:t>
      </w:r>
    </w:p>
    <w:p>
      <w:pPr>
        <w:jc w:val="center"/>
        <w:rPr>
          <w:rFonts w:ascii="黑体" w:hAnsi="黑体" w:eastAsia="黑体" w:cs="黑体"/>
          <w:sz w:val="44"/>
          <w:szCs w:val="44"/>
        </w:rPr>
      </w:pPr>
      <w:r>
        <w:rPr>
          <w:rFonts w:hint="eastAsia" w:ascii="黑体" w:hAnsi="黑体" w:eastAsia="黑体" w:cs="黑体"/>
          <w:sz w:val="44"/>
          <w:szCs w:val="44"/>
        </w:rPr>
        <w:t>入市收益分配指导意见（试行）</w:t>
      </w:r>
    </w:p>
    <w:p>
      <w:pPr>
        <w:jc w:val="center"/>
        <w:rPr>
          <w:rFonts w:ascii="黑体" w:hAnsi="黑体" w:eastAsia="黑体" w:cs="黑体"/>
          <w:sz w:val="44"/>
          <w:szCs w:val="44"/>
        </w:rPr>
      </w:pPr>
      <w:r>
        <w:rPr>
          <w:rFonts w:hint="eastAsia" w:ascii="黑体" w:hAnsi="黑体" w:eastAsia="黑体" w:cs="黑体"/>
          <w:sz w:val="44"/>
          <w:szCs w:val="44"/>
        </w:rPr>
        <w:t>征求意见稿</w:t>
      </w:r>
    </w:p>
    <w:bookmarkEnd w:id="0"/>
    <w:p>
      <w:pPr>
        <w:pStyle w:val="2"/>
        <w:spacing w:line="294" w:lineRule="auto"/>
      </w:pPr>
    </w:p>
    <w:p>
      <w:pPr>
        <w:pStyle w:val="2"/>
        <w:spacing w:line="294" w:lineRule="auto"/>
      </w:pPr>
    </w:p>
    <w:p>
      <w:pPr>
        <w:pStyle w:val="14"/>
        <w:numPr>
          <w:ilvl w:val="0"/>
          <w:numId w:val="1"/>
        </w:numPr>
        <w:spacing w:before="101" w:line="228" w:lineRule="auto"/>
        <w:ind w:firstLineChars="0"/>
        <w:outlineLvl w:val="0"/>
        <w:rPr>
          <w:rFonts w:ascii="黑体" w:hAnsi="黑体" w:eastAsia="黑体" w:cs="黑体"/>
          <w:spacing w:val="-4"/>
          <w:sz w:val="32"/>
          <w:szCs w:val="32"/>
        </w:rPr>
      </w:pPr>
      <w:r>
        <w:rPr>
          <w:rFonts w:hint="eastAsia" w:ascii="黑体" w:hAnsi="黑体" w:eastAsia="黑体" w:cs="黑体"/>
          <w:spacing w:val="-4"/>
          <w:sz w:val="32"/>
          <w:szCs w:val="32"/>
        </w:rPr>
        <w:t>总则</w:t>
      </w:r>
    </w:p>
    <w:p>
      <w:pPr>
        <w:spacing w:before="101" w:line="228" w:lineRule="auto"/>
        <w:ind w:left="3357"/>
        <w:rPr>
          <w:rFonts w:ascii="黑体" w:hAnsi="黑体" w:eastAsia="黑体" w:cs="黑体"/>
          <w:sz w:val="32"/>
          <w:szCs w:val="32"/>
        </w:rPr>
      </w:pP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 为切实加强农村集体经营性建设用地入市收益的管理和使用，规范收益分配行为，防止侵占和挪用，保障农民权益，根据《农业部关于进一步加强农村集体资产资源管理指导的意见》（农经发〔2009〕4号）《农村集体经济组织示范章程（试行）》《农村集体经济组织财务管理制度》（财农〔2021〕121号）等文件精神，结合我区实际，制定本指导意见。</w:t>
      </w:r>
    </w:p>
    <w:p>
      <w:pPr>
        <w:overflowPunct w:val="0"/>
        <w:autoSpaceDE w:val="0"/>
        <w:autoSpaceDN w:val="0"/>
        <w:adjustRightInd w:val="0"/>
        <w:snapToGrid w:val="0"/>
        <w:spacing w:line="580" w:lineRule="atLeas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 xml:space="preserve">第二条 </w:t>
      </w:r>
      <w:r>
        <w:rPr>
          <w:rFonts w:hint="eastAsia" w:ascii="仿宋" w:hAnsi="仿宋" w:eastAsia="仿宋" w:cs="仿宋_GB2312"/>
          <w:sz w:val="32"/>
          <w:szCs w:val="32"/>
        </w:rPr>
        <w:t>本指导意见适用于</w:t>
      </w:r>
      <w:r>
        <w:rPr>
          <w:rFonts w:hint="eastAsia" w:ascii="仿宋" w:hAnsi="仿宋" w:eastAsia="仿宋" w:cs="微软雅黑"/>
          <w:sz w:val="32"/>
          <w:szCs w:val="32"/>
        </w:rPr>
        <w:t>浉</w:t>
      </w:r>
      <w:r>
        <w:rPr>
          <w:rFonts w:hint="eastAsia" w:ascii="仿宋" w:hAnsi="仿宋" w:eastAsia="仿宋" w:cs="仿宋_GB2312"/>
          <w:sz w:val="32"/>
          <w:szCs w:val="32"/>
        </w:rPr>
        <w:t>河区行政区域内的乡、村、组三级农村集体经济组织的农村集体经营性建设用地入市益的管理、使用、分配。</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本意见所称农村集体经营性建设用地入市收益是指入市成交总价款扣除政府收取的土地增值收益调节金后，分配给农民集体的资金。</w:t>
      </w:r>
    </w:p>
    <w:p>
      <w:pPr>
        <w:spacing w:before="102" w:line="228" w:lineRule="auto"/>
        <w:ind w:left="3033"/>
        <w:rPr>
          <w:rFonts w:ascii="黑体" w:hAnsi="黑体" w:eastAsia="黑体" w:cs="黑体"/>
          <w:sz w:val="32"/>
          <w:szCs w:val="32"/>
        </w:rPr>
      </w:pPr>
    </w:p>
    <w:p>
      <w:pPr>
        <w:pStyle w:val="14"/>
        <w:numPr>
          <w:ilvl w:val="0"/>
          <w:numId w:val="1"/>
        </w:numPr>
        <w:spacing w:before="101" w:line="228" w:lineRule="auto"/>
        <w:ind w:firstLineChars="0"/>
        <w:outlineLvl w:val="0"/>
        <w:rPr>
          <w:rFonts w:ascii="黑体" w:hAnsi="黑体" w:eastAsia="黑体" w:cs="黑体"/>
          <w:spacing w:val="-4"/>
          <w:sz w:val="32"/>
          <w:szCs w:val="32"/>
        </w:rPr>
      </w:pPr>
      <w:r>
        <w:rPr>
          <w:rFonts w:hint="eastAsia" w:ascii="黑体" w:hAnsi="黑体" w:eastAsia="黑体" w:cs="黑体"/>
          <w:spacing w:val="-4"/>
          <w:sz w:val="32"/>
          <w:szCs w:val="32"/>
        </w:rPr>
        <w:t>收益分配</w:t>
      </w:r>
    </w:p>
    <w:p>
      <w:pPr>
        <w:pStyle w:val="14"/>
        <w:spacing w:before="101" w:line="228" w:lineRule="auto"/>
        <w:ind w:left="4440" w:firstLine="0" w:firstLineChars="0"/>
        <w:rPr>
          <w:rFonts w:ascii="黑体" w:hAnsi="黑体" w:eastAsia="黑体" w:cs="黑体"/>
          <w:spacing w:val="-4"/>
          <w:sz w:val="32"/>
          <w:szCs w:val="32"/>
        </w:rPr>
      </w:pP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 收益分配坚持公开、公正、公平的原则，既要实现保护好集体成员的权益，又要坚持集体经济性质，巩固农村政权基础；既要努力增加集体成员的财产性收入，又要处理好分配与积累的关系，确保分配水平的可持续性；既要强化监管措施，又要发挥内部体制机制作用，推进民主管理和制度管理；既要做到规范有序，又要从实际出发,坚持分类指导，各集体经济组织尊重历史、尊重民意。</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第五条 入市收益在分配和使用前，可用于以下支出：对原承包经营权人的占地补偿，每亩补偿金额原则上不得低于入市地块所在区域的征地补偿标准；土地一级开发等合理支出；发展壮大集体经济等。入市收益不得用于投资股市、民间借贷等高风险业务。</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村民小组所有的农村集体经营性建设用地入市收益，村集体可按不高于30%的比例提取公益金，用于全村修路、用电、用水、医疗保险等公益事业支出。</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 入市收益在扣除被占地群众补偿(租金)等必要支出后，剩余资金应留归农民集体，该部分资金原则上用于壮大集体经济、公共事项支出等。</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 入市收益实行专账管理和“村财乡管”模式。</w:t>
      </w:r>
    </w:p>
    <w:p>
      <w:pPr>
        <w:pStyle w:val="2"/>
        <w:spacing w:line="406" w:lineRule="auto"/>
        <w:rPr>
          <w:rFonts w:ascii="仿宋_GB2312" w:hAnsi="仿宋_GB2312" w:eastAsia="仿宋_GB2312" w:cs="仿宋_GB2312"/>
          <w:sz w:val="32"/>
          <w:szCs w:val="32"/>
        </w:rPr>
      </w:pPr>
    </w:p>
    <w:p>
      <w:pPr>
        <w:pStyle w:val="14"/>
        <w:numPr>
          <w:ilvl w:val="0"/>
          <w:numId w:val="1"/>
        </w:numPr>
        <w:spacing w:before="101" w:line="228" w:lineRule="auto"/>
        <w:ind w:firstLineChars="0"/>
        <w:outlineLvl w:val="0"/>
        <w:rPr>
          <w:rFonts w:ascii="黑体" w:hAnsi="黑体" w:eastAsia="黑体" w:cs="黑体"/>
          <w:spacing w:val="-4"/>
          <w:sz w:val="32"/>
          <w:szCs w:val="32"/>
        </w:rPr>
      </w:pPr>
      <w:r>
        <w:rPr>
          <w:rFonts w:hint="eastAsia" w:ascii="黑体" w:hAnsi="黑体" w:eastAsia="黑体" w:cs="黑体"/>
          <w:spacing w:val="-4"/>
          <w:sz w:val="32"/>
          <w:szCs w:val="32"/>
        </w:rPr>
        <w:t>使用管理</w:t>
      </w:r>
    </w:p>
    <w:p>
      <w:pPr>
        <w:spacing w:before="101" w:line="228" w:lineRule="auto"/>
        <w:ind w:left="3357"/>
        <w:rPr>
          <w:rFonts w:ascii="黑体" w:hAnsi="黑体" w:eastAsia="黑体" w:cs="黑体"/>
          <w:spacing w:val="-4"/>
          <w:sz w:val="32"/>
          <w:szCs w:val="32"/>
        </w:rPr>
      </w:pP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第九条 入市收益属村集体的，由村委会提出分配草案（含支出相关费用的情况），经村民会议或村民代表会议表决通过，报乡（镇）政府、街道办事处主要负责同志审核并经其签字同意后实施。入市收益属村民小组的，由村委会会同村民小组组长提出分配草案，经村民小组会议讨论表决通过，报乡（镇）政府、街道办事处主要负责同志审核并经其签字同意后实施。村集体入市收益的管理，按《农业部关于进一步加强农村集体资金资产资源管理指导的意见》（农经发〔2009〕4号）规定执行。</w:t>
      </w:r>
    </w:p>
    <w:p>
      <w:pPr>
        <w:overflowPunct w:val="0"/>
        <w:autoSpaceDE w:val="0"/>
        <w:autoSpaceDN w:val="0"/>
        <w:adjustRightInd w:val="0"/>
        <w:snapToGrid w:val="0"/>
        <w:spacing w:line="580" w:lineRule="atLeast"/>
        <w:jc w:val="center"/>
        <w:rPr>
          <w:rFonts w:ascii="黑体" w:hAnsi="黑体" w:eastAsia="黑体" w:cs="黑体"/>
          <w:sz w:val="32"/>
          <w:szCs w:val="32"/>
        </w:rPr>
      </w:pPr>
    </w:p>
    <w:p>
      <w:pPr>
        <w:pStyle w:val="14"/>
        <w:numPr>
          <w:ilvl w:val="0"/>
          <w:numId w:val="1"/>
        </w:numPr>
        <w:spacing w:before="101" w:line="228" w:lineRule="auto"/>
        <w:ind w:firstLineChars="0"/>
        <w:outlineLvl w:val="0"/>
        <w:rPr>
          <w:rFonts w:ascii="黑体" w:hAnsi="黑体" w:eastAsia="黑体" w:cs="黑体"/>
          <w:spacing w:val="-4"/>
          <w:sz w:val="32"/>
          <w:szCs w:val="32"/>
        </w:rPr>
      </w:pPr>
      <w:r>
        <w:rPr>
          <w:rFonts w:hint="eastAsia" w:ascii="黑体" w:hAnsi="黑体" w:eastAsia="黑体" w:cs="黑体"/>
          <w:spacing w:val="-4"/>
          <w:sz w:val="32"/>
          <w:szCs w:val="32"/>
        </w:rPr>
        <w:t>监督责任</w:t>
      </w:r>
    </w:p>
    <w:p>
      <w:pPr>
        <w:overflowPunct w:val="0"/>
        <w:autoSpaceDE w:val="0"/>
        <w:autoSpaceDN w:val="0"/>
        <w:adjustRightInd w:val="0"/>
        <w:snapToGrid w:val="0"/>
        <w:spacing w:line="580" w:lineRule="atLeast"/>
        <w:rPr>
          <w:rFonts w:ascii="仿宋_GB2312" w:hAnsi="仿宋_GB2312" w:eastAsia="仿宋_GB2312" w:cs="仿宋_GB2312"/>
          <w:sz w:val="32"/>
          <w:szCs w:val="32"/>
        </w:rPr>
      </w:pP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第十条 入市收益分配情况应同时纳入村务公开，定期公布，接受财政监督、审计监督和公众监督。村组在入市收益分配工作完成后，应及时将分配工作相关方案、报告及财务资料报乡（镇）政府、街道办事处备案。</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 各乡（镇）、道办事处要对入市资金实行专账管理，对乡（镇）、街道办事处所分成的入市调节金和村组所获得的入市收益资金，要分别记账管理。对不按规定记账管理的，按违反财经纪律对相关财务人员和乡（镇）、街道办事处主管副职给予纪律处分；村组干部不按规定管理使用村组所获得的入市收益资金的，按违反财经纪律对相关村组干部及责任人给予纪律处分；对截流、挪用、贪污入市收益资金，构成犯罪的，依法追究刑事责任。</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乡（镇）、街道办事处应同时加强村组入市收益分配的监管指导，对村组拟订的分配草案进行全面审核，重点对收益分配的规范性和合理性进行审核，防止资金滥用。</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区审计局、区财政局要定期对调节金和入市收益的使用情况进行审计和检查，督促乡（镇）、街道办事处和村组按照政策规定，正确使用调节金和入市收益，确保农民权益不受损。</w:t>
      </w:r>
    </w:p>
    <w:p>
      <w:pPr>
        <w:overflowPunct w:val="0"/>
        <w:autoSpaceDE w:val="0"/>
        <w:autoSpaceDN w:val="0"/>
        <w:adjustRightInd w:val="0"/>
        <w:snapToGrid w:val="0"/>
        <w:spacing w:line="580" w:lineRule="atLeast"/>
        <w:rPr>
          <w:rFonts w:ascii="仿宋_GB2312" w:hAnsi="仿宋_GB2312" w:eastAsia="仿宋_GB2312" w:cs="仿宋_GB2312"/>
          <w:sz w:val="32"/>
          <w:szCs w:val="32"/>
        </w:rPr>
      </w:pPr>
    </w:p>
    <w:p>
      <w:pPr>
        <w:pStyle w:val="14"/>
        <w:numPr>
          <w:ilvl w:val="0"/>
          <w:numId w:val="1"/>
        </w:numPr>
        <w:spacing w:before="101" w:line="228" w:lineRule="auto"/>
        <w:ind w:firstLineChars="0"/>
        <w:outlineLvl w:val="0"/>
        <w:rPr>
          <w:rFonts w:ascii="黑体" w:hAnsi="黑体" w:eastAsia="黑体" w:cs="黑体"/>
          <w:spacing w:val="-4"/>
          <w:sz w:val="32"/>
          <w:szCs w:val="32"/>
        </w:rPr>
      </w:pPr>
      <w:r>
        <w:rPr>
          <w:rFonts w:hint="eastAsia" w:ascii="黑体" w:hAnsi="黑体" w:eastAsia="黑体" w:cs="黑体"/>
          <w:spacing w:val="-4"/>
          <w:sz w:val="32"/>
          <w:szCs w:val="32"/>
        </w:rPr>
        <w:t>附则</w:t>
      </w:r>
    </w:p>
    <w:p>
      <w:pPr>
        <w:overflowPunct w:val="0"/>
        <w:autoSpaceDE w:val="0"/>
        <w:autoSpaceDN w:val="0"/>
        <w:adjustRightInd w:val="0"/>
        <w:snapToGrid w:val="0"/>
        <w:spacing w:line="580" w:lineRule="atLeast"/>
        <w:rPr>
          <w:rFonts w:ascii="仿宋_GB2312" w:hAnsi="仿宋_GB2312" w:eastAsia="仿宋_GB2312" w:cs="仿宋_GB2312"/>
          <w:sz w:val="32"/>
          <w:szCs w:val="32"/>
        </w:rPr>
      </w:pP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 本指导意见自发布之日起实施。</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sectPr>
          <w:footerReference r:id="rId3" w:type="default"/>
          <w:pgSz w:w="11905" w:h="16839"/>
          <w:pgMar w:top="1984" w:right="1417" w:bottom="1531" w:left="1417" w:header="0" w:footer="884" w:gutter="0"/>
          <w:pgNumType w:start="1"/>
          <w:cols w:space="720" w:num="1"/>
        </w:sectPr>
      </w:pPr>
      <w:r>
        <w:rPr>
          <w:rFonts w:hint="eastAsia" w:ascii="仿宋_GB2312" w:hAnsi="仿宋_GB2312" w:eastAsia="仿宋_GB2312" w:cs="仿宋_GB2312"/>
          <w:sz w:val="32"/>
          <w:szCs w:val="32"/>
        </w:rPr>
        <w:t>第十三条 本指导意见最终解释权由区政府所有。</w:t>
      </w:r>
    </w:p>
    <w:p>
      <w:pPr>
        <w:jc w:val="both"/>
        <w:rPr>
          <w:rFonts w:ascii="宋体" w:hAnsi="宋体" w:eastAsia="宋体" w:cs="宋体"/>
          <w:sz w:val="32"/>
          <w:szCs w:val="32"/>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2694849"/>
      <w:docPartObj>
        <w:docPartGallery w:val="autotext"/>
      </w:docPartObj>
    </w:sdtPr>
    <w:sdtEndPr>
      <w:rPr>
        <w:rFonts w:ascii="Times New Roman" w:hAnsi="Times New Roman" w:cs="Times New Roman"/>
        <w:sz w:val="24"/>
      </w:rPr>
    </w:sdtEndPr>
    <w:sdtContent>
      <w:p>
        <w:pPr>
          <w:pStyle w:val="3"/>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PAGE   \* MERGEFORMAT</w:instrText>
        </w:r>
        <w:r>
          <w:rPr>
            <w:rFonts w:ascii="Times New Roman" w:hAnsi="Times New Roman" w:cs="Times New Roman"/>
            <w:sz w:val="24"/>
          </w:rPr>
          <w:fldChar w:fldCharType="separate"/>
        </w:r>
        <w:r>
          <w:rPr>
            <w:rFonts w:ascii="Times New Roman" w:hAnsi="Times New Roman" w:cs="Times New Roman"/>
            <w:sz w:val="24"/>
            <w:lang w:val="zh-CN"/>
          </w:rPr>
          <w:t>2</w:t>
        </w:r>
        <w:r>
          <w:rPr>
            <w:rFonts w:ascii="Times New Roman" w:hAnsi="Times New Roman" w:cs="Times New Roman"/>
            <w:sz w:val="24"/>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4"/>
      </w:rPr>
    </w:pP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AC5841"/>
    <w:multiLevelType w:val="multilevel"/>
    <w:tmpl w:val="04AC5841"/>
    <w:lvl w:ilvl="0" w:tentative="0">
      <w:start w:val="1"/>
      <w:numFmt w:val="japaneseCounting"/>
      <w:lvlText w:val="第%1章"/>
      <w:lvlJc w:val="left"/>
      <w:pPr>
        <w:ind w:left="4438" w:hanging="1080"/>
      </w:pPr>
      <w:rPr>
        <w:rFonts w:hint="default"/>
      </w:rPr>
    </w:lvl>
    <w:lvl w:ilvl="1" w:tentative="0">
      <w:start w:val="1"/>
      <w:numFmt w:val="lowerLetter"/>
      <w:lvlText w:val="%2)"/>
      <w:lvlJc w:val="left"/>
      <w:pPr>
        <w:ind w:left="4238" w:hanging="440"/>
      </w:pPr>
    </w:lvl>
    <w:lvl w:ilvl="2" w:tentative="0">
      <w:start w:val="1"/>
      <w:numFmt w:val="lowerRoman"/>
      <w:lvlText w:val="%3."/>
      <w:lvlJc w:val="right"/>
      <w:pPr>
        <w:ind w:left="4678" w:hanging="440"/>
      </w:pPr>
    </w:lvl>
    <w:lvl w:ilvl="3" w:tentative="0">
      <w:start w:val="1"/>
      <w:numFmt w:val="decimal"/>
      <w:lvlText w:val="%4."/>
      <w:lvlJc w:val="left"/>
      <w:pPr>
        <w:ind w:left="5118" w:hanging="440"/>
      </w:pPr>
    </w:lvl>
    <w:lvl w:ilvl="4" w:tentative="0">
      <w:start w:val="1"/>
      <w:numFmt w:val="lowerLetter"/>
      <w:lvlText w:val="%5)"/>
      <w:lvlJc w:val="left"/>
      <w:pPr>
        <w:ind w:left="5558" w:hanging="440"/>
      </w:pPr>
    </w:lvl>
    <w:lvl w:ilvl="5" w:tentative="0">
      <w:start w:val="1"/>
      <w:numFmt w:val="lowerRoman"/>
      <w:lvlText w:val="%6."/>
      <w:lvlJc w:val="right"/>
      <w:pPr>
        <w:ind w:left="5998" w:hanging="440"/>
      </w:pPr>
    </w:lvl>
    <w:lvl w:ilvl="6" w:tentative="0">
      <w:start w:val="1"/>
      <w:numFmt w:val="decimal"/>
      <w:lvlText w:val="%7."/>
      <w:lvlJc w:val="left"/>
      <w:pPr>
        <w:ind w:left="6438" w:hanging="440"/>
      </w:pPr>
    </w:lvl>
    <w:lvl w:ilvl="7" w:tentative="0">
      <w:start w:val="1"/>
      <w:numFmt w:val="lowerLetter"/>
      <w:lvlText w:val="%8)"/>
      <w:lvlJc w:val="left"/>
      <w:pPr>
        <w:ind w:left="6878" w:hanging="440"/>
      </w:pPr>
    </w:lvl>
    <w:lvl w:ilvl="8" w:tentative="0">
      <w:start w:val="1"/>
      <w:numFmt w:val="lowerRoman"/>
      <w:lvlText w:val="%9."/>
      <w:lvlJc w:val="right"/>
      <w:pPr>
        <w:ind w:left="7318"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lMThhYjdmZjljZTBiYjdkZGVmYzU2NWQ2ZDk2NGYifQ=="/>
  </w:docVars>
  <w:rsids>
    <w:rsidRoot w:val="009564BD"/>
    <w:rsid w:val="000C36FE"/>
    <w:rsid w:val="000E6F4C"/>
    <w:rsid w:val="001D2860"/>
    <w:rsid w:val="001D7A28"/>
    <w:rsid w:val="002938F3"/>
    <w:rsid w:val="002D20CE"/>
    <w:rsid w:val="00300556"/>
    <w:rsid w:val="0030066C"/>
    <w:rsid w:val="00300B63"/>
    <w:rsid w:val="00416734"/>
    <w:rsid w:val="00441C3D"/>
    <w:rsid w:val="00484C2E"/>
    <w:rsid w:val="004B2C43"/>
    <w:rsid w:val="004C5D3F"/>
    <w:rsid w:val="0053683A"/>
    <w:rsid w:val="005D3225"/>
    <w:rsid w:val="005E67D9"/>
    <w:rsid w:val="005F5721"/>
    <w:rsid w:val="006138A7"/>
    <w:rsid w:val="00640561"/>
    <w:rsid w:val="0068221D"/>
    <w:rsid w:val="00690B5C"/>
    <w:rsid w:val="006C7D62"/>
    <w:rsid w:val="006D4B00"/>
    <w:rsid w:val="00743286"/>
    <w:rsid w:val="007C1156"/>
    <w:rsid w:val="00814FA5"/>
    <w:rsid w:val="00852548"/>
    <w:rsid w:val="008653FA"/>
    <w:rsid w:val="00893CD5"/>
    <w:rsid w:val="008F5757"/>
    <w:rsid w:val="009564BD"/>
    <w:rsid w:val="009F7EC9"/>
    <w:rsid w:val="00A57F97"/>
    <w:rsid w:val="00A6008E"/>
    <w:rsid w:val="00AD1AB3"/>
    <w:rsid w:val="00BE7628"/>
    <w:rsid w:val="00BF0D57"/>
    <w:rsid w:val="00C103C6"/>
    <w:rsid w:val="00C112C3"/>
    <w:rsid w:val="00C323E5"/>
    <w:rsid w:val="00CB36FE"/>
    <w:rsid w:val="00D02B39"/>
    <w:rsid w:val="00D36453"/>
    <w:rsid w:val="00D60D1D"/>
    <w:rsid w:val="00E90359"/>
    <w:rsid w:val="00E91CD0"/>
    <w:rsid w:val="00EB4A94"/>
    <w:rsid w:val="00EF51D9"/>
    <w:rsid w:val="00F94EA7"/>
    <w:rsid w:val="11462670"/>
    <w:rsid w:val="12567C8D"/>
    <w:rsid w:val="1A1944CE"/>
    <w:rsid w:val="224A7EB9"/>
    <w:rsid w:val="2A276DFE"/>
    <w:rsid w:val="333806B3"/>
    <w:rsid w:val="3995157D"/>
    <w:rsid w:val="41C645C6"/>
    <w:rsid w:val="53226720"/>
    <w:rsid w:val="5D7E3066"/>
    <w:rsid w:val="5DA80736"/>
    <w:rsid w:val="637F6CFA"/>
    <w:rsid w:val="6940003C"/>
    <w:rsid w:val="6D093028"/>
    <w:rsid w:val="70B03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spacing w:after="120"/>
    </w:pPr>
    <w:rPr>
      <w:rFonts w:ascii="Calibri" w:hAnsi="Calibri" w:eastAsia="宋体" w:cs="Times New Roman"/>
    </w:r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link w:val="11"/>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563C1" w:themeColor="hyperlink"/>
      <w:u w:val="single"/>
      <w14:textFill>
        <w14:solidFill>
          <w14:schemeClr w14:val="hlink"/>
        </w14:solidFill>
      </w14:textFill>
    </w:rPr>
  </w:style>
  <w:style w:type="character" w:customStyle="1" w:styleId="11">
    <w:name w:val="页眉 字符"/>
    <w:basedOn w:val="8"/>
    <w:link w:val="4"/>
    <w:qFormat/>
    <w:uiPriority w:val="0"/>
    <w:rPr>
      <w:rFonts w:asciiTheme="minorHAnsi" w:hAnsiTheme="minorHAnsi" w:eastAsiaTheme="minorEastAsia" w:cstheme="minorBidi"/>
      <w:kern w:val="2"/>
      <w:sz w:val="18"/>
      <w:szCs w:val="18"/>
    </w:rPr>
  </w:style>
  <w:style w:type="character" w:customStyle="1" w:styleId="12">
    <w:name w:val="页脚 字符"/>
    <w:basedOn w:val="8"/>
    <w:link w:val="3"/>
    <w:qFormat/>
    <w:uiPriority w:val="99"/>
    <w:rPr>
      <w:rFonts w:asciiTheme="minorHAnsi" w:hAnsiTheme="minorHAnsi" w:eastAsiaTheme="minorEastAsia" w:cstheme="minorBidi"/>
      <w:kern w:val="2"/>
      <w:sz w:val="18"/>
      <w:szCs w:val="24"/>
    </w:rPr>
  </w:style>
  <w:style w:type="character" w:customStyle="1" w:styleId="13">
    <w:name w:val="Unresolved Mention"/>
    <w:basedOn w:val="8"/>
    <w:semiHidden/>
    <w:unhideWhenUsed/>
    <w:uiPriority w:val="99"/>
    <w:rPr>
      <w:color w:val="605E5C"/>
      <w:shd w:val="clear" w:color="auto" w:fill="E1DFDD"/>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舜土</Company>
  <Pages>16</Pages>
  <Words>1050</Words>
  <Characters>5991</Characters>
  <Lines>49</Lines>
  <Paragraphs>14</Paragraphs>
  <TotalTime>0</TotalTime>
  <ScaleCrop>false</ScaleCrop>
  <LinksUpToDate>false</LinksUpToDate>
  <CharactersWithSpaces>7027</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2023-11-02T07:21:00Z</dcterms:created>
  <dc:creator>Administrator</dc:creator>
  <cp:lastModifiedBy>wangluoke</cp:lastModifiedBy>
  <dcterms:modified xsi:type="dcterms:W3CDTF">2023-11-21T08:36:52Z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4D7314547CCB4DBEA0B00CC8B92C12F5_13</vt:lpwstr>
  </property>
</Properties>
</file>