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关于印发《洛宁县先进制造业开发区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“三张清单”》的通知政策解读材料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一、起草背景及依据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8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为进一步厘清开发区和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属地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政府职责边界，促进开发区高质量发展，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根据中共洛阳市委机构编制委员会关于印发《开发区“三张清单”指导目录》的通知（洛编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36号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,我县结合实际，于2023年11月30日印发了《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洛宁县先进制造业开发区“三张清单”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56" w:firstLineChars="200"/>
        <w:textAlignment w:val="auto"/>
        <w:rPr>
          <w:rFonts w:hint="default" w:ascii="Times New Roman" w:hAnsi="Times New Roman" w:eastAsia="黑体" w:cs="Times New Roman"/>
          <w:spacing w:val="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lang w:eastAsia="zh-CN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由县委编办牵头起草的《洛宁县先进制造业开发区“三张清单”》初稿形成后，集中征求了相关责任单位意见，修改完善后形成定稿。经县委、县政府批准后，按程序印发并公开。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8" w:lineRule="exact"/>
        <w:ind w:firstLine="65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lang w:eastAsia="zh-CN"/>
        </w:rPr>
        <w:t>三、主要内容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8" w:lineRule="exact"/>
        <w:ind w:firstLine="65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《洛宁县先进制造业开发区“三张清单”》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主要包括三部分内容。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第一部分：开发区经济发展职责清单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第二部分：属地政府服务保障开发区职责清单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第三部分：开发区开发运营职责清单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四：解读机构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中共洛宁县委编办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66231363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JkNGEwZjZhZjQ3MTU3N2VlMGQwM2ZiZmUyMDYifQ=="/>
  </w:docVars>
  <w:rsids>
    <w:rsidRoot w:val="00000000"/>
    <w:rsid w:val="11AE007E"/>
    <w:rsid w:val="1EF53B56"/>
    <w:rsid w:val="26E72CF4"/>
    <w:rsid w:val="435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idowControl w:val="0"/>
      <w:wordWrap w:val="0"/>
      <w:spacing w:after="6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2023-12-11T01:49:00Z</dcterms:created>
  <dc:creator>Administrator</dc:creator>
  <cp:lastModifiedBy>luckywpz</cp:lastModifiedBy>
  <dcterms:modified xsi:type="dcterms:W3CDTF">2023-12-12T07:20:36Z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D1A5114882CC4DAE8C6065D365CC2960_12</vt:lpwstr>
  </property>
</Properties>
</file>