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进一步调整完善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城市基础设施配套费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征收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（代拟稿）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为优化营商环境，降低实体经济运行成本，进一步调整完善城市基础设施配套费征收管理，提高服务企业能力，调整完善实验区城市基础设施配套费征收管理相关制度。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一、城市基础设施配套费征收以规划部门出具的《建设项目建筑面积核准单》作为征收城市基础设施配套费的依据，除住宅项目外，商业、</w:t>
      </w:r>
      <w:r>
        <w:rPr>
          <w:rFonts w:ascii="Times New Roman" w:hAnsi="Times New Roman" w:eastAsia="仿宋_GB2312" w:cs="Times New Roman"/>
          <w:sz w:val="32"/>
          <w:szCs w:val="32"/>
        </w:rPr>
        <w:t>建筑面积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</w:t>
      </w:r>
      <w:r>
        <w:rPr>
          <w:rFonts w:ascii="Times New Roman" w:hAnsi="Times New Roman" w:eastAsia="仿宋_GB2312" w:cs="Times New Roman"/>
          <w:sz w:val="32"/>
          <w:szCs w:val="32"/>
        </w:rPr>
        <w:t>于2000平方米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包含2000平方米）</w:t>
      </w:r>
      <w:r>
        <w:rPr>
          <w:rFonts w:ascii="Times New Roman" w:hAnsi="Times New Roman" w:eastAsia="仿宋_GB2312" w:cs="Times New Roman"/>
          <w:sz w:val="32"/>
          <w:szCs w:val="32"/>
        </w:rPr>
        <w:t>的仓储类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城市基础设施配套费按照120元/平方米的标准进行征收，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工业项目</w:t>
      </w:r>
      <w:r>
        <w:rPr>
          <w:rFonts w:ascii="Times New Roman" w:hAnsi="Times New Roman" w:eastAsia="仿宋_GB2312" w:cs="Times New Roman"/>
          <w:sz w:val="32"/>
          <w:szCs w:val="32"/>
        </w:rPr>
        <w:t>的城市基础设施配套费征收标准调整为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元/平方米，</w:t>
      </w:r>
      <w:r>
        <w:rPr>
          <w:rFonts w:ascii="Times New Roman" w:hAnsi="Times New Roman" w:eastAsia="仿宋_GB2312" w:cs="Times New Roman"/>
          <w:sz w:val="32"/>
          <w:szCs w:val="32"/>
        </w:rPr>
        <w:t>建筑面积小于2000平方米的小型仓储类项目的城市基础设施配套费征收标准调整为零。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对于2021年12月6日前管委会批准缓缴，超期仍未缴纳城市配套费的项目，按照项目《缓交通知书》批复时执行的城市基础设施配套费标准170元/平方米进行征收，管委会另行研究的项目除外。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三、针对历年审计、巡视发现的工业、仓储物流等项目应缴未缴城市基础设施配套费，由重点项目办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  <w:t>牵头报党工委会议研究确定，财政部门根据党工委会议议定事项执行。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四、根据管委会党政办《关于印发郑州航空港经济综合实验区优化营商环境配套改革“136N”百日攻坚行动方案的通知》（郑港办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号）规定，针对国有企业工业、仓储类项目可缓缴6个月城市基础设施配套费，容缺办理施工证，同时按照“谁审批谁负责”的原则，由重点项目办负责，对未缴纳城市基础设施配套费的企业进行追缴，待企业足额补缴城市基础设施配套费后，方可发放不动产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  <w:t>五、管委会重点扶持的重大产业项目、特殊情况的建设项目，政策外需要免缴、缓缴的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工业、仓储类等项目，按照“一事一议”的原则，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  <w:t>由重点项目办将事项提报党工委会议研究确定，财政部门根据党工委会议议定事项执行。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 w:bidi="ar-SA"/>
        </w:rPr>
      </w:pPr>
      <w:r>
        <w:rPr>
          <w:rFonts w:hint="default" w:ascii="仿宋_GB2312" w:hAnsi="Calibri" w:eastAsia="仿宋_GB2312" w:cs="Times New Roman"/>
          <w:sz w:val="32"/>
          <w:szCs w:val="32"/>
          <w:lang w:eastAsia="zh-CN" w:bidi="ar-SA"/>
        </w:rPr>
        <w:t>六、该政策从文件印发之日起执行，有效期暂定3年。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jIxNDA0YTA0MjBhNzEzYjU3MGQzYjk0ZWI0MjMifQ=="/>
  </w:docVars>
  <w:rsids>
    <w:rsidRoot w:val="372364BE"/>
    <w:rsid w:val="014F6641"/>
    <w:rsid w:val="02CB1CF7"/>
    <w:rsid w:val="085E07BE"/>
    <w:rsid w:val="10EA1EE2"/>
    <w:rsid w:val="11686072"/>
    <w:rsid w:val="1DB16276"/>
    <w:rsid w:val="2BB92785"/>
    <w:rsid w:val="2FEE6EA1"/>
    <w:rsid w:val="318340B8"/>
    <w:rsid w:val="33437504"/>
    <w:rsid w:val="33504095"/>
    <w:rsid w:val="372364BE"/>
    <w:rsid w:val="3CD40ADF"/>
    <w:rsid w:val="3FE8571E"/>
    <w:rsid w:val="3FFF0D51"/>
    <w:rsid w:val="437E1E93"/>
    <w:rsid w:val="463734B4"/>
    <w:rsid w:val="476555EB"/>
    <w:rsid w:val="4AFE0922"/>
    <w:rsid w:val="4F630C6C"/>
    <w:rsid w:val="4F7F52AD"/>
    <w:rsid w:val="567A473C"/>
    <w:rsid w:val="56B45E9F"/>
    <w:rsid w:val="5FCF66A5"/>
    <w:rsid w:val="61BB16BA"/>
    <w:rsid w:val="62BB36D4"/>
    <w:rsid w:val="69BE36C2"/>
    <w:rsid w:val="6D001886"/>
    <w:rsid w:val="6EEB2223"/>
    <w:rsid w:val="728A6751"/>
    <w:rsid w:val="72D54D3D"/>
    <w:rsid w:val="780B263B"/>
    <w:rsid w:val="78DD2BDC"/>
    <w:rsid w:val="7F272A9C"/>
    <w:rsid w:val="7FFE29C1"/>
    <w:rsid w:val="A6E7AA81"/>
    <w:rsid w:val="BFF78D11"/>
    <w:rsid w:val="FF6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2023-12-26T18:58:00Z</dcterms:created>
  <dc:creator>lenovo</dc:creator>
  <cp:lastModifiedBy>起个名字七个字</cp:lastModifiedBy>
  <cp:lastPrinted>2024-01-06T09:30:00Z</cp:lastPrinted>
  <dcterms:modified xsi:type="dcterms:W3CDTF">2024-01-17T16:23:47Z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1825CE3D84B3449799CD9BE09CC0D258_11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