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cs="宋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cs="宋体"/>
          <w:b w:val="0"/>
          <w:bCs w:val="0"/>
          <w:kern w:val="2"/>
          <w:sz w:val="44"/>
          <w:szCs w:val="44"/>
          <w:lang w:val="en-US" w:eastAsia="zh-CN" w:bidi="ar-SA"/>
        </w:rPr>
        <w:t>安阳市殷都区文源片区棚户区改造安置房项目2023年再融资专项债券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cs="宋体"/>
          <w:b w:val="0"/>
          <w:bCs w:val="0"/>
          <w:kern w:val="2"/>
          <w:sz w:val="44"/>
          <w:szCs w:val="44"/>
          <w:lang w:val="en-US" w:eastAsia="zh-CN" w:bidi="ar-SA"/>
        </w:rPr>
        <w:t>项目</w:t>
      </w:r>
      <w:r>
        <w:rPr>
          <w:rFonts w:hint="eastAsia" w:ascii="宋体" w:hAnsi="宋体" w:eastAsia="宋体" w:cs="宋体"/>
          <w:b w:val="0"/>
          <w:bCs w:val="0"/>
          <w:kern w:val="2"/>
          <w:sz w:val="44"/>
          <w:szCs w:val="44"/>
          <w:lang w:val="en-US" w:eastAsia="zh-CN" w:bidi="ar-SA"/>
        </w:rPr>
        <w:t>绩效自评报告</w:t>
      </w:r>
    </w:p>
    <w:p>
      <w:pPr>
        <w:jc w:val="center"/>
        <w:rPr>
          <w:rFonts w:hint="eastAsia" w:ascii="宋体" w:hAnsi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阳市殷都区人民政府铁西路街道办事处是殷都区政府派出机关，属乡级行政区。根据区委、区政府授权，依法履行辖区内党的建设、公共服务、城市管理、社会治理、安全稳定等综合管理职能，统筹协调辖区地区性、社会性、群众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根据安阳市发展和改革委员会《关于安阳市殷都区文源片区棚户区改造安置房项目（一期）可行性研究报告》的批复（安发改审办〔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260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号）及可行性研究报告的内容，本项目主要建设内容及规模为：项目选址位于安阳市殷都区铁西路北段东侧，铁西排洪沟西侧，北至规划绿地边界，南至第七人民医院（保留南侧铁路医院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6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层家属楼）。本项目规划总用地面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20.75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亩（含居住用地面积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12.77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亩，绿地面积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亩，城市道路用地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5.58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亩）。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本项目采用产权置换和货币化安置相结合的方式进行安置。共拆迁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288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户，拆迁面积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43614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平方米，其中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户采用产权置换方式进行安置，建筑面积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14400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平方米，剩余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187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户采用货币计划方式进行安置，建筑面积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25100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平方米。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项目安置房总建筑面积</w:t>
      </w:r>
      <w:bookmarkStart w:id="0" w:name="OLE_LINK1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28908.60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平方米，其中安置房建筑面积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18479.49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平方米、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172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套。商业建筑面积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3190.45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平方米，公共服务设施用房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598.24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平方米，地下建筑面积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6640.42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平方米。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3.项目资金情况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该项目总估算投资 17,133.16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万元。该项目自2018年起先后申请棚户区专项债券共计5049万元，截止2022年12月底，该项目实际支出债券资金1991.06万元，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根据河南省财政厅关于做好2022年第一批政府债券资金用途调整工作的通知（豫财债〔2022〕50号），经区政府研究决定，将该项目专项债券资金3000万元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调整至安阳市殷都区棚户区改造安置房项目（二期）。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总体目标：工程完成后有利于改善当地群众的居住条件，使他们生活质量提高，同时通过项目引用的多功能智能设施，可大大改减少居民的日常开支。有利于拉动区域投资和消费，加速当地房地产业发展，进而促进经济增长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阶段性目标：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目标1：完成各时序的进度计划目标的达成率为100%；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目标2：工程质量合格率100%；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目标3：项目验收通过率100%。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二、评价工作开展情况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（一）项目特点分析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在项目的绩效指标体系，主要通过产出指标、效果指标、社会公众或服务对象满意度方面进行构建。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（二）评价思路方法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实施单位加强财务管理，严格执行收支两条线，财务管理人员遵守会计法律、法规和财务制度，认真履行职责，管好财务，节约开支，合理利用资金，现金及周转金严格按照银行规定执行。保证投资资金专款专用，保证投资资金按计划、按需要投入，产生应有的效益。加强成本控制和节约意识，提高资金使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（三）绩效评价的原则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1、科学公正。运用科学合理的方法，按照规范的程序，对项目绩效进行客观、公正的反映。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2、统筹兼顾。单位自评应由项目单位自主实施，即“谁支出、谁自评”。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3、激励约束。绩效评价结果应与预算安排、政策调整、改进管理实质性挂钩。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（四）绩效评价方法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1、成本效益分析法。是指将投入与产出、效益进行关联性分析的方法。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2、比较法。是指将实施情况与绩效目标、历史情况、不同部门和地区同类支出情况进行比较的方法。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3、因素分析法。是指综合分析影响绩效目标实现、实施效果的内外部因素的方法。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4、最低成本法。是指在绩效目标确定的前提下，成本最小者为优的方法。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（五）绩效评价标准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产出指标占权重分50分、效果指标占权重分30分、社会公众或服务对象满意度占权重分25分。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（六）评价工作情况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主要采用了文件核查、深度访谈、财务核查、实地查访及问卷调查等方法，以掌握项目详细情况，并对采集的数据作详细的统计和分析。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（七）绩效评价结论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评价等级分定为四级：优（≧90 分）、良（80-89 分）、中（60-79 分）、差（﹤60 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本项目自评价得分为90分，自评等级为优秀。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绩效评价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分析</w:t>
      </w:r>
      <w:bookmarkStart w:id="1" w:name="_GoBack"/>
      <w:bookmarkEnd w:id="1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产出数量：已完成建设安置房和商业楼。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产出质量：项目质量合格，合格率达到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95%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产出时效：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日之前完成。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产出成本：债券未使用。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经济效益：至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年底带动税收超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50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万元。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社会效益：通过改造棚户区，使得县城中一些脏、乱、差的卫生死角得到治理，不仅能有效改善人居环境，提升城市品位。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生态效益：通过改造棚户区，使居住和生活环境，群众的身心健康有所提升，更好促进了社会经济发展。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可持续影响：项目建成后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社会与经济效益显著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可以改善蒙山县城镇基础设施、人居环境。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社会公众或服务对象满意度：项目正在建设中，服务对象满意度达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90%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四、自评发现的问题和改进措施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五、自评工作建议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、其他需要说明的问题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0" w:after="0" w:line="560" w:lineRule="atLeast"/>
        <w:ind w:left="0" w:right="0" w:firstLine="8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殷都区铁西路街道办事处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2024年06月17日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ind w:left="5750" w:leftChars="1824" w:hanging="1920" w:hangingChars="6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ind w:left="5750" w:leftChars="1824" w:hanging="1920" w:hangingChars="600"/>
        <w:textAlignment w:val="auto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k4MTE4NjcxMWQ1ZDE1NmJmZTk0MDA5NzA5N2E2NmYifQ=="/>
  </w:docVars>
  <w:rsids>
    <w:rsidRoot w:val="2EFA2E55"/>
    <w:rsid w:val="00A37590"/>
    <w:rsid w:val="00BB3AC1"/>
    <w:rsid w:val="013C664F"/>
    <w:rsid w:val="0745535A"/>
    <w:rsid w:val="102504FD"/>
    <w:rsid w:val="1343186B"/>
    <w:rsid w:val="150F3CC6"/>
    <w:rsid w:val="15242783"/>
    <w:rsid w:val="19AC1C8E"/>
    <w:rsid w:val="1E7E2DE1"/>
    <w:rsid w:val="21E30983"/>
    <w:rsid w:val="22AF43B0"/>
    <w:rsid w:val="2B8922FB"/>
    <w:rsid w:val="2D6F134E"/>
    <w:rsid w:val="2E2B56F9"/>
    <w:rsid w:val="2EFA2E55"/>
    <w:rsid w:val="3C43142B"/>
    <w:rsid w:val="42155C17"/>
    <w:rsid w:val="43F81C45"/>
    <w:rsid w:val="452D47AF"/>
    <w:rsid w:val="47284393"/>
    <w:rsid w:val="47353C88"/>
    <w:rsid w:val="4CF00F05"/>
    <w:rsid w:val="4D987FF5"/>
    <w:rsid w:val="53EC02A1"/>
    <w:rsid w:val="573963A5"/>
    <w:rsid w:val="5A364E1D"/>
    <w:rsid w:val="5C3655A9"/>
    <w:rsid w:val="660153F6"/>
    <w:rsid w:val="6A8803A5"/>
    <w:rsid w:val="6C6F1EC4"/>
    <w:rsid w:val="6CFA0DE0"/>
    <w:rsid w:val="6F336242"/>
    <w:rsid w:val="74E64DDF"/>
    <w:rsid w:val="77A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1812</Words>
  <Characters>1963</Characters>
  <Lines>2</Lines>
  <Paragraphs>1</Paragraphs>
  <TotalTime>613</TotalTime>
  <ScaleCrop>false</ScaleCrop>
  <LinksUpToDate>false</LinksUpToDate>
  <CharactersWithSpaces>2033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2023-06-20T01:19:00Z</dcterms:created>
  <dc:creator>Administrator</dc:creator>
  <cp:lastModifiedBy>Administrator</cp:lastModifiedBy>
  <cp:lastPrinted>2023-06-20T03:29:00Z</cp:lastPrinted>
  <dcterms:modified xsi:type="dcterms:W3CDTF">2024-06-17T07:47:24Z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843F2BC2A77B4891B3345C8FAE90D58F</vt:lpwstr>
  </property>
</Properties>
</file>