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line="600" w:lineRule="exact"/>
        <w:textAlignment w:val="auto"/>
        <w:rPr>
          <w:rFonts w:hint="default" w:ascii="Times New Roman" w:hAnsi="Times New Roman" w:eastAsia="黑体" w:cs="Times New Roman"/>
          <w:color w:val="000000"/>
          <w:sz w:val="32"/>
          <w:szCs w:val="40"/>
          <w:u w:val="none"/>
          <w:lang w:val="zh-CN"/>
        </w:rPr>
      </w:pPr>
      <w:r>
        <w:rPr>
          <w:rFonts w:hint="default" w:ascii="Times New Roman" w:hAnsi="Times New Roman" w:eastAsia="黑体" w:cs="Times New Roman"/>
          <w:color w:val="000000"/>
          <w:sz w:val="32"/>
          <w:szCs w:val="40"/>
          <w:u w:val="none"/>
          <w:lang w:val="zh-CN"/>
        </w:rPr>
        <w:t>附件</w:t>
      </w:r>
    </w:p>
    <w:p>
      <w:pPr>
        <w:pStyle w:val="14"/>
        <w:keepNext w:val="0"/>
        <w:keepLines w:val="0"/>
        <w:pageBreakBefore w:val="0"/>
        <w:kinsoku/>
        <w:wordWrap/>
        <w:overflowPunct/>
        <w:topLinePunct w:val="0"/>
        <w:bidi w:val="0"/>
        <w:adjustRightInd/>
        <w:snapToGrid/>
        <w:spacing w:line="600" w:lineRule="exact"/>
        <w:jc w:val="center"/>
        <w:textAlignment w:val="auto"/>
        <w:rPr>
          <w:rFonts w:hint="default" w:ascii="Times New Roman" w:hAnsi="Times New Roman" w:eastAsia="方正小标宋_GBK" w:cs="Times New Roman"/>
          <w:b w:val="0"/>
          <w:bCs w:val="0"/>
          <w:color w:val="000000"/>
          <w:spacing w:val="8"/>
          <w:kern w:val="44"/>
          <w:sz w:val="44"/>
          <w:szCs w:val="44"/>
          <w:lang w:val="zh-CN" w:eastAsia="zh-CN" w:bidi="ar-SA"/>
        </w:rPr>
      </w:pPr>
      <w:bookmarkStart w:id="0" w:name="_GoBack"/>
      <w:r>
        <w:rPr>
          <w:rFonts w:hint="default" w:ascii="Times New Roman" w:hAnsi="Times New Roman" w:eastAsia="方正小标宋简体" w:cs="Times New Roman"/>
          <w:b w:val="0"/>
          <w:bCs w:val="0"/>
          <w:color w:val="000000"/>
          <w:spacing w:val="8"/>
          <w:kern w:val="44"/>
          <w:sz w:val="44"/>
          <w:szCs w:val="44"/>
          <w:lang w:val="zh-CN" w:eastAsia="zh-CN" w:bidi="ar-SA"/>
        </w:rPr>
        <w:t>息县基本养老服务清单</w:t>
      </w:r>
    </w:p>
    <w:bookmarkEnd w:id="0"/>
    <w:tbl>
      <w:tblPr>
        <w:tblStyle w:val="5"/>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19"/>
        <w:gridCol w:w="283"/>
        <w:gridCol w:w="1097"/>
        <w:gridCol w:w="2535"/>
        <w:gridCol w:w="1136"/>
        <w:gridCol w:w="3102"/>
        <w:gridCol w:w="3225"/>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45" w:hRule="atLeast"/>
        </w:trPr>
        <w:tc>
          <w:tcPr>
            <w:tcW w:w="1519" w:type="dxa"/>
            <w:vAlign w:val="center"/>
          </w:tcPr>
          <w:p>
            <w:pPr>
              <w:keepNext w:val="0"/>
              <w:keepLines w:val="0"/>
              <w:pageBreakBefore w:val="0"/>
              <w:widowControl/>
              <w:suppressLineNumbers w:val="0"/>
              <w:kinsoku/>
              <w:wordWrap/>
              <w:overflowPunct/>
              <w:topLinePunct w:val="0"/>
              <w:bidi w:val="0"/>
              <w:snapToGrid/>
              <w:spacing w:line="240" w:lineRule="auto"/>
              <w:jc w:val="center"/>
              <w:rPr>
                <w:rFonts w:hint="default" w:ascii="Times New Roman" w:hAnsi="Times New Roman" w:eastAsia="黑体" w:cs="Times New Roman"/>
                <w:b w:val="0"/>
                <w:bCs/>
                <w:i w:val="0"/>
                <w:color w:val="000000"/>
                <w:kern w:val="0"/>
                <w:sz w:val="24"/>
                <w:szCs w:val="24"/>
                <w:u w:val="none"/>
                <w:lang w:val="en-US" w:eastAsia="zh-CN" w:bidi="ar"/>
              </w:rPr>
            </w:pPr>
            <w:r>
              <w:rPr>
                <w:rFonts w:hint="default" w:ascii="Times New Roman" w:hAnsi="Times New Roman" w:eastAsia="黑体" w:cs="Times New Roman"/>
                <w:b w:val="0"/>
                <w:bCs/>
                <w:i w:val="0"/>
                <w:color w:val="000000"/>
                <w:kern w:val="0"/>
                <w:sz w:val="24"/>
                <w:szCs w:val="24"/>
                <w:u w:val="none"/>
                <w:lang w:val="en-US" w:eastAsia="zh-CN" w:bidi="ar"/>
              </w:rPr>
              <w:t>服务对象</w:t>
            </w:r>
          </w:p>
        </w:tc>
        <w:tc>
          <w:tcPr>
            <w:tcW w:w="1380" w:type="dxa"/>
            <w:gridSpan w:val="2"/>
            <w:vAlign w:val="center"/>
          </w:tcPr>
          <w:p>
            <w:pPr>
              <w:keepNext w:val="0"/>
              <w:keepLines w:val="0"/>
              <w:pageBreakBefore w:val="0"/>
              <w:widowControl/>
              <w:suppressLineNumbers w:val="0"/>
              <w:kinsoku/>
              <w:wordWrap/>
              <w:overflowPunct/>
              <w:topLinePunct w:val="0"/>
              <w:bidi w:val="0"/>
              <w:snapToGrid/>
              <w:spacing w:line="240" w:lineRule="auto"/>
              <w:jc w:val="center"/>
              <w:rPr>
                <w:rFonts w:hint="default" w:ascii="Times New Roman" w:hAnsi="Times New Roman" w:eastAsia="黑体" w:cs="Times New Roman"/>
                <w:b w:val="0"/>
                <w:bCs/>
                <w:i w:val="0"/>
                <w:color w:val="000000"/>
                <w:kern w:val="0"/>
                <w:sz w:val="24"/>
                <w:szCs w:val="24"/>
                <w:u w:val="none"/>
                <w:lang w:val="en-US" w:eastAsia="zh-CN" w:bidi="ar"/>
              </w:rPr>
            </w:pPr>
            <w:r>
              <w:rPr>
                <w:rFonts w:hint="default" w:ascii="Times New Roman" w:hAnsi="Times New Roman" w:eastAsia="黑体" w:cs="Times New Roman"/>
                <w:b w:val="0"/>
                <w:bCs/>
                <w:i w:val="0"/>
                <w:color w:val="000000"/>
                <w:kern w:val="0"/>
                <w:sz w:val="24"/>
                <w:szCs w:val="24"/>
                <w:u w:val="none"/>
                <w:lang w:val="en-US" w:eastAsia="zh-CN" w:bidi="ar"/>
              </w:rPr>
              <w:t>服务项目</w:t>
            </w:r>
          </w:p>
        </w:tc>
        <w:tc>
          <w:tcPr>
            <w:tcW w:w="2535" w:type="dxa"/>
            <w:vAlign w:val="center"/>
          </w:tcPr>
          <w:p>
            <w:pPr>
              <w:keepNext w:val="0"/>
              <w:keepLines w:val="0"/>
              <w:pageBreakBefore w:val="0"/>
              <w:widowControl/>
              <w:suppressLineNumbers w:val="0"/>
              <w:kinsoku/>
              <w:wordWrap/>
              <w:overflowPunct/>
              <w:topLinePunct w:val="0"/>
              <w:bidi w:val="0"/>
              <w:snapToGrid/>
              <w:spacing w:line="240" w:lineRule="auto"/>
              <w:jc w:val="center"/>
              <w:rPr>
                <w:rFonts w:hint="default" w:ascii="Times New Roman" w:hAnsi="Times New Roman" w:eastAsia="黑体" w:cs="Times New Roman"/>
                <w:b w:val="0"/>
                <w:bCs/>
                <w:i w:val="0"/>
                <w:color w:val="000000"/>
                <w:kern w:val="0"/>
                <w:sz w:val="24"/>
                <w:szCs w:val="24"/>
                <w:u w:val="none"/>
                <w:lang w:val="en-US" w:eastAsia="zh-CN" w:bidi="ar"/>
              </w:rPr>
            </w:pPr>
            <w:r>
              <w:rPr>
                <w:rFonts w:hint="default" w:ascii="Times New Roman" w:hAnsi="Times New Roman" w:eastAsia="黑体" w:cs="Times New Roman"/>
                <w:b w:val="0"/>
                <w:bCs/>
                <w:i w:val="0"/>
                <w:color w:val="000000"/>
                <w:kern w:val="0"/>
                <w:sz w:val="24"/>
                <w:szCs w:val="24"/>
                <w:u w:val="none"/>
                <w:lang w:val="en-US" w:eastAsia="zh-CN" w:bidi="ar"/>
              </w:rPr>
              <w:t>服务内容</w:t>
            </w:r>
          </w:p>
        </w:tc>
        <w:tc>
          <w:tcPr>
            <w:tcW w:w="1136" w:type="dxa"/>
            <w:vAlign w:val="center"/>
          </w:tcPr>
          <w:p>
            <w:pPr>
              <w:keepNext w:val="0"/>
              <w:keepLines w:val="0"/>
              <w:pageBreakBefore w:val="0"/>
              <w:widowControl/>
              <w:suppressLineNumbers w:val="0"/>
              <w:kinsoku/>
              <w:wordWrap/>
              <w:overflowPunct/>
              <w:topLinePunct w:val="0"/>
              <w:bidi w:val="0"/>
              <w:snapToGrid/>
              <w:spacing w:line="240" w:lineRule="auto"/>
              <w:jc w:val="center"/>
              <w:rPr>
                <w:rFonts w:hint="default" w:ascii="Times New Roman" w:hAnsi="Times New Roman" w:eastAsia="黑体" w:cs="Times New Roman"/>
                <w:b w:val="0"/>
                <w:bCs/>
                <w:i w:val="0"/>
                <w:color w:val="000000"/>
                <w:kern w:val="0"/>
                <w:sz w:val="24"/>
                <w:szCs w:val="24"/>
                <w:u w:val="none"/>
                <w:lang w:val="en-US" w:eastAsia="zh-CN" w:bidi="ar"/>
              </w:rPr>
            </w:pPr>
            <w:r>
              <w:rPr>
                <w:rFonts w:hint="default" w:ascii="Times New Roman" w:hAnsi="Times New Roman" w:eastAsia="黑体" w:cs="Times New Roman"/>
                <w:b w:val="0"/>
                <w:bCs/>
                <w:i w:val="0"/>
                <w:color w:val="000000"/>
                <w:kern w:val="0"/>
                <w:sz w:val="24"/>
                <w:szCs w:val="24"/>
                <w:u w:val="none"/>
                <w:lang w:val="en-US" w:eastAsia="zh-CN" w:bidi="ar"/>
              </w:rPr>
              <w:t>服务类型</w:t>
            </w:r>
          </w:p>
        </w:tc>
        <w:tc>
          <w:tcPr>
            <w:tcW w:w="3102" w:type="dxa"/>
            <w:vAlign w:val="center"/>
          </w:tcPr>
          <w:p>
            <w:pPr>
              <w:keepNext w:val="0"/>
              <w:keepLines w:val="0"/>
              <w:pageBreakBefore w:val="0"/>
              <w:widowControl/>
              <w:suppressLineNumbers w:val="0"/>
              <w:kinsoku/>
              <w:wordWrap/>
              <w:overflowPunct/>
              <w:topLinePunct w:val="0"/>
              <w:bidi w:val="0"/>
              <w:snapToGrid/>
              <w:spacing w:line="240" w:lineRule="auto"/>
              <w:jc w:val="center"/>
              <w:rPr>
                <w:rFonts w:hint="default" w:ascii="Times New Roman" w:hAnsi="Times New Roman" w:eastAsia="黑体" w:cs="Times New Roman"/>
                <w:b w:val="0"/>
                <w:bCs/>
                <w:i w:val="0"/>
                <w:color w:val="000000"/>
                <w:kern w:val="0"/>
                <w:sz w:val="24"/>
                <w:szCs w:val="24"/>
                <w:u w:val="none"/>
                <w:lang w:val="en-US" w:eastAsia="zh-CN" w:bidi="ar"/>
              </w:rPr>
            </w:pPr>
            <w:r>
              <w:rPr>
                <w:rFonts w:hint="default" w:ascii="Times New Roman" w:hAnsi="Times New Roman" w:eastAsia="黑体" w:cs="Times New Roman"/>
                <w:b w:val="0"/>
                <w:bCs/>
                <w:i w:val="0"/>
                <w:color w:val="000000"/>
                <w:kern w:val="0"/>
                <w:sz w:val="24"/>
                <w:szCs w:val="24"/>
                <w:u w:val="none"/>
                <w:lang w:val="en-US" w:eastAsia="zh-CN" w:bidi="ar"/>
              </w:rPr>
              <w:t>服务标准</w:t>
            </w:r>
          </w:p>
        </w:tc>
        <w:tc>
          <w:tcPr>
            <w:tcW w:w="3225" w:type="dxa"/>
            <w:vAlign w:val="center"/>
          </w:tcPr>
          <w:p>
            <w:pPr>
              <w:keepNext w:val="0"/>
              <w:keepLines w:val="0"/>
              <w:pageBreakBefore w:val="0"/>
              <w:widowControl/>
              <w:suppressLineNumbers w:val="0"/>
              <w:kinsoku/>
              <w:wordWrap/>
              <w:overflowPunct/>
              <w:topLinePunct w:val="0"/>
              <w:bidi w:val="0"/>
              <w:snapToGrid/>
              <w:spacing w:line="240" w:lineRule="auto"/>
              <w:jc w:val="center"/>
              <w:rPr>
                <w:rFonts w:hint="default" w:ascii="Times New Roman" w:hAnsi="Times New Roman" w:eastAsia="黑体" w:cs="Times New Roman"/>
                <w:b w:val="0"/>
                <w:bCs/>
                <w:i w:val="0"/>
                <w:color w:val="000000"/>
                <w:kern w:val="0"/>
                <w:sz w:val="24"/>
                <w:szCs w:val="24"/>
                <w:u w:val="none"/>
                <w:lang w:val="en-US" w:eastAsia="zh-CN" w:bidi="ar"/>
              </w:rPr>
            </w:pPr>
            <w:r>
              <w:rPr>
                <w:rFonts w:hint="default" w:ascii="Times New Roman" w:hAnsi="Times New Roman" w:eastAsia="黑体" w:cs="Times New Roman"/>
                <w:b w:val="0"/>
                <w:bCs/>
                <w:i w:val="0"/>
                <w:color w:val="000000"/>
                <w:kern w:val="0"/>
                <w:sz w:val="24"/>
                <w:szCs w:val="24"/>
                <w:u w:val="none"/>
                <w:lang w:val="en-US" w:eastAsia="zh-CN" w:bidi="ar"/>
              </w:rPr>
              <w:t>支出责任</w:t>
            </w:r>
          </w:p>
        </w:tc>
        <w:tc>
          <w:tcPr>
            <w:tcW w:w="1072" w:type="dxa"/>
            <w:vAlign w:val="center"/>
          </w:tcPr>
          <w:p>
            <w:pPr>
              <w:keepNext w:val="0"/>
              <w:keepLines w:val="0"/>
              <w:pageBreakBefore w:val="0"/>
              <w:widowControl/>
              <w:suppressLineNumbers w:val="0"/>
              <w:kinsoku/>
              <w:wordWrap/>
              <w:overflowPunct/>
              <w:topLinePunct w:val="0"/>
              <w:bidi w:val="0"/>
              <w:snapToGrid/>
              <w:spacing w:line="240" w:lineRule="auto"/>
              <w:jc w:val="center"/>
              <w:rPr>
                <w:rFonts w:hint="default" w:ascii="Times New Roman" w:hAnsi="Times New Roman" w:eastAsia="黑体" w:cs="Times New Roman"/>
                <w:b w:val="0"/>
                <w:bCs/>
                <w:i w:val="0"/>
                <w:color w:val="000000"/>
                <w:kern w:val="0"/>
                <w:sz w:val="24"/>
                <w:szCs w:val="24"/>
                <w:u w:val="none"/>
                <w:lang w:val="en-US" w:eastAsia="zh-CN" w:bidi="ar"/>
              </w:rPr>
            </w:pPr>
            <w:r>
              <w:rPr>
                <w:rFonts w:hint="default" w:ascii="Times New Roman" w:hAnsi="Times New Roman" w:eastAsia="黑体" w:cs="Times New Roman"/>
                <w:b w:val="0"/>
                <w:bCs/>
                <w:i w:val="0"/>
                <w:color w:val="000000"/>
                <w:kern w:val="0"/>
                <w:sz w:val="24"/>
                <w:szCs w:val="24"/>
                <w:u w:val="none"/>
                <w:lang w:val="en-US" w:eastAsia="zh-CN" w:bidi="ar"/>
              </w:rPr>
              <w:t>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51" w:hRule="atLeast"/>
        </w:trPr>
        <w:tc>
          <w:tcPr>
            <w:tcW w:w="1519" w:type="dxa"/>
            <w:vMerge w:val="restart"/>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达到待遇享受年龄的老年人</w:t>
            </w:r>
          </w:p>
        </w:tc>
        <w:tc>
          <w:tcPr>
            <w:tcW w:w="283"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w:t>
            </w:r>
          </w:p>
        </w:tc>
        <w:tc>
          <w:tcPr>
            <w:tcW w:w="1097"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职工基本养老保险</w:t>
            </w:r>
          </w:p>
        </w:tc>
        <w:tc>
          <w:tcPr>
            <w:tcW w:w="2535"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为符合条件的参保退休人员按时足额发放基本养老金。</w:t>
            </w:r>
          </w:p>
        </w:tc>
        <w:tc>
          <w:tcPr>
            <w:tcW w:w="1136"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物质帮助</w:t>
            </w:r>
          </w:p>
        </w:tc>
        <w:tc>
          <w:tcPr>
            <w:tcW w:w="3102"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按照我省完善企业职工基本养老保险制度的实施意见和机关事业单位工作人员养老保险制度改革的实施办法及有关规定执行。</w:t>
            </w:r>
          </w:p>
        </w:tc>
        <w:tc>
          <w:tcPr>
            <w:tcW w:w="3225"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所需资金从基本养老保险基金中支出。基本养老保险基金出现支付不足时，政府给予补贴。</w:t>
            </w:r>
          </w:p>
        </w:tc>
        <w:tc>
          <w:tcPr>
            <w:tcW w:w="1072"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县人力资源社会保障局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924" w:hRule="atLeast"/>
        </w:trPr>
        <w:tc>
          <w:tcPr>
            <w:tcW w:w="1519" w:type="dxa"/>
            <w:vMerge w:val="continue"/>
            <w:vAlign w:val="center"/>
          </w:tcPr>
          <w:p>
            <w:pPr>
              <w:keepNext w:val="0"/>
              <w:keepLines w:val="0"/>
              <w:pageBreakBefore w:val="0"/>
              <w:widowControl/>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sz w:val="24"/>
                <w:szCs w:val="24"/>
                <w:u w:val="none"/>
              </w:rPr>
            </w:pPr>
          </w:p>
        </w:tc>
        <w:tc>
          <w:tcPr>
            <w:tcW w:w="283"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w:t>
            </w:r>
          </w:p>
        </w:tc>
        <w:tc>
          <w:tcPr>
            <w:tcW w:w="1097"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城乡居民基本养老保险</w:t>
            </w:r>
          </w:p>
        </w:tc>
        <w:tc>
          <w:tcPr>
            <w:tcW w:w="2535"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为符合条件的参保对象提供参保经办服务，给予缴费补贴，发放基础养老金和个人账户养老金。</w:t>
            </w:r>
          </w:p>
        </w:tc>
        <w:tc>
          <w:tcPr>
            <w:tcW w:w="1136"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物质帮助</w:t>
            </w:r>
          </w:p>
        </w:tc>
        <w:tc>
          <w:tcPr>
            <w:tcW w:w="3102"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按照我省关于建立城乡居民基本养老保险制度的实施意见、建立城乡居民基本养老保险待遇确定和基础养老金正常调整机制的实施意见执行。</w:t>
            </w:r>
          </w:p>
        </w:tc>
        <w:tc>
          <w:tcPr>
            <w:tcW w:w="3225"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主要由个人缴费、集体补助、政府补贴构成。政府对符合条件的参保人员全额支付基础养老金，对缴费人员按照规定给予缴费补贴。我省提高的基础养老金部分和缴费补贴由省财政与市、县级财政共同承担支出责任，分担比例按照我省省与县共同财政事权支出责任省级分担办法执行。个人账户养老金由个人账户基金支出。</w:t>
            </w:r>
          </w:p>
        </w:tc>
        <w:tc>
          <w:tcPr>
            <w:tcW w:w="1072"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县人力资源社会保障局、县税务局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40" w:hRule="atLeast"/>
        </w:trPr>
        <w:tc>
          <w:tcPr>
            <w:tcW w:w="1519" w:type="dxa"/>
            <w:vMerge w:val="continue"/>
            <w:vAlign w:val="center"/>
          </w:tcPr>
          <w:p>
            <w:pPr>
              <w:keepNext w:val="0"/>
              <w:keepLines w:val="0"/>
              <w:pageBreakBefore w:val="0"/>
              <w:widowControl/>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sz w:val="24"/>
                <w:szCs w:val="24"/>
                <w:u w:val="none"/>
              </w:rPr>
            </w:pPr>
          </w:p>
        </w:tc>
        <w:tc>
          <w:tcPr>
            <w:tcW w:w="283"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3</w:t>
            </w:r>
          </w:p>
        </w:tc>
        <w:tc>
          <w:tcPr>
            <w:tcW w:w="1097"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公共文化设施优惠服务</w:t>
            </w:r>
          </w:p>
        </w:tc>
        <w:tc>
          <w:tcPr>
            <w:tcW w:w="2535"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60周岁及以上老年人，免费进入公共文化馆、图书馆、美术馆、历史文化中心等场所。</w:t>
            </w:r>
          </w:p>
        </w:tc>
        <w:tc>
          <w:tcPr>
            <w:tcW w:w="1136"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关爱服务</w:t>
            </w:r>
          </w:p>
        </w:tc>
        <w:tc>
          <w:tcPr>
            <w:tcW w:w="3102"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按照《河南省公共文化服务保障和促进条例》执行。</w:t>
            </w:r>
          </w:p>
        </w:tc>
        <w:tc>
          <w:tcPr>
            <w:tcW w:w="3225"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县政府负责</w:t>
            </w:r>
            <w:r>
              <w:rPr>
                <w:rFonts w:hint="eastAsia" w:eastAsia="仿宋_GB2312" w:cs="Times New Roman"/>
                <w:i w:val="0"/>
                <w:color w:val="000000"/>
                <w:kern w:val="0"/>
                <w:sz w:val="24"/>
                <w:szCs w:val="24"/>
                <w:u w:val="none"/>
                <w:lang w:val="en-US" w:eastAsia="zh-CN" w:bidi="ar"/>
              </w:rPr>
              <w:t>。</w:t>
            </w:r>
          </w:p>
        </w:tc>
        <w:tc>
          <w:tcPr>
            <w:tcW w:w="1072"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县文化广电旅游局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83" w:hRule="atLeast"/>
        </w:trPr>
        <w:tc>
          <w:tcPr>
            <w:tcW w:w="1519" w:type="dxa"/>
            <w:vMerge w:val="continue"/>
            <w:vAlign w:val="center"/>
          </w:tcPr>
          <w:p>
            <w:pPr>
              <w:keepNext w:val="0"/>
              <w:keepLines w:val="0"/>
              <w:pageBreakBefore w:val="0"/>
              <w:widowControl/>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sz w:val="24"/>
                <w:szCs w:val="24"/>
                <w:u w:val="none"/>
              </w:rPr>
            </w:pPr>
          </w:p>
        </w:tc>
        <w:tc>
          <w:tcPr>
            <w:tcW w:w="283"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4</w:t>
            </w:r>
          </w:p>
        </w:tc>
        <w:tc>
          <w:tcPr>
            <w:tcW w:w="1097"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法律援助服务</w:t>
            </w:r>
          </w:p>
        </w:tc>
        <w:tc>
          <w:tcPr>
            <w:tcW w:w="2535"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需要获得法律服务，因经济困难没有委托代理人的老年人，可以依法获得法律援助。</w:t>
            </w:r>
          </w:p>
        </w:tc>
        <w:tc>
          <w:tcPr>
            <w:tcW w:w="1136"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关爱服务</w:t>
            </w:r>
          </w:p>
        </w:tc>
        <w:tc>
          <w:tcPr>
            <w:tcW w:w="3102"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按照《中华人民共和国法律援助法》执行。</w:t>
            </w:r>
          </w:p>
        </w:tc>
        <w:tc>
          <w:tcPr>
            <w:tcW w:w="3225"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县政府负责</w:t>
            </w:r>
            <w:r>
              <w:rPr>
                <w:rFonts w:hint="eastAsia" w:eastAsia="仿宋_GB2312" w:cs="Times New Roman"/>
                <w:i w:val="0"/>
                <w:color w:val="000000"/>
                <w:kern w:val="0"/>
                <w:sz w:val="24"/>
                <w:szCs w:val="24"/>
                <w:u w:val="none"/>
                <w:lang w:val="en-US" w:eastAsia="zh-CN" w:bidi="ar"/>
              </w:rPr>
              <w:t>。</w:t>
            </w:r>
          </w:p>
        </w:tc>
        <w:tc>
          <w:tcPr>
            <w:tcW w:w="1072"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县司法局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56" w:hRule="atLeast"/>
        </w:trPr>
        <w:tc>
          <w:tcPr>
            <w:tcW w:w="1519" w:type="dxa"/>
            <w:vMerge w:val="continue"/>
            <w:vAlign w:val="center"/>
          </w:tcPr>
          <w:p>
            <w:pPr>
              <w:keepNext w:val="0"/>
              <w:keepLines w:val="0"/>
              <w:pageBreakBefore w:val="0"/>
              <w:widowControl/>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sz w:val="24"/>
                <w:szCs w:val="24"/>
                <w:u w:val="none"/>
              </w:rPr>
            </w:pPr>
          </w:p>
        </w:tc>
        <w:tc>
          <w:tcPr>
            <w:tcW w:w="283"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5</w:t>
            </w:r>
          </w:p>
        </w:tc>
        <w:tc>
          <w:tcPr>
            <w:tcW w:w="1097"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助餐服务</w:t>
            </w:r>
          </w:p>
        </w:tc>
        <w:tc>
          <w:tcPr>
            <w:tcW w:w="2535"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因地制宜建设助餐场所，为有需要的老年人提供集中用餐、送餐上门等服务。</w:t>
            </w:r>
          </w:p>
        </w:tc>
        <w:tc>
          <w:tcPr>
            <w:tcW w:w="1136"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关爱服务</w:t>
            </w:r>
          </w:p>
        </w:tc>
        <w:tc>
          <w:tcPr>
            <w:tcW w:w="3102"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spacing w:val="-6"/>
                <w:kern w:val="0"/>
                <w:sz w:val="24"/>
                <w:szCs w:val="24"/>
                <w:u w:val="none"/>
                <w:lang w:val="en-US" w:eastAsia="zh-CN" w:bidi="ar"/>
              </w:rPr>
            </w:pPr>
            <w:r>
              <w:rPr>
                <w:rFonts w:hint="default" w:ascii="Times New Roman" w:hAnsi="Times New Roman" w:eastAsia="仿宋_GB2312" w:cs="Times New Roman"/>
                <w:i w:val="0"/>
                <w:color w:val="000000"/>
                <w:spacing w:val="-6"/>
                <w:kern w:val="0"/>
                <w:sz w:val="24"/>
                <w:szCs w:val="24"/>
                <w:u w:val="none"/>
                <w:lang w:val="en-US" w:eastAsia="zh-CN" w:bidi="ar"/>
              </w:rPr>
              <w:t>按照国家、省、市关于发展老年助餐服务相关政策执行。</w:t>
            </w:r>
          </w:p>
        </w:tc>
        <w:tc>
          <w:tcPr>
            <w:tcW w:w="3225"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县政府负责</w:t>
            </w:r>
            <w:r>
              <w:rPr>
                <w:rFonts w:hint="eastAsia" w:eastAsia="仿宋_GB2312" w:cs="Times New Roman"/>
                <w:i w:val="0"/>
                <w:color w:val="000000"/>
                <w:kern w:val="0"/>
                <w:sz w:val="24"/>
                <w:szCs w:val="24"/>
                <w:u w:val="none"/>
                <w:lang w:val="en-US" w:eastAsia="zh-CN" w:bidi="ar"/>
              </w:rPr>
              <w:t>。</w:t>
            </w:r>
          </w:p>
        </w:tc>
        <w:tc>
          <w:tcPr>
            <w:tcW w:w="1072"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620" w:hRule="atLeast"/>
        </w:trPr>
        <w:tc>
          <w:tcPr>
            <w:tcW w:w="1519" w:type="dxa"/>
            <w:vMerge w:val="restart"/>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65周岁及以上老年人</w:t>
            </w:r>
          </w:p>
        </w:tc>
        <w:tc>
          <w:tcPr>
            <w:tcW w:w="283"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6</w:t>
            </w:r>
          </w:p>
        </w:tc>
        <w:tc>
          <w:tcPr>
            <w:tcW w:w="1097"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老年人健康管理</w:t>
            </w:r>
          </w:p>
        </w:tc>
        <w:tc>
          <w:tcPr>
            <w:tcW w:w="2535"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每年为辖区内65周岁及以上常住居民提供1次生活方式和健康状况评估、体格检查、辅助检查和健康指导等服务，提供1次中医体质辨识和中医药保健指导。</w:t>
            </w:r>
          </w:p>
        </w:tc>
        <w:tc>
          <w:tcPr>
            <w:tcW w:w="1136"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照护服务</w:t>
            </w:r>
          </w:p>
        </w:tc>
        <w:tc>
          <w:tcPr>
            <w:tcW w:w="3102"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spacing w:val="-6"/>
                <w:kern w:val="0"/>
                <w:sz w:val="24"/>
                <w:szCs w:val="24"/>
                <w:u w:val="none"/>
                <w:lang w:val="en-US" w:eastAsia="zh-CN" w:bidi="ar"/>
              </w:rPr>
            </w:pPr>
            <w:r>
              <w:rPr>
                <w:rFonts w:hint="default" w:ascii="Times New Roman" w:hAnsi="Times New Roman" w:eastAsia="仿宋_GB2312" w:cs="Times New Roman"/>
                <w:i w:val="0"/>
                <w:color w:val="000000"/>
                <w:spacing w:val="-6"/>
                <w:kern w:val="0"/>
                <w:sz w:val="24"/>
                <w:szCs w:val="24"/>
                <w:u w:val="none"/>
                <w:lang w:val="en-US" w:eastAsia="zh-CN" w:bidi="ar"/>
              </w:rPr>
              <w:t>按照国家基本公共卫生服务规范（第三版）及相应技术方案执行。</w:t>
            </w:r>
          </w:p>
        </w:tc>
        <w:tc>
          <w:tcPr>
            <w:tcW w:w="3225"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所需资金从基本公共卫生服务补助资金中支出。中央财政、省财政与市、县级财政共同承担支出责任，地方负担部分分担比例按照我省省与市县共同财政事权支出责任省级分担办法执行。</w:t>
            </w:r>
          </w:p>
        </w:tc>
        <w:tc>
          <w:tcPr>
            <w:tcW w:w="1072"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县卫生健康委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63" w:hRule="atLeast"/>
        </w:trPr>
        <w:tc>
          <w:tcPr>
            <w:tcW w:w="1519" w:type="dxa"/>
            <w:vMerge w:val="continue"/>
            <w:vAlign w:val="center"/>
          </w:tcPr>
          <w:p>
            <w:pPr>
              <w:keepNext w:val="0"/>
              <w:keepLines w:val="0"/>
              <w:pageBreakBefore w:val="0"/>
              <w:widowControl/>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sz w:val="24"/>
                <w:szCs w:val="24"/>
                <w:u w:val="none"/>
              </w:rPr>
            </w:pPr>
          </w:p>
        </w:tc>
        <w:tc>
          <w:tcPr>
            <w:tcW w:w="283"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7</w:t>
            </w:r>
          </w:p>
        </w:tc>
        <w:tc>
          <w:tcPr>
            <w:tcW w:w="1097"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left"/>
              <w:rPr>
                <w:rFonts w:hint="default" w:ascii="Times New Roman" w:hAnsi="Times New Roman" w:eastAsia="仿宋_GB2312" w:cs="Times New Roman"/>
                <w:i w:val="0"/>
                <w:color w:val="000000"/>
                <w:spacing w:val="-23"/>
                <w:kern w:val="0"/>
                <w:sz w:val="24"/>
                <w:szCs w:val="24"/>
                <w:u w:val="none"/>
                <w:lang w:val="en-US" w:eastAsia="zh-CN" w:bidi="ar"/>
              </w:rPr>
            </w:pPr>
            <w:r>
              <w:rPr>
                <w:rFonts w:hint="default" w:ascii="Times New Roman" w:hAnsi="Times New Roman" w:eastAsia="仿宋_GB2312" w:cs="Times New Roman"/>
                <w:i w:val="0"/>
                <w:color w:val="000000"/>
                <w:spacing w:val="-23"/>
                <w:kern w:val="0"/>
                <w:sz w:val="24"/>
                <w:szCs w:val="24"/>
                <w:u w:val="none"/>
                <w:lang w:val="en-US" w:eastAsia="zh-CN" w:bidi="ar"/>
              </w:rPr>
              <w:t>老年人能力综合评估</w:t>
            </w:r>
          </w:p>
        </w:tc>
        <w:tc>
          <w:tcPr>
            <w:tcW w:w="2535"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为65周岁及以上老年人提供能力综合评估，加强老年人能力综合评估与健康状况评估的衔接。</w:t>
            </w:r>
          </w:p>
        </w:tc>
        <w:tc>
          <w:tcPr>
            <w:tcW w:w="1136"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照护服务</w:t>
            </w:r>
          </w:p>
        </w:tc>
        <w:tc>
          <w:tcPr>
            <w:tcW w:w="3102"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按照老年人能力评估规范及相关办法执行</w:t>
            </w:r>
          </w:p>
        </w:tc>
        <w:tc>
          <w:tcPr>
            <w:tcW w:w="3225"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县政府负责</w:t>
            </w:r>
            <w:r>
              <w:rPr>
                <w:rFonts w:hint="eastAsia" w:eastAsia="仿宋_GB2312" w:cs="Times New Roman"/>
                <w:i w:val="0"/>
                <w:color w:val="000000"/>
                <w:kern w:val="0"/>
                <w:sz w:val="24"/>
                <w:szCs w:val="24"/>
                <w:u w:val="none"/>
                <w:lang w:val="en-US" w:eastAsia="zh-CN" w:bidi="ar"/>
              </w:rPr>
              <w:t>。</w:t>
            </w:r>
          </w:p>
        </w:tc>
        <w:tc>
          <w:tcPr>
            <w:tcW w:w="1072"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县民政局、县卫生健康委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350" w:hRule="atLeast"/>
        </w:trPr>
        <w:tc>
          <w:tcPr>
            <w:tcW w:w="1519" w:type="dxa"/>
            <w:vMerge w:val="restart"/>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80周岁及以上老年人</w:t>
            </w:r>
          </w:p>
        </w:tc>
        <w:tc>
          <w:tcPr>
            <w:tcW w:w="283"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8</w:t>
            </w:r>
          </w:p>
        </w:tc>
        <w:tc>
          <w:tcPr>
            <w:tcW w:w="1097"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高龄津贴</w:t>
            </w:r>
          </w:p>
        </w:tc>
        <w:tc>
          <w:tcPr>
            <w:tcW w:w="2535"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为80周岁及以上老年人发放高龄津贴。</w:t>
            </w:r>
          </w:p>
        </w:tc>
        <w:tc>
          <w:tcPr>
            <w:tcW w:w="1136"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物质帮助</w:t>
            </w:r>
          </w:p>
        </w:tc>
        <w:tc>
          <w:tcPr>
            <w:tcW w:w="3102"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按照我省高龄津贴制度相关规定执行，当前标准为80-90岁、90-99岁和百岁以上老年人每人每月不低于50元、100元和300元。</w:t>
            </w:r>
          </w:p>
        </w:tc>
        <w:tc>
          <w:tcPr>
            <w:tcW w:w="3225"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县政府负责，省财政给予适当补助。</w:t>
            </w:r>
          </w:p>
        </w:tc>
        <w:tc>
          <w:tcPr>
            <w:tcW w:w="1072"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24" w:hRule="atLeast"/>
        </w:trPr>
        <w:tc>
          <w:tcPr>
            <w:tcW w:w="1519" w:type="dxa"/>
            <w:vMerge w:val="continue"/>
            <w:vAlign w:val="center"/>
          </w:tcPr>
          <w:p>
            <w:pPr>
              <w:keepNext w:val="0"/>
              <w:keepLines w:val="0"/>
              <w:pageBreakBefore w:val="0"/>
              <w:widowControl/>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sz w:val="24"/>
                <w:szCs w:val="24"/>
                <w:u w:val="none"/>
              </w:rPr>
            </w:pPr>
          </w:p>
        </w:tc>
        <w:tc>
          <w:tcPr>
            <w:tcW w:w="283"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9</w:t>
            </w:r>
          </w:p>
        </w:tc>
        <w:tc>
          <w:tcPr>
            <w:tcW w:w="1097"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免收遗嘱公证服务费用</w:t>
            </w:r>
          </w:p>
        </w:tc>
        <w:tc>
          <w:tcPr>
            <w:tcW w:w="2535"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在每年的敬老月期间内，对80周岁及以上老年人首次申办遗嘱公证的，免收遗嘱公证服务费。</w:t>
            </w:r>
          </w:p>
        </w:tc>
        <w:tc>
          <w:tcPr>
            <w:tcW w:w="1136"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关爱服务</w:t>
            </w:r>
          </w:p>
        </w:tc>
        <w:tc>
          <w:tcPr>
            <w:tcW w:w="3102"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按照司法部关于公证服务相关价格减免政策执行。</w:t>
            </w:r>
          </w:p>
        </w:tc>
        <w:tc>
          <w:tcPr>
            <w:tcW w:w="3225"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县政府负责</w:t>
            </w:r>
            <w:r>
              <w:rPr>
                <w:rFonts w:hint="eastAsia" w:eastAsia="仿宋_GB2312" w:cs="Times New Roman"/>
                <w:i w:val="0"/>
                <w:color w:val="000000"/>
                <w:kern w:val="0"/>
                <w:sz w:val="24"/>
                <w:szCs w:val="24"/>
                <w:u w:val="none"/>
                <w:lang w:val="en-US" w:eastAsia="zh-CN" w:bidi="ar"/>
              </w:rPr>
              <w:t>。</w:t>
            </w:r>
          </w:p>
        </w:tc>
        <w:tc>
          <w:tcPr>
            <w:tcW w:w="1072"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县司法局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 w:hRule="atLeast"/>
        </w:trPr>
        <w:tc>
          <w:tcPr>
            <w:tcW w:w="1519"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纳入最低生活保障范围的老年人</w:t>
            </w:r>
          </w:p>
        </w:tc>
        <w:tc>
          <w:tcPr>
            <w:tcW w:w="283"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10</w:t>
            </w:r>
          </w:p>
        </w:tc>
        <w:tc>
          <w:tcPr>
            <w:tcW w:w="1097"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最低社会保障</w:t>
            </w:r>
          </w:p>
        </w:tc>
        <w:tc>
          <w:tcPr>
            <w:tcW w:w="2535"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将符合条件的老年人纳入最低生活保障范围，对获得最低生活保障金后生活仍有困难的老年人，采取必要措施给予生活保障。</w:t>
            </w:r>
          </w:p>
        </w:tc>
        <w:tc>
          <w:tcPr>
            <w:tcW w:w="1136"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物质帮助</w:t>
            </w:r>
          </w:p>
        </w:tc>
        <w:tc>
          <w:tcPr>
            <w:tcW w:w="3102"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按照国家社会救助暂行办法和我省社会救助制度相关规定执行。</w:t>
            </w:r>
          </w:p>
        </w:tc>
        <w:tc>
          <w:tcPr>
            <w:tcW w:w="3225"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所需资金从困难群众救助补助资金中支出。县政府负责，中央和省级适当补助。</w:t>
            </w:r>
          </w:p>
        </w:tc>
        <w:tc>
          <w:tcPr>
            <w:tcW w:w="1072"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747" w:hRule="atLeast"/>
        </w:trPr>
        <w:tc>
          <w:tcPr>
            <w:tcW w:w="1519"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spacing w:val="-6"/>
                <w:kern w:val="0"/>
                <w:sz w:val="24"/>
                <w:szCs w:val="24"/>
                <w:u w:val="none"/>
                <w:lang w:val="en-US" w:eastAsia="zh-CN" w:bidi="ar"/>
              </w:rPr>
            </w:pPr>
            <w:r>
              <w:rPr>
                <w:rFonts w:hint="default" w:ascii="Times New Roman" w:hAnsi="Times New Roman" w:eastAsia="仿宋_GB2312" w:cs="Times New Roman"/>
                <w:i w:val="0"/>
                <w:color w:val="000000"/>
                <w:spacing w:val="-6"/>
                <w:kern w:val="0"/>
                <w:sz w:val="24"/>
                <w:szCs w:val="24"/>
                <w:u w:val="none"/>
                <w:lang w:val="en-US" w:eastAsia="zh-CN" w:bidi="ar"/>
              </w:rPr>
              <w:t>低保对象，计划生育特殊家庭的高龄、失能、残疾老年人，特困人员中的老年人。有条件的地方可扩大到低保边缘、支出型困难等经济困难家庭老年人</w:t>
            </w:r>
          </w:p>
        </w:tc>
        <w:tc>
          <w:tcPr>
            <w:tcW w:w="283"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11</w:t>
            </w:r>
          </w:p>
        </w:tc>
        <w:tc>
          <w:tcPr>
            <w:tcW w:w="1097"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养老服务补贴</w:t>
            </w:r>
          </w:p>
        </w:tc>
        <w:tc>
          <w:tcPr>
            <w:tcW w:w="2535"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采取多种补贴方式，为服务对象提供养老服务。</w:t>
            </w:r>
          </w:p>
        </w:tc>
        <w:tc>
          <w:tcPr>
            <w:tcW w:w="1136"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物质帮助</w:t>
            </w:r>
          </w:p>
        </w:tc>
        <w:tc>
          <w:tcPr>
            <w:tcW w:w="3102"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原则上按照每月不低于60元的标准执行，具体标准由县政府结合经济社会发展水平和财力状况自行制定。特困人员按现行政策执行。</w:t>
            </w:r>
          </w:p>
        </w:tc>
        <w:tc>
          <w:tcPr>
            <w:tcW w:w="3225"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县政府负责</w:t>
            </w:r>
            <w:r>
              <w:rPr>
                <w:rFonts w:hint="eastAsia" w:eastAsia="仿宋_GB2312" w:cs="Times New Roman"/>
                <w:i w:val="0"/>
                <w:color w:val="000000"/>
                <w:kern w:val="0"/>
                <w:sz w:val="24"/>
                <w:szCs w:val="24"/>
                <w:u w:val="none"/>
                <w:lang w:val="en-US" w:eastAsia="zh-CN" w:bidi="ar"/>
              </w:rPr>
              <w:t>。</w:t>
            </w:r>
          </w:p>
        </w:tc>
        <w:tc>
          <w:tcPr>
            <w:tcW w:w="1072"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 w:hRule="atLeast"/>
        </w:trPr>
        <w:tc>
          <w:tcPr>
            <w:tcW w:w="1519"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经济困难的老年人，现阶段重点保障纳入分散特困供养范围的失能、高龄、残疾老年人家庭，有条件的地方可将改造对象范围扩大到低保对象中的失能、高龄、残疾老年人家庭等。</w:t>
            </w:r>
          </w:p>
        </w:tc>
        <w:tc>
          <w:tcPr>
            <w:tcW w:w="283"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12</w:t>
            </w:r>
          </w:p>
        </w:tc>
        <w:tc>
          <w:tcPr>
            <w:tcW w:w="1097"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家庭适老化改造</w:t>
            </w:r>
          </w:p>
        </w:tc>
        <w:tc>
          <w:tcPr>
            <w:tcW w:w="2535"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按照相关标准，分年度逐步为服务对象提供家庭无障碍改造服务。</w:t>
            </w:r>
          </w:p>
        </w:tc>
        <w:tc>
          <w:tcPr>
            <w:tcW w:w="1136"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照护服务</w:t>
            </w:r>
          </w:p>
        </w:tc>
        <w:tc>
          <w:tcPr>
            <w:tcW w:w="3102"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根据国家实施老年人居家适老化改造工程的指导意见执行。</w:t>
            </w:r>
          </w:p>
        </w:tc>
        <w:tc>
          <w:tcPr>
            <w:tcW w:w="3225"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县政府负责，省财政统筹中央下达及省级彩票公益金等资金给予适当补助。</w:t>
            </w:r>
          </w:p>
        </w:tc>
        <w:tc>
          <w:tcPr>
            <w:tcW w:w="1072"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570" w:hRule="atLeast"/>
        </w:trPr>
        <w:tc>
          <w:tcPr>
            <w:tcW w:w="1519" w:type="dxa"/>
            <w:vMerge w:val="restart"/>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特困老年人</w:t>
            </w:r>
          </w:p>
        </w:tc>
        <w:tc>
          <w:tcPr>
            <w:tcW w:w="283"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13</w:t>
            </w:r>
          </w:p>
        </w:tc>
        <w:tc>
          <w:tcPr>
            <w:tcW w:w="1097"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spacing w:val="-6"/>
                <w:kern w:val="0"/>
                <w:sz w:val="24"/>
                <w:szCs w:val="24"/>
                <w:u w:val="none"/>
                <w:lang w:val="en-US" w:eastAsia="zh-CN" w:bidi="ar"/>
              </w:rPr>
            </w:pPr>
            <w:r>
              <w:rPr>
                <w:rFonts w:hint="default" w:ascii="Times New Roman" w:hAnsi="Times New Roman" w:eastAsia="仿宋_GB2312" w:cs="Times New Roman"/>
                <w:i w:val="0"/>
                <w:color w:val="000000"/>
                <w:spacing w:val="-6"/>
                <w:kern w:val="0"/>
                <w:sz w:val="24"/>
                <w:szCs w:val="24"/>
                <w:u w:val="none"/>
                <w:lang w:val="en-US" w:eastAsia="zh-CN" w:bidi="ar"/>
              </w:rPr>
              <w:t>特困老年人分散供养</w:t>
            </w:r>
          </w:p>
        </w:tc>
        <w:tc>
          <w:tcPr>
            <w:tcW w:w="2535"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对选择在家供养的特困老年人，由县级政府民政部门按照有关规定给予分散供养，提供基本生活条件、疾病治疗、办理丧葬事宜等，对生活不能自理的给予照料。</w:t>
            </w:r>
          </w:p>
        </w:tc>
        <w:tc>
          <w:tcPr>
            <w:tcW w:w="1136"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照护服务</w:t>
            </w:r>
          </w:p>
        </w:tc>
        <w:tc>
          <w:tcPr>
            <w:tcW w:w="3102" w:type="dxa"/>
            <w:vMerge w:val="restart"/>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按照我省特困人员救助供养办法及相关规定执行。特困人员救助供养基本生活标准</w:t>
            </w:r>
          </w:p>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原则上按照不低于当地最低生活保障标准的1.3倍执行。照料护理标准根据全护理、半护理和全自理护理类型分别按照不低于当地最低工资标准的1/3、1/6和当地重度残疾人护理补贴标准执行。</w:t>
            </w:r>
          </w:p>
        </w:tc>
        <w:tc>
          <w:tcPr>
            <w:tcW w:w="3225"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所需资金按原渠道从困难群众救助补助资金中支出。县政府负责，中央和省级适当补助。</w:t>
            </w:r>
          </w:p>
        </w:tc>
        <w:tc>
          <w:tcPr>
            <w:tcW w:w="1072"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670" w:hRule="atLeast"/>
        </w:trPr>
        <w:tc>
          <w:tcPr>
            <w:tcW w:w="1519" w:type="dxa"/>
            <w:vMerge w:val="continue"/>
            <w:vAlign w:val="center"/>
          </w:tcPr>
          <w:p>
            <w:pPr>
              <w:keepNext w:val="0"/>
              <w:keepLines w:val="0"/>
              <w:pageBreakBefore w:val="0"/>
              <w:widowControl/>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sz w:val="24"/>
                <w:szCs w:val="24"/>
                <w:u w:val="none"/>
              </w:rPr>
            </w:pPr>
          </w:p>
        </w:tc>
        <w:tc>
          <w:tcPr>
            <w:tcW w:w="283"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14</w:t>
            </w:r>
          </w:p>
        </w:tc>
        <w:tc>
          <w:tcPr>
            <w:tcW w:w="1097"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特困老年人集中供养</w:t>
            </w:r>
          </w:p>
        </w:tc>
        <w:tc>
          <w:tcPr>
            <w:tcW w:w="2535"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对需要集中供养的特困老年人，由县级政府民政部门按照便于管理的原则，就近安排到相应的供养服务机构，提供基本生活条件、疾病治疗、办理丧葬事宜等，对生活不能自理的给予照料。</w:t>
            </w:r>
          </w:p>
        </w:tc>
        <w:tc>
          <w:tcPr>
            <w:tcW w:w="1136"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照护服务</w:t>
            </w:r>
          </w:p>
        </w:tc>
        <w:tc>
          <w:tcPr>
            <w:tcW w:w="3102" w:type="dxa"/>
            <w:vMerge w:val="continue"/>
            <w:vAlign w:val="center"/>
          </w:tcPr>
          <w:p>
            <w:pPr>
              <w:keepNext w:val="0"/>
              <w:keepLines w:val="0"/>
              <w:pageBreakBefore w:val="0"/>
              <w:widowControl/>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sz w:val="24"/>
                <w:szCs w:val="24"/>
                <w:u w:val="none"/>
              </w:rPr>
            </w:pPr>
          </w:p>
        </w:tc>
        <w:tc>
          <w:tcPr>
            <w:tcW w:w="3225"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所需资金按原渠道从困难群众救助补助资金中支出。县政府负责，中央和省级适当补助。</w:t>
            </w:r>
          </w:p>
        </w:tc>
        <w:tc>
          <w:tcPr>
            <w:tcW w:w="1072"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742" w:hRule="atLeast"/>
        </w:trPr>
        <w:tc>
          <w:tcPr>
            <w:tcW w:w="1519"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低保对象中经民政部门认定生活不能自理的老年人，有条件的地方可扩大到低保边缘、支出型困难等经济困难家庭中的生活不能自理老年人。对既符合老年人护理补贴条件又符合重度残疾人护理补贴条件的残疾老年人，可择高申领其中一类护理补贴。</w:t>
            </w:r>
          </w:p>
        </w:tc>
        <w:tc>
          <w:tcPr>
            <w:tcW w:w="283"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15</w:t>
            </w:r>
          </w:p>
        </w:tc>
        <w:tc>
          <w:tcPr>
            <w:tcW w:w="1097"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护理补贴</w:t>
            </w:r>
          </w:p>
        </w:tc>
        <w:tc>
          <w:tcPr>
            <w:tcW w:w="2535"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为经认定生活不能自理的经济困难老年人提供护理补贴。</w:t>
            </w:r>
          </w:p>
        </w:tc>
        <w:tc>
          <w:tcPr>
            <w:tcW w:w="1136"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物质帮助</w:t>
            </w:r>
          </w:p>
        </w:tc>
        <w:tc>
          <w:tcPr>
            <w:tcW w:w="3102"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原则上按照每人每月不低于60元的标准执行，具体标准由县政府结合经济社会发展水平和财力状况自行制定。</w:t>
            </w:r>
          </w:p>
        </w:tc>
        <w:tc>
          <w:tcPr>
            <w:tcW w:w="3225"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县政府负责</w:t>
            </w:r>
            <w:r>
              <w:rPr>
                <w:rFonts w:hint="eastAsia" w:eastAsia="仿宋_GB2312" w:cs="Times New Roman"/>
                <w:i w:val="0"/>
                <w:color w:val="000000"/>
                <w:kern w:val="0"/>
                <w:sz w:val="24"/>
                <w:szCs w:val="24"/>
                <w:u w:val="none"/>
                <w:lang w:val="en-US" w:eastAsia="zh-CN" w:bidi="ar"/>
              </w:rPr>
              <w:t>。</w:t>
            </w:r>
          </w:p>
        </w:tc>
        <w:tc>
          <w:tcPr>
            <w:tcW w:w="1072"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553" w:hRule="atLeast"/>
        </w:trPr>
        <w:tc>
          <w:tcPr>
            <w:tcW w:w="1519"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试点地区失能老年人</w:t>
            </w:r>
          </w:p>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p>
        </w:tc>
        <w:tc>
          <w:tcPr>
            <w:tcW w:w="283"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16</w:t>
            </w:r>
          </w:p>
        </w:tc>
        <w:tc>
          <w:tcPr>
            <w:tcW w:w="1097"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 xml:space="preserve">长期护理 </w:t>
            </w:r>
          </w:p>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保险制度</w:t>
            </w:r>
          </w:p>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p>
        </w:tc>
        <w:tc>
          <w:tcPr>
            <w:tcW w:w="2535"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经医疗机构或康复机构</w:t>
            </w:r>
          </w:p>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规范诊疗、失能状态持续6个月以上，经申请通过评估认定的失能参保人员，可按规定享受相关待遇。</w:t>
            </w:r>
          </w:p>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p>
        </w:tc>
        <w:tc>
          <w:tcPr>
            <w:tcW w:w="1136"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物质帮助</w:t>
            </w:r>
          </w:p>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p>
        </w:tc>
        <w:tc>
          <w:tcPr>
            <w:tcW w:w="3102"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按照试点地区制定的实施办法执行。根据失能老年人护理等级、服务提供方式等不同实行差别化待遇保障政策。对符合规定的护理费 用，基础支付水平总体上控 制在70％左右。</w:t>
            </w:r>
          </w:p>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p>
        </w:tc>
        <w:tc>
          <w:tcPr>
            <w:tcW w:w="3225"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由开展试点的地方结合实际，制定长期护理保险基金筹集支付政策。</w:t>
            </w:r>
          </w:p>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p>
        </w:tc>
        <w:tc>
          <w:tcPr>
            <w:tcW w:w="1072"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县医保局</w:t>
            </w:r>
          </w:p>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553" w:hRule="atLeast"/>
        </w:trPr>
        <w:tc>
          <w:tcPr>
            <w:tcW w:w="1519"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spacing w:val="-6"/>
                <w:kern w:val="0"/>
                <w:sz w:val="24"/>
                <w:szCs w:val="24"/>
                <w:u w:val="none"/>
                <w:lang w:val="en-US" w:eastAsia="zh-CN" w:bidi="ar"/>
              </w:rPr>
            </w:pPr>
            <w:r>
              <w:rPr>
                <w:rFonts w:hint="default" w:ascii="Times New Roman" w:hAnsi="Times New Roman" w:eastAsia="仿宋_GB2312" w:cs="Times New Roman"/>
                <w:i w:val="0"/>
                <w:color w:val="000000"/>
                <w:spacing w:val="-6"/>
                <w:kern w:val="0"/>
                <w:sz w:val="24"/>
                <w:szCs w:val="24"/>
                <w:u w:val="none"/>
                <w:lang w:val="en-US" w:eastAsia="zh-CN" w:bidi="ar"/>
              </w:rPr>
              <w:t>经认定生活不能自理的老年人</w:t>
            </w:r>
          </w:p>
        </w:tc>
        <w:tc>
          <w:tcPr>
            <w:tcW w:w="283"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17</w:t>
            </w:r>
          </w:p>
        </w:tc>
        <w:tc>
          <w:tcPr>
            <w:tcW w:w="1097"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家庭养老支持服务</w:t>
            </w:r>
          </w:p>
        </w:tc>
        <w:tc>
          <w:tcPr>
            <w:tcW w:w="2535"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符合条件的失能老年人家庭成员参加照护培训等相关职业技能培训的，按规定给予职业培训补贴。</w:t>
            </w:r>
          </w:p>
        </w:tc>
        <w:tc>
          <w:tcPr>
            <w:tcW w:w="1136"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照护服务</w:t>
            </w:r>
          </w:p>
        </w:tc>
        <w:tc>
          <w:tcPr>
            <w:tcW w:w="3102"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具体补贴标准由县政府明确。</w:t>
            </w:r>
          </w:p>
        </w:tc>
        <w:tc>
          <w:tcPr>
            <w:tcW w:w="3225"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县政府负责，所需资金从就业补助、职业技能提升行动等专项资金中支出。</w:t>
            </w:r>
          </w:p>
        </w:tc>
        <w:tc>
          <w:tcPr>
            <w:tcW w:w="1072"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县人力资源社会保障局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885" w:hRule="atLeast"/>
        </w:trPr>
        <w:tc>
          <w:tcPr>
            <w:tcW w:w="1519"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对国家和社会作出特殊贡献的老年人</w:t>
            </w:r>
          </w:p>
        </w:tc>
        <w:tc>
          <w:tcPr>
            <w:tcW w:w="283"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18</w:t>
            </w:r>
          </w:p>
        </w:tc>
        <w:tc>
          <w:tcPr>
            <w:tcW w:w="1097"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对国家和社会作出特殊贡献的老年人集中供养</w:t>
            </w:r>
          </w:p>
        </w:tc>
        <w:tc>
          <w:tcPr>
            <w:tcW w:w="2535"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对老年烈士遗属、因公牺牲军人遗属、病故军人遗属和进入老年的残疾军人、复员军人、退伍军人，无法定赡养人、扶养人或法定赡养人、扶养人无赡养、扶养能力且享受国家定期抚恤补助待遇的老年人，提供集中供养、医疗等保障。</w:t>
            </w:r>
          </w:p>
        </w:tc>
        <w:tc>
          <w:tcPr>
            <w:tcW w:w="1136"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照护服务</w:t>
            </w:r>
          </w:p>
        </w:tc>
        <w:tc>
          <w:tcPr>
            <w:tcW w:w="3102"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按照《军人抚恤优待条例》和我省军人军属、退役军人、其他优抚对象优待工作实施意见等相关规定执行。</w:t>
            </w:r>
          </w:p>
        </w:tc>
        <w:tc>
          <w:tcPr>
            <w:tcW w:w="3225"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中央和省、市、县级财政共同承担。</w:t>
            </w:r>
          </w:p>
        </w:tc>
        <w:tc>
          <w:tcPr>
            <w:tcW w:w="1072"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县退役军人局、县卫生健康委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379" w:hRule="atLeast"/>
        </w:trPr>
        <w:tc>
          <w:tcPr>
            <w:tcW w:w="1519"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spacing w:val="-6"/>
                <w:kern w:val="0"/>
                <w:sz w:val="24"/>
                <w:szCs w:val="24"/>
                <w:u w:val="none"/>
                <w:lang w:val="en-US" w:eastAsia="zh-CN" w:bidi="ar"/>
              </w:rPr>
            </w:pPr>
            <w:r>
              <w:rPr>
                <w:rFonts w:hint="default" w:ascii="Times New Roman" w:hAnsi="Times New Roman" w:eastAsia="仿宋_GB2312" w:cs="Times New Roman"/>
                <w:i w:val="0"/>
                <w:color w:val="000000"/>
                <w:spacing w:val="-6"/>
                <w:kern w:val="0"/>
                <w:sz w:val="24"/>
                <w:szCs w:val="24"/>
                <w:u w:val="none"/>
                <w:lang w:val="en-US" w:eastAsia="zh-CN" w:bidi="ar"/>
              </w:rPr>
              <w:t>经认定符合条件的残疾老年人</w:t>
            </w:r>
          </w:p>
        </w:tc>
        <w:tc>
          <w:tcPr>
            <w:tcW w:w="283"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19</w:t>
            </w:r>
          </w:p>
        </w:tc>
        <w:tc>
          <w:tcPr>
            <w:tcW w:w="1097"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困难残疾人生活补贴和重度残疾人护理补贴</w:t>
            </w:r>
          </w:p>
        </w:tc>
        <w:tc>
          <w:tcPr>
            <w:tcW w:w="2535"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为最低生活保障家庭中的残疾老年人提供生活补贴；为残疾等级被评定为一级、二级且需要长期照护的重度残疾老年人提供护理补贴，有条件的地方可扩大到。</w:t>
            </w:r>
          </w:p>
        </w:tc>
        <w:tc>
          <w:tcPr>
            <w:tcW w:w="1136"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物质帮助</w:t>
            </w:r>
          </w:p>
        </w:tc>
        <w:tc>
          <w:tcPr>
            <w:tcW w:w="3102"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按照国家和我省关于困难残疾人生活补贴和重度残疾人护理补贴相关规定执行。当前标准为每人每月不低于75元。</w:t>
            </w:r>
          </w:p>
        </w:tc>
        <w:tc>
          <w:tcPr>
            <w:tcW w:w="3225"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县政府负责，省、市财政给予适当补助，具体分担办法按照省与市、县共同财政事权支出责任省级分担办法执行。</w:t>
            </w:r>
          </w:p>
        </w:tc>
        <w:tc>
          <w:tcPr>
            <w:tcW w:w="1072"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县民政局、县残联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463" w:hRule="atLeast"/>
        </w:trPr>
        <w:tc>
          <w:tcPr>
            <w:tcW w:w="1519"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持有《中华人民共和国残疾人证》的老年人</w:t>
            </w:r>
          </w:p>
        </w:tc>
        <w:tc>
          <w:tcPr>
            <w:tcW w:w="283"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w:t>
            </w:r>
          </w:p>
        </w:tc>
        <w:tc>
          <w:tcPr>
            <w:tcW w:w="1097"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康复辅具适配</w:t>
            </w:r>
          </w:p>
        </w:tc>
        <w:tc>
          <w:tcPr>
            <w:tcW w:w="2535"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为符合条件的老年人适配基本型辅助器具提供补贴。有条件的地方可提供康复辅具社区租赁服务。</w:t>
            </w:r>
          </w:p>
        </w:tc>
        <w:tc>
          <w:tcPr>
            <w:tcW w:w="1136"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照护服务</w:t>
            </w:r>
          </w:p>
        </w:tc>
        <w:tc>
          <w:tcPr>
            <w:tcW w:w="3102"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按照我省残疾人基本型辅助器具适配补贴实施办法及相关规定执行，研究确定当地财政补贴标准。</w:t>
            </w:r>
          </w:p>
        </w:tc>
        <w:tc>
          <w:tcPr>
            <w:tcW w:w="3225"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县政府负责</w:t>
            </w:r>
            <w:r>
              <w:rPr>
                <w:rFonts w:hint="eastAsia" w:eastAsia="仿宋_GB2312" w:cs="Times New Roman"/>
                <w:i w:val="0"/>
                <w:color w:val="000000"/>
                <w:kern w:val="0"/>
                <w:sz w:val="24"/>
                <w:szCs w:val="24"/>
                <w:u w:val="none"/>
                <w:lang w:val="en-US" w:eastAsia="zh-CN" w:bidi="ar"/>
              </w:rPr>
              <w:t>。</w:t>
            </w:r>
          </w:p>
        </w:tc>
        <w:tc>
          <w:tcPr>
            <w:tcW w:w="1072"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县残联、县民政局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778" w:hRule="atLeast"/>
        </w:trPr>
        <w:tc>
          <w:tcPr>
            <w:tcW w:w="1519"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生活无着的流浪乞讨老年人</w:t>
            </w:r>
          </w:p>
        </w:tc>
        <w:tc>
          <w:tcPr>
            <w:tcW w:w="283"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21</w:t>
            </w:r>
          </w:p>
        </w:tc>
        <w:tc>
          <w:tcPr>
            <w:tcW w:w="1097"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生活无着的流浪乞讨老年人社会救助</w:t>
            </w:r>
          </w:p>
        </w:tc>
        <w:tc>
          <w:tcPr>
            <w:tcW w:w="2535"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对生活无着的流浪乞讨老年人按照有关规定给予救助。</w:t>
            </w:r>
          </w:p>
        </w:tc>
        <w:tc>
          <w:tcPr>
            <w:tcW w:w="1136"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物质帮助</w:t>
            </w:r>
          </w:p>
        </w:tc>
        <w:tc>
          <w:tcPr>
            <w:tcW w:w="3102"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对生活无着的流浪乞讨老年人实施主动救助、生活救助、医疗救治、教育矫治、返乡救助、临时安置等救助服务。</w:t>
            </w:r>
          </w:p>
        </w:tc>
        <w:tc>
          <w:tcPr>
            <w:tcW w:w="3225"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所需资金从困难群众救助补助资金中支出。县政府负责，中央和省、市适当补助。</w:t>
            </w:r>
          </w:p>
        </w:tc>
        <w:tc>
          <w:tcPr>
            <w:tcW w:w="1072"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90" w:hRule="atLeast"/>
        </w:trPr>
        <w:tc>
          <w:tcPr>
            <w:tcW w:w="1519"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spacing w:val="-6"/>
                <w:kern w:val="0"/>
                <w:sz w:val="24"/>
                <w:szCs w:val="24"/>
                <w:u w:val="none"/>
                <w:lang w:val="en-US" w:eastAsia="zh-CN" w:bidi="ar"/>
              </w:rPr>
            </w:pPr>
            <w:r>
              <w:rPr>
                <w:rFonts w:hint="default" w:ascii="Times New Roman" w:hAnsi="Times New Roman" w:eastAsia="仿宋_GB2312" w:cs="Times New Roman"/>
                <w:i w:val="0"/>
                <w:color w:val="000000"/>
                <w:spacing w:val="-6"/>
                <w:kern w:val="0"/>
                <w:sz w:val="24"/>
                <w:szCs w:val="24"/>
                <w:u w:val="none"/>
                <w:lang w:val="en-US" w:eastAsia="zh-CN" w:bidi="ar"/>
              </w:rPr>
              <w:t>特困人员、低保对象、返贫致贫人口、农村易返贫致贫人口等群体中的老年人</w:t>
            </w:r>
          </w:p>
        </w:tc>
        <w:tc>
          <w:tcPr>
            <w:tcW w:w="283"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22</w:t>
            </w:r>
          </w:p>
        </w:tc>
        <w:tc>
          <w:tcPr>
            <w:tcW w:w="1097"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医疗救助</w:t>
            </w:r>
          </w:p>
        </w:tc>
        <w:tc>
          <w:tcPr>
            <w:tcW w:w="2535" w:type="dxa"/>
            <w:vAlign w:val="center"/>
          </w:tcPr>
          <w:p>
            <w:pPr>
              <w:keepNext w:val="0"/>
              <w:keepLines w:val="0"/>
              <w:pageBreakBefore w:val="0"/>
              <w:widowControl/>
              <w:kinsoku/>
              <w:wordWrap/>
              <w:overflowPunct/>
              <w:topLinePunct w:val="0"/>
              <w:autoSpaceDE/>
              <w:autoSpaceDN/>
              <w:bidi w:val="0"/>
              <w:snapToGrid/>
              <w:spacing w:line="240" w:lineRule="exact"/>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对符合条件的老年人，参加我县城乡居民基本医疗保险的个人缴费由县财政全额或定额补贴，并给予医疗救助。</w:t>
            </w:r>
          </w:p>
        </w:tc>
        <w:tc>
          <w:tcPr>
            <w:tcW w:w="1136"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物质帮助</w:t>
            </w:r>
          </w:p>
        </w:tc>
        <w:tc>
          <w:tcPr>
            <w:tcW w:w="3102" w:type="dxa"/>
            <w:vAlign w:val="center"/>
          </w:tcPr>
          <w:p>
            <w:pPr>
              <w:pStyle w:val="14"/>
              <w:keepNext w:val="0"/>
              <w:keepLines w:val="0"/>
              <w:pageBreakBefore w:val="0"/>
              <w:widowControl/>
              <w:kinsoku/>
              <w:wordWrap/>
              <w:overflowPunct/>
              <w:topLinePunct w:val="0"/>
              <w:autoSpaceDE/>
              <w:autoSpaceDN/>
              <w:bidi w:val="0"/>
              <w:snapToGrid/>
              <w:spacing w:line="240" w:lineRule="exact"/>
              <w:ind w:left="0" w:leftChars="0" w:firstLine="0" w:firstLineChars="0"/>
              <w:rPr>
                <w:rFonts w:hint="default" w:ascii="Times New Roman" w:hAnsi="Times New Roman" w:eastAsia="仿宋_GB2312" w:cs="Times New Roman"/>
                <w:i w:val="0"/>
                <w:color w:val="000000"/>
                <w:sz w:val="24"/>
                <w:szCs w:val="24"/>
                <w:u w:val="none"/>
                <w:lang w:eastAsia="zh-CN"/>
              </w:rPr>
            </w:pPr>
            <w:r>
              <w:rPr>
                <w:rFonts w:hint="default" w:ascii="Times New Roman" w:hAnsi="Times New Roman" w:eastAsia="仿宋_GB2312" w:cs="Times New Roman"/>
                <w:i w:val="0"/>
                <w:color w:val="000000"/>
                <w:sz w:val="24"/>
                <w:szCs w:val="24"/>
                <w:u w:val="none"/>
                <w:lang w:eastAsia="zh-CN"/>
              </w:rPr>
              <w:t>资助参保和医疗救助标准按照《信阳市健全重特大疾病医疗保险和救助制度实施办法》（信政办〔2022〕26号）执行。全额资助特困人员参保；定额资助低保对象、返贫致贫人口中的老年人，原则上按照每人每年不低于80元标准执行；农村易返贫致贫人口资助参保标准按照省医保局、省财政厅有关要求确定。</w:t>
            </w:r>
          </w:p>
        </w:tc>
        <w:tc>
          <w:tcPr>
            <w:tcW w:w="3225"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所需资金从城乡医疗救助基金中支出。中央和省、市、县级财政合理安排资金对城乡医疗救助基金予以补助。</w:t>
            </w:r>
          </w:p>
        </w:tc>
        <w:tc>
          <w:tcPr>
            <w:tcW w:w="1072"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县医保局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620" w:hRule="atLeast"/>
        </w:trPr>
        <w:tc>
          <w:tcPr>
            <w:tcW w:w="1519"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独居、空巢、留守、失能、重残、计划生育特殊家庭等老年人</w:t>
            </w:r>
          </w:p>
        </w:tc>
        <w:tc>
          <w:tcPr>
            <w:tcW w:w="283"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23</w:t>
            </w:r>
          </w:p>
        </w:tc>
        <w:tc>
          <w:tcPr>
            <w:tcW w:w="1097"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探访服务</w:t>
            </w:r>
          </w:p>
        </w:tc>
        <w:tc>
          <w:tcPr>
            <w:tcW w:w="2535"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面向服务对象提供上门探访关爱服务。</w:t>
            </w:r>
          </w:p>
        </w:tc>
        <w:tc>
          <w:tcPr>
            <w:tcW w:w="1136"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关爱服务</w:t>
            </w:r>
          </w:p>
        </w:tc>
        <w:tc>
          <w:tcPr>
            <w:tcW w:w="3102"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对符合条件的老年人，每月至少开展一次探访关爱服务，提供生活照料、精神慰藉、安全防护、权益维护等服务。</w:t>
            </w:r>
          </w:p>
        </w:tc>
        <w:tc>
          <w:tcPr>
            <w:tcW w:w="3225"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县政府负责</w:t>
            </w:r>
            <w:r>
              <w:rPr>
                <w:rFonts w:hint="eastAsia" w:eastAsia="仿宋_GB2312" w:cs="Times New Roman"/>
                <w:i w:val="0"/>
                <w:color w:val="000000"/>
                <w:kern w:val="0"/>
                <w:sz w:val="24"/>
                <w:szCs w:val="24"/>
                <w:u w:val="none"/>
                <w:lang w:val="en-US" w:eastAsia="zh-CN" w:bidi="ar"/>
              </w:rPr>
              <w:t>。</w:t>
            </w:r>
          </w:p>
        </w:tc>
        <w:tc>
          <w:tcPr>
            <w:tcW w:w="1072"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县民政局、县卫生健康委、县残联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10" w:hRule="atLeast"/>
        </w:trPr>
        <w:tc>
          <w:tcPr>
            <w:tcW w:w="1519"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计划生育特殊家庭老年人</w:t>
            </w:r>
          </w:p>
        </w:tc>
        <w:tc>
          <w:tcPr>
            <w:tcW w:w="283"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24</w:t>
            </w:r>
          </w:p>
        </w:tc>
        <w:tc>
          <w:tcPr>
            <w:tcW w:w="1097"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优先享受机构养老服务</w:t>
            </w:r>
          </w:p>
        </w:tc>
        <w:tc>
          <w:tcPr>
            <w:tcW w:w="2535"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同等条件下优先入住政府投资兴办的养老机构。</w:t>
            </w:r>
          </w:p>
        </w:tc>
        <w:tc>
          <w:tcPr>
            <w:tcW w:w="1136"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照护服务</w:t>
            </w:r>
          </w:p>
        </w:tc>
        <w:tc>
          <w:tcPr>
            <w:tcW w:w="3102"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按照公办养老机构入住管理制度执行。</w:t>
            </w:r>
          </w:p>
        </w:tc>
        <w:tc>
          <w:tcPr>
            <w:tcW w:w="3225"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县政府负责</w:t>
            </w:r>
            <w:r>
              <w:rPr>
                <w:rFonts w:hint="eastAsia" w:eastAsia="仿宋_GB2312" w:cs="Times New Roman"/>
                <w:i w:val="0"/>
                <w:color w:val="000000"/>
                <w:kern w:val="0"/>
                <w:sz w:val="24"/>
                <w:szCs w:val="24"/>
                <w:u w:val="none"/>
                <w:lang w:val="en-US" w:eastAsia="zh-CN" w:bidi="ar"/>
              </w:rPr>
              <w:t>。</w:t>
            </w:r>
          </w:p>
        </w:tc>
        <w:tc>
          <w:tcPr>
            <w:tcW w:w="1072" w:type="dxa"/>
            <w:vAlign w:val="center"/>
          </w:tcPr>
          <w:p>
            <w:pPr>
              <w:keepNext w:val="0"/>
              <w:keepLines w:val="0"/>
              <w:pageBreakBefore w:val="0"/>
              <w:widowControl/>
              <w:suppressLineNumbers w:val="0"/>
              <w:kinsoku/>
              <w:wordWrap/>
              <w:overflowPunct/>
              <w:topLinePunct w:val="0"/>
              <w:autoSpaceDE/>
              <w:autoSpaceDN/>
              <w:bidi w:val="0"/>
              <w:snapToGrid/>
              <w:spacing w:line="24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县卫生健康委、县民政局</w:t>
            </w:r>
          </w:p>
        </w:tc>
      </w:tr>
    </w:tbl>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_GB2312" w:cs="Times New Roman"/>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spacing w:line="240" w:lineRule="exact"/>
        <w:jc w:val="both"/>
        <w:rPr>
          <w:rFonts w:hint="default" w:ascii="Times New Roman" w:hAnsi="Times New Roman" w:eastAsia="仿宋" w:cs="Times New Roman"/>
          <w:i w:val="0"/>
          <w:color w:val="000000"/>
          <w:kern w:val="0"/>
          <w:sz w:val="24"/>
          <w:szCs w:val="24"/>
          <w:u w:val="none"/>
          <w:lang w:val="en-US" w:eastAsia="zh-CN" w:bidi="ar"/>
        </w:rPr>
        <w:sectPr>
          <w:footerReference r:id="rId3" w:type="default"/>
          <w:pgSz w:w="16838" w:h="11906" w:orient="landscape"/>
          <w:pgMar w:top="1803" w:right="1440" w:bottom="1803" w:left="1440" w:header="851" w:footer="992" w:gutter="0"/>
          <w:pgNumType w:fmt="decimal"/>
          <w:cols w:space="720" w:num="1"/>
          <w:rtlGutter w:val="0"/>
          <w:docGrid w:type="lines" w:linePitch="312" w:charSpace="0"/>
        </w:sectPr>
      </w:pPr>
      <w:r>
        <w:rPr>
          <w:rFonts w:hint="default" w:ascii="Times New Roman" w:hAnsi="Times New Roman" w:eastAsia="仿宋_GB2312" w:cs="Times New Roman"/>
          <w:i w:val="0"/>
          <w:color w:val="000000"/>
          <w:kern w:val="0"/>
          <w:sz w:val="24"/>
          <w:szCs w:val="24"/>
          <w:u w:val="none"/>
          <w:lang w:val="en-US" w:eastAsia="zh-CN" w:bidi="ar"/>
        </w:rPr>
        <w:t>备注：第16条长期护理保险项目，沿用省级清单内容，信阳市暂时不属于试点地区。</w:t>
      </w:r>
    </w:p>
    <w:p>
      <w:pPr>
        <w:keepNext w:val="0"/>
        <w:keepLines w:val="0"/>
        <w:pageBreakBefore w:val="0"/>
        <w:widowControl w:val="0"/>
        <w:tabs>
          <w:tab w:val="left" w:pos="8222"/>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0"/>
          <w:sz w:val="32"/>
          <w:szCs w:val="32"/>
        </w:rPr>
      </w:pPr>
    </w:p>
    <w:p>
      <w:pPr>
        <w:pStyle w:val="7"/>
        <w:ind w:left="0" w:leftChars="0" w:firstLine="0" w:firstLineChars="0"/>
        <w:rPr>
          <w:rFonts w:hint="default" w:ascii="Times New Roman" w:hAnsi="Times New Roman" w:eastAsia="仿宋_GB2312" w:cs="Times New Roman"/>
          <w:kern w:val="0"/>
          <w:sz w:val="32"/>
          <w:szCs w:val="32"/>
        </w:rPr>
      </w:pPr>
    </w:p>
    <w:p>
      <w:pPr>
        <w:rPr>
          <w:rFonts w:hint="default" w:ascii="Times New Roman" w:hAnsi="Times New Roman" w:eastAsia="仿宋_GB2312" w:cs="Times New Roman"/>
          <w:kern w:val="0"/>
          <w:sz w:val="32"/>
          <w:szCs w:val="32"/>
        </w:rPr>
      </w:pPr>
    </w:p>
    <w:p>
      <w:pPr>
        <w:pStyle w:val="7"/>
        <w:ind w:left="0" w:leftChars="0" w:firstLine="0" w:firstLineChars="0"/>
        <w:rPr>
          <w:rFonts w:hint="default" w:ascii="Times New Roman" w:hAnsi="Times New Roman" w:eastAsia="仿宋_GB2312" w:cs="Times New Roman"/>
          <w:kern w:val="0"/>
          <w:sz w:val="32"/>
          <w:szCs w:val="32"/>
        </w:rPr>
      </w:pPr>
    </w:p>
    <w:p>
      <w:pPr>
        <w:rPr>
          <w:rFonts w:hint="default" w:ascii="Times New Roman" w:hAnsi="Times New Roman" w:eastAsia="仿宋_GB2312" w:cs="Times New Roman"/>
          <w:kern w:val="0"/>
          <w:sz w:val="32"/>
          <w:szCs w:val="32"/>
        </w:rPr>
      </w:pPr>
    </w:p>
    <w:p>
      <w:pPr>
        <w:pStyle w:val="7"/>
        <w:ind w:left="0" w:leftChars="0" w:firstLine="0" w:firstLineChars="0"/>
        <w:rPr>
          <w:rFonts w:hint="default" w:ascii="Times New Roman" w:hAnsi="Times New Roman" w:eastAsia="仿宋_GB2312" w:cs="Times New Roman"/>
          <w:kern w:val="0"/>
          <w:sz w:val="32"/>
          <w:szCs w:val="32"/>
        </w:rPr>
      </w:pPr>
    </w:p>
    <w:p>
      <w:pPr>
        <w:rPr>
          <w:rFonts w:hint="default" w:ascii="Times New Roman" w:hAnsi="Times New Roman" w:eastAsia="仿宋_GB2312" w:cs="Times New Roman"/>
          <w:kern w:val="0"/>
          <w:sz w:val="32"/>
          <w:szCs w:val="32"/>
        </w:rPr>
      </w:pPr>
    </w:p>
    <w:p>
      <w:pPr>
        <w:pStyle w:val="7"/>
        <w:ind w:left="0" w:leftChars="0" w:firstLine="0" w:firstLineChars="0"/>
        <w:rPr>
          <w:rFonts w:hint="default" w:ascii="Times New Roman" w:hAnsi="Times New Roman" w:eastAsia="仿宋_GB2312" w:cs="Times New Roman"/>
          <w:kern w:val="0"/>
          <w:sz w:val="32"/>
          <w:szCs w:val="32"/>
        </w:rPr>
      </w:pPr>
    </w:p>
    <w:p>
      <w:pPr>
        <w:rPr>
          <w:rFonts w:hint="default" w:ascii="Times New Roman" w:hAnsi="Times New Roman" w:eastAsia="仿宋_GB2312" w:cs="Times New Roman"/>
          <w:kern w:val="0"/>
          <w:sz w:val="32"/>
          <w:szCs w:val="32"/>
        </w:rPr>
      </w:pPr>
    </w:p>
    <w:p>
      <w:pPr>
        <w:pStyle w:val="7"/>
        <w:ind w:left="0" w:leftChars="0" w:firstLine="0" w:firstLineChars="0"/>
        <w:rPr>
          <w:rFonts w:hint="default" w:ascii="Times New Roman" w:hAnsi="Times New Roman" w:eastAsia="仿宋_GB2312" w:cs="Times New Roman"/>
          <w:kern w:val="0"/>
          <w:sz w:val="32"/>
          <w:szCs w:val="32"/>
        </w:rPr>
      </w:pPr>
    </w:p>
    <w:p>
      <w:pPr>
        <w:rPr>
          <w:rFonts w:hint="default" w:ascii="Times New Roman" w:hAnsi="Times New Roman" w:eastAsia="仿宋_GB2312" w:cs="Times New Roman"/>
          <w:kern w:val="0"/>
          <w:sz w:val="32"/>
          <w:szCs w:val="32"/>
        </w:rPr>
      </w:pPr>
    </w:p>
    <w:p>
      <w:pPr>
        <w:pStyle w:val="7"/>
        <w:ind w:left="0" w:leftChars="0" w:firstLine="0" w:firstLineChars="0"/>
        <w:rPr>
          <w:rFonts w:hint="default" w:ascii="Times New Roman" w:hAnsi="Times New Roman" w:eastAsia="仿宋_GB2312" w:cs="Times New Roman"/>
          <w:kern w:val="0"/>
          <w:sz w:val="32"/>
          <w:szCs w:val="32"/>
        </w:rPr>
      </w:pPr>
    </w:p>
    <w:p>
      <w:pPr>
        <w:rPr>
          <w:rFonts w:hint="default" w:ascii="Times New Roman" w:hAnsi="Times New Roman" w:eastAsia="仿宋_GB2312" w:cs="Times New Roman"/>
          <w:kern w:val="0"/>
          <w:sz w:val="32"/>
          <w:szCs w:val="32"/>
        </w:rPr>
      </w:pPr>
    </w:p>
    <w:p>
      <w:pPr>
        <w:pStyle w:val="7"/>
        <w:ind w:left="0" w:leftChars="0" w:firstLine="0" w:firstLineChars="0"/>
        <w:rPr>
          <w:rFonts w:hint="default" w:ascii="Times New Roman" w:hAnsi="Times New Roman" w:eastAsia="仿宋_GB2312" w:cs="Times New Roman"/>
          <w:kern w:val="0"/>
          <w:sz w:val="32"/>
          <w:szCs w:val="32"/>
        </w:rPr>
      </w:pPr>
    </w:p>
    <w:p>
      <w:pPr>
        <w:rPr>
          <w:rFonts w:hint="default" w:ascii="Times New Roman" w:hAnsi="Times New Roman" w:eastAsia="仿宋_GB2312" w:cs="Times New Roman"/>
          <w:kern w:val="0"/>
          <w:sz w:val="32"/>
          <w:szCs w:val="32"/>
        </w:rPr>
      </w:pPr>
    </w:p>
    <w:p>
      <w:pPr>
        <w:pStyle w:val="7"/>
        <w:ind w:left="0" w:leftChars="0" w:firstLine="0" w:firstLineChars="0"/>
        <w:rPr>
          <w:rFonts w:hint="default" w:ascii="Times New Roman" w:hAnsi="Times New Roman" w:eastAsia="仿宋_GB2312" w:cs="Times New Roman"/>
          <w:kern w:val="0"/>
          <w:sz w:val="32"/>
          <w:szCs w:val="32"/>
        </w:rPr>
      </w:pPr>
    </w:p>
    <w:p>
      <w:pPr>
        <w:rPr>
          <w:rFonts w:hint="default" w:ascii="Times New Roman" w:hAnsi="Times New Roman" w:eastAsia="仿宋_GB2312" w:cs="Times New Roman"/>
          <w:kern w:val="0"/>
          <w:sz w:val="32"/>
          <w:szCs w:val="32"/>
        </w:rPr>
      </w:pPr>
    </w:p>
    <w:p>
      <w:pPr>
        <w:pStyle w:val="7"/>
        <w:ind w:left="0" w:leftChars="0" w:firstLine="0" w:firstLineChars="0"/>
        <w:rPr>
          <w:rFonts w:hint="default" w:ascii="Times New Roman" w:hAnsi="Times New Roman" w:eastAsia="仿宋_GB2312" w:cs="Times New Roman"/>
          <w:kern w:val="0"/>
          <w:sz w:val="32"/>
          <w:szCs w:val="32"/>
        </w:rPr>
      </w:pPr>
    </w:p>
    <w:p>
      <w:pPr>
        <w:rPr>
          <w:rFonts w:hint="default" w:ascii="Times New Roman" w:hAnsi="Times New Roman" w:eastAsia="仿宋_GB2312" w:cs="Times New Roman"/>
          <w:kern w:val="0"/>
          <w:sz w:val="32"/>
          <w:szCs w:val="32"/>
        </w:rPr>
      </w:pPr>
    </w:p>
    <w:p>
      <w:pPr>
        <w:pStyle w:val="7"/>
        <w:ind w:left="0" w:leftChars="0" w:firstLine="0" w:firstLineChars="0"/>
        <w:rPr>
          <w:rFonts w:hint="default" w:ascii="Times New Roman" w:hAnsi="Times New Roman" w:eastAsia="仿宋_GB2312" w:cs="Times New Roman"/>
          <w:kern w:val="0"/>
          <w:sz w:val="32"/>
          <w:szCs w:val="32"/>
        </w:rPr>
      </w:pPr>
    </w:p>
    <w:p>
      <w:pPr>
        <w:keepNext w:val="0"/>
        <w:keepLines w:val="0"/>
        <w:pageBreakBefore w:val="0"/>
        <w:widowControl w:val="0"/>
        <w:tabs>
          <w:tab w:val="left" w:pos="8222"/>
        </w:tabs>
        <w:kinsoku/>
        <w:wordWrap/>
        <w:overflowPunct/>
        <w:topLinePunct w:val="0"/>
        <w:autoSpaceDE/>
        <w:autoSpaceDN/>
        <w:bidi w:val="0"/>
        <w:adjustRightInd/>
        <w:snapToGrid/>
        <w:spacing w:line="600" w:lineRule="exact"/>
        <w:rPr>
          <w:rFonts w:hint="default" w:ascii="Times New Roman" w:hAnsi="Times New Roman" w:eastAsia="仿宋_GB2312" w:cs="Times New Roman"/>
          <w:kern w:val="0"/>
          <w:sz w:val="32"/>
          <w:szCs w:val="32"/>
          <w:lang w:val="en-US" w:eastAsia="zh-CN"/>
        </w:rPr>
      </w:pPr>
      <w:r>
        <w:rPr>
          <w:rFonts w:hint="default" w:ascii="Times New Roman" w:hAnsi="Times New Roman" w:cs="Times New Roman"/>
          <w:kern w:val="0"/>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41910</wp:posOffset>
                </wp:positionV>
                <wp:extent cx="55880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588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3.3pt;height:0pt;width:440pt;z-index:251659264;mso-width-relative:page;mso-height-relative:page;" filled="f" stroked="t" coordsize="21600,21600" o:gfxdata="UEsDBAoAAAAAAIdO4kAAAAAAAAAAAAAAAAAEAAAAZHJzL1BLAwQUAAAACACHTuJAC3GDmdAAAAAF&#10;AQAADwAAAGRycy9kb3ducmV2LnhtbE2OTU/DMBBE70j8B2uRuFTUbhFRFOL0AOTGhVLEdRsvSUS8&#10;TmP3A349Wy5wfJrRzCtXJz+oA02xD2xhMTegiJvgem4tbF7rmxxUTMgOh8Bk4YsirKrLixILF478&#10;Qod1apWMcCzQQpfSWGgdm448xnkYiSX7CJPHJDi12k14lHE/6KUxmfbYszx0ONJDR83neu8txPqN&#10;dvX3rJmZ99s20HL3+PyE1l5fLcw9qESn9FeGs76oQyVO27BnF9UgfCdFC1kGStI8P/P2l3VV6v/2&#10;1Q9QSwMEFAAAAAgAh07iQLfB/Br5AQAA8gMAAA4AAABkcnMvZTJvRG9jLnhtbK1TzY7TMBC+I/EO&#10;lu80aaWyJWq6hy3LBUEl4AGmjpNY8p88btO+BC+AxA1OHLnzNiyPwdjplmW59EAOztgz8818n8fL&#10;64PRbC8DKmdrPp2UnEkrXKNsV/MP72+fLTjDCLYB7ays+VEiv149fbIcfCVnrne6kYERiMVq8DXv&#10;Y/RVUaDopQGcOC8tOVsXDETahq5oAgyEbnQxK8vnxeBC44MTEpFO16OTnxDDJYCubZWQayd2Rto4&#10;ogapIRIl7JVHvsrdtq0U8W3booxM15yYxrxSEbK3aS1WS6i6AL5X4tQCXNLCI04GlKWiZ6g1RGC7&#10;oP6BMkoEh66NE+FMMRLJihCLaflIm3c9eJm5kNToz6Lj/4MVb/abwFRT8yvOLBi68LtP339+/PLr&#10;x2da7759ZVdJpMFjRbE3dhNOO/SbkBgf2mDSn7iwQxb2eBZWHiITdDifLxZlSZqLe1/xJ9EHjK+k&#10;MywZNdfKJs5Qwf41RipGofch6VhbNtT8xXw2JzigAWzp4sk0nkig7XIuOq2aW6V1ysDQbW90YHtI&#10;Q5C/RIlw/wpLRdaA/RiXXeN49BKal7Zh8ehJHkuvgqcWjGw405IeUbIIEKoISl8SSaW1TQkyj+iJ&#10;Z9J4VDVZW9cc6Wp2PqiuJ12muefkoVHI3Z/GNs3awz3ZD5/q6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LcYOZ0AAAAAUBAAAPAAAAAAAAAAEAIAAAACIAAABkcnMvZG93bnJldi54bWxQSwECFAAU&#10;AAAACACHTuJAt8H8GvkBAADyAwAADgAAAAAAAAABACAAAAAfAQAAZHJzL2Uyb0RvYy54bWxQSwUG&#10;AAAAAAYABgBZAQAAigUAAAAA&#10;">
                <v:fill on="f" focussize="0,0"/>
                <v:stroke color="#000000" joinstyle="round"/>
                <v:imagedata o:title=""/>
                <o:lock v:ext="edit" aspectratio="f"/>
              </v:line>
            </w:pict>
          </mc:Fallback>
        </mc:AlternateContent>
      </w:r>
      <w:r>
        <w:rPr>
          <w:rFonts w:hint="default" w:ascii="Times New Roman" w:hAnsi="Times New Roman" w:cs="Times New Roman"/>
          <w:kern w:val="0"/>
        </w:rP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400685</wp:posOffset>
                </wp:positionV>
                <wp:extent cx="55880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588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pt;margin-top:31.55pt;height:0pt;width:440pt;z-index:251660288;mso-width-relative:page;mso-height-relative:page;" filled="f" stroked="t" coordsize="21600,21600" o:gfxdata="UEsDBAoAAAAAAIdO4kAAAAAAAAAAAAAAAAAEAAAAZHJzL1BLAwQUAAAACACHTuJAtiWzfNQAAAAH&#10;AQAADwAAAGRycy9kb3ducmV2LnhtbE2PzW7CMBCE75V4B2uRekHFTpBQlMbhAOTWS2lRr0u8TSLi&#10;dYjNT/v0NeqhPc7MaubbYnWzvbjQ6DvHGpK5AkFcO9Nxo+H9rXrKQPiAbLB3TBq+yMOqnDwUmBt3&#10;5Ve67EIjYgn7HDW0IQy5lL5uyaKfu4E4Zp9utBiiHBtpRrzGctvLVKmltNhxXGhxoHVL9XF3thp8&#10;tadT9T2rZ+pj0ThKT5uXLWr9OE3UM4hAt/B3DHf8iA5lZDq4Mxsveg1p/CRoWC4SEDHOsrtx+DVk&#10;Wcj//OUPUEsDBBQAAAAIAIdO4kAY9W+4+QEAAPIDAAAOAAAAZHJzL2Uyb0RvYy54bWytU82O0zAQ&#10;viPxDpbvNGmlViVquoctywXBSsADTB0nseQ/edymfQleAIkbnDhy523YfQzGTrcsy6UHcnDGnplv&#10;5vs8Xl0djGZ7GVA5W/PppORMWuEaZbuaf/xw82LJGUawDWhnZc2PEvnV+vmz1eArOXO9040MjEAs&#10;VoOveR+jr4oCRS8N4MR5acnZumAg0jZ0RRNgIHSji1lZLorBhcYHJyQinW5GJz8hhksAXdsqITdO&#10;7Iy0cUQNUkMkStgrj3ydu21bKeK7tkUZma45MY15pSJkb9NarFdQdQF8r8SpBbikhSecDChLRc9Q&#10;G4jAdkH9A2WUCA5dGyfCmWIkkhUhFtPyiTbve/AycyGp0Z9Fx/8HK97ubwNTTc0XnFkwdOF3n3/8&#10;+vT1/ucXWu++f2OLJNLgsaLYa3sbTjv0tyExPrTBpD9xYYcs7PEsrDxEJuhwPl8uy5I0Fw++4k+i&#10;DxhfS2dYMmqulU2coYL9G4xUjEIfQtKxtmyo+cv5bE5wQAPY0sWTaTyRQNvlXHRaNTdK65SBodte&#10;68D2kIYgf4kS4f4VlopsAPsxLrvG8eglNK9sw+LRkzyWXgVPLRjZcKYlPaJkESBUEZS+JJJKa5sS&#10;ZB7RE8+k8ahqsrauOdLV7HxQXU+6THPPyUOjkLs/jW2atcd7sh8/1f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iWzfNQAAAAHAQAADwAAAAAAAAABACAAAAAiAAAAZHJzL2Rvd25yZXYueG1sUEsB&#10;AhQAFAAAAAgAh07iQBj1b7j5AQAA8gMAAA4AAAAAAAAAAQAgAAAAIwEAAGRycy9lMm9Eb2MueG1s&#10;UEsFBgAAAAAGAAYAWQEAAI4FAAAAAA==&#10;">
                <v:fill on="f" focussize="0,0"/>
                <v:stroke color="#000000" joinstyle="round"/>
                <v:imagedata o:title=""/>
                <o:lock v:ext="edit" aspectratio="f"/>
              </v:line>
            </w:pict>
          </mc:Fallback>
        </mc:AlternateContent>
      </w:r>
      <w:r>
        <w:rPr>
          <w:rFonts w:hint="default" w:ascii="Times New Roman" w:hAnsi="Times New Roman" w:cs="Times New Roman"/>
          <w:kern w:val="0"/>
        </w:rPr>
        <w:t xml:space="preserve"> </w:t>
      </w:r>
      <w:r>
        <w:rPr>
          <w:rFonts w:hint="default" w:ascii="Times New Roman" w:hAnsi="Times New Roman" w:eastAsia="仿宋_GB2312" w:cs="Times New Roman"/>
          <w:snapToGrid w:val="0"/>
          <w:kern w:val="0"/>
          <w:sz w:val="28"/>
          <w:szCs w:val="28"/>
        </w:rPr>
        <w:t xml:space="preserve">息县人民政府办公室  </w:t>
      </w:r>
      <w:r>
        <w:rPr>
          <w:rFonts w:hint="default" w:ascii="Times New Roman" w:hAnsi="Times New Roman" w:eastAsia="仿宋_GB2312" w:cs="Times New Roman"/>
          <w:snapToGrid w:val="0"/>
          <w:kern w:val="0"/>
          <w:sz w:val="32"/>
          <w:szCs w:val="32"/>
        </w:rPr>
        <w:t xml:space="preserve">   </w:t>
      </w:r>
      <w:r>
        <w:rPr>
          <w:rFonts w:hint="default" w:ascii="Times New Roman" w:hAnsi="Times New Roman" w:cs="Times New Roman"/>
          <w:snapToGrid w:val="0"/>
          <w:kern w:val="0"/>
          <w:sz w:val="32"/>
          <w:szCs w:val="32"/>
        </w:rPr>
        <w:t xml:space="preserve"> </w:t>
      </w:r>
      <w:r>
        <w:rPr>
          <w:rFonts w:hint="default" w:ascii="Times New Roman" w:hAnsi="Times New Roman" w:eastAsia="仿宋_GB2312" w:cs="Times New Roman"/>
          <w:snapToGrid w:val="0"/>
          <w:kern w:val="0"/>
          <w:sz w:val="32"/>
          <w:szCs w:val="32"/>
        </w:rPr>
        <w:t xml:space="preserve">   </w:t>
      </w:r>
      <w:r>
        <w:rPr>
          <w:rFonts w:hint="default"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rPr>
        <w:t xml:space="preserve">  </w:t>
      </w:r>
      <w:r>
        <w:rPr>
          <w:rFonts w:hint="default" w:ascii="Times New Roman" w:hAnsi="Times New Roman" w:cs="Times New Roman"/>
          <w:snapToGrid w:val="0"/>
          <w:kern w:val="0"/>
          <w:sz w:val="32"/>
          <w:szCs w:val="32"/>
        </w:rPr>
        <w:t xml:space="preserve"> </w:t>
      </w:r>
      <w:r>
        <w:rPr>
          <w:rFonts w:hint="default" w:ascii="Times New Roman" w:hAnsi="Times New Roman" w:eastAsia="仿宋_GB2312" w:cs="Times New Roman"/>
          <w:snapToGrid w:val="0"/>
          <w:kern w:val="0"/>
          <w:sz w:val="32"/>
          <w:szCs w:val="32"/>
        </w:rPr>
        <w:t xml:space="preserve">      </w:t>
      </w:r>
      <w:r>
        <w:rPr>
          <w:rFonts w:hint="default" w:ascii="Times New Roman" w:hAnsi="Times New Roman" w:eastAsia="仿宋_GB2312" w:cs="Times New Roman"/>
          <w:snapToGrid w:val="0"/>
          <w:kern w:val="0"/>
          <w:sz w:val="28"/>
          <w:szCs w:val="28"/>
        </w:rPr>
        <w:t>20</w:t>
      </w:r>
      <w:r>
        <w:rPr>
          <w:rFonts w:hint="default" w:ascii="Times New Roman" w:hAnsi="Times New Roman" w:eastAsia="仿宋_GB2312" w:cs="Times New Roman"/>
          <w:snapToGrid w:val="0"/>
          <w:kern w:val="0"/>
          <w:sz w:val="28"/>
          <w:szCs w:val="28"/>
          <w:lang w:val="en-US" w:eastAsia="zh-CN"/>
        </w:rPr>
        <w:t>24</w:t>
      </w:r>
      <w:r>
        <w:rPr>
          <w:rFonts w:hint="default" w:ascii="Times New Roman" w:hAnsi="Times New Roman" w:eastAsia="仿宋_GB2312" w:cs="Times New Roman"/>
          <w:snapToGrid w:val="0"/>
          <w:kern w:val="0"/>
          <w:sz w:val="28"/>
          <w:szCs w:val="28"/>
        </w:rPr>
        <w:t>年</w:t>
      </w:r>
      <w:r>
        <w:rPr>
          <w:rFonts w:hint="default" w:ascii="Times New Roman" w:hAnsi="Times New Roman" w:eastAsia="仿宋_GB2312" w:cs="Times New Roman"/>
          <w:snapToGrid w:val="0"/>
          <w:kern w:val="0"/>
          <w:sz w:val="28"/>
          <w:szCs w:val="28"/>
          <w:lang w:val="en-US" w:eastAsia="zh-CN"/>
        </w:rPr>
        <w:t>4</w:t>
      </w:r>
      <w:r>
        <w:rPr>
          <w:rFonts w:hint="default" w:ascii="Times New Roman" w:hAnsi="Times New Roman" w:eastAsia="仿宋_GB2312" w:cs="Times New Roman"/>
          <w:snapToGrid w:val="0"/>
          <w:kern w:val="0"/>
          <w:sz w:val="28"/>
          <w:szCs w:val="28"/>
        </w:rPr>
        <w:t>月</w:t>
      </w:r>
      <w:r>
        <w:rPr>
          <w:rFonts w:hint="eastAsia" w:eastAsia="仿宋_GB2312" w:cs="Times New Roman"/>
          <w:snapToGrid w:val="0"/>
          <w:kern w:val="0"/>
          <w:sz w:val="28"/>
          <w:szCs w:val="28"/>
          <w:lang w:val="en-US" w:eastAsia="zh-CN"/>
        </w:rPr>
        <w:t>19</w:t>
      </w:r>
      <w:r>
        <w:rPr>
          <w:rFonts w:hint="default" w:ascii="Times New Roman" w:hAnsi="Times New Roman" w:eastAsia="仿宋_GB2312" w:cs="Times New Roman"/>
          <w:snapToGrid w:val="0"/>
          <w:kern w:val="0"/>
          <w:sz w:val="28"/>
          <w:szCs w:val="28"/>
        </w:rPr>
        <w:t>日印发</w:t>
      </w:r>
    </w:p>
    <w:sectPr>
      <w:footerReference r:id="rId4" w:type="default"/>
      <w:pgSz w:w="11905" w:h="16838" w:orient="landscape"/>
      <w:pgMar w:top="1814" w:right="1474" w:bottom="1757" w:left="1587" w:header="992" w:footer="1417"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rPr>
        <w:sz w:val="18"/>
      </w:rPr>
    </w:pPr>
    <w:r>
      <w:rPr>
        <w:sz w:val="18"/>
      </w:rPr>
      <mc:AlternateContent>
        <mc:Choice Requires="wps">
          <w:drawing>
            <wp:anchor distT="0" distB="0" distL="0" distR="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_x0000_s205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11"/>
                            <w:tabs>
                              <w:tab w:val="clear" w:pos="4153"/>
                              <w:tab w:val="clear" w:pos="8306"/>
                            </w:tabs>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p/>
                      </w:txbxContent>
                    </wps:txbx>
                    <wps:bodyPr rot="0" vert="horz" wrap="square" lIns="0" tIns="0" rIns="0" bIns="0" anchor="t" anchorCtr="0"/>
                  </wps:wsp>
                </a:graphicData>
              </a:graphic>
            </wp:anchor>
          </w:drawing>
        </mc:Choice>
        <mc:Fallback>
          <w:pict>
            <v:rect id="_x0000_s2051" o:spid="_x0000_s1026" o:spt="1" style="position:absolute;left:0pt;margin-top:0pt;height:144pt;width:144pt;mso-position-horizontal:outside;mso-position-horizontal-relative:margin;z-index:251660288;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K0+LNSwAQAAdgMAAA4AAABkcnMvZTJvRG9jLnhtbK1TTYvbMBC9&#10;F/ofhO6NnUBLMHH20LBLobQL254XRZZigaVRZ5TY6a/vyB/Zsr3soT7Ib6zR07w3493d4DtxMUgO&#10;Qi3Xq1IKEzQ0Lpxq+fPH/YetFJRUaFQHwdTyakje7d+/2/WxMhtooWsMCiYJVPWxlm1KsSoK0q3x&#10;ilYQTeBNC+hV4hBPRYOqZ3bfFZuy/FT0gE1E0IaIvx6mTTkz4lsIwVqnzQH02ZuQJlY0nUosiVoX&#10;Se7Haq01On23lkwSXS1ZaRpXvoTxMa/FfqeqE6rYOj2XoN5SwitNXrnAl96oDiopcUb3D5V3GoHA&#10;ppUGX0xCRkdYxbp85c1Tq6IZtbDVFG+m0/+j1d8ujyhcw5MgRVCeG/48lPw806b8uM7+9JEqTnuK&#10;jzhHxDCLHSz6/GYZYhg9vd48NUMSmj+ut5vttmS7Ne8tAfMUL8cjUnow4EUGtURu2uilunylNKUu&#10;KXwulzMVkFEajsNc1RGaK2tBmJrMI86gBfwtRc8NriX9Ois0UnRfAjuYp2EBuIDjAlTQfLSWSYoJ&#10;fk7j1ORy8r3cjlHDPDq533/HY9bL77L/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CtPizU&#10;sAEAAHYDAAAOAAAAAAAAAAEAIAAAACIBAABkcnMvZTJvRG9jLnhtbFBLBQYAAAAABgAGAFkBAABE&#10;BQAAAAA=&#10;">
              <v:fill on="f" focussize="0,0"/>
              <v:stroke on="f"/>
              <v:imagedata o:title=""/>
              <o:lock v:ext="edit" aspectratio="f"/>
              <v:textbox inset="0mm,0mm,0mm,0mm">
                <w:txbxContent>
                  <w:p>
                    <w:pPr>
                      <w:pStyle w:val="11"/>
                      <w:tabs>
                        <w:tab w:val="clear" w:pos="4153"/>
                        <w:tab w:val="clear" w:pos="8306"/>
                      </w:tabs>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isplayHorizontalDrawingGridEvery w:val="1"/>
  <w:displayVerticalDrawingGridEvery w:val="1"/>
  <w:noPunctuationKerning w:val="1"/>
  <w:hdrShapeDefaults>
    <o:shapelayout v:ext="edit">
      <o:idmap v:ext="edit" data="3"/>
    </o:shapelayout>
  </w:hdrShapeDefault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MTdiYjdlOTFlYjJhYmM3MzgyMzcyYjQ3NTYxNmMifQ=="/>
  </w:docVars>
  <w:rsids>
    <w:rsidRoot w:val="00000000"/>
    <w:rsid w:val="04770389"/>
    <w:rsid w:val="053D5B54"/>
    <w:rsid w:val="09D41DD9"/>
    <w:rsid w:val="0CE20369"/>
    <w:rsid w:val="10E463F5"/>
    <w:rsid w:val="18694035"/>
    <w:rsid w:val="19BE7509"/>
    <w:rsid w:val="19C27944"/>
    <w:rsid w:val="20140D2A"/>
    <w:rsid w:val="20C4769B"/>
    <w:rsid w:val="228F747E"/>
    <w:rsid w:val="24561911"/>
    <w:rsid w:val="24FB6014"/>
    <w:rsid w:val="280B7FC7"/>
    <w:rsid w:val="34807FC7"/>
    <w:rsid w:val="34D46199"/>
    <w:rsid w:val="36202708"/>
    <w:rsid w:val="377FB798"/>
    <w:rsid w:val="3DC33F52"/>
    <w:rsid w:val="402A7BA8"/>
    <w:rsid w:val="465E4079"/>
    <w:rsid w:val="4A7C25B9"/>
    <w:rsid w:val="4EB14A55"/>
    <w:rsid w:val="4F4D1C31"/>
    <w:rsid w:val="4FD75E70"/>
    <w:rsid w:val="55A86494"/>
    <w:rsid w:val="563805C7"/>
    <w:rsid w:val="567661E9"/>
    <w:rsid w:val="56F3629C"/>
    <w:rsid w:val="571C57F3"/>
    <w:rsid w:val="58BD6B62"/>
    <w:rsid w:val="5AE83B83"/>
    <w:rsid w:val="5B313046"/>
    <w:rsid w:val="5BA93AEC"/>
    <w:rsid w:val="5E394EDC"/>
    <w:rsid w:val="6315416A"/>
    <w:rsid w:val="64030466"/>
    <w:rsid w:val="6449399F"/>
    <w:rsid w:val="64872E45"/>
    <w:rsid w:val="687868E7"/>
    <w:rsid w:val="6DFF5DF4"/>
    <w:rsid w:val="6EFFFC7A"/>
    <w:rsid w:val="6FD3A938"/>
    <w:rsid w:val="707F3A4F"/>
    <w:rsid w:val="73FA63AF"/>
    <w:rsid w:val="73FBEB8A"/>
    <w:rsid w:val="74561EEC"/>
    <w:rsid w:val="76386580"/>
    <w:rsid w:val="792E3438"/>
    <w:rsid w:val="7BAD18AB"/>
    <w:rsid w:val="7CE16160"/>
    <w:rsid w:val="7FDF261D"/>
    <w:rsid w:val="7FF7E274"/>
    <w:rsid w:val="7FFFA124"/>
    <w:rsid w:val="D3FD6EEC"/>
    <w:rsid w:val="FF9F6F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Calibri" w:hAnsi="Calibri"/>
      <w:spacing w:val="0"/>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OC3"/>
    <w:basedOn w:val="1"/>
    <w:next w:val="1"/>
    <w:qFormat/>
    <w:uiPriority w:val="0"/>
    <w:pPr>
      <w:ind w:left="400" w:leftChars="400"/>
      <w:jc w:val="both"/>
    </w:pPr>
    <w:rPr>
      <w:rFonts w:ascii="Times New Roman" w:hAnsi="Times New Roman" w:eastAsia="宋体"/>
      <w:kern w:val="0"/>
      <w:sz w:val="24"/>
      <w:szCs w:val="20"/>
      <w:lang w:val="en-US" w:eastAsia="zh-CN" w:bidi="ar-SA"/>
    </w:rPr>
  </w:style>
  <w:style w:type="paragraph" w:customStyle="1" w:styleId="8">
    <w:name w:val="标题 11"/>
    <w:basedOn w:val="1"/>
    <w:qFormat/>
    <w:uiPriority w:val="0"/>
    <w:pPr>
      <w:keepNext/>
      <w:keepLines/>
      <w:spacing w:beforeAutospacing="0" w:afterAutospacing="0" w:line="760" w:lineRule="exact"/>
      <w:ind w:firstLine="420" w:firstLineChars="200"/>
      <w:outlineLvl w:val="0"/>
    </w:pPr>
    <w:rPr>
      <w:rFonts w:ascii="Arial" w:hAnsi="Arial" w:eastAsia="方正黑体_GBK"/>
      <w:kern w:val="44"/>
      <w:sz w:val="32"/>
    </w:rPr>
  </w:style>
  <w:style w:type="character" w:customStyle="1" w:styleId="9">
    <w:name w:val="默认段落字体1"/>
    <w:link w:val="1"/>
    <w:semiHidden/>
    <w:qFormat/>
    <w:uiPriority w:val="0"/>
  </w:style>
  <w:style w:type="table" w:customStyle="1" w:styleId="10">
    <w:name w:val="普通表格1"/>
    <w:semiHidden/>
    <w:qFormat/>
    <w:uiPriority w:val="0"/>
  </w:style>
  <w:style w:type="paragraph" w:customStyle="1" w:styleId="11">
    <w:name w:val="页脚1"/>
    <w:basedOn w:val="1"/>
    <w:qFormat/>
    <w:uiPriority w:val="0"/>
    <w:pPr>
      <w:tabs>
        <w:tab w:val="center" w:pos="4153"/>
        <w:tab w:val="right" w:pos="8306"/>
      </w:tabs>
      <w:snapToGrid w:val="0"/>
      <w:jc w:val="left"/>
    </w:pPr>
    <w:rPr>
      <w:sz w:val="18"/>
      <w:szCs w:val="18"/>
    </w:rPr>
  </w:style>
  <w:style w:type="paragraph" w:customStyle="1" w:styleId="12">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rPr>
  </w:style>
  <w:style w:type="paragraph" w:customStyle="1" w:styleId="13">
    <w:name w:val="Body Text Indent 2_bb4d1f65-70a2-4f69-8af3-194d898dc300"/>
    <w:basedOn w:val="1"/>
    <w:qFormat/>
    <w:uiPriority w:val="0"/>
    <w:pPr>
      <w:spacing w:after="120" w:line="480" w:lineRule="auto"/>
      <w:ind w:left="200" w:leftChars="200"/>
    </w:pPr>
    <w:rPr>
      <w:szCs w:val="21"/>
    </w:rPr>
  </w:style>
  <w:style w:type="paragraph" w:customStyle="1" w:styleId="14">
    <w:name w:val="段"/>
    <w:qFormat/>
    <w:uiPriority w:val="0"/>
    <w:pPr>
      <w:autoSpaceDE w:val="0"/>
      <w:autoSpaceDN w:val="0"/>
      <w:ind w:firstLine="200"/>
      <w:jc w:val="both"/>
    </w:pPr>
    <w:rPr>
      <w:rFonts w:ascii="宋体" w:hAnsi="Times New Roman" w:eastAsia="宋体" w:cs="Times New Roman"/>
      <w:sz w:val="21"/>
      <w:szCs w:val="22"/>
      <w:lang w:val="en-US" w:eastAsia="zh-CN" w:bidi="ar-SA"/>
    </w:rPr>
  </w:style>
  <w:style w:type="paragraph" w:customStyle="1" w:styleId="15">
    <w:name w:val="Body Text First Indent 21"/>
    <w:basedOn w:val="1"/>
    <w:qFormat/>
    <w:uiPriority w:val="99"/>
    <w:pPr>
      <w:spacing w:after="120"/>
      <w:ind w:left="420" w:leftChars="200" w:firstLine="420" w:firstLineChars="200"/>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8754</Words>
  <Characters>8869</Characters>
  <Lines>0</Lines>
  <Paragraphs>0</Paragraphs>
  <TotalTime>10</TotalTime>
  <ScaleCrop>false</ScaleCrop>
  <LinksUpToDate>false</LinksUpToDate>
  <CharactersWithSpaces>8894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2024-01-28T00:31:00Z</dcterms:created>
  <dc:creator>WPS_1653969240</dc:creator>
  <cp:lastModifiedBy>孙少</cp:lastModifiedBy>
  <cp:lastPrinted>2024-04-19T09:35:00Z</cp:lastPrinted>
  <dcterms:modified xsi:type="dcterms:W3CDTF">2024-06-18T08:03:00Z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83916D8623D9449EB0849156B0A7B1BA_13</vt:lpwstr>
  </property>
</Properties>
</file>