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tbl>
      <w:tblPr>
        <w:tblStyle w:val="2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2228"/>
        <w:gridCol w:w="2087"/>
        <w:gridCol w:w="1079"/>
        <w:gridCol w:w="2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61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南乐县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建筑业企业资质核准表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企业名称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事项名称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事项类型</w:t>
            </w:r>
          </w:p>
        </w:tc>
        <w:tc>
          <w:tcPr>
            <w:tcW w:w="2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综合结论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河南濮润智能机械工程有限公司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电力工程施工总承包二级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增项</w:t>
            </w:r>
          </w:p>
        </w:tc>
        <w:tc>
          <w:tcPr>
            <w:tcW w:w="2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拟同意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Dg3ZjhmYzYwYjgwZTgxZjI5NjJmNDBmNTMyMDIifQ=="/>
  </w:docVars>
  <w:rsids>
    <w:rsidRoot w:val="6E2D142D"/>
    <w:rsid w:val="6E2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2024-07-17T00:28:00Z</dcterms:created>
  <dc:creator>圆圆圆哒</dc:creator>
  <cp:lastModifiedBy>圆圆圆哒</cp:lastModifiedBy>
  <dcterms:modified xsi:type="dcterms:W3CDTF">2024-07-17T00:29:16Z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6CFF68D8D24F4B2BA7654958FFE9DF4D_11</vt:lpwstr>
  </property>
</Properties>
</file>