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ascii="方正小标宋简体" w:hAnsi="黑体" w:eastAsia="方正小标宋简体"/>
          <w:bCs/>
          <w:sz w:val="44"/>
          <w:szCs w:val="44"/>
        </w:rPr>
        <w:br w:type="textWrapping"/>
      </w:r>
      <w:r>
        <w:rPr>
          <w:rFonts w:hint="eastAsia" w:ascii="方正小标宋简体" w:hAnsi="黑体" w:eastAsia="方正小标宋简体"/>
          <w:bCs/>
          <w:sz w:val="44"/>
          <w:szCs w:val="44"/>
        </w:rPr>
        <w:t>殷都区水冶镇202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年政府预算情况说明</w:t>
      </w:r>
    </w:p>
    <w:p>
      <w:pPr>
        <w:spacing w:line="160" w:lineRule="atLeast"/>
        <w:jc w:val="left"/>
        <w:rPr>
          <w:rFonts w:ascii="黑体" w:hAnsi="Times New Roman" w:eastAsia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/>
          <w:sz w:val="56"/>
          <w:szCs w:val="56"/>
        </w:rPr>
      </w:pPr>
      <w:r>
        <w:rPr>
          <w:rFonts w:hint="eastAsia" w:ascii="黑体" w:hAnsi="Times New Roman" w:eastAsia="黑体"/>
          <w:sz w:val="56"/>
          <w:szCs w:val="56"/>
        </w:rPr>
        <w:t>目  录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年财政转移支付安排情况</w:t>
      </w: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二、重大政策和重点项目等绩效目标</w:t>
      </w: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三、举借债务情况说明</w:t>
      </w: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四、“三公”经费预算安排情况说明</w:t>
      </w: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1436" w:firstLineChars="325"/>
        <w:jc w:val="left"/>
        <w:rPr>
          <w:rFonts w:ascii="黑体" w:eastAsia="黑体"/>
          <w:b/>
          <w:sz w:val="44"/>
          <w:szCs w:val="44"/>
        </w:rPr>
      </w:pPr>
    </w:p>
    <w:p>
      <w:pPr>
        <w:spacing w:line="560" w:lineRule="exact"/>
        <w:ind w:firstLine="630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黑体" w:eastAsia="黑体"/>
          <w:b/>
          <w:sz w:val="32"/>
          <w:szCs w:val="32"/>
        </w:rPr>
        <w:t>一、202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年财政转移支付安排情况</w:t>
      </w:r>
    </w:p>
    <w:p>
      <w:pPr>
        <w:ind w:firstLine="627" w:firstLineChars="196"/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年，我镇无中央、省、市转移支付安排。</w:t>
      </w:r>
    </w:p>
    <w:p>
      <w:pPr>
        <w:ind w:firstLine="630" w:firstLineChars="196"/>
        <w:jc w:val="left"/>
        <w:rPr>
          <w:rFonts w:ascii="黑体" w:eastAsia="黑体"/>
          <w:b/>
          <w:sz w:val="32"/>
          <w:szCs w:val="32"/>
        </w:rPr>
      </w:pPr>
    </w:p>
    <w:p>
      <w:pPr>
        <w:ind w:firstLine="630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二、重大政策和重点项目等绩效目标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>
      <w:pPr>
        <w:jc w:val="left"/>
        <w:rPr>
          <w:rFonts w:ascii="黑体" w:eastAsia="黑体"/>
          <w:b/>
          <w:sz w:val="32"/>
          <w:szCs w:val="32"/>
        </w:rPr>
      </w:pPr>
    </w:p>
    <w:p>
      <w:pPr>
        <w:ind w:firstLine="630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年举借债务情况说明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年，根据《预算法》和《国务院关于加强地方政府性债务管理的意见》（国发〔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43</w:t>
      </w:r>
      <w:r>
        <w:rPr>
          <w:rFonts w:hint="eastAsia" w:ascii="仿宋_GB2312" w:eastAsia="仿宋_GB2312"/>
          <w:sz w:val="32"/>
          <w:szCs w:val="32"/>
        </w:rPr>
        <w:t>号）和《河南省人民政府关于加强政府性债务管理的意见》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豫政〔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等文件要求，在加强债务管理，杜绝各种违法担保、变相举债行为的同时，健全债务台账管理，动态掌握债务变动情况。</w:t>
      </w:r>
      <w:r>
        <w:rPr>
          <w:rFonts w:hint="eastAsia" w:ascii="仿宋_GB2312" w:hAnsi="仿宋" w:eastAsia="仿宋_GB2312" w:cs="仿宋"/>
          <w:sz w:val="32"/>
          <w:szCs w:val="32"/>
        </w:rPr>
        <w:t>积极学习研究国家关于政府债务管理方面的政策法规，结合我乡实际，尽力</w:t>
      </w:r>
      <w:r>
        <w:rPr>
          <w:rFonts w:hint="eastAsia" w:ascii="仿宋_GB2312" w:eastAsia="仿宋_GB2312"/>
          <w:sz w:val="32"/>
          <w:szCs w:val="32"/>
        </w:rPr>
        <w:t>从管理模式和体制上规范债务管理，防范债务风险。我乡无举债情况。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四、202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年“三公”经费预算说明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年“三公”经费预算安排32.00万元，与上年持平。其中：因公出国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（境）费预算为零，公务用车购置费0万元，公车用车运行费32.00万元，公务接待费0万元。公务接待费没有变化主要原因是继续按照公务接待管理办法规定，厉行勤俭节约，严格接待审批，压缩公务接待费支出；公务用车购置费没有变化主要是公务用车使用依规定严格管理。公务运行维护费持平主要是加强公务用车使用管理，减少车辆维修维护费用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yY2ZkMzgyNzY2Nzg2ZDljY2Q3ZjRiZjk0OWFhMjQifQ=="/>
  </w:docVars>
  <w:rsids>
    <w:rsidRoot w:val="00781BEE"/>
    <w:rsid w:val="00004438"/>
    <w:rsid w:val="00033304"/>
    <w:rsid w:val="00041FE9"/>
    <w:rsid w:val="000746B1"/>
    <w:rsid w:val="001278E6"/>
    <w:rsid w:val="00346DED"/>
    <w:rsid w:val="003B48DB"/>
    <w:rsid w:val="00423067"/>
    <w:rsid w:val="004524C9"/>
    <w:rsid w:val="004F48CB"/>
    <w:rsid w:val="005F155E"/>
    <w:rsid w:val="00781BEE"/>
    <w:rsid w:val="007F7215"/>
    <w:rsid w:val="0084639D"/>
    <w:rsid w:val="008D2E33"/>
    <w:rsid w:val="008F4C4F"/>
    <w:rsid w:val="00A06F7C"/>
    <w:rsid w:val="00A812C1"/>
    <w:rsid w:val="00A81B81"/>
    <w:rsid w:val="00B66793"/>
    <w:rsid w:val="00C228F5"/>
    <w:rsid w:val="00D0139D"/>
    <w:rsid w:val="00D57377"/>
    <w:rsid w:val="00E20648"/>
    <w:rsid w:val="00E36DD9"/>
    <w:rsid w:val="00EE162A"/>
    <w:rsid w:val="00FF52C5"/>
    <w:rsid w:val="3A63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118</Words>
  <Characters>679</Characters>
  <Lines>5</Lines>
  <Paragraphs>1</Paragraphs>
  <TotalTime>22</TotalTime>
  <ScaleCrop>false</ScaleCrop>
  <LinksUpToDate>false</LinksUpToDate>
  <CharactersWithSpaces>796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2019-11-12T02:06:00Z</dcterms:created>
  <dc:creator>匿名用户</dc:creator>
  <cp:lastModifiedBy>李纲</cp:lastModifiedBy>
  <dcterms:modified xsi:type="dcterms:W3CDTF">2024-03-21T01:11:58Z</dcterms:modified>
  <dc:title>_x000b_殷都区2019年政府预算情况说明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970D6EABA32D4E24BDA50F18AD232134_12</vt:lpwstr>
  </property>
</Properties>
</file>