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ascii="方正小标宋简体" w:hAnsi="黑体" w:eastAsia="方正小标宋简体" w:cs="黑体"/>
          <w:bCs/>
          <w:sz w:val="44"/>
          <w:szCs w:val="44"/>
        </w:rPr>
        <w:br w:type="textWrapping"/>
      </w:r>
    </w:p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hint="eastAsia" w:ascii="方正小标宋简体" w:hAnsi="黑体" w:eastAsia="方正小标宋简体" w:cs="黑体"/>
          <w:bCs/>
          <w:sz w:val="84"/>
          <w:szCs w:val="84"/>
        </w:rPr>
        <w:t>殷都区</w:t>
      </w:r>
    </w:p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hint="eastAsia" w:ascii="方正小标宋简体" w:hAnsi="黑体" w:eastAsia="方正小标宋简体" w:cs="黑体"/>
          <w:bCs/>
          <w:sz w:val="84"/>
          <w:szCs w:val="84"/>
        </w:rPr>
        <w:t>202</w:t>
      </w:r>
      <w:r>
        <w:rPr>
          <w:rFonts w:hint="eastAsia" w:ascii="方正小标宋简体" w:hAnsi="黑体" w:eastAsia="方正小标宋简体" w:cs="黑体"/>
          <w:bCs/>
          <w:sz w:val="84"/>
          <w:szCs w:val="8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Cs/>
          <w:sz w:val="84"/>
          <w:szCs w:val="84"/>
        </w:rPr>
        <w:t>年政府预算情况</w:t>
      </w:r>
    </w:p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hint="eastAsia" w:ascii="方正小标宋简体" w:hAnsi="黑体" w:eastAsia="方正小标宋简体" w:cs="黑体"/>
          <w:bCs/>
          <w:sz w:val="84"/>
          <w:szCs w:val="84"/>
        </w:rPr>
        <w:t>说  明</w:t>
      </w: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22" w:firstLineChars="7"/>
        <w:jc w:val="center"/>
        <w:rPr>
          <w:rFonts w:ascii="仿宋_GB2312" w:hAnsi="Times New Roman" w:eastAsia="仿宋_GB2312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1" w:firstLineChars="7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1" w:firstLineChars="7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1" w:firstLineChars="7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目  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一、财政转移支付安排情况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二、重大政策和重点项目等绩效目标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三、举借债务情况说明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四、 “三公”经费预算安排情况说明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044" w:firstLineChars="325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财政转移支付安排情况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年，上级补助收入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21500</w:t>
      </w:r>
      <w:r>
        <w:rPr>
          <w:rFonts w:hint="eastAsia" w:ascii="仿宋_GB2312" w:eastAsia="仿宋_GB2312" w:cs="仿宋_GB2312"/>
          <w:sz w:val="32"/>
          <w:szCs w:val="32"/>
        </w:rPr>
        <w:t>万元。其中：</w:t>
      </w:r>
      <w:r>
        <w:rPr>
          <w:rFonts w:hint="eastAsia" w:ascii="仿宋_GB2312" w:eastAsia="仿宋_GB2312"/>
          <w:sz w:val="32"/>
          <w:szCs w:val="32"/>
        </w:rPr>
        <w:t>返还性收入3592万元，一般性转移支付收入为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17908</w:t>
      </w:r>
      <w:r>
        <w:rPr>
          <w:rFonts w:hint="eastAsia" w:ascii="仿宋_GB2312" w:eastAsia="仿宋_GB2312"/>
          <w:sz w:val="32"/>
          <w:szCs w:val="32"/>
        </w:rPr>
        <w:t xml:space="preserve">万元，专项转移支付收入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万元。具体项目情况是：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一、返还性收入3592万元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增值税税收返还901万元，所得税基数返还406万元，成品油税费改革税收返还182万元，增值税五五分成返还2103万元。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二、一般性转移支付收入为</w: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/>
        </w:rPr>
        <w:t>17908</w:t>
      </w:r>
      <w:r>
        <w:rPr>
          <w:rFonts w:hint="eastAsia" w:ascii="黑体" w:hAnsi="黑体" w:eastAsia="黑体" w:cstheme="minorBidi"/>
          <w:kern w:val="2"/>
          <w:sz w:val="32"/>
          <w:szCs w:val="32"/>
        </w:rPr>
        <w:t>万元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均衡性转移支付收入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8083</w:t>
      </w:r>
      <w:r>
        <w:rPr>
          <w:rFonts w:hint="eastAsia" w:ascii="仿宋_GB2312" w:eastAsia="仿宋_GB2312"/>
          <w:sz w:val="32"/>
          <w:szCs w:val="32"/>
        </w:rPr>
        <w:t>万元，县级基本财力保障机制奖补资金收入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2052</w:t>
      </w:r>
      <w:r>
        <w:rPr>
          <w:rFonts w:hint="eastAsia" w:ascii="仿宋_GB2312" w:eastAsia="仿宋_GB2312"/>
          <w:sz w:val="32"/>
          <w:szCs w:val="32"/>
        </w:rPr>
        <w:t>万元，产粮大县奖</w:t>
      </w:r>
      <w:r>
        <w:rPr>
          <w:rFonts w:hint="eastAsia" w:ascii="仿宋_GB2312" w:eastAsia="仿宋_GB2312"/>
          <w:color w:val="auto"/>
          <w:sz w:val="32"/>
          <w:szCs w:val="32"/>
        </w:rPr>
        <w:t>励资金收入为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1390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公共安全共同财政事权转移支付收入127万，</w:t>
      </w:r>
      <w:r>
        <w:rPr>
          <w:rFonts w:hint="eastAsia" w:ascii="仿宋_GB2312" w:eastAsia="仿宋_GB2312"/>
          <w:color w:val="auto"/>
          <w:sz w:val="32"/>
          <w:szCs w:val="32"/>
        </w:rPr>
        <w:t>教育共同财政事权转移支付收入为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5096</w:t>
      </w:r>
      <w:r>
        <w:rPr>
          <w:rFonts w:hint="eastAsia"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社会保障和就业共同财政事权转移支付收入为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919</w:t>
      </w:r>
      <w:r>
        <w:rPr>
          <w:rFonts w:hint="eastAsia" w:ascii="仿宋_GB2312" w:eastAsia="仿宋_GB2312"/>
          <w:sz w:val="32"/>
          <w:szCs w:val="32"/>
        </w:rPr>
        <w:t>万元，医疗卫生共同财政事权转移支付收入为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sz w:val="32"/>
          <w:szCs w:val="32"/>
        </w:rPr>
        <w:t>万元，农林水共同财政事权转移支付收入为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其他一般性转移支付收入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三、专项转移支付收入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theme="minorBidi"/>
          <w:kern w:val="2"/>
          <w:sz w:val="32"/>
          <w:szCs w:val="32"/>
        </w:rPr>
        <w:t>万元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重大政策和重点项目等绩效目标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>
      <w:pPr>
        <w:tabs>
          <w:tab w:val="left" w:pos="79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，重点开展财政专项扶贫资金绩效考评工作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年我区预算项目支出，均编报了绩效目标，各部门绩效目标编报情况已在本部门公开内容里单独列示。</w:t>
      </w:r>
    </w:p>
    <w:p>
      <w:pPr>
        <w:tabs>
          <w:tab w:val="left" w:pos="79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举借债务情况说明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</w:rPr>
        <w:t>一、202</w:t>
      </w: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</w:rPr>
        <w:t>年限额及余额情况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省财政厅核定全区202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年年底政府债务限额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463034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万元，其中：一般债务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99465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万元，专项债务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363569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年底，全区政府债务余额合计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462792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万元，其中：一般债务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99292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万元，专项债务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363500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万元。全区政府债务余额不超过省财政厅核定的限额。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楷体" w:hAnsi="楷体" w:eastAsia="楷体" w:cstheme="minorBidi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</w:rPr>
        <w:t>二、202</w:t>
      </w: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</w:rPr>
        <w:t>年发行及还本付息情况</w:t>
      </w:r>
    </w:p>
    <w:p>
      <w:pPr>
        <w:autoSpaceDN w:val="0"/>
        <w:spacing w:line="57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年，上级下达我区债券资金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57353</w:t>
      </w:r>
      <w:r>
        <w:rPr>
          <w:rFonts w:hint="eastAsia" w:ascii="仿宋_GB2312" w:eastAsia="仿宋_GB2312"/>
          <w:sz w:val="32"/>
          <w:szCs w:val="32"/>
          <w:highlight w:val="none"/>
        </w:rPr>
        <w:t>万元。其中：新增一般债券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3053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54300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  <w:t>202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年，全区政府债券还本付息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23455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万元，其中：一般债券还本付息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18206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万元，专项债券还本付息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5249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万元。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</w:rPr>
        <w:t>三、提前告知</w:t>
      </w:r>
      <w:r>
        <w:rPr>
          <w:rFonts w:ascii="黑体" w:hAnsi="黑体" w:eastAsia="黑体" w:cstheme="minorBidi"/>
          <w:kern w:val="2"/>
          <w:sz w:val="32"/>
          <w:szCs w:val="32"/>
          <w:highlight w:val="none"/>
        </w:rPr>
        <w:t>202</w:t>
      </w: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</w:rPr>
        <w:t>年政府债务限额情况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省财政厅提前告知我区</w:t>
      </w:r>
      <w:r>
        <w:rPr>
          <w:rFonts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年新增债务限额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52000</w:t>
      </w:r>
      <w:r>
        <w:rPr>
          <w:rFonts w:hint="eastAsia" w:ascii="仿宋_GB2312" w:eastAsia="仿宋_GB2312"/>
          <w:sz w:val="32"/>
          <w:szCs w:val="32"/>
          <w:highlight w:val="none"/>
        </w:rPr>
        <w:t>万元，全部为专项债务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52000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黑体" w:hAnsi="黑体" w:eastAsia="黑体" w:cstheme="minorBidi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</w:rPr>
        <w:t>四、202</w:t>
      </w: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theme="minorBidi"/>
          <w:kern w:val="2"/>
          <w:sz w:val="32"/>
          <w:szCs w:val="32"/>
          <w:highlight w:val="none"/>
        </w:rPr>
        <w:t>年还本付息预算安排情况</w:t>
      </w:r>
    </w:p>
    <w:p>
      <w:pPr>
        <w:pStyle w:val="4"/>
        <w:shd w:val="clear" w:color="auto" w:fill="FFFFFF"/>
        <w:spacing w:before="0" w:beforeAutospacing="0" w:after="0" w:afterAutospacing="0" w:line="550" w:lineRule="exact"/>
        <w:ind w:firstLine="640"/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202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年还本付息预算数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15276.22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万元，其中一般债券还本付息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3253.27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还本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付息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12022.95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万元。</w:t>
      </w:r>
      <w:r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  <w:t xml:space="preserve"> </w:t>
      </w:r>
    </w:p>
    <w:p>
      <w:pPr>
        <w:spacing w:line="55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年，根据《预算法》和《国务院关于加强地方政府性债务管理的意见》（国发〔2014〕43号）和《河南省人民政府关于加强政府性债务管理的意见》(豫政 〔2016〕11号)等文件要求，在加强债务管理，杜绝各种违法担保、变相举债行为的同时，健全债务台账管理，动态掌握债务变动情况。</w:t>
      </w:r>
      <w:r>
        <w:rPr>
          <w:rFonts w:hint="eastAsia" w:ascii="仿宋_GB2312" w:hAnsi="仿宋" w:eastAsia="仿宋_GB2312" w:cs="仿宋"/>
          <w:sz w:val="32"/>
          <w:szCs w:val="32"/>
        </w:rPr>
        <w:t>积极学习研究国家关于政府债务管理方面的政策法规，结合我区实际，尽力</w:t>
      </w:r>
      <w:r>
        <w:rPr>
          <w:rFonts w:hint="eastAsia" w:ascii="仿宋_GB2312" w:eastAsia="仿宋_GB2312"/>
          <w:sz w:val="32"/>
          <w:szCs w:val="32"/>
        </w:rPr>
        <w:t>从管理模式和体制上规范债务管理，防范债务风险。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2023年“三公”经费预算说明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年“三公”经费预算安排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543</w:t>
      </w:r>
      <w:r>
        <w:rPr>
          <w:rFonts w:hint="eastAsia" w:ascii="仿宋_GB2312" w:eastAsia="仿宋_GB2312"/>
          <w:sz w:val="32"/>
          <w:szCs w:val="32"/>
        </w:rPr>
        <w:t>万元，较上年减少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15.55</w:t>
      </w:r>
      <w:r>
        <w:rPr>
          <w:rFonts w:hint="eastAsia" w:ascii="仿宋_GB2312" w:eastAsia="仿宋_GB2312"/>
          <w:sz w:val="32"/>
          <w:szCs w:val="32"/>
        </w:rPr>
        <w:t>%。其中：因公出国（境）费预算为零，公务用车购置费0万元，公车用车运行费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543</w:t>
      </w:r>
      <w:r>
        <w:rPr>
          <w:rFonts w:hint="eastAsia" w:ascii="仿宋_GB2312" w:eastAsia="仿宋_GB2312"/>
          <w:sz w:val="32"/>
          <w:szCs w:val="32"/>
        </w:rPr>
        <w:t>万元，公务接待费0万元。公务接待费下降的主要原因是继续按照公务接待管理办法规定，厉行勤俭节约，严格接待审批，压缩公务接待费支出；公务运行维护费减少主要是加强公务用车使用管理，减少车辆维修维护费用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7061450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YTllMWMyMWVjZDQxYTM5YjhlMmU2ZmM3MDk3ZDIifQ=="/>
  </w:docVars>
  <w:rsids>
    <w:rsidRoot w:val="00687C8E"/>
    <w:rsid w:val="0000215D"/>
    <w:rsid w:val="00011E17"/>
    <w:rsid w:val="00035701"/>
    <w:rsid w:val="000E3415"/>
    <w:rsid w:val="00117822"/>
    <w:rsid w:val="001461AE"/>
    <w:rsid w:val="00173A42"/>
    <w:rsid w:val="00183565"/>
    <w:rsid w:val="001B03E6"/>
    <w:rsid w:val="001C1E7A"/>
    <w:rsid w:val="001C279F"/>
    <w:rsid w:val="001F7BEA"/>
    <w:rsid w:val="002040A5"/>
    <w:rsid w:val="00231DAB"/>
    <w:rsid w:val="00231FAC"/>
    <w:rsid w:val="002812F4"/>
    <w:rsid w:val="00295389"/>
    <w:rsid w:val="002A0B18"/>
    <w:rsid w:val="0032320E"/>
    <w:rsid w:val="003345DB"/>
    <w:rsid w:val="00340EC8"/>
    <w:rsid w:val="003423A5"/>
    <w:rsid w:val="00372178"/>
    <w:rsid w:val="003D7398"/>
    <w:rsid w:val="004039FB"/>
    <w:rsid w:val="004260FD"/>
    <w:rsid w:val="00441601"/>
    <w:rsid w:val="00441A18"/>
    <w:rsid w:val="00451ED3"/>
    <w:rsid w:val="00461995"/>
    <w:rsid w:val="00483510"/>
    <w:rsid w:val="005046D2"/>
    <w:rsid w:val="00553DDA"/>
    <w:rsid w:val="00586A9D"/>
    <w:rsid w:val="006426B9"/>
    <w:rsid w:val="00687C8E"/>
    <w:rsid w:val="006A0FD8"/>
    <w:rsid w:val="006B6297"/>
    <w:rsid w:val="006D613C"/>
    <w:rsid w:val="006F18F8"/>
    <w:rsid w:val="00701740"/>
    <w:rsid w:val="0070178F"/>
    <w:rsid w:val="00712482"/>
    <w:rsid w:val="00734857"/>
    <w:rsid w:val="00766A5F"/>
    <w:rsid w:val="007D4A00"/>
    <w:rsid w:val="008025C0"/>
    <w:rsid w:val="008574CC"/>
    <w:rsid w:val="0089185C"/>
    <w:rsid w:val="00896181"/>
    <w:rsid w:val="008F0E24"/>
    <w:rsid w:val="00970F18"/>
    <w:rsid w:val="009B74F6"/>
    <w:rsid w:val="00A23A59"/>
    <w:rsid w:val="00A26E7C"/>
    <w:rsid w:val="00A91C4F"/>
    <w:rsid w:val="00A972FF"/>
    <w:rsid w:val="00AB1262"/>
    <w:rsid w:val="00AD2AB1"/>
    <w:rsid w:val="00AE3FBD"/>
    <w:rsid w:val="00B1444A"/>
    <w:rsid w:val="00B2122A"/>
    <w:rsid w:val="00B25C3E"/>
    <w:rsid w:val="00B37A92"/>
    <w:rsid w:val="00B743C1"/>
    <w:rsid w:val="00BD05BD"/>
    <w:rsid w:val="00C36442"/>
    <w:rsid w:val="00C42103"/>
    <w:rsid w:val="00C80E42"/>
    <w:rsid w:val="00D756D2"/>
    <w:rsid w:val="00D84000"/>
    <w:rsid w:val="00D85C00"/>
    <w:rsid w:val="00DF2819"/>
    <w:rsid w:val="00E331F3"/>
    <w:rsid w:val="00E43E76"/>
    <w:rsid w:val="00E44390"/>
    <w:rsid w:val="00E51D17"/>
    <w:rsid w:val="00E75A56"/>
    <w:rsid w:val="00EC3CAB"/>
    <w:rsid w:val="00EE4587"/>
    <w:rsid w:val="00F02052"/>
    <w:rsid w:val="00F178E4"/>
    <w:rsid w:val="00F4644B"/>
    <w:rsid w:val="00FE0474"/>
    <w:rsid w:val="0F4B3768"/>
    <w:rsid w:val="12B409F7"/>
    <w:rsid w:val="12CA34ED"/>
    <w:rsid w:val="15C24534"/>
    <w:rsid w:val="18E53C3D"/>
    <w:rsid w:val="19732E72"/>
    <w:rsid w:val="22A11FCF"/>
    <w:rsid w:val="23092822"/>
    <w:rsid w:val="2B79180C"/>
    <w:rsid w:val="36933A8C"/>
    <w:rsid w:val="37003C4A"/>
    <w:rsid w:val="3D9105CB"/>
    <w:rsid w:val="47193F54"/>
    <w:rsid w:val="4F984A12"/>
    <w:rsid w:val="66E3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278</Words>
  <Characters>1588</Characters>
  <Lines>13</Lines>
  <Paragraphs>3</Paragraphs>
  <TotalTime>99</TotalTime>
  <ScaleCrop>false</ScaleCrop>
  <LinksUpToDate>false</LinksUpToDate>
  <CharactersWithSpaces>1863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2023-07-21T01:51:00Z</dcterms:created>
  <dc:creator>匿名用户</dc:creator>
  <cp:lastModifiedBy>天天向下-.-</cp:lastModifiedBy>
  <cp:lastPrinted>2020-07-01T02:23:00Z</cp:lastPrinted>
  <dcterms:modified xsi:type="dcterms:W3CDTF">2024-08-14T00:44:52Z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41A3CA895EF6474785195089F3F49273_13</vt:lpwstr>
  </property>
</Properties>
</file>