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807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sz w:val="32"/>
          <w:szCs w:val="32"/>
        </w:rPr>
      </w:pPr>
    </w:p>
    <w:p w14:paraId="16FA73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sz w:val="32"/>
          <w:szCs w:val="32"/>
        </w:rPr>
      </w:pPr>
    </w:p>
    <w:p w14:paraId="2B76AD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sz w:val="32"/>
          <w:szCs w:val="32"/>
        </w:rPr>
      </w:pPr>
    </w:p>
    <w:p w14:paraId="495238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仿宋" w:hAnsi="仿宋" w:eastAsia="仿宋" w:cs="仿宋"/>
          <w:b w:val="0"/>
          <w:bCs w:val="0"/>
          <w:sz w:val="32"/>
          <w:szCs w:val="32"/>
        </w:rPr>
      </w:pPr>
    </w:p>
    <w:p w14:paraId="0A8F4A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内政办〔2024〕号</w:t>
      </w:r>
    </w:p>
    <w:p w14:paraId="4C4A6F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p>
    <w:p w14:paraId="4725FC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sz w:val="32"/>
          <w:szCs w:val="32"/>
        </w:rPr>
      </w:pPr>
    </w:p>
    <w:p w14:paraId="15899F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sz w:val="32"/>
          <w:szCs w:val="32"/>
        </w:rPr>
      </w:pPr>
    </w:p>
    <w:p w14:paraId="53B40F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textAlignment w:val="auto"/>
        <w:rPr>
          <w:rFonts w:hint="eastAsia" w:ascii="仿宋" w:hAnsi="仿宋" w:eastAsia="仿宋" w:cs="仿宋"/>
          <w:b w:val="0"/>
          <w:bCs w:val="0"/>
          <w:sz w:val="36"/>
          <w:szCs w:val="36"/>
        </w:rPr>
      </w:pPr>
    </w:p>
    <w:p w14:paraId="1EB0E3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内乡县人民政府办公室</w:t>
      </w:r>
    </w:p>
    <w:p w14:paraId="464901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sz w:val="44"/>
          <w:szCs w:val="44"/>
        </w:rPr>
      </w:pPr>
      <w:r>
        <w:rPr>
          <w:rFonts w:hint="eastAsia" w:ascii="方正小标宋简体" w:hAnsi="方正小标宋简体" w:eastAsia="方正小标宋简体" w:cs="方正小标宋简体"/>
          <w:color w:val="auto"/>
          <w:sz w:val="44"/>
          <w:szCs w:val="44"/>
          <w:lang w:val="en-US" w:eastAsia="zh-CN"/>
        </w:rPr>
        <w:t>关于印发《内乡县2025年度城乡居民基本医疗保险征缴工作实施方案》的通知</w:t>
      </w:r>
    </w:p>
    <w:p w14:paraId="60A614E1">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b w:val="0"/>
          <w:bCs w:val="0"/>
          <w:sz w:val="32"/>
          <w:szCs w:val="32"/>
        </w:rPr>
      </w:pPr>
    </w:p>
    <w:p w14:paraId="550AED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各乡镇人民政府、县直有关单位：</w:t>
      </w:r>
    </w:p>
    <w:p w14:paraId="7C1154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《内乡县2025年度城乡居民基本医疗保险征缴工作实施方案》已经县政府同意，现印发给你们，请认真抓好落实。</w:t>
      </w:r>
    </w:p>
    <w:p w14:paraId="0B10FE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p>
    <w:p w14:paraId="69B493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p>
    <w:p w14:paraId="2A11E2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2024年9月  日</w:t>
      </w:r>
    </w:p>
    <w:p w14:paraId="04CE1B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p>
    <w:p w14:paraId="5EBC0C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sz w:val="32"/>
          <w:szCs w:val="32"/>
        </w:rPr>
      </w:pPr>
    </w:p>
    <w:p w14:paraId="63F660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sz w:val="32"/>
          <w:szCs w:val="32"/>
        </w:rPr>
      </w:pPr>
    </w:p>
    <w:p w14:paraId="3E80F7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sz w:val="32"/>
          <w:szCs w:val="32"/>
        </w:rPr>
      </w:pPr>
    </w:p>
    <w:p w14:paraId="4884D7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sz w:val="32"/>
          <w:szCs w:val="32"/>
        </w:rPr>
      </w:pPr>
    </w:p>
    <w:p w14:paraId="7CB2EC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内乡县2025年度城乡居民</w:t>
      </w:r>
    </w:p>
    <w:p w14:paraId="03D267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基本医疗保险集中征缴工作实施方案</w:t>
      </w:r>
    </w:p>
    <w:p w14:paraId="24EB80E5">
      <w:pPr>
        <w:spacing w:line="500" w:lineRule="exact"/>
        <w:ind w:firstLine="640" w:firstLineChars="200"/>
        <w:rPr>
          <w:rFonts w:hint="eastAsia" w:ascii="仿宋" w:hAnsi="仿宋" w:eastAsia="仿宋" w:cs="仿宋"/>
          <w:sz w:val="32"/>
          <w:szCs w:val="32"/>
        </w:rPr>
      </w:pPr>
    </w:p>
    <w:p w14:paraId="7FE362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为深入实施全民参保计划，提高基本医疗保险参保率，推动医疗保障工作健康可持续发展，切实做好内乡县2025年度城乡居民基本医疗保险征缴工作，按照“政府主导、部门配合、村级参与、多元征缴、双限报解、强化考评”的征缴机制，确保完成2025年度全县城乡居民基本医疗保险（以下简称“医保”）征缴工作任务，特制定本方案。</w:t>
      </w:r>
    </w:p>
    <w:p w14:paraId="691E8B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一、指导思想</w:t>
      </w:r>
    </w:p>
    <w:p w14:paraId="7F18CB38">
      <w:pPr>
        <w:topLinePunct/>
        <w:spacing w:line="580" w:lineRule="exact"/>
        <w:ind w:firstLine="640" w:firstLineChars="200"/>
        <w:rPr>
          <w:rFonts w:hint="eastAsia" w:ascii="仿宋" w:hAnsi="仿宋" w:eastAsia="仿宋" w:cs="仿宋"/>
          <w:b w:val="0"/>
          <w:bCs w:val="0"/>
          <w:sz w:val="32"/>
          <w:szCs w:val="32"/>
        </w:rPr>
      </w:pPr>
      <w:r>
        <w:rPr>
          <w:rFonts w:hint="eastAsia" w:ascii="仿宋_GB2312" w:hAnsi="仿宋_GB2312" w:eastAsia="仿宋_GB2312" w:cs="Times New Roman"/>
          <w:color w:val="auto"/>
          <w:sz w:val="32"/>
          <w:szCs w:val="32"/>
          <w:lang w:val="en-US" w:eastAsia="zh-CN"/>
        </w:rPr>
        <w:t>以习近平新时代中国特色社会主义思想为指导，全面贯彻落实党的二十大和二十届二中、三中全会精神，认真落实党中央、国务院决策部署和有关任务要求，进一步深化医疗保障制度改革，促进医疗保障高质量发展取得新成效，以健全“覆盖全民、统筹城乡、公平统一、安全规范、多层次、可持续”的医疗保障体系为目标，全面强化保费征缴工作，实现医保基金规模稳步增长和人民基本医疗的持续保障。</w:t>
      </w:r>
    </w:p>
    <w:p w14:paraId="2C0B51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二、目标任务</w:t>
      </w:r>
    </w:p>
    <w:p w14:paraId="50C5CC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以实现“应保尽保、不重不漏”为总体目标，2024年12月底前完成城乡居民医保参保信息录入、保费划转等工作，参保覆盖面完成年度目标任务突破58.6万人，为实现城乡居民医保基金健康可持续运行打下坚实基础。</w:t>
      </w:r>
    </w:p>
    <w:p w14:paraId="71AF7111">
      <w:pPr>
        <w:topLinePunct/>
        <w:spacing w:line="580" w:lineRule="exact"/>
        <w:ind w:firstLine="640" w:firstLineChars="200"/>
        <w:rPr>
          <w:rFonts w:hint="eastAsia" w:ascii="仿宋_GB2312" w:hAnsi="仿宋" w:eastAsia="仿宋_GB2312" w:cs="仿宋"/>
          <w:sz w:val="32"/>
          <w:szCs w:val="32"/>
        </w:rPr>
      </w:pPr>
    </w:p>
    <w:p w14:paraId="4FF2C6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三、征缴范围和标准</w:t>
      </w:r>
    </w:p>
    <w:p w14:paraId="5B35932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（一）征缴范围。</w:t>
      </w:r>
      <w:r>
        <w:rPr>
          <w:rFonts w:hint="eastAsia" w:ascii="仿宋_GB2312" w:hAnsi="仿宋_GB2312" w:eastAsia="仿宋_GB2312" w:cs="Times New Roman"/>
          <w:color w:val="auto"/>
          <w:sz w:val="32"/>
          <w:szCs w:val="32"/>
          <w:lang w:val="en-US" w:eastAsia="zh-CN"/>
        </w:rPr>
        <w:t>凡在我县行政区域内不属于职工医保覆盖范围的所有人员。具体包括：</w:t>
      </w:r>
    </w:p>
    <w:p w14:paraId="145852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1、农村居民；</w:t>
      </w:r>
    </w:p>
    <w:p w14:paraId="031EEA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2、城镇非从业居民；</w:t>
      </w:r>
    </w:p>
    <w:p w14:paraId="3DBAFF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3、全日制大中专院校学生；</w:t>
      </w:r>
    </w:p>
    <w:p w14:paraId="1F2FD8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4、长期在我县居住的外地户籍人员和因各种原因未及时登记户口的人员；</w:t>
      </w:r>
    </w:p>
    <w:p w14:paraId="6F618C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_GB2312" w:eastAsia="仿宋_GB2312" w:cs="Times New Roman"/>
          <w:color w:val="auto"/>
          <w:sz w:val="32"/>
          <w:szCs w:val="32"/>
          <w:lang w:val="en-US" w:eastAsia="zh-CN"/>
        </w:rPr>
        <w:t>5、国家和河南省规定的其他人员</w:t>
      </w:r>
      <w:r>
        <w:rPr>
          <w:rFonts w:hint="eastAsia" w:ascii="仿宋_GB2312" w:hAnsi="仿宋" w:eastAsia="仿宋_GB2312" w:cs="仿宋"/>
          <w:sz w:val="32"/>
          <w:szCs w:val="32"/>
        </w:rPr>
        <w:t>。</w:t>
      </w:r>
    </w:p>
    <w:p w14:paraId="50BCDE1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（二）征缴标准。</w:t>
      </w:r>
      <w:r>
        <w:rPr>
          <w:rFonts w:hint="eastAsia" w:ascii="仿宋_GB2312" w:hAnsi="仿宋_GB2312" w:eastAsia="仿宋_GB2312" w:cs="Times New Roman"/>
          <w:color w:val="auto"/>
          <w:sz w:val="32"/>
          <w:szCs w:val="32"/>
          <w:lang w:val="en-US" w:eastAsia="zh-CN"/>
        </w:rPr>
        <w:t>2025年度河南省缴费标准为每人1070元，其中财政补助不低于670元，个人缴费每人400元。对有关特殊群体进行全额或定额资助。具体包括：</w:t>
      </w:r>
    </w:p>
    <w:p w14:paraId="4CFCA0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1、特困人员、孤儿（困境儿童）全额补贴；</w:t>
      </w:r>
    </w:p>
    <w:p w14:paraId="44B615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2、低保对象、返贫致贫人口、农村易返贫致贫人口、脱贫享受政策人口、重度残疾人员给予80元的补贴；</w:t>
      </w:r>
    </w:p>
    <w:p w14:paraId="01F01B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上述特殊群体由相关单位提供名单，医保局统一标识后，按照分类补助标准只交差额。城乡居民医保集中征缴期结束后被认定为困难群众的，当年不享受资助参保待遇。</w:t>
      </w:r>
    </w:p>
    <w:p w14:paraId="5FA6721B">
      <w:pPr>
        <w:pStyle w:val="4"/>
        <w:widowControl w:val="0"/>
        <w:topLinePunct/>
        <w:spacing w:before="0" w:beforeAutospacing="0" w:after="0" w:afterAutospacing="0" w:line="580" w:lineRule="exact"/>
        <w:ind w:firstLine="640" w:firstLineChars="200"/>
        <w:jc w:val="both"/>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四、征缴程序</w:t>
      </w:r>
    </w:p>
    <w:p w14:paraId="25FC28FE">
      <w:pPr>
        <w:topLinePunct/>
        <w:spacing w:line="580" w:lineRule="exact"/>
        <w:ind w:firstLine="643" w:firstLineChars="200"/>
        <w:rPr>
          <w:rFonts w:hint="eastAsia" w:ascii="楷体_GB2312" w:hAnsi="楷体" w:eastAsia="楷体_GB2312" w:cs="楷体"/>
          <w:b/>
          <w:bCs/>
          <w:sz w:val="32"/>
          <w:szCs w:val="32"/>
          <w:lang w:val="en-US" w:eastAsia="zh-CN"/>
        </w:rPr>
      </w:pPr>
      <w:r>
        <w:rPr>
          <w:rFonts w:hint="eastAsia" w:ascii="楷体_GB2312" w:hAnsi="楷体_GB2312" w:eastAsia="楷体_GB2312" w:cs="楷体_GB2312"/>
          <w:b/>
          <w:bCs/>
          <w:color w:val="auto"/>
          <w:sz w:val="32"/>
          <w:szCs w:val="32"/>
          <w:lang w:val="en-US" w:eastAsia="zh-CN"/>
        </w:rPr>
        <w:t>（一）组织征收</w:t>
      </w:r>
    </w:p>
    <w:p w14:paraId="0E6C8227">
      <w:pPr>
        <w:shd w:val="clear" w:color="auto" w:fill="FFFFFF"/>
        <w:topLinePunct/>
        <w:spacing w:line="580" w:lineRule="exact"/>
        <w:ind w:firstLine="643" w:firstLineChars="200"/>
        <w:textAlignment w:val="baseline"/>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仿宋_GB2312"/>
          <w:b/>
          <w:bCs/>
          <w:sz w:val="32"/>
          <w:szCs w:val="32"/>
          <w:lang w:val="en-US" w:eastAsia="zh-CN"/>
        </w:rPr>
        <w:t>1、参保组织。</w:t>
      </w:r>
      <w:r>
        <w:rPr>
          <w:rFonts w:hint="eastAsia" w:ascii="仿宋_GB2312" w:hAnsi="仿宋_GB2312" w:eastAsia="仿宋_GB2312" w:cs="Times New Roman"/>
          <w:color w:val="auto"/>
          <w:sz w:val="32"/>
          <w:szCs w:val="32"/>
          <w:lang w:val="en-US" w:eastAsia="zh-CN"/>
        </w:rPr>
        <w:t>(1)各乡镇负责本辖区城乡居民医疗保险保费登记工作，以行政村、社区为单位对辖区内居民实行集中参保登记，做好辖区参保缴费人员登记台账。(2)中小学校在册学生和托幼机构幼儿原则上在户籍所在地随同家庭参保。(3)由民政部门核定的特困救助供养对象、孤儿（困境儿童</w:t>
      </w:r>
      <w:bookmarkStart w:id="0" w:name="_GoBack"/>
      <w:bookmarkEnd w:id="0"/>
      <w:r>
        <w:rPr>
          <w:rFonts w:hint="eastAsia" w:ascii="仿宋_GB2312" w:hAnsi="仿宋_GB2312" w:eastAsia="仿宋_GB2312" w:cs="Times New Roman"/>
          <w:color w:val="auto"/>
          <w:sz w:val="32"/>
          <w:szCs w:val="32"/>
          <w:lang w:val="en-US" w:eastAsia="zh-CN"/>
        </w:rPr>
        <w:t>)、低保对象，乡村振兴部门核定的返贫致贫人口、 农村易返贫致贫人口和脱贫享受政策户和残联部门核定的重度残疾人员在各村(社区)集中参保。</w:t>
      </w:r>
    </w:p>
    <w:p w14:paraId="7540856F">
      <w:pPr>
        <w:shd w:val="clear" w:color="auto" w:fill="FFFFFF"/>
        <w:topLinePunct/>
        <w:spacing w:line="580" w:lineRule="exact"/>
        <w:ind w:firstLine="643" w:firstLineChars="200"/>
        <w:textAlignment w:val="baseline"/>
        <w:rPr>
          <w:rFonts w:hint="eastAsia" w:ascii="仿宋_GB2312" w:hAnsi="仿宋_GB2312"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2、参保登记。</w:t>
      </w:r>
      <w:r>
        <w:rPr>
          <w:rFonts w:hint="eastAsia" w:ascii="仿宋_GB2312" w:hAnsi="仿宋_GB2312" w:eastAsia="仿宋_GB2312" w:cs="Times New Roman"/>
          <w:color w:val="auto"/>
          <w:sz w:val="32"/>
          <w:szCs w:val="32"/>
          <w:lang w:val="en-US" w:eastAsia="zh-CN"/>
        </w:rPr>
        <w:t>上年度已在我县办理过参保登记的居民今年无需再办理 2025年度城乡居民医保参保登记；上年度参保地与2025年度参保地不一致的(跨县区跨乡镇),需在新参保地重新办理参保登记方可缴费；上年度参保信息有误的居民，需携带本人有效身份证在参保登记机构进行信息变更。城乡居民医保参保登记机构为：(1)所在地乡镇行政审批中心医保服务窗口；(2)内乡县便民服务大厅医保中心服务窗口。</w:t>
      </w:r>
    </w:p>
    <w:p w14:paraId="76142F12">
      <w:pPr>
        <w:shd w:val="clear" w:color="auto" w:fill="FFFFFF"/>
        <w:topLinePunct/>
        <w:spacing w:line="580" w:lineRule="exact"/>
        <w:ind w:firstLine="643" w:firstLineChars="200"/>
        <w:textAlignment w:val="baseline"/>
        <w:rPr>
          <w:rFonts w:hint="eastAsia" w:ascii="仿宋_GB2312" w:hAnsi="仿宋_GB2312"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3、参保缴费。</w:t>
      </w:r>
      <w:r>
        <w:rPr>
          <w:rFonts w:hint="eastAsia" w:ascii="仿宋_GB2312" w:hAnsi="仿宋_GB2312" w:eastAsia="仿宋_GB2312" w:cs="Times New Roman"/>
          <w:color w:val="auto"/>
          <w:sz w:val="32"/>
          <w:szCs w:val="32"/>
          <w:lang w:val="en-US" w:eastAsia="zh-CN"/>
        </w:rPr>
        <w:t>征缴期间，采取个人直接缴费和集中征缴两种方式展开。缴费前缴费人、助缴代缴人应认真核对缴费金额、参保人身份信息及参保地为内乡县医疗保障局，确认无误后再进行缴费。</w:t>
      </w:r>
    </w:p>
    <w:p w14:paraId="45C03800">
      <w:pPr>
        <w:shd w:val="clear" w:color="auto" w:fill="FFFFFF"/>
        <w:topLinePunct/>
        <w:spacing w:line="58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（1）个人自主缴费。</w:t>
      </w:r>
    </w:p>
    <w:p w14:paraId="6C7F13A6">
      <w:pPr>
        <w:shd w:val="clear" w:color="auto" w:fill="FFFFFF"/>
        <w:topLinePunct/>
        <w:spacing w:line="580" w:lineRule="exact"/>
        <w:ind w:firstLine="640"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Times New Roman"/>
          <w:color w:val="auto"/>
          <w:sz w:val="32"/>
          <w:szCs w:val="32"/>
          <w:lang w:val="en-US" w:eastAsia="zh-CN"/>
        </w:rPr>
        <w:t>由各乡镇负责组织宣传动员，各行政村及社区负责收集自主缴费人员信息，做好信息互通，确保不漏一户、不错一人。</w:t>
      </w:r>
    </w:p>
    <w:p w14:paraId="17953333">
      <w:pPr>
        <w:shd w:val="clear" w:color="auto" w:fill="FFFFFF"/>
        <w:topLinePunct/>
        <w:spacing w:line="580" w:lineRule="exact"/>
        <w:ind w:firstLine="643" w:firstLineChars="200"/>
        <w:textAlignment w:val="baseline"/>
        <w:rPr>
          <w:rFonts w:hint="default" w:ascii="仿宋_GB2312" w:hAnsi="仿宋_GB2312" w:eastAsia="仿宋_GB2312" w:cs="Times New Roman"/>
          <w:color w:val="auto"/>
          <w:sz w:val="32"/>
          <w:szCs w:val="32"/>
          <w:lang w:val="en-US" w:eastAsia="zh-CN"/>
        </w:rPr>
      </w:pPr>
      <w:r>
        <w:rPr>
          <w:rFonts w:hint="eastAsia" w:ascii="仿宋_GB2312" w:hAnsi="仿宋_GB2312" w:eastAsia="仿宋_GB2312" w:cs="仿宋_GB2312"/>
          <w:b/>
          <w:bCs/>
          <w:sz w:val="32"/>
          <w:szCs w:val="32"/>
          <w:lang w:val="en-US" w:eastAsia="zh-CN"/>
        </w:rPr>
        <w:t>个人线上缴费，缴费人员可通过：</w:t>
      </w:r>
      <w:r>
        <w:rPr>
          <w:rFonts w:hint="eastAsia" w:ascii="仿宋_GB2312" w:hAnsi="仿宋_GB2312" w:eastAsia="仿宋_GB2312" w:cs="Times New Roman"/>
          <w:color w:val="auto"/>
          <w:sz w:val="32"/>
          <w:szCs w:val="32"/>
          <w:lang w:val="en-US" w:eastAsia="zh-CN"/>
        </w:rPr>
        <w:t>①“河南省税务”微信公众号；②微信“社保缴费”；③支付宝“豫事办”；④“河南税务”手机APP；⑤支付宝“社保缴费”；⑥支付宝“河南税务”等线上渠道。</w:t>
      </w:r>
    </w:p>
    <w:p w14:paraId="21815901">
      <w:pPr>
        <w:shd w:val="clear" w:color="auto" w:fill="FFFFFF"/>
        <w:topLinePunct/>
        <w:spacing w:line="580" w:lineRule="exact"/>
        <w:ind w:firstLine="643" w:firstLineChars="200"/>
        <w:textAlignment w:val="baseline"/>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仿宋_GB2312"/>
          <w:b/>
          <w:bCs/>
          <w:sz w:val="32"/>
          <w:szCs w:val="32"/>
          <w:lang w:val="en-US" w:eastAsia="zh-CN"/>
        </w:rPr>
        <w:t>个人线下缴费，缴费人员可通过：</w:t>
      </w:r>
      <w:r>
        <w:rPr>
          <w:rFonts w:hint="eastAsia" w:ascii="仿宋_GB2312" w:hAnsi="仿宋_GB2312" w:eastAsia="仿宋_GB2312" w:cs="Times New Roman"/>
          <w:color w:val="auto"/>
          <w:sz w:val="32"/>
          <w:szCs w:val="32"/>
          <w:lang w:val="en-US" w:eastAsia="zh-CN"/>
        </w:rPr>
        <w:t>①办税服务大厅缴费②银行网点缴费，目前我市签约的银行有工商银行、农业银行、建设银行、中国银行、交通银行、农商行、邮储银行等17 家银行。</w:t>
      </w:r>
    </w:p>
    <w:p w14:paraId="1EA4BD63">
      <w:pPr>
        <w:shd w:val="clear" w:color="auto" w:fill="FFFFFF"/>
        <w:topLinePunct/>
        <w:spacing w:line="580" w:lineRule="exac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（2）集中缴费。</w:t>
      </w:r>
    </w:p>
    <w:p w14:paraId="01EEF0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集中征缴期间，各乡镇具体负责组织，以行政村及社区为单位，统一组织开展集中征缴工作。</w:t>
      </w:r>
    </w:p>
    <w:p w14:paraId="1AB77F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 xml:space="preserve">各行政村及社区征缴经办人员收款时，要据实出具县税务局统一印制的专用收据，正确填写城乡居民医保费申报表，做到收据存根、缴款金额、申报表核（缴费清册）对一致。各乡镇征缴专班核对好行政村及社区缴费人数和缴费凭证，确认申报表无误后，将各行政村及社区的城乡居民医保费申报表电子版传递给税务部门邮箱nxxybzj@163.com。税务部门将各乡镇城乡居民医保费申报表导入系统，并根据导入成功人员数量计算缴费金额，开具缴费确认单，同时将导入成功人员名单传递给乡镇征缴专班。乡镇征缴专班要对导入失败人员信息进行核实、修改，及时重新传递给税务部门，确保缴费人员信息顺利传递，信息修改严格以身份证信息为唯一依据。乡镇征缴专班对照税务部门缴费确认单金额，向国家税务总局内乡县税务局待报解社会保险费预算收入专户（户名：国家税务总局内乡县税务局待报解社会保险费预算收入专户，账号：86617001000005386）汇款。税务部门核对汇款单据无误后，在系统内开票，并在当天报解入库。 </w:t>
      </w:r>
    </w:p>
    <w:p w14:paraId="7871B499">
      <w:pPr>
        <w:shd w:val="clear" w:color="auto" w:fill="FFFFFF"/>
        <w:topLinePunct/>
        <w:spacing w:line="580" w:lineRule="exact"/>
        <w:ind w:firstLine="643" w:firstLineChars="200"/>
        <w:textAlignment w:val="baseline"/>
        <w:rPr>
          <w:rFonts w:hint="eastAsia" w:ascii="仿宋_GB2312" w:hAnsi="仿宋_GB2312"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4、缴费查询和缴费凭据。</w:t>
      </w:r>
      <w:r>
        <w:rPr>
          <w:rFonts w:hint="eastAsia" w:ascii="仿宋_GB2312" w:hAnsi="仿宋_GB2312" w:eastAsia="仿宋_GB2312" w:cs="Times New Roman"/>
          <w:color w:val="auto"/>
          <w:sz w:val="32"/>
          <w:szCs w:val="32"/>
          <w:lang w:val="en-US" w:eastAsia="zh-CN"/>
        </w:rPr>
        <w:t>参保人在上述渠道缴费成功后，可通过原缴费渠道缴费查询功能查询缴费记录，原缴费渠道查询不到的，可通过河南税务网上税务局APP, 进入城乡居民医保缴费查询界面，输入参保人身份信息后，查看最近缴费记录。线上缴费的电子支付凭证、银行柜面缴费的银行业务凭证、办税服务大厅办理缴费的税收缴款书均可作为缴费凭证。</w:t>
      </w:r>
    </w:p>
    <w:p w14:paraId="755753CF">
      <w:pPr>
        <w:topLinePunct/>
        <w:spacing w:line="580" w:lineRule="exact"/>
        <w:ind w:firstLine="643" w:firstLineChars="200"/>
        <w:rPr>
          <w:rFonts w:hint="eastAsia" w:ascii="仿宋_GB2312" w:hAnsi="仿宋_GB2312"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5、强化资金管理。强化征缴资金管理。</w:t>
      </w:r>
      <w:r>
        <w:rPr>
          <w:rFonts w:hint="eastAsia" w:ascii="仿宋_GB2312" w:hAnsi="仿宋_GB2312" w:eastAsia="仿宋_GB2312" w:cs="Times New Roman"/>
          <w:color w:val="auto"/>
          <w:sz w:val="32"/>
          <w:szCs w:val="32"/>
          <w:lang w:val="en-US" w:eastAsia="zh-CN"/>
        </w:rPr>
        <w:t>各行政村及社区征缴经办人员必须按照“双限”报解（即：征缴期限为5天，额度为1万元，以期限或额度条件先满足之日为准）制度，及时将保费存入各乡镇财政所“会计农税结算中心”账户（或将款项交入农商行医保缴费专户）。任何单位和个人不得延压、滞解保费，不得截留、挪用保费。各乡镇要加强对保费的监管，一旦发生资金流失，将从严追究当事人的责任。</w:t>
      </w:r>
    </w:p>
    <w:p w14:paraId="5A568628">
      <w:pPr>
        <w:topLinePunct/>
        <w:spacing w:line="580" w:lineRule="exact"/>
        <w:ind w:firstLine="643" w:firstLineChars="200"/>
        <w:rPr>
          <w:rFonts w:hint="eastAsia" w:ascii="仿宋_GB2312" w:hAnsi="仿宋_GB2312"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6、规范征缴秩序。</w:t>
      </w:r>
      <w:r>
        <w:rPr>
          <w:rFonts w:hint="eastAsia" w:ascii="仿宋_GB2312" w:hAnsi="仿宋_GB2312" w:eastAsia="仿宋_GB2312" w:cs="Times New Roman"/>
          <w:color w:val="auto"/>
          <w:sz w:val="32"/>
          <w:szCs w:val="32"/>
          <w:lang w:val="en-US" w:eastAsia="zh-CN"/>
        </w:rPr>
        <w:t>各乡镇要严明征缴秩序，除征缴专班明确的协办人员外，不得以提成、买卖等形式随意联系社会人员代征代缴。所有保险部门不得借助城乡医保征缴工作搭车收费，代收其他商业保险费用，增加群众负担，扰乱医保征缴秩序。</w:t>
      </w:r>
    </w:p>
    <w:p w14:paraId="04B22E67">
      <w:pPr>
        <w:topLinePunct/>
        <w:spacing w:line="580" w:lineRule="exact"/>
        <w:ind w:firstLine="643" w:firstLineChars="200"/>
        <w:rPr>
          <w:rFonts w:hint="eastAsia" w:ascii="仿宋_GB2312" w:hAnsi="仿宋_GB2312"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7、及时公示缴费信息。</w:t>
      </w:r>
      <w:r>
        <w:rPr>
          <w:rFonts w:hint="eastAsia" w:ascii="仿宋_GB2312" w:hAnsi="仿宋_GB2312" w:eastAsia="仿宋_GB2312" w:cs="Times New Roman"/>
          <w:color w:val="auto"/>
          <w:sz w:val="32"/>
          <w:szCs w:val="32"/>
          <w:lang w:val="en-US" w:eastAsia="zh-CN"/>
        </w:rPr>
        <w:t>集中征缴结束后，征缴专班需以行政村及社区为单位，将税务部门反馈的已缴费人员清册，在村张榜公示，公示期不得低于5个工作日，同时做好信息公示影像资料保存工作。</w:t>
      </w:r>
    </w:p>
    <w:p w14:paraId="4257F036">
      <w:pPr>
        <w:topLinePunct/>
        <w:spacing w:line="580" w:lineRule="exact"/>
        <w:ind w:firstLine="643" w:firstLineChars="200"/>
        <w:rPr>
          <w:rFonts w:hint="eastAsia" w:ascii="仿宋_GB2312" w:hAnsi="仿宋_GB2312"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8、切实维护医保信息准确规范。</w:t>
      </w:r>
      <w:r>
        <w:rPr>
          <w:rFonts w:hint="eastAsia" w:ascii="仿宋_GB2312" w:hAnsi="仿宋_GB2312" w:eastAsia="仿宋_GB2312" w:cs="Times New Roman"/>
          <w:color w:val="auto"/>
          <w:sz w:val="32"/>
          <w:szCs w:val="32"/>
          <w:lang w:val="en-US" w:eastAsia="zh-CN"/>
        </w:rPr>
        <w:t>居民在缴纳参保费用时必须提供身份证或户口簿，各行政村及社区在征缴时要根据居民的身份证或户口簿信息进行登记，做到征缴名单、收缴金额、居民信息准确一致。对农村特困人员、孤儿（困境儿童）、低保对象、农村易返贫致贫人口、脱贫享受政策对象和重度残疾人的信息，各乡镇要与县农业农村局、县民政局、县残联进行对接，做到信息完整一致。</w:t>
      </w:r>
    </w:p>
    <w:p w14:paraId="744EA35F">
      <w:pPr>
        <w:topLinePunct/>
        <w:spacing w:line="580" w:lineRule="exact"/>
        <w:ind w:firstLine="643" w:firstLineChars="200"/>
        <w:rPr>
          <w:rFonts w:hint="default" w:ascii="仿宋_GB2312" w:hAnsi="仿宋_GB2312"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9、落实“一人一档”参保数据管理政策。</w:t>
      </w:r>
      <w:r>
        <w:rPr>
          <w:rFonts w:hint="eastAsia" w:ascii="仿宋_GB2312" w:hAnsi="仿宋_GB2312" w:eastAsia="仿宋_GB2312" w:cs="Times New Roman"/>
          <w:color w:val="auto"/>
          <w:sz w:val="32"/>
          <w:szCs w:val="32"/>
          <w:lang w:val="en-US" w:eastAsia="zh-CN"/>
        </w:rPr>
        <w:t>做实参保人员基础数据信息，建设完善“一人一档”全民参保数据库，提高全民参保精细化、信息化管理水平，巩固提升全民参保质量。健全医保基层信息网络，开通下沉至村及社区的网络平台和管理账号，分配参保登记、医保关系转移、重复参保信息查询、“一人一档”信息管理等权限。</w:t>
      </w:r>
    </w:p>
    <w:p w14:paraId="69E6B5E8">
      <w:pPr>
        <w:topLinePunct/>
        <w:spacing w:line="580" w:lineRule="exact"/>
        <w:ind w:firstLine="643" w:firstLineChars="200"/>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（二）有关注意事项。</w:t>
      </w:r>
    </w:p>
    <w:p w14:paraId="55E5BF78">
      <w:pPr>
        <w:topLinePunct/>
        <w:spacing w:line="580" w:lineRule="exact"/>
        <w:ind w:firstLine="643" w:firstLineChars="200"/>
        <w:rPr>
          <w:rFonts w:hint="eastAsia" w:ascii="楷体_GB2312" w:hAnsi="黑体" w:eastAsia="楷体_GB2312"/>
          <w:b/>
          <w:sz w:val="32"/>
          <w:szCs w:val="32"/>
          <w:lang w:val="en-US" w:eastAsia="zh-CN"/>
        </w:rPr>
      </w:pPr>
      <w:r>
        <w:rPr>
          <w:rFonts w:hint="eastAsia" w:ascii="楷体_GB2312" w:hAnsi="楷体_GB2312" w:eastAsia="楷体_GB2312" w:cs="楷体_GB2312"/>
          <w:b/>
          <w:bCs/>
          <w:color w:val="auto"/>
          <w:sz w:val="32"/>
          <w:szCs w:val="32"/>
          <w:lang w:val="en-US" w:eastAsia="zh-CN"/>
        </w:rPr>
        <w:t>1、完善城乡居民医保待遇。</w:t>
      </w:r>
    </w:p>
    <w:p w14:paraId="5231FFCA">
      <w:pPr>
        <w:topLinePunct/>
        <w:spacing w:line="580" w:lineRule="exact"/>
        <w:ind w:firstLine="640" w:firstLineChars="200"/>
        <w:rPr>
          <w:rFonts w:hint="default" w:ascii="仿宋_GB2312" w:eastAsia="仿宋_GB2312" w:cs="Times New Roman"/>
          <w:sz w:val="32"/>
          <w:szCs w:val="32"/>
          <w:lang w:val="en-US" w:eastAsia="zh-CN"/>
        </w:rPr>
      </w:pPr>
      <w:r>
        <w:rPr>
          <w:rFonts w:hint="eastAsia" w:ascii="仿宋_GB2312" w:hAnsi="仿宋_GB2312" w:eastAsia="仿宋_GB2312" w:cs="Times New Roman"/>
          <w:color w:val="auto"/>
          <w:sz w:val="32"/>
          <w:szCs w:val="32"/>
          <w:lang w:val="en-US" w:eastAsia="zh-CN"/>
        </w:rPr>
        <w:t>建立对居民医保连续参保人员和零报销人员的大病保险待遇激励机制。自2025年起，对断保人员再参保的，降低大病保险最高支付限额；对连续参加居民医保满4年的参保人员，之后每连续参保1年，可适当提高大病保险最高支付限额。对当年基金零报销的居民医保参保人员，次年可提高大病保险最高支付限额。连续参保激励和零报销激励，原则上每次提高限额均不低于1000元，累计提高总额不超过所在统筹地区大病保险原封顶线的20%。居民发生大病报销并使用奖励额度后，前期积累的零报销激励额度清零。断保之后再次参保的，连续参保年数重新计算。具体政策标准以省市文件为准。</w:t>
      </w:r>
    </w:p>
    <w:p w14:paraId="044640DB">
      <w:pPr>
        <w:topLinePunct/>
        <w:spacing w:line="580" w:lineRule="exact"/>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2、合理设置待遇等待期。</w:t>
      </w:r>
    </w:p>
    <w:p w14:paraId="0570B9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自2025年起，除新生儿等特殊群体外，对未在居民医保集中参保期内参保或未连续参保的人员，设置参保后固定待遇等待期3个月；其中，未连续参保的，每多断保1年，原则上在固定待遇等待期基础上增加变动待遇等待期1个月，参保人员可通过缴费修复变动待遇等待期，每多缴纳1年可减少1个月变动待遇等待期，连续断缴4年及以上的，修复后固定待遇等待期和变动待遇等待期之和原则上不少于6个月。具体政策标准以省市文件为准。</w:t>
      </w:r>
    </w:p>
    <w:p w14:paraId="0DBC31D2">
      <w:pPr>
        <w:topLinePunct/>
        <w:spacing w:line="580" w:lineRule="exact"/>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3、落实新生儿参保政策。</w:t>
      </w:r>
    </w:p>
    <w:p w14:paraId="6DDB5D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2025年1月1日后出生的新生儿，按规定办理参保手续后，即可享受当年城乡居民医保待遇。新生儿父或母参加我市基本医保的，新生儿出生不用缴费即可享受当年城乡居民医保待遇。新生儿父母均未参加我市基本医保的，缴费后方可享受当年城乡居民医保待遇。新生儿出生后90天内由监护人按相关规定办理参保手续，自出生之日起享受当年城乡居民医保待遇。新生儿未在规定时间内办理参保手续的，自参保登记之日起享受当年城乡居民医保待遇。2024年度出生的小孩，必须在2024年12月31日前缴费才能享受次年医保待遇。</w:t>
      </w:r>
    </w:p>
    <w:p w14:paraId="1C5144E6">
      <w:pPr>
        <w:topLinePunct/>
        <w:spacing w:line="580" w:lineRule="exact"/>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4、参保退费。</w:t>
      </w:r>
    </w:p>
    <w:p w14:paraId="348856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依据国家医保办函</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w:t>
      </w:r>
      <w:r>
        <w:rPr>
          <w:rFonts w:hint="eastAsia" w:ascii="仿宋_GB2312" w:hAnsi="仿宋_GB2312" w:eastAsia="仿宋_GB2312" w:cs="Times New Roman"/>
          <w:color w:val="auto"/>
          <w:sz w:val="32"/>
          <w:szCs w:val="32"/>
          <w:lang w:val="en-US" w:eastAsia="zh-CN"/>
        </w:rPr>
        <w:t>11号文件规定，参保人缴纳居民医保费后，未进入待遇享受期前因死亡、重复缴费、参加职工医保或在其他统筹地区参加居民医保的，可在终止相关居民医保参保关系的同时，依申请为个人办理退费。待遇享受期开始后，暂停居民医保参保关系的，个人缴费不再退回。符合退费条件人员持死亡（户口注销）证明、参加职工医保证明、重复缴费证明等相关资料，到参保地税务部门办理退费申请，医保部门负责退费。受理时限：2024年12月31日前。</w:t>
      </w:r>
    </w:p>
    <w:p w14:paraId="188EEBAA">
      <w:pPr>
        <w:topLinePunct/>
        <w:spacing w:line="580" w:lineRule="exact"/>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5、落实好困难群众参保缴费工作。</w:t>
      </w:r>
    </w:p>
    <w:p w14:paraId="7B204A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各级各部门要提升政治站位，帮助引导困难群众按时参保。对于特困人员、孤儿（困境儿童），不再收取参保费用，避免重复缴纳；对于低保户、农村易返贫致贫人口、脱贫享受政策户、重度残疾，单独建册，差额缴费，由各乡镇负责征缴到位，确保100%参保。</w:t>
      </w:r>
    </w:p>
    <w:p w14:paraId="176F99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五、征缴工作安排</w:t>
      </w:r>
    </w:p>
    <w:p w14:paraId="25C2B2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2025年度内乡县城乡居民医保缴费时间定为2024年9月1日—12月31日。整个征缴工作分为四个阶段：</w:t>
      </w:r>
    </w:p>
    <w:p w14:paraId="08908C83">
      <w:pPr>
        <w:topLinePunct/>
        <w:spacing w:line="580" w:lineRule="exact"/>
        <w:ind w:left="643"/>
        <w:rPr>
          <w:rFonts w:hint="eastAsia" w:ascii="楷体_GB2312" w:hAnsi="楷体" w:eastAsia="楷体_GB2312" w:cs="楷体"/>
          <w:b/>
          <w:kern w:val="0"/>
          <w:sz w:val="32"/>
          <w:szCs w:val="32"/>
          <w:lang w:eastAsia="zh-CN"/>
        </w:rPr>
      </w:pPr>
      <w:r>
        <w:rPr>
          <w:rFonts w:hint="eastAsia" w:ascii="楷体_GB2312" w:hAnsi="楷体" w:eastAsia="楷体_GB2312" w:cs="楷体"/>
          <w:b/>
          <w:kern w:val="0"/>
          <w:sz w:val="32"/>
          <w:szCs w:val="32"/>
        </w:rPr>
        <w:t>（一）宣传动员阶段</w:t>
      </w:r>
      <w:r>
        <w:rPr>
          <w:rFonts w:hint="eastAsia" w:ascii="楷体_GB2312" w:hAnsi="楷体" w:eastAsia="楷体_GB2312" w:cs="楷体"/>
          <w:b/>
          <w:kern w:val="0"/>
          <w:sz w:val="32"/>
          <w:szCs w:val="32"/>
          <w:lang w:eastAsia="zh-CN"/>
        </w:rPr>
        <w:t>（</w:t>
      </w:r>
      <w:r>
        <w:rPr>
          <w:rFonts w:hint="eastAsia" w:ascii="楷体_GB2312" w:hAnsi="楷体" w:eastAsia="楷体_GB2312" w:cs="楷体"/>
          <w:b/>
          <w:kern w:val="0"/>
          <w:sz w:val="32"/>
          <w:szCs w:val="32"/>
        </w:rPr>
        <w:t>202</w:t>
      </w:r>
      <w:r>
        <w:rPr>
          <w:rFonts w:hint="eastAsia" w:ascii="楷体_GB2312" w:hAnsi="楷体" w:eastAsia="楷体_GB2312" w:cs="楷体"/>
          <w:b/>
          <w:kern w:val="0"/>
          <w:sz w:val="32"/>
          <w:szCs w:val="32"/>
          <w:lang w:val="en-US" w:eastAsia="zh-CN"/>
        </w:rPr>
        <w:t>4</w:t>
      </w:r>
      <w:r>
        <w:rPr>
          <w:rFonts w:hint="eastAsia" w:ascii="楷体_GB2312" w:hAnsi="楷体" w:eastAsia="楷体_GB2312" w:cs="楷体"/>
          <w:b/>
          <w:kern w:val="0"/>
          <w:sz w:val="32"/>
          <w:szCs w:val="32"/>
        </w:rPr>
        <w:t>年</w:t>
      </w:r>
      <w:r>
        <w:rPr>
          <w:rFonts w:hint="eastAsia" w:ascii="楷体_GB2312" w:hAnsi="楷体" w:eastAsia="楷体_GB2312" w:cs="楷体"/>
          <w:b/>
          <w:kern w:val="0"/>
          <w:sz w:val="32"/>
          <w:szCs w:val="32"/>
          <w:highlight w:val="none"/>
          <w:lang w:val="en-US" w:eastAsia="zh-CN"/>
        </w:rPr>
        <w:t>9</w:t>
      </w:r>
      <w:r>
        <w:rPr>
          <w:rFonts w:hint="eastAsia" w:ascii="楷体_GB2312" w:hAnsi="楷体" w:eastAsia="楷体_GB2312" w:cs="楷体"/>
          <w:b/>
          <w:kern w:val="0"/>
          <w:sz w:val="32"/>
          <w:szCs w:val="32"/>
          <w:highlight w:val="none"/>
        </w:rPr>
        <w:t>月</w:t>
      </w:r>
      <w:r>
        <w:rPr>
          <w:rFonts w:hint="eastAsia" w:ascii="楷体_GB2312" w:hAnsi="楷体" w:eastAsia="楷体_GB2312" w:cs="楷体"/>
          <w:b/>
          <w:kern w:val="0"/>
          <w:sz w:val="32"/>
          <w:szCs w:val="32"/>
          <w:highlight w:val="none"/>
          <w:lang w:val="en-US" w:eastAsia="zh-CN"/>
        </w:rPr>
        <w:t>1</w:t>
      </w:r>
      <w:r>
        <w:rPr>
          <w:rFonts w:hint="eastAsia" w:ascii="楷体_GB2312" w:hAnsi="楷体" w:eastAsia="楷体_GB2312" w:cs="楷体"/>
          <w:b/>
          <w:kern w:val="0"/>
          <w:sz w:val="32"/>
          <w:szCs w:val="32"/>
          <w:highlight w:val="none"/>
        </w:rPr>
        <w:t>日—</w:t>
      </w:r>
      <w:r>
        <w:rPr>
          <w:rFonts w:hint="eastAsia" w:ascii="楷体_GB2312" w:hAnsi="楷体" w:eastAsia="楷体_GB2312" w:cs="楷体"/>
          <w:b/>
          <w:kern w:val="0"/>
          <w:sz w:val="32"/>
          <w:szCs w:val="32"/>
          <w:highlight w:val="none"/>
          <w:lang w:val="en-US" w:eastAsia="zh-CN"/>
        </w:rPr>
        <w:t>9</w:t>
      </w:r>
      <w:r>
        <w:rPr>
          <w:rFonts w:hint="eastAsia" w:ascii="楷体_GB2312" w:hAnsi="楷体" w:eastAsia="楷体_GB2312" w:cs="楷体"/>
          <w:b/>
          <w:kern w:val="0"/>
          <w:sz w:val="32"/>
          <w:szCs w:val="32"/>
          <w:highlight w:val="none"/>
        </w:rPr>
        <w:t>月30日</w:t>
      </w:r>
      <w:r>
        <w:rPr>
          <w:rFonts w:hint="eastAsia" w:ascii="楷体_GB2312" w:hAnsi="楷体" w:eastAsia="楷体_GB2312" w:cs="楷体"/>
          <w:b/>
          <w:kern w:val="0"/>
          <w:sz w:val="32"/>
          <w:szCs w:val="32"/>
          <w:lang w:eastAsia="zh-CN"/>
        </w:rPr>
        <w:t>）</w:t>
      </w:r>
    </w:p>
    <w:p w14:paraId="40B18C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县乡村各级要按照保费征缴宣传要求，开展广泛宣传。</w:t>
      </w:r>
      <w:r>
        <w:rPr>
          <w:rFonts w:hint="eastAsia" w:ascii="仿宋_GB2312" w:hAnsi="仿宋_GB2312" w:eastAsia="仿宋_GB2312" w:cs="Times New Roman"/>
          <w:b/>
          <w:bCs/>
          <w:color w:val="auto"/>
          <w:sz w:val="32"/>
          <w:szCs w:val="32"/>
          <w:lang w:val="en-US" w:eastAsia="zh-CN"/>
        </w:rPr>
        <w:t>一是</w:t>
      </w:r>
      <w:r>
        <w:rPr>
          <w:rFonts w:hint="eastAsia" w:ascii="仿宋_GB2312" w:hAnsi="仿宋_GB2312" w:eastAsia="仿宋_GB2312" w:cs="Times New Roman"/>
          <w:color w:val="auto"/>
          <w:sz w:val="32"/>
          <w:szCs w:val="32"/>
          <w:lang w:val="en-US" w:eastAsia="zh-CN"/>
        </w:rPr>
        <w:t>各乡镇村组要分层级召开城乡居民基本医疗保险费征缴工作动员会议,全面安排部署城乡居民基本医疗保险费用征缴工作，逐村组摸清参保人员底子。</w:t>
      </w:r>
      <w:r>
        <w:rPr>
          <w:rFonts w:hint="eastAsia" w:ascii="仿宋_GB2312" w:hAnsi="仿宋_GB2312" w:eastAsia="仿宋_GB2312" w:cs="Times New Roman"/>
          <w:b/>
          <w:bCs/>
          <w:color w:val="auto"/>
          <w:sz w:val="32"/>
          <w:szCs w:val="32"/>
          <w:lang w:val="en-US" w:eastAsia="zh-CN"/>
        </w:rPr>
        <w:t>二是</w:t>
      </w:r>
      <w:r>
        <w:rPr>
          <w:rFonts w:hint="eastAsia" w:ascii="仿宋_GB2312" w:hAnsi="仿宋_GB2312" w:eastAsia="仿宋_GB2312" w:cs="Times New Roman"/>
          <w:color w:val="auto"/>
          <w:sz w:val="32"/>
          <w:szCs w:val="32"/>
          <w:lang w:val="en-US" w:eastAsia="zh-CN"/>
        </w:rPr>
        <w:t>各乡镇要利用微信、抖音等新形式，采取医保政策彩页、横幅和标语等宣传方式，深入开展政策宣传培训活动,讲清积极缴纳医保费的重要意义，讲清基本医疗保障的主要政策；通过村组积极缴费典型户现身说法，教育引导居民积极缴纳医保费用。</w:t>
      </w:r>
      <w:r>
        <w:rPr>
          <w:rFonts w:hint="eastAsia" w:ascii="仿宋_GB2312" w:hAnsi="仿宋_GB2312" w:eastAsia="仿宋_GB2312" w:cs="Times New Roman"/>
          <w:b/>
          <w:bCs/>
          <w:color w:val="auto"/>
          <w:sz w:val="32"/>
          <w:szCs w:val="32"/>
          <w:lang w:val="en-US" w:eastAsia="zh-CN"/>
        </w:rPr>
        <w:t>三是</w:t>
      </w:r>
      <w:r>
        <w:rPr>
          <w:rFonts w:hint="eastAsia" w:ascii="仿宋_GB2312" w:hAnsi="仿宋_GB2312" w:eastAsia="仿宋_GB2312" w:cs="Times New Roman"/>
          <w:color w:val="auto"/>
          <w:sz w:val="32"/>
          <w:szCs w:val="32"/>
          <w:lang w:val="en-US" w:eastAsia="zh-CN"/>
        </w:rPr>
        <w:t>开展“百校百企千村万户”参保宣传活动，医保部门配合各乡镇到学校、行业企业、村和重点户开展宣传动员活动，将医保政策、惠民举措带入“百校百企千村万户”。</w:t>
      </w:r>
    </w:p>
    <w:p w14:paraId="61D036A5">
      <w:pPr>
        <w:topLinePunct/>
        <w:spacing w:line="580" w:lineRule="exact"/>
        <w:ind w:firstLine="643" w:firstLineChars="200"/>
        <w:rPr>
          <w:rFonts w:hint="eastAsia" w:ascii="楷体_GB2312" w:hAnsi="仿宋" w:eastAsia="楷体_GB2312" w:cs="仿宋"/>
          <w:b/>
          <w:bCs/>
          <w:sz w:val="32"/>
          <w:szCs w:val="32"/>
          <w:lang w:eastAsia="zh-CN"/>
        </w:rPr>
      </w:pPr>
      <w:r>
        <w:rPr>
          <w:rFonts w:hint="eastAsia" w:ascii="楷体_GB2312" w:hAnsi="仿宋" w:eastAsia="楷体_GB2312" w:cs="仿宋"/>
          <w:b/>
          <w:bCs/>
          <w:sz w:val="32"/>
          <w:szCs w:val="32"/>
        </w:rPr>
        <w:t>（二）</w:t>
      </w:r>
      <w:r>
        <w:rPr>
          <w:rFonts w:hint="eastAsia" w:ascii="楷体_GB2312" w:hAnsi="仿宋" w:eastAsia="楷体_GB2312" w:cs="仿宋"/>
          <w:b/>
          <w:bCs/>
          <w:sz w:val="32"/>
          <w:szCs w:val="32"/>
          <w:lang w:val="en-US" w:eastAsia="zh-CN"/>
        </w:rPr>
        <w:t>重点突击</w:t>
      </w:r>
      <w:r>
        <w:rPr>
          <w:rFonts w:hint="eastAsia" w:ascii="楷体_GB2312" w:hAnsi="仿宋" w:eastAsia="楷体_GB2312" w:cs="仿宋"/>
          <w:b/>
          <w:bCs/>
          <w:sz w:val="32"/>
          <w:szCs w:val="32"/>
        </w:rPr>
        <w:t>阶段</w:t>
      </w:r>
      <w:r>
        <w:rPr>
          <w:rFonts w:hint="eastAsia" w:ascii="楷体_GB2312" w:hAnsi="仿宋" w:eastAsia="楷体_GB2312" w:cs="仿宋"/>
          <w:b/>
          <w:bCs/>
          <w:sz w:val="32"/>
          <w:szCs w:val="32"/>
          <w:lang w:eastAsia="zh-CN"/>
        </w:rPr>
        <w:t>（</w:t>
      </w:r>
      <w:r>
        <w:rPr>
          <w:rFonts w:hint="eastAsia" w:ascii="楷体_GB2312" w:hAnsi="仿宋" w:eastAsia="楷体_GB2312" w:cs="仿宋"/>
          <w:b/>
          <w:bCs/>
          <w:sz w:val="32"/>
          <w:szCs w:val="32"/>
        </w:rPr>
        <w:t>202</w:t>
      </w:r>
      <w:r>
        <w:rPr>
          <w:rFonts w:hint="eastAsia" w:ascii="楷体_GB2312" w:hAnsi="仿宋" w:eastAsia="楷体_GB2312" w:cs="仿宋"/>
          <w:b/>
          <w:bCs/>
          <w:sz w:val="32"/>
          <w:szCs w:val="32"/>
          <w:lang w:val="en-US" w:eastAsia="zh-CN"/>
        </w:rPr>
        <w:t>4</w:t>
      </w:r>
      <w:r>
        <w:rPr>
          <w:rFonts w:hint="eastAsia" w:ascii="楷体_GB2312" w:hAnsi="仿宋" w:eastAsia="楷体_GB2312" w:cs="仿宋"/>
          <w:b/>
          <w:bCs/>
          <w:sz w:val="32"/>
          <w:szCs w:val="32"/>
        </w:rPr>
        <w:t>年10月1日—10月31日</w:t>
      </w:r>
      <w:r>
        <w:rPr>
          <w:rFonts w:hint="eastAsia" w:ascii="楷体_GB2312" w:hAnsi="仿宋" w:eastAsia="楷体_GB2312" w:cs="仿宋"/>
          <w:b/>
          <w:bCs/>
          <w:sz w:val="32"/>
          <w:szCs w:val="32"/>
          <w:lang w:eastAsia="zh-CN"/>
        </w:rPr>
        <w:t>）</w:t>
      </w:r>
    </w:p>
    <w:p w14:paraId="7000ED49">
      <w:pPr>
        <w:topLinePunct/>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Times New Roman"/>
          <w:color w:val="auto"/>
          <w:sz w:val="32"/>
          <w:szCs w:val="32"/>
          <w:lang w:val="en-US" w:eastAsia="zh-CN"/>
        </w:rPr>
        <w:t>国家规定医保集中征缴期截止2025年2月底。但结合县乡工作实际为全面加强对征缴工作的集中领导，各乡镇要切实落实“集中征缴五个一”，确保集中征缴阶段至少完成征缴任务的90%。</w:t>
      </w:r>
      <w:r>
        <w:rPr>
          <w:rFonts w:hint="eastAsia" w:ascii="仿宋_GB2312" w:hAnsi="仿宋_GB2312" w:eastAsia="仿宋_GB2312" w:cs="Times New Roman"/>
          <w:b/>
          <w:bCs/>
          <w:color w:val="auto"/>
          <w:sz w:val="32"/>
          <w:szCs w:val="32"/>
          <w:lang w:val="en-US" w:eastAsia="zh-CN"/>
        </w:rPr>
        <w:t>一是</w:t>
      </w:r>
      <w:r>
        <w:rPr>
          <w:rFonts w:hint="eastAsia" w:ascii="仿宋_GB2312" w:hAnsi="仿宋_GB2312" w:eastAsia="仿宋_GB2312" w:cs="Times New Roman"/>
          <w:color w:val="auto"/>
          <w:sz w:val="32"/>
          <w:szCs w:val="32"/>
          <w:lang w:val="en-US" w:eastAsia="zh-CN"/>
        </w:rPr>
        <w:t>成立内乡县城乡居民基本医疗保险征缴工作领导小组（附件1），各乡镇要成立由乡镇长为组长的城乡居民医保征缴工作领导小组，领导小组下设医保政策宣传专班、保费集中征缴专班、征缴督导工作专班、综合协调汇总服务专班（附件2，综合协调汇总服务专班人员不得少于6人，其中副科级以上领导1人、审核人员2人、电子信息录入人员3人），并于2024年9月6日前将专班人员名单报送至县税务局、县医保局。</w:t>
      </w:r>
      <w:r>
        <w:rPr>
          <w:rFonts w:hint="eastAsia" w:ascii="仿宋_GB2312" w:hAnsi="仿宋_GB2312" w:eastAsia="仿宋_GB2312" w:cs="Times New Roman"/>
          <w:b/>
          <w:bCs/>
          <w:color w:val="auto"/>
          <w:sz w:val="32"/>
          <w:szCs w:val="32"/>
          <w:lang w:val="en-US" w:eastAsia="zh-CN"/>
        </w:rPr>
        <w:t>二是</w:t>
      </w:r>
      <w:r>
        <w:rPr>
          <w:rFonts w:hint="eastAsia" w:ascii="仿宋_GB2312" w:hAnsi="仿宋_GB2312" w:eastAsia="仿宋_GB2312" w:cs="Times New Roman"/>
          <w:color w:val="auto"/>
          <w:sz w:val="32"/>
          <w:szCs w:val="32"/>
          <w:lang w:val="en-US" w:eastAsia="zh-CN"/>
        </w:rPr>
        <w:t>以2025年度城乡居民医保征缴分配任务为基数，认真摸底、挖潜、扩面，并以村及社区为单位明确任务清单。</w:t>
      </w:r>
      <w:r>
        <w:rPr>
          <w:rFonts w:hint="eastAsia" w:ascii="仿宋_GB2312" w:hAnsi="仿宋_GB2312" w:eastAsia="仿宋_GB2312" w:cs="Times New Roman"/>
          <w:b/>
          <w:bCs/>
          <w:color w:val="auto"/>
          <w:sz w:val="32"/>
          <w:szCs w:val="32"/>
          <w:lang w:val="en-US" w:eastAsia="zh-CN"/>
        </w:rPr>
        <w:t>三是</w:t>
      </w:r>
      <w:r>
        <w:rPr>
          <w:rFonts w:hint="eastAsia" w:ascii="仿宋_GB2312" w:hAnsi="仿宋_GB2312" w:eastAsia="仿宋_GB2312" w:cs="Times New Roman"/>
          <w:color w:val="auto"/>
          <w:sz w:val="32"/>
          <w:szCs w:val="32"/>
          <w:lang w:val="en-US" w:eastAsia="zh-CN"/>
        </w:rPr>
        <w:t>持续推进医保经办服务下沉，完善一套全面系统的县乡村经办体系，实现“县有政务服务大厅医保服务专区、乡镇有便民服务中心医保经办服务窗口、村有党群服务中心医保经办服务专柜”。集中征缴期间，县乡村经办服务体系必须完善到位，全面落实“一人一档”，及时做好征缴信息登记、信息查询、信息维护、政策宣传、咨询解释和征缴情况汇总上报等工作。</w:t>
      </w:r>
      <w:r>
        <w:rPr>
          <w:rFonts w:hint="eastAsia" w:ascii="仿宋_GB2312" w:hAnsi="仿宋_GB2312" w:eastAsia="仿宋_GB2312" w:cs="Times New Roman"/>
          <w:b/>
          <w:bCs/>
          <w:color w:val="auto"/>
          <w:sz w:val="32"/>
          <w:szCs w:val="32"/>
          <w:lang w:val="en-US" w:eastAsia="zh-CN"/>
        </w:rPr>
        <w:t>四是</w:t>
      </w:r>
      <w:r>
        <w:rPr>
          <w:rFonts w:hint="eastAsia" w:ascii="仿宋_GB2312" w:hAnsi="仿宋_GB2312" w:eastAsia="仿宋_GB2312" w:cs="Times New Roman"/>
          <w:color w:val="auto"/>
          <w:sz w:val="32"/>
          <w:szCs w:val="32"/>
          <w:lang w:val="en-US" w:eastAsia="zh-CN"/>
        </w:rPr>
        <w:t>制定征缴激励办法，根据各乡镇完成情况设置一二三等奖，各乡镇可根据县级奖励办法，制定相应激励措施。鼓励各级企事业单位和村集体、新型经济组织为城乡居民捐资缴费。</w:t>
      </w:r>
      <w:r>
        <w:rPr>
          <w:rFonts w:hint="eastAsia" w:ascii="仿宋_GB2312" w:hAnsi="仿宋_GB2312" w:eastAsia="仿宋_GB2312" w:cs="Times New Roman"/>
          <w:b/>
          <w:bCs/>
          <w:color w:val="auto"/>
          <w:sz w:val="32"/>
          <w:szCs w:val="32"/>
          <w:lang w:val="en-US" w:eastAsia="zh-CN"/>
        </w:rPr>
        <w:t>五是</w:t>
      </w:r>
      <w:r>
        <w:rPr>
          <w:rFonts w:hint="eastAsia" w:ascii="仿宋_GB2312" w:hAnsi="仿宋_GB2312" w:eastAsia="仿宋_GB2312" w:cs="Times New Roman"/>
          <w:color w:val="auto"/>
          <w:sz w:val="32"/>
          <w:szCs w:val="32"/>
          <w:lang w:val="en-US" w:eastAsia="zh-CN"/>
        </w:rPr>
        <w:t>各村及社区要明确1名医保征缴协办人员，具体负责本辖区城乡居民医保的政策宣传、缴费信息登记、资金上缴、情况公示等工作，多途径宣传城乡居民医保政策，积极动员居民参保缴费，做到逐户逐人收缴无遗漏。</w:t>
      </w:r>
    </w:p>
    <w:p w14:paraId="7AB3BC46">
      <w:pPr>
        <w:topLinePunct/>
        <w:spacing w:line="580" w:lineRule="exact"/>
        <w:ind w:firstLine="643" w:firstLineChars="200"/>
        <w:rPr>
          <w:rFonts w:hint="eastAsia" w:ascii="楷体_GB2312" w:hAnsi="仿宋" w:eastAsia="楷体_GB2312" w:cs="仿宋"/>
          <w:b/>
          <w:bCs/>
          <w:sz w:val="32"/>
          <w:szCs w:val="32"/>
          <w:lang w:eastAsia="zh-CN"/>
        </w:rPr>
      </w:pPr>
      <w:r>
        <w:rPr>
          <w:rFonts w:hint="eastAsia" w:ascii="楷体_GB2312" w:hAnsi="楷体" w:eastAsia="楷体_GB2312" w:cs="楷体"/>
          <w:b/>
          <w:kern w:val="0"/>
          <w:sz w:val="32"/>
          <w:szCs w:val="32"/>
        </w:rPr>
        <w:t>（三）</w:t>
      </w:r>
      <w:r>
        <w:rPr>
          <w:rFonts w:hint="eastAsia" w:ascii="楷体_GB2312" w:hAnsi="仿宋" w:eastAsia="楷体_GB2312" w:cs="仿宋"/>
          <w:b/>
          <w:bCs/>
          <w:sz w:val="32"/>
          <w:szCs w:val="32"/>
        </w:rPr>
        <w:t>集中扫尾阶段</w:t>
      </w:r>
      <w:r>
        <w:rPr>
          <w:rFonts w:hint="eastAsia" w:ascii="楷体_GB2312" w:hAnsi="仿宋" w:eastAsia="楷体_GB2312" w:cs="仿宋"/>
          <w:b/>
          <w:bCs/>
          <w:sz w:val="32"/>
          <w:szCs w:val="32"/>
          <w:lang w:eastAsia="zh-CN"/>
        </w:rPr>
        <w:t>（</w:t>
      </w:r>
      <w:r>
        <w:rPr>
          <w:rFonts w:hint="eastAsia" w:ascii="楷体_GB2312" w:hAnsi="仿宋" w:eastAsia="楷体_GB2312" w:cs="仿宋"/>
          <w:b/>
          <w:bCs/>
          <w:sz w:val="32"/>
          <w:szCs w:val="32"/>
        </w:rPr>
        <w:t>202</w:t>
      </w:r>
      <w:r>
        <w:rPr>
          <w:rFonts w:hint="eastAsia" w:ascii="楷体_GB2312" w:hAnsi="仿宋" w:eastAsia="楷体_GB2312" w:cs="仿宋"/>
          <w:b/>
          <w:bCs/>
          <w:sz w:val="32"/>
          <w:szCs w:val="32"/>
          <w:lang w:val="en-US" w:eastAsia="zh-CN"/>
        </w:rPr>
        <w:t>4</w:t>
      </w:r>
      <w:r>
        <w:rPr>
          <w:rFonts w:hint="eastAsia" w:ascii="楷体_GB2312" w:hAnsi="仿宋" w:eastAsia="楷体_GB2312" w:cs="仿宋"/>
          <w:b/>
          <w:bCs/>
          <w:sz w:val="32"/>
          <w:szCs w:val="32"/>
        </w:rPr>
        <w:t>年11月1—11月30日</w:t>
      </w:r>
      <w:r>
        <w:rPr>
          <w:rFonts w:hint="eastAsia" w:ascii="楷体_GB2312" w:hAnsi="仿宋" w:eastAsia="楷体_GB2312" w:cs="仿宋"/>
          <w:b/>
          <w:bCs/>
          <w:sz w:val="32"/>
          <w:szCs w:val="32"/>
          <w:lang w:eastAsia="zh-CN"/>
        </w:rPr>
        <w:t>）</w:t>
      </w:r>
    </w:p>
    <w:p w14:paraId="2385F1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集中缴费工作结束后,各乡镇及村及社区要认真核对县税务部门反馈的集中征收期间已“缴费”人员的开票清单，仔细排查人员漏缴和未及时汇总报送参保人员信息、参保人员基本信息录入错误、漏项不全、缴费未成功等问题,分析原因、全面整改，确保参保人员信息准确无误，及时督促未参保人员征缴，努力完成100%的征缴任务。切实做好已缴费成功人员信息公示工作，接受群众监督，确保缴费流程公开、透明、严密、准确。</w:t>
      </w:r>
    </w:p>
    <w:p w14:paraId="219EC276">
      <w:pPr>
        <w:topLinePunct/>
        <w:spacing w:line="580" w:lineRule="exact"/>
        <w:ind w:firstLine="643" w:firstLineChars="200"/>
        <w:rPr>
          <w:rFonts w:hint="eastAsia" w:ascii="楷体_GB2312" w:hAnsi="仿宋" w:eastAsia="楷体_GB2312" w:cs="仿宋"/>
          <w:b/>
          <w:bCs/>
          <w:sz w:val="32"/>
          <w:szCs w:val="32"/>
          <w:lang w:eastAsia="zh-CN"/>
        </w:rPr>
      </w:pPr>
      <w:r>
        <w:rPr>
          <w:rFonts w:hint="eastAsia" w:ascii="楷体_GB2312" w:hAnsi="仿宋" w:eastAsia="楷体_GB2312" w:cs="仿宋"/>
          <w:b/>
          <w:bCs/>
          <w:sz w:val="32"/>
          <w:szCs w:val="32"/>
        </w:rPr>
        <w:t>（四）总结验收阶段</w:t>
      </w:r>
      <w:r>
        <w:rPr>
          <w:rFonts w:hint="eastAsia" w:ascii="楷体_GB2312" w:hAnsi="仿宋" w:eastAsia="楷体_GB2312" w:cs="仿宋"/>
          <w:b/>
          <w:bCs/>
          <w:sz w:val="32"/>
          <w:szCs w:val="32"/>
          <w:lang w:eastAsia="zh-CN"/>
        </w:rPr>
        <w:t>（</w:t>
      </w:r>
      <w:r>
        <w:rPr>
          <w:rFonts w:hint="eastAsia" w:ascii="楷体_GB2312" w:hAnsi="仿宋" w:eastAsia="楷体_GB2312" w:cs="仿宋"/>
          <w:b/>
          <w:bCs/>
          <w:sz w:val="32"/>
          <w:szCs w:val="32"/>
        </w:rPr>
        <w:t>202</w:t>
      </w:r>
      <w:r>
        <w:rPr>
          <w:rFonts w:hint="eastAsia" w:ascii="楷体_GB2312" w:hAnsi="仿宋" w:eastAsia="楷体_GB2312" w:cs="仿宋"/>
          <w:b/>
          <w:bCs/>
          <w:sz w:val="32"/>
          <w:szCs w:val="32"/>
          <w:lang w:val="en-US" w:eastAsia="zh-CN"/>
        </w:rPr>
        <w:t>4</w:t>
      </w:r>
      <w:r>
        <w:rPr>
          <w:rFonts w:hint="eastAsia" w:ascii="楷体_GB2312" w:hAnsi="仿宋" w:eastAsia="楷体_GB2312" w:cs="仿宋"/>
          <w:b/>
          <w:bCs/>
          <w:sz w:val="32"/>
          <w:szCs w:val="32"/>
        </w:rPr>
        <w:t>年12月1日—12月31日</w:t>
      </w:r>
      <w:r>
        <w:rPr>
          <w:rFonts w:hint="eastAsia" w:ascii="楷体_GB2312" w:hAnsi="仿宋" w:eastAsia="楷体_GB2312" w:cs="仿宋"/>
          <w:b/>
          <w:bCs/>
          <w:sz w:val="32"/>
          <w:szCs w:val="32"/>
          <w:lang w:eastAsia="zh-CN"/>
        </w:rPr>
        <w:t>）</w:t>
      </w:r>
    </w:p>
    <w:p w14:paraId="70F7CB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县城乡居民基本医疗保险集中征缴工作领导小组将对各乡镇及相关配合单位征缴工作完成情况进行总结验收,并将验收结果报送县委、县政府,依据完成情况落实县级奖惩措施。</w:t>
      </w:r>
    </w:p>
    <w:p w14:paraId="608E6A5A">
      <w:pPr>
        <w:pStyle w:val="4"/>
        <w:widowControl w:val="0"/>
        <w:topLinePunct/>
        <w:spacing w:before="0" w:beforeAutospacing="0" w:after="0" w:afterAutospacing="0" w:line="580" w:lineRule="exact"/>
        <w:ind w:firstLine="640" w:firstLineChars="200"/>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六、考评办法</w:t>
      </w:r>
    </w:p>
    <w:p w14:paraId="6E81973A">
      <w:pPr>
        <w:topLinePunct/>
        <w:spacing w:line="580" w:lineRule="exact"/>
        <w:ind w:firstLine="643" w:firstLineChars="200"/>
        <w:rPr>
          <w:rFonts w:hint="eastAsia" w:ascii="仿宋_GB2312" w:hAnsi="仿宋_GB2312" w:eastAsia="仿宋_GB2312" w:cs="Times New Roman"/>
          <w:color w:val="auto"/>
          <w:sz w:val="32"/>
          <w:szCs w:val="32"/>
          <w:lang w:val="en-US" w:eastAsia="zh-CN"/>
        </w:rPr>
      </w:pPr>
      <w:r>
        <w:rPr>
          <w:rFonts w:hint="eastAsia" w:ascii="楷体_GB2312" w:hAnsi="黑体" w:eastAsia="楷体_GB2312"/>
          <w:b/>
          <w:sz w:val="32"/>
          <w:szCs w:val="32"/>
        </w:rPr>
        <w:t>（一）考评对象。</w:t>
      </w:r>
      <w:r>
        <w:rPr>
          <w:rFonts w:hint="eastAsia" w:ascii="仿宋_GB2312" w:hAnsi="仿宋_GB2312" w:eastAsia="仿宋_GB2312" w:cs="Times New Roman"/>
          <w:color w:val="auto"/>
          <w:sz w:val="32"/>
          <w:szCs w:val="32"/>
          <w:lang w:val="en-US" w:eastAsia="zh-CN"/>
        </w:rPr>
        <w:t>16个乡镇。</w:t>
      </w:r>
    </w:p>
    <w:p w14:paraId="0D1A3D6C">
      <w:pPr>
        <w:topLinePunct/>
        <w:spacing w:line="580" w:lineRule="exact"/>
        <w:ind w:firstLine="643" w:firstLineChars="200"/>
        <w:rPr>
          <w:rFonts w:hint="eastAsia" w:ascii="仿宋_GB2312" w:hAnsi="仿宋_GB2312" w:eastAsia="仿宋_GB2312" w:cs="Times New Roman"/>
          <w:color w:val="auto"/>
          <w:sz w:val="32"/>
          <w:szCs w:val="32"/>
          <w:lang w:val="en-US" w:eastAsia="zh-CN"/>
        </w:rPr>
      </w:pPr>
      <w:r>
        <w:rPr>
          <w:rFonts w:hint="eastAsia" w:ascii="楷体_GB2312" w:hAnsi="黑体" w:eastAsia="楷体_GB2312"/>
          <w:b/>
          <w:sz w:val="32"/>
          <w:szCs w:val="32"/>
        </w:rPr>
        <w:t>（二）考评时间。</w:t>
      </w:r>
      <w:r>
        <w:rPr>
          <w:rFonts w:hint="eastAsia" w:ascii="仿宋_GB2312" w:hAnsi="仿宋_GB2312" w:eastAsia="仿宋_GB2312" w:cs="Times New Roman"/>
          <w:color w:val="auto"/>
          <w:sz w:val="32"/>
          <w:szCs w:val="32"/>
          <w:lang w:val="en-US" w:eastAsia="zh-CN"/>
        </w:rPr>
        <w:t>分集中征缴阶段考评和征缴结束后考评。根据市统一要求，征缴期间实施“周排名、月通报”制度，并于每周五上午下班前上报参保、征缴情况（包括征缴人数、参保入库人数、典型做法、存在问题及建议）。征缴结束后，按征缴率进行考评排队。</w:t>
      </w:r>
    </w:p>
    <w:p w14:paraId="260D5478">
      <w:pPr>
        <w:topLinePunct/>
        <w:spacing w:line="580" w:lineRule="exact"/>
        <w:ind w:firstLine="643" w:firstLineChars="200"/>
        <w:rPr>
          <w:rFonts w:hint="eastAsia" w:ascii="仿宋_GB2312" w:hAnsi="仿宋_GB2312" w:eastAsia="仿宋_GB2312" w:cs="Times New Roman"/>
          <w:color w:val="auto"/>
          <w:sz w:val="32"/>
          <w:szCs w:val="32"/>
          <w:lang w:val="en-US" w:eastAsia="zh-CN"/>
        </w:rPr>
      </w:pPr>
      <w:r>
        <w:rPr>
          <w:rFonts w:hint="eastAsia" w:ascii="楷体_GB2312" w:hAnsi="黑体" w:eastAsia="楷体_GB2312"/>
          <w:b/>
          <w:sz w:val="32"/>
          <w:szCs w:val="32"/>
        </w:rPr>
        <w:t>（三）考评方式。</w:t>
      </w:r>
      <w:r>
        <w:rPr>
          <w:rFonts w:hint="eastAsia" w:ascii="仿宋_GB2312" w:hAnsi="仿宋_GB2312" w:eastAsia="仿宋_GB2312" w:cs="Times New Roman"/>
          <w:color w:val="auto"/>
          <w:sz w:val="32"/>
          <w:szCs w:val="32"/>
          <w:lang w:val="en-US" w:eastAsia="zh-CN"/>
        </w:rPr>
        <w:t>由县效能中心牵头，县税务局、县医保局、县财政局等相关部门配合，采取实地督查和抽查相结合的方式，对各乡镇2025年度城乡居民基本医疗保险征缴工作情况进行督导，并适时公布通报结果。对工作落实到位的，予以通报表扬；对工作进度缓慢、成效差的，予以通报批评并约谈相关负责人。</w:t>
      </w:r>
    </w:p>
    <w:p w14:paraId="3A09645D">
      <w:pPr>
        <w:topLinePunct/>
        <w:spacing w:line="580" w:lineRule="exact"/>
        <w:ind w:firstLine="643" w:firstLineChars="200"/>
        <w:rPr>
          <w:rFonts w:hint="default" w:ascii="仿宋_GB2312" w:hAnsi="仿宋_GB2312" w:eastAsia="仿宋_GB2312" w:cs="Times New Roman"/>
          <w:color w:val="auto"/>
          <w:sz w:val="32"/>
          <w:szCs w:val="32"/>
          <w:lang w:val="en-US" w:eastAsia="zh-CN"/>
        </w:rPr>
      </w:pPr>
      <w:r>
        <w:rPr>
          <w:rFonts w:hint="eastAsia" w:ascii="楷体_GB2312" w:hAnsi="黑体" w:eastAsia="楷体_GB2312"/>
          <w:b/>
          <w:sz w:val="32"/>
          <w:szCs w:val="32"/>
        </w:rPr>
        <w:t>（四）结果运用。</w:t>
      </w:r>
      <w:r>
        <w:rPr>
          <w:rFonts w:hint="eastAsia" w:ascii="仿宋_GB2312" w:hAnsi="仿宋_GB2312" w:eastAsia="仿宋_GB2312" w:cs="Times New Roman"/>
          <w:color w:val="auto"/>
          <w:sz w:val="32"/>
          <w:szCs w:val="32"/>
          <w:lang w:val="en-US" w:eastAsia="zh-CN"/>
        </w:rPr>
        <w:t>征缴全部结束后，由县税务局、县医保局核定最终各乡镇参保人数，落实以下奖惩措施：</w:t>
      </w:r>
      <w:r>
        <w:rPr>
          <w:rFonts w:hint="eastAsia" w:ascii="仿宋_GB2312" w:hAnsi="仿宋_GB2312" w:eastAsia="仿宋_GB2312" w:cs="Times New Roman"/>
          <w:b/>
          <w:bCs/>
          <w:color w:val="auto"/>
          <w:sz w:val="32"/>
          <w:szCs w:val="32"/>
          <w:lang w:val="en-US" w:eastAsia="zh-CN"/>
        </w:rPr>
        <w:t>一是</w:t>
      </w:r>
      <w:r>
        <w:rPr>
          <w:rFonts w:hint="eastAsia" w:ascii="仿宋_GB2312" w:hAnsi="仿宋_GB2312" w:eastAsia="仿宋_GB2312" w:cs="Times New Roman"/>
          <w:color w:val="auto"/>
          <w:sz w:val="32"/>
          <w:szCs w:val="32"/>
          <w:lang w:val="en-US" w:eastAsia="zh-CN"/>
        </w:rPr>
        <w:t>县政府按照每参保1人1.5元的标准向乡镇拨付工作经费；</w:t>
      </w:r>
      <w:r>
        <w:rPr>
          <w:rFonts w:hint="eastAsia" w:ascii="仿宋_GB2312" w:hAnsi="仿宋_GB2312" w:eastAsia="仿宋_GB2312" w:cs="Times New Roman"/>
          <w:b/>
          <w:bCs/>
          <w:color w:val="auto"/>
          <w:sz w:val="32"/>
          <w:szCs w:val="32"/>
          <w:lang w:val="en-US" w:eastAsia="zh-CN"/>
        </w:rPr>
        <w:t>二是</w:t>
      </w:r>
      <w:r>
        <w:rPr>
          <w:rFonts w:hint="eastAsia" w:ascii="仿宋_GB2312" w:hAnsi="仿宋_GB2312" w:eastAsia="仿宋_GB2312" w:cs="Times New Roman"/>
          <w:color w:val="auto"/>
          <w:sz w:val="32"/>
          <w:szCs w:val="32"/>
          <w:lang w:val="en-US" w:eastAsia="zh-CN"/>
        </w:rPr>
        <w:t>由县财政拿出30万元，按照一二三等奖，对16个乡镇给予医保工作奖励。</w:t>
      </w:r>
    </w:p>
    <w:p w14:paraId="4478602D">
      <w:pPr>
        <w:pStyle w:val="4"/>
        <w:widowControl w:val="0"/>
        <w:topLinePunct/>
        <w:spacing w:before="0" w:beforeAutospacing="0" w:after="0" w:afterAutospacing="0" w:line="580" w:lineRule="exact"/>
        <w:ind w:firstLine="640" w:firstLineChars="200"/>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七、工作要求</w:t>
      </w:r>
    </w:p>
    <w:p w14:paraId="3E281840">
      <w:pPr>
        <w:topLinePunct/>
        <w:spacing w:line="580" w:lineRule="exact"/>
        <w:ind w:firstLine="643" w:firstLineChars="200"/>
        <w:rPr>
          <w:rFonts w:hint="eastAsia" w:ascii="仿宋_GB2312" w:hAnsi="宋体" w:eastAsia="仿宋_GB2312"/>
          <w:sz w:val="32"/>
          <w:szCs w:val="32"/>
        </w:rPr>
      </w:pPr>
      <w:r>
        <w:rPr>
          <w:rFonts w:hint="eastAsia" w:ascii="楷体_GB2312" w:hAnsi="黑体" w:eastAsia="楷体_GB2312"/>
          <w:b/>
          <w:sz w:val="32"/>
          <w:szCs w:val="32"/>
        </w:rPr>
        <w:t>（一）加强领导，提高认识。</w:t>
      </w:r>
      <w:r>
        <w:rPr>
          <w:rFonts w:hint="eastAsia" w:ascii="仿宋_GB2312" w:hAnsi="仿宋_GB2312" w:eastAsia="仿宋_GB2312" w:cs="Times New Roman"/>
          <w:color w:val="auto"/>
          <w:sz w:val="32"/>
          <w:szCs w:val="32"/>
          <w:lang w:val="en-US" w:eastAsia="zh-CN"/>
        </w:rPr>
        <w:t>成立以县委常委、县政府副县长      为组长，县税务局、县医保局、县财政局、县卫健委等单位为成员的内乡县城乡居民基本医疗保险征缴工作领导小组。各乡镇要切实把征缴工作列入近期工作重点，尽快组织召开动员会议，安排部署辖区内费用征缴工作。各乡镇主要负责人是第一责任人，要高度重视、靠前指挥，统筹协调，扎实安排，为辖区征缴工作提供坚强组织保障。各征缴专班要积极跟进，做好上下联络对接和资金、信息收集核对入库工作，确保征缴任务圆满完成。</w:t>
      </w:r>
    </w:p>
    <w:p w14:paraId="5FA993EE">
      <w:pPr>
        <w:topLinePunct/>
        <w:spacing w:line="580" w:lineRule="exact"/>
        <w:ind w:firstLine="643" w:firstLineChars="200"/>
        <w:rPr>
          <w:rFonts w:hint="eastAsia" w:ascii="仿宋_GB2312" w:hAnsi="仿宋_GB2312" w:eastAsia="仿宋_GB2312" w:cs="Times New Roman"/>
          <w:color w:val="auto"/>
          <w:sz w:val="32"/>
          <w:szCs w:val="32"/>
          <w:lang w:val="en-US" w:eastAsia="zh-CN"/>
        </w:rPr>
      </w:pPr>
      <w:r>
        <w:rPr>
          <w:rFonts w:hint="eastAsia" w:ascii="楷体_GB2312" w:hAnsi="黑体" w:eastAsia="楷体_GB2312"/>
          <w:b/>
          <w:sz w:val="32"/>
          <w:szCs w:val="32"/>
        </w:rPr>
        <w:t>（二）各司其职，部门联动。</w:t>
      </w:r>
      <w:r>
        <w:rPr>
          <w:rFonts w:hint="eastAsia" w:ascii="仿宋_GB2312" w:hAnsi="仿宋_GB2312" w:eastAsia="仿宋_GB2312" w:cs="Times New Roman"/>
          <w:color w:val="auto"/>
          <w:sz w:val="32"/>
          <w:szCs w:val="32"/>
          <w:lang w:val="en-US" w:eastAsia="zh-CN"/>
        </w:rPr>
        <w:t>各相关单位要各司其职、密切配合，做好2025年度征缴工作。各乡镇是城乡居民征缴的责任主体，具体负责组织辖区内各行政村的征缴工作。征缴专班要做好参保人员信息收集核对上报工作，并及时将各行政村征缴资金汇入安全账户；设立医保经办服务“窗口”，做好各项医保经办服务，完善依申请救助机制，对经相关部门认定核准身份的困难群众，按照规定实施分类救助，及时落实医疗救助政策。</w:t>
      </w:r>
      <w:r>
        <w:rPr>
          <w:rFonts w:hint="eastAsia" w:ascii="仿宋_GB2312" w:hAnsi="仿宋_GB2312" w:eastAsia="仿宋_GB2312" w:cs="Times New Roman"/>
          <w:b/>
          <w:bCs/>
          <w:color w:val="auto"/>
          <w:sz w:val="32"/>
          <w:szCs w:val="32"/>
          <w:lang w:val="en-US" w:eastAsia="zh-CN"/>
        </w:rPr>
        <w:t>县税务局</w:t>
      </w:r>
      <w:r>
        <w:rPr>
          <w:rFonts w:hint="eastAsia" w:ascii="仿宋_GB2312" w:hAnsi="仿宋_GB2312" w:eastAsia="仿宋_GB2312" w:cs="Times New Roman"/>
          <w:color w:val="auto"/>
          <w:sz w:val="32"/>
          <w:szCs w:val="32"/>
          <w:lang w:val="en-US" w:eastAsia="zh-CN"/>
        </w:rPr>
        <w:t>负责做好宣传发动、征收开票入库等工作，积极推广各种信息化缴费渠道，确保信息化缴费渠道畅通。</w:t>
      </w:r>
      <w:r>
        <w:rPr>
          <w:rFonts w:hint="eastAsia" w:ascii="仿宋_GB2312" w:hAnsi="仿宋_GB2312" w:eastAsia="仿宋_GB2312" w:cs="Times New Roman"/>
          <w:b/>
          <w:bCs/>
          <w:color w:val="auto"/>
          <w:sz w:val="32"/>
          <w:szCs w:val="32"/>
          <w:lang w:val="en-US" w:eastAsia="zh-CN"/>
        </w:rPr>
        <w:t>县医保局</w:t>
      </w:r>
      <w:r>
        <w:rPr>
          <w:rFonts w:hint="eastAsia" w:ascii="仿宋_GB2312" w:hAnsi="仿宋_GB2312" w:eastAsia="仿宋_GB2312" w:cs="Times New Roman"/>
          <w:color w:val="auto"/>
          <w:sz w:val="32"/>
          <w:szCs w:val="32"/>
          <w:lang w:val="en-US" w:eastAsia="zh-CN"/>
        </w:rPr>
        <w:t>负责加强政策宣传和业务指导，做好参保信息后台维护、参保资助对象核对汇总和资助资金核算匹配、集中征缴结束后“零星”参保缴费登记工作。</w:t>
      </w:r>
      <w:r>
        <w:rPr>
          <w:rFonts w:hint="eastAsia" w:ascii="仿宋_GB2312" w:hAnsi="仿宋_GB2312" w:eastAsia="仿宋_GB2312" w:cs="Times New Roman"/>
          <w:b/>
          <w:bCs/>
          <w:color w:val="auto"/>
          <w:sz w:val="32"/>
          <w:szCs w:val="32"/>
          <w:lang w:val="en-US" w:eastAsia="zh-CN"/>
        </w:rPr>
        <w:t>县财政局</w:t>
      </w:r>
      <w:r>
        <w:rPr>
          <w:rFonts w:hint="eastAsia" w:ascii="仿宋_GB2312" w:hAnsi="仿宋_GB2312" w:eastAsia="仿宋_GB2312" w:cs="Times New Roman"/>
          <w:color w:val="auto"/>
          <w:sz w:val="32"/>
          <w:szCs w:val="32"/>
          <w:lang w:val="en-US" w:eastAsia="zh-CN"/>
        </w:rPr>
        <w:t>负责做好医保基金入库工作，及时划转参保资助资金，确保医保基金安全。</w:t>
      </w:r>
      <w:r>
        <w:rPr>
          <w:rFonts w:hint="eastAsia" w:ascii="仿宋_GB2312" w:hAnsi="仿宋_GB2312" w:eastAsia="仿宋_GB2312" w:cs="Times New Roman"/>
          <w:b/>
          <w:bCs/>
          <w:color w:val="auto"/>
          <w:sz w:val="32"/>
          <w:szCs w:val="32"/>
          <w:lang w:val="en-US" w:eastAsia="zh-CN"/>
        </w:rPr>
        <w:t>县民政局</w:t>
      </w:r>
      <w:r>
        <w:rPr>
          <w:rFonts w:hint="eastAsia" w:ascii="仿宋_GB2312" w:hAnsi="仿宋_GB2312" w:eastAsia="仿宋_GB2312" w:cs="Times New Roman"/>
          <w:color w:val="auto"/>
          <w:sz w:val="32"/>
          <w:szCs w:val="32"/>
          <w:lang w:val="en-US" w:eastAsia="zh-CN"/>
        </w:rPr>
        <w:t>负责提供完整准确的特困人员、孤儿（困境儿童）、低保对象信息名单，督促落实上述人员缴纳参保费用,确保100%参保；</w:t>
      </w:r>
      <w:r>
        <w:rPr>
          <w:rFonts w:hint="eastAsia" w:ascii="仿宋_GB2312" w:hAnsi="仿宋_GB2312" w:eastAsia="仿宋_GB2312" w:cs="Times New Roman"/>
          <w:b/>
          <w:bCs/>
          <w:color w:val="auto"/>
          <w:sz w:val="32"/>
          <w:szCs w:val="32"/>
          <w:lang w:val="en-US" w:eastAsia="zh-CN"/>
        </w:rPr>
        <w:t>县卫健委</w:t>
      </w:r>
      <w:r>
        <w:rPr>
          <w:rFonts w:hint="eastAsia" w:ascii="仿宋_GB2312" w:hAnsi="仿宋_GB2312" w:eastAsia="仿宋_GB2312" w:cs="Times New Roman"/>
          <w:color w:val="auto"/>
          <w:sz w:val="32"/>
          <w:szCs w:val="32"/>
          <w:lang w:val="en-US" w:eastAsia="zh-CN"/>
        </w:rPr>
        <w:t>负责督促县域医共体做好城乡居民参保宣传工作；积极配合各乡镇做好征缴工作。</w:t>
      </w:r>
      <w:r>
        <w:rPr>
          <w:rFonts w:hint="eastAsia" w:ascii="仿宋_GB2312" w:hAnsi="仿宋_GB2312" w:eastAsia="仿宋_GB2312" w:cs="Times New Roman"/>
          <w:b/>
          <w:bCs/>
          <w:color w:val="auto"/>
          <w:sz w:val="32"/>
          <w:szCs w:val="32"/>
          <w:lang w:val="en-US" w:eastAsia="zh-CN"/>
        </w:rPr>
        <w:t>县农业农村局</w:t>
      </w:r>
      <w:r>
        <w:rPr>
          <w:rFonts w:hint="eastAsia" w:ascii="仿宋_GB2312" w:hAnsi="仿宋_GB2312" w:eastAsia="仿宋_GB2312" w:cs="Times New Roman"/>
          <w:color w:val="auto"/>
          <w:sz w:val="32"/>
          <w:szCs w:val="32"/>
          <w:lang w:val="en-US" w:eastAsia="zh-CN"/>
        </w:rPr>
        <w:t>负责提供完整准确的农村易返贫致贫人口、脱贫享受政策户信息，督促落实上述人员缴纳参保费用,确保100%参保；</w:t>
      </w:r>
      <w:r>
        <w:rPr>
          <w:rFonts w:hint="eastAsia" w:ascii="仿宋_GB2312" w:hAnsi="仿宋_GB2312" w:eastAsia="仿宋_GB2312" w:cs="Times New Roman"/>
          <w:b/>
          <w:bCs/>
          <w:color w:val="auto"/>
          <w:sz w:val="32"/>
          <w:szCs w:val="32"/>
          <w:lang w:val="en-US" w:eastAsia="zh-CN"/>
        </w:rPr>
        <w:t>县残联</w:t>
      </w:r>
      <w:r>
        <w:rPr>
          <w:rFonts w:hint="eastAsia" w:ascii="仿宋_GB2312" w:hAnsi="仿宋_GB2312" w:eastAsia="仿宋_GB2312" w:cs="Times New Roman"/>
          <w:color w:val="auto"/>
          <w:sz w:val="32"/>
          <w:szCs w:val="32"/>
          <w:lang w:val="en-US" w:eastAsia="zh-CN"/>
        </w:rPr>
        <w:t>负责提供重度残疾人信息，动员督促重度残疾人缴费参保，确保重度残疾人100%参保。</w:t>
      </w:r>
      <w:r>
        <w:rPr>
          <w:rFonts w:hint="eastAsia" w:ascii="仿宋_GB2312" w:hAnsi="仿宋_GB2312" w:eastAsia="仿宋_GB2312" w:cs="Times New Roman"/>
          <w:b/>
          <w:bCs/>
          <w:color w:val="auto"/>
          <w:sz w:val="32"/>
          <w:szCs w:val="32"/>
          <w:lang w:val="en-US" w:eastAsia="zh-CN"/>
        </w:rPr>
        <w:t>县教体局</w:t>
      </w:r>
      <w:r>
        <w:rPr>
          <w:rFonts w:hint="eastAsia" w:ascii="仿宋_GB2312" w:hAnsi="仿宋_GB2312" w:eastAsia="仿宋_GB2312" w:cs="Times New Roman"/>
          <w:color w:val="auto"/>
          <w:sz w:val="32"/>
          <w:szCs w:val="32"/>
          <w:lang w:val="en-US" w:eastAsia="zh-CN"/>
        </w:rPr>
        <w:t>负责城区学校、幼儿园等在校学生的缴费工作；督促乡镇中心校做好本乡镇学校学生的缴费工作。</w:t>
      </w:r>
      <w:r>
        <w:rPr>
          <w:rFonts w:hint="eastAsia" w:ascii="仿宋_GB2312" w:hAnsi="仿宋_GB2312" w:eastAsia="仿宋_GB2312" w:cs="Times New Roman"/>
          <w:b/>
          <w:bCs/>
          <w:color w:val="auto"/>
          <w:sz w:val="32"/>
          <w:szCs w:val="32"/>
          <w:lang w:val="en-US" w:eastAsia="zh-CN"/>
        </w:rPr>
        <w:t>县公安局</w:t>
      </w:r>
      <w:r>
        <w:rPr>
          <w:rFonts w:hint="eastAsia" w:ascii="仿宋_GB2312" w:hAnsi="仿宋_GB2312" w:eastAsia="仿宋_GB2312" w:cs="Times New Roman"/>
          <w:color w:val="auto"/>
          <w:sz w:val="32"/>
          <w:szCs w:val="32"/>
          <w:lang w:val="en-US" w:eastAsia="zh-CN"/>
        </w:rPr>
        <w:t>负责组织做好居民户籍信息核查工作。</w:t>
      </w:r>
      <w:r>
        <w:rPr>
          <w:rFonts w:hint="eastAsia" w:ascii="仿宋_GB2312" w:hAnsi="仿宋_GB2312" w:eastAsia="仿宋_GB2312" w:cs="Times New Roman"/>
          <w:b/>
          <w:bCs/>
          <w:color w:val="auto"/>
          <w:sz w:val="32"/>
          <w:szCs w:val="32"/>
          <w:lang w:val="en-US" w:eastAsia="zh-CN"/>
        </w:rPr>
        <w:t>县融媒体中心</w:t>
      </w:r>
      <w:r>
        <w:rPr>
          <w:rFonts w:hint="eastAsia" w:ascii="仿宋_GB2312" w:hAnsi="仿宋_GB2312" w:eastAsia="仿宋_GB2312" w:cs="Times New Roman"/>
          <w:color w:val="auto"/>
          <w:sz w:val="32"/>
          <w:szCs w:val="32"/>
          <w:lang w:val="en-US" w:eastAsia="zh-CN"/>
        </w:rPr>
        <w:t>负责宣传集中缴费及城乡居民医疗保险政策。</w:t>
      </w:r>
      <w:r>
        <w:rPr>
          <w:rFonts w:hint="eastAsia" w:ascii="仿宋_GB2312" w:hAnsi="仿宋_GB2312" w:eastAsia="仿宋_GB2312" w:cs="Times New Roman"/>
          <w:b/>
          <w:bCs/>
          <w:color w:val="auto"/>
          <w:sz w:val="32"/>
          <w:szCs w:val="32"/>
          <w:lang w:val="en-US" w:eastAsia="zh-CN"/>
        </w:rPr>
        <w:t>县效能中心</w:t>
      </w:r>
      <w:r>
        <w:rPr>
          <w:rFonts w:hint="eastAsia" w:ascii="仿宋_GB2312" w:hAnsi="仿宋_GB2312" w:eastAsia="仿宋_GB2312" w:cs="Times New Roman"/>
          <w:color w:val="auto"/>
          <w:sz w:val="32"/>
          <w:szCs w:val="32"/>
          <w:lang w:val="en-US" w:eastAsia="zh-CN"/>
        </w:rPr>
        <w:t>负责督导征缴进度，定期对保费征缴情况予以通报。</w:t>
      </w:r>
    </w:p>
    <w:p w14:paraId="5559B3EB">
      <w:pPr>
        <w:topLinePunct/>
        <w:spacing w:line="580" w:lineRule="exact"/>
        <w:ind w:firstLine="643" w:firstLineChars="200"/>
        <w:rPr>
          <w:rFonts w:hint="eastAsia" w:ascii="仿宋_GB2312" w:hAnsi="仿宋_GB2312" w:eastAsia="仿宋_GB2312" w:cs="Times New Roman"/>
          <w:color w:val="auto"/>
          <w:sz w:val="32"/>
          <w:szCs w:val="32"/>
          <w:lang w:val="en-US" w:eastAsia="zh-CN"/>
        </w:rPr>
      </w:pPr>
      <w:r>
        <w:rPr>
          <w:rFonts w:hint="eastAsia" w:ascii="楷体_GB2312" w:hAnsi="黑体" w:eastAsia="楷体_GB2312"/>
          <w:b/>
          <w:sz w:val="32"/>
          <w:szCs w:val="32"/>
        </w:rPr>
        <w:t>（三）宣传发动，营造氛围。</w:t>
      </w:r>
      <w:r>
        <w:rPr>
          <w:rFonts w:hint="eastAsia" w:ascii="仿宋_GB2312" w:hAnsi="仿宋_GB2312" w:eastAsia="仿宋_GB2312" w:cs="Times New Roman"/>
          <w:color w:val="auto"/>
          <w:sz w:val="32"/>
          <w:szCs w:val="32"/>
          <w:lang w:val="en-US" w:eastAsia="zh-CN"/>
        </w:rPr>
        <w:t>各乡镇、各相关单位要充分利用宣传标语、宣传单、电视、网络等媒介，对城乡居民医保征缴工作的目的意义、缴费标准、缴费流程、待遇享受等进行广泛宣传，通过多种途径联系外出务工、探亲等人员，力争做到家喻户晓、人人皆知，全面提高全县城乡居民参保积极性，引导广大居民主动缴费参保，不断扩大参保覆盖面。</w:t>
      </w:r>
    </w:p>
    <w:p w14:paraId="28C91D35">
      <w:pPr>
        <w:topLinePunct/>
        <w:spacing w:line="580" w:lineRule="exact"/>
        <w:ind w:firstLine="643" w:firstLineChars="200"/>
        <w:rPr>
          <w:rFonts w:hint="eastAsia" w:ascii="仿宋_GB2312" w:hAnsi="仿宋_GB2312" w:eastAsia="仿宋_GB2312" w:cs="Times New Roman"/>
          <w:color w:val="auto"/>
          <w:sz w:val="32"/>
          <w:szCs w:val="32"/>
          <w:lang w:val="en-US" w:eastAsia="zh-CN"/>
        </w:rPr>
      </w:pPr>
      <w:r>
        <w:rPr>
          <w:rFonts w:hint="eastAsia" w:ascii="楷体_GB2312" w:hAnsi="黑体" w:eastAsia="楷体_GB2312"/>
          <w:b/>
          <w:sz w:val="32"/>
          <w:szCs w:val="32"/>
        </w:rPr>
        <w:t>（四）强化督导，严肃问责。</w:t>
      </w:r>
      <w:r>
        <w:rPr>
          <w:rFonts w:hint="eastAsia" w:ascii="仿宋_GB2312" w:hAnsi="仿宋_GB2312" w:eastAsia="仿宋_GB2312" w:cs="Times New Roman"/>
          <w:color w:val="auto"/>
          <w:sz w:val="32"/>
          <w:szCs w:val="32"/>
          <w:lang w:val="en-US" w:eastAsia="zh-CN"/>
        </w:rPr>
        <w:t>县税务局、县医保局要深入乡镇督导检查，及时解决发现的问题，掌握征缴进度。对组织不力、推诿扯皮、敷衍塞责，影响全县整体工作进度的单位和个人，视情节移交县纪检监察机关进行追责问责；对乱收费、滞留挪用参保资金等涉嫌违法犯罪的，按照规定移送县司法部门，确保全县城乡居民医保征缴工作规范有序进行。</w:t>
      </w:r>
    </w:p>
    <w:p w14:paraId="63C04F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rPr>
      </w:pPr>
    </w:p>
    <w:p w14:paraId="3A745DBA">
      <w:pPr>
        <w:spacing w:line="520" w:lineRule="exact"/>
        <w:rPr>
          <w:rFonts w:hint="eastAsia" w:ascii="黑体" w:eastAsia="黑体"/>
          <w:b w:val="0"/>
          <w:bCs/>
          <w:color w:val="000000"/>
          <w:sz w:val="32"/>
          <w:szCs w:val="32"/>
        </w:rPr>
      </w:pPr>
    </w:p>
    <w:p w14:paraId="529B1CAF">
      <w:pPr>
        <w:spacing w:line="520" w:lineRule="exact"/>
        <w:rPr>
          <w:rFonts w:hint="eastAsia" w:ascii="黑体" w:eastAsia="黑体"/>
          <w:b w:val="0"/>
          <w:bCs/>
          <w:color w:val="000000"/>
          <w:sz w:val="32"/>
          <w:szCs w:val="32"/>
          <w:lang w:val="en-US" w:eastAsia="zh-CN"/>
        </w:rPr>
      </w:pPr>
      <w:r>
        <w:rPr>
          <w:rFonts w:hint="eastAsia" w:ascii="黑体" w:eastAsia="黑体"/>
          <w:b w:val="0"/>
          <w:bCs/>
          <w:color w:val="000000"/>
          <w:sz w:val="32"/>
          <w:szCs w:val="32"/>
        </w:rPr>
        <w:t>附件</w:t>
      </w:r>
      <w:r>
        <w:rPr>
          <w:rFonts w:hint="eastAsia" w:ascii="黑体" w:eastAsia="黑体"/>
          <w:b w:val="0"/>
          <w:bCs/>
          <w:color w:val="000000"/>
          <w:sz w:val="32"/>
          <w:szCs w:val="32"/>
          <w:lang w:val="en-US" w:eastAsia="zh-CN"/>
        </w:rPr>
        <w:t>1：</w:t>
      </w:r>
    </w:p>
    <w:p w14:paraId="78A2E545">
      <w:pPr>
        <w:spacing w:line="200" w:lineRule="exact"/>
        <w:rPr>
          <w:rFonts w:ascii="黑体" w:eastAsia="黑体"/>
          <w:b/>
          <w:color w:val="000000"/>
          <w:sz w:val="32"/>
          <w:szCs w:val="32"/>
        </w:rPr>
      </w:pPr>
    </w:p>
    <w:p w14:paraId="28BF90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内乡县城乡居民基本医疗保险征缴工作</w:t>
      </w:r>
    </w:p>
    <w:p w14:paraId="2CD392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领导小组名单</w:t>
      </w:r>
    </w:p>
    <w:p w14:paraId="163195FF">
      <w:pPr>
        <w:spacing w:line="520" w:lineRule="exact"/>
        <w:ind w:firstLine="640" w:firstLineChars="200"/>
        <w:rPr>
          <w:rFonts w:ascii="仿宋_GB2312" w:eastAsia="仿宋_GB2312"/>
          <w:color w:val="000000"/>
          <w:sz w:val="32"/>
          <w:szCs w:val="32"/>
        </w:rPr>
      </w:pPr>
    </w:p>
    <w:p w14:paraId="0D6BFAD8">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组  长：    孙红鑫</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县政府县长</w:t>
      </w:r>
    </w:p>
    <w:p w14:paraId="2D83A595">
      <w:pPr>
        <w:spacing w:line="52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 xml:space="preserve">副组长：    </w:t>
      </w:r>
      <w:r>
        <w:rPr>
          <w:rFonts w:hint="eastAsia" w:ascii="仿宋_GB2312" w:eastAsia="仿宋_GB2312"/>
          <w:color w:val="000000"/>
          <w:sz w:val="32"/>
          <w:szCs w:val="32"/>
          <w:lang w:val="en-US" w:eastAsia="zh-CN"/>
        </w:rPr>
        <w:t xml:space="preserve">李华东   </w:t>
      </w:r>
      <w:r>
        <w:rPr>
          <w:rFonts w:hint="eastAsia" w:ascii="仿宋_GB2312" w:eastAsia="仿宋_GB2312"/>
          <w:color w:val="000000"/>
          <w:sz w:val="32"/>
          <w:szCs w:val="32"/>
        </w:rPr>
        <w:t>县</w:t>
      </w:r>
      <w:r>
        <w:rPr>
          <w:rFonts w:hint="eastAsia" w:ascii="仿宋_GB2312" w:eastAsia="仿宋_GB2312"/>
          <w:color w:val="000000"/>
          <w:sz w:val="32"/>
          <w:szCs w:val="32"/>
          <w:lang w:val="en-US" w:eastAsia="zh-CN"/>
        </w:rPr>
        <w:t>政府副县长</w:t>
      </w:r>
    </w:p>
    <w:p w14:paraId="4F8ED564">
      <w:pPr>
        <w:keepNext w:val="0"/>
        <w:keepLines w:val="0"/>
        <w:widowControl/>
        <w:suppressLineNumbers w:val="0"/>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rPr>
        <w:t xml:space="preserve">成  员：    </w:t>
      </w:r>
      <w:r>
        <w:rPr>
          <w:rFonts w:ascii="仿宋_GB2312" w:hAnsi="宋体" w:eastAsia="仿宋_GB2312" w:cs="仿宋_GB2312"/>
          <w:color w:val="000000"/>
          <w:kern w:val="0"/>
          <w:sz w:val="32"/>
          <w:szCs w:val="32"/>
          <w:lang w:val="en-US" w:eastAsia="zh-CN" w:bidi="ar"/>
        </w:rPr>
        <w:t>薛新彦</w:t>
      </w:r>
      <w:r>
        <w:rPr>
          <w:rFonts w:hint="eastAsia" w:ascii="仿宋_GB2312" w:hAnsi="宋体" w:eastAsia="仿宋_GB2312" w:cs="仿宋_GB2312"/>
          <w:color w:val="000000"/>
          <w:kern w:val="0"/>
          <w:sz w:val="32"/>
          <w:szCs w:val="32"/>
          <w:lang w:val="en-US" w:eastAsia="zh-CN" w:bidi="ar"/>
        </w:rPr>
        <w:t xml:space="preserve">   </w:t>
      </w:r>
      <w:r>
        <w:rPr>
          <w:rFonts w:hint="eastAsia" w:ascii="仿宋_GB2312" w:eastAsia="仿宋_GB2312"/>
          <w:color w:val="000000"/>
          <w:sz w:val="32"/>
          <w:szCs w:val="32"/>
        </w:rPr>
        <w:t>县政府办</w:t>
      </w:r>
      <w:r>
        <w:rPr>
          <w:rFonts w:hint="eastAsia" w:ascii="仿宋_GB2312" w:eastAsia="仿宋_GB2312"/>
          <w:color w:val="000000"/>
          <w:sz w:val="32"/>
          <w:szCs w:val="32"/>
          <w:lang w:val="en-US" w:eastAsia="zh-CN"/>
        </w:rPr>
        <w:t xml:space="preserve">主任 </w:t>
      </w:r>
    </w:p>
    <w:p w14:paraId="41B2F7FE">
      <w:pPr>
        <w:spacing w:line="520" w:lineRule="exact"/>
        <w:ind w:firstLine="1920" w:firstLineChars="600"/>
        <w:rPr>
          <w:rFonts w:hint="default" w:ascii="仿宋_GB2312" w:eastAsia="仿宋_GB2312"/>
          <w:b w:val="0"/>
          <w:bCs w:val="0"/>
          <w:color w:val="000000"/>
          <w:sz w:val="32"/>
          <w:szCs w:val="32"/>
          <w:lang w:val="en-US" w:eastAsia="zh-CN"/>
        </w:rPr>
      </w:pPr>
      <w:r>
        <w:rPr>
          <w:rFonts w:hint="eastAsia" w:ascii="仿宋_GB2312" w:eastAsia="仿宋_GB2312"/>
          <w:color w:val="000000"/>
          <w:sz w:val="32"/>
          <w:szCs w:val="32"/>
        </w:rPr>
        <w:t xml:space="preserve"> </w:t>
      </w:r>
      <w:r>
        <w:rPr>
          <w:rFonts w:hint="eastAsia"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朱忠义   </w:t>
      </w:r>
      <w:r>
        <w:rPr>
          <w:rFonts w:hint="eastAsia" w:ascii="仿宋_GB2312" w:eastAsia="仿宋_GB2312"/>
          <w:b w:val="0"/>
          <w:bCs w:val="0"/>
          <w:color w:val="000000"/>
          <w:sz w:val="32"/>
          <w:szCs w:val="32"/>
        </w:rPr>
        <w:t>县</w:t>
      </w:r>
      <w:r>
        <w:rPr>
          <w:rFonts w:hint="eastAsia" w:ascii="仿宋_GB2312" w:eastAsia="仿宋_GB2312"/>
          <w:b w:val="0"/>
          <w:bCs w:val="0"/>
          <w:color w:val="000000"/>
          <w:sz w:val="32"/>
          <w:szCs w:val="32"/>
          <w:lang w:val="en-US" w:eastAsia="zh-CN"/>
        </w:rPr>
        <w:t>效能中心主任</w:t>
      </w:r>
    </w:p>
    <w:p w14:paraId="0937719B">
      <w:pPr>
        <w:tabs>
          <w:tab w:val="left" w:pos="3420"/>
        </w:tabs>
        <w:spacing w:line="520" w:lineRule="exact"/>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 </w:t>
      </w:r>
      <w:r>
        <w:rPr>
          <w:rFonts w:hint="eastAsia" w:ascii="仿宋_GB2312" w:eastAsia="仿宋_GB2312"/>
          <w:b w:val="0"/>
          <w:bCs w:val="0"/>
          <w:color w:val="000000"/>
          <w:sz w:val="32"/>
          <w:szCs w:val="32"/>
        </w:rPr>
        <w:t>闫</w:t>
      </w:r>
      <w:r>
        <w:rPr>
          <w:rFonts w:hint="eastAsia" w:ascii="仿宋_GB2312" w:eastAsia="仿宋_GB2312"/>
          <w:b w:val="0"/>
          <w:bCs w:val="0"/>
          <w:color w:val="000000"/>
          <w:sz w:val="32"/>
          <w:szCs w:val="32"/>
          <w:lang w:val="en-US" w:eastAsia="zh-CN"/>
        </w:rPr>
        <w:t xml:space="preserve">  </w:t>
      </w:r>
      <w:r>
        <w:rPr>
          <w:rFonts w:hint="eastAsia" w:ascii="仿宋_GB2312" w:eastAsia="仿宋_GB2312"/>
          <w:b w:val="0"/>
          <w:bCs w:val="0"/>
          <w:color w:val="000000"/>
          <w:sz w:val="32"/>
          <w:szCs w:val="32"/>
        </w:rPr>
        <w:t>燕</w:t>
      </w:r>
      <w:r>
        <w:rPr>
          <w:rFonts w:hint="eastAsia" w:ascii="仿宋_GB2312" w:eastAsia="仿宋_GB2312"/>
          <w:b w:val="0"/>
          <w:bCs w:val="0"/>
          <w:color w:val="000000"/>
          <w:sz w:val="32"/>
          <w:szCs w:val="32"/>
          <w:lang w:val="en-US" w:eastAsia="zh-CN"/>
        </w:rPr>
        <w:t xml:space="preserve">   </w:t>
      </w:r>
      <w:r>
        <w:rPr>
          <w:rFonts w:hint="eastAsia" w:ascii="仿宋_GB2312" w:eastAsia="仿宋_GB2312"/>
          <w:b w:val="0"/>
          <w:bCs w:val="0"/>
          <w:color w:val="000000"/>
          <w:sz w:val="32"/>
          <w:szCs w:val="32"/>
        </w:rPr>
        <w:t>县税务局局长</w:t>
      </w:r>
    </w:p>
    <w:p w14:paraId="786BF29D">
      <w:pPr>
        <w:spacing w:line="520" w:lineRule="exact"/>
        <w:ind w:firstLine="1920" w:firstLineChars="600"/>
        <w:rPr>
          <w:rFonts w:hint="default"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齐  兵   </w:t>
      </w:r>
      <w:r>
        <w:rPr>
          <w:rFonts w:hint="eastAsia" w:ascii="仿宋_GB2312" w:eastAsia="仿宋_GB2312"/>
          <w:b w:val="0"/>
          <w:bCs w:val="0"/>
          <w:color w:val="000000"/>
          <w:sz w:val="32"/>
          <w:szCs w:val="32"/>
        </w:rPr>
        <w:t>县医保局局长</w:t>
      </w:r>
    </w:p>
    <w:p w14:paraId="120F5D74">
      <w:pPr>
        <w:keepNext w:val="0"/>
        <w:keepLines w:val="0"/>
        <w:widowControl/>
        <w:suppressLineNumbers w:val="0"/>
        <w:jc w:val="left"/>
        <w:rPr>
          <w:rFonts w:ascii="仿宋_GB2312" w:eastAsia="仿宋_GB2312"/>
          <w:b w:val="0"/>
          <w:bCs w:val="0"/>
          <w:color w:val="000000"/>
          <w:sz w:val="32"/>
          <w:szCs w:val="32"/>
        </w:rPr>
      </w:pPr>
      <w:r>
        <w:rPr>
          <w:rFonts w:hint="eastAsia"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             </w:t>
      </w:r>
      <w:r>
        <w:rPr>
          <w:rFonts w:ascii="仿宋_GB2312" w:hAnsi="宋体" w:eastAsia="仿宋_GB2312" w:cs="仿宋_GB2312"/>
          <w:b w:val="0"/>
          <w:bCs w:val="0"/>
          <w:color w:val="000000"/>
          <w:kern w:val="0"/>
          <w:sz w:val="32"/>
          <w:szCs w:val="32"/>
          <w:lang w:val="en-US" w:eastAsia="zh-CN" w:bidi="ar"/>
        </w:rPr>
        <w:t>王存峰</w:t>
      </w:r>
      <w:r>
        <w:rPr>
          <w:rFonts w:hint="eastAsia" w:ascii="仿宋_GB2312" w:hAnsi="宋体" w:eastAsia="仿宋_GB2312" w:cs="仿宋_GB2312"/>
          <w:b w:val="0"/>
          <w:bCs w:val="0"/>
          <w:color w:val="000000"/>
          <w:kern w:val="0"/>
          <w:sz w:val="32"/>
          <w:szCs w:val="32"/>
          <w:lang w:val="en-US" w:eastAsia="zh-CN" w:bidi="ar"/>
        </w:rPr>
        <w:t xml:space="preserve">   </w:t>
      </w:r>
      <w:r>
        <w:rPr>
          <w:rFonts w:hint="eastAsia" w:ascii="仿宋_GB2312" w:eastAsia="仿宋_GB2312"/>
          <w:b w:val="0"/>
          <w:bCs w:val="0"/>
          <w:color w:val="000000"/>
          <w:sz w:val="32"/>
          <w:szCs w:val="32"/>
        </w:rPr>
        <w:t>县财政局局长</w:t>
      </w:r>
    </w:p>
    <w:p w14:paraId="5E3AEC18">
      <w:pPr>
        <w:keepNext w:val="0"/>
        <w:keepLines w:val="0"/>
        <w:widowControl/>
        <w:suppressLineNumbers w:val="0"/>
        <w:jc w:val="left"/>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             </w:t>
      </w:r>
      <w:r>
        <w:rPr>
          <w:rFonts w:ascii="仿宋_GB2312" w:hAnsi="宋体" w:eastAsia="仿宋_GB2312" w:cs="仿宋_GB2312"/>
          <w:b w:val="0"/>
          <w:bCs w:val="0"/>
          <w:color w:val="000000"/>
          <w:kern w:val="0"/>
          <w:sz w:val="32"/>
          <w:szCs w:val="32"/>
          <w:lang w:val="en-US" w:eastAsia="zh-CN" w:bidi="ar"/>
        </w:rPr>
        <w:t>蔡如普</w:t>
      </w:r>
      <w:r>
        <w:rPr>
          <w:rFonts w:hint="eastAsia" w:ascii="仿宋_GB2312" w:hAnsi="宋体" w:eastAsia="仿宋_GB2312" w:cs="仿宋_GB2312"/>
          <w:b w:val="0"/>
          <w:bCs w:val="0"/>
          <w:color w:val="000000"/>
          <w:kern w:val="0"/>
          <w:sz w:val="32"/>
          <w:szCs w:val="32"/>
          <w:lang w:val="en-US" w:eastAsia="zh-CN" w:bidi="ar"/>
        </w:rPr>
        <w:t xml:space="preserve">   </w:t>
      </w:r>
      <w:r>
        <w:rPr>
          <w:rFonts w:hint="eastAsia" w:ascii="仿宋_GB2312" w:eastAsia="仿宋_GB2312"/>
          <w:b w:val="0"/>
          <w:bCs w:val="0"/>
          <w:color w:val="000000"/>
          <w:sz w:val="32"/>
          <w:szCs w:val="32"/>
        </w:rPr>
        <w:t>县卫健委主任</w:t>
      </w:r>
    </w:p>
    <w:p w14:paraId="756CFBF8">
      <w:pPr>
        <w:spacing w:line="520" w:lineRule="exact"/>
        <w:ind w:firstLine="2560" w:firstLineChars="800"/>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于千飞   县人社局局长</w:t>
      </w:r>
    </w:p>
    <w:p w14:paraId="78D6801C">
      <w:pPr>
        <w:spacing w:line="520" w:lineRule="exact"/>
        <w:ind w:firstLine="2560" w:firstLineChars="800"/>
        <w:rPr>
          <w:rFonts w:ascii="仿宋_GB2312" w:hAnsi="宋体" w:eastAsia="仿宋_GB2312" w:cs="仿宋_GB2312"/>
          <w:b w:val="0"/>
          <w:bCs w:val="0"/>
          <w:color w:val="000000"/>
          <w:kern w:val="0"/>
          <w:sz w:val="32"/>
          <w:szCs w:val="32"/>
          <w:lang w:val="en-US" w:eastAsia="zh-CN" w:bidi="ar"/>
        </w:rPr>
      </w:pPr>
      <w:r>
        <w:rPr>
          <w:rFonts w:ascii="仿宋_GB2312" w:hAnsi="宋体" w:eastAsia="仿宋_GB2312" w:cs="仿宋_GB2312"/>
          <w:b w:val="0"/>
          <w:bCs w:val="0"/>
          <w:color w:val="000000"/>
          <w:kern w:val="0"/>
          <w:sz w:val="32"/>
          <w:szCs w:val="32"/>
          <w:lang w:val="en-US" w:eastAsia="zh-CN" w:bidi="ar"/>
        </w:rPr>
        <w:t>冯黎明</w:t>
      </w:r>
      <w:r>
        <w:rPr>
          <w:rFonts w:hint="eastAsia" w:ascii="仿宋_GB2312" w:hAnsi="宋体" w:eastAsia="仿宋_GB2312" w:cs="仿宋_GB2312"/>
          <w:b w:val="0"/>
          <w:bCs w:val="0"/>
          <w:color w:val="000000"/>
          <w:kern w:val="0"/>
          <w:sz w:val="32"/>
          <w:szCs w:val="32"/>
          <w:lang w:val="en-US" w:eastAsia="zh-CN" w:bidi="ar"/>
        </w:rPr>
        <w:t xml:space="preserve">   </w:t>
      </w:r>
      <w:r>
        <w:rPr>
          <w:rFonts w:hint="eastAsia" w:ascii="仿宋_GB2312" w:eastAsia="仿宋_GB2312"/>
          <w:b w:val="0"/>
          <w:bCs w:val="0"/>
          <w:color w:val="000000"/>
          <w:sz w:val="32"/>
          <w:szCs w:val="32"/>
          <w:lang w:val="en-US" w:eastAsia="zh-CN"/>
        </w:rPr>
        <w:t>县审计局局长</w:t>
      </w:r>
    </w:p>
    <w:p w14:paraId="774035D3">
      <w:pPr>
        <w:keepNext w:val="0"/>
        <w:keepLines w:val="0"/>
        <w:widowControl/>
        <w:suppressLineNumbers w:val="0"/>
        <w:ind w:firstLine="2560" w:firstLineChars="800"/>
        <w:jc w:val="left"/>
        <w:rPr>
          <w:rFonts w:ascii="仿宋_GB2312" w:eastAsia="仿宋_GB2312"/>
          <w:b w:val="0"/>
          <w:bCs w:val="0"/>
          <w:color w:val="000000"/>
          <w:sz w:val="32"/>
          <w:szCs w:val="32"/>
        </w:rPr>
      </w:pPr>
      <w:r>
        <w:rPr>
          <w:rFonts w:ascii="仿宋_GB2312" w:hAnsi="宋体" w:eastAsia="仿宋_GB2312" w:cs="仿宋_GB2312"/>
          <w:b w:val="0"/>
          <w:bCs w:val="0"/>
          <w:color w:val="000000"/>
          <w:kern w:val="0"/>
          <w:sz w:val="32"/>
          <w:szCs w:val="32"/>
          <w:lang w:val="en-US" w:eastAsia="zh-CN" w:bidi="ar"/>
        </w:rPr>
        <w:t>何</w:t>
      </w:r>
      <w:r>
        <w:rPr>
          <w:rFonts w:hint="eastAsia" w:ascii="仿宋_GB2312" w:hAnsi="宋体" w:eastAsia="仿宋_GB2312" w:cs="仿宋_GB2312"/>
          <w:b w:val="0"/>
          <w:bCs w:val="0"/>
          <w:color w:val="000000"/>
          <w:kern w:val="0"/>
          <w:sz w:val="32"/>
          <w:szCs w:val="32"/>
          <w:lang w:val="en-US" w:eastAsia="zh-CN" w:bidi="ar"/>
        </w:rPr>
        <w:t xml:space="preserve">  </w:t>
      </w:r>
      <w:r>
        <w:rPr>
          <w:rFonts w:ascii="仿宋_GB2312" w:hAnsi="宋体" w:eastAsia="仿宋_GB2312" w:cs="仿宋_GB2312"/>
          <w:b w:val="0"/>
          <w:bCs w:val="0"/>
          <w:color w:val="000000"/>
          <w:kern w:val="0"/>
          <w:sz w:val="32"/>
          <w:szCs w:val="32"/>
          <w:lang w:val="en-US" w:eastAsia="zh-CN" w:bidi="ar"/>
        </w:rPr>
        <w:t>敏</w:t>
      </w:r>
      <w:r>
        <w:rPr>
          <w:rFonts w:hint="eastAsia" w:ascii="仿宋_GB2312" w:hAnsi="宋体" w:eastAsia="仿宋_GB2312" w:cs="仿宋_GB2312"/>
          <w:b w:val="0"/>
          <w:bCs w:val="0"/>
          <w:color w:val="000000"/>
          <w:kern w:val="0"/>
          <w:sz w:val="32"/>
          <w:szCs w:val="32"/>
          <w:lang w:val="en-US" w:eastAsia="zh-CN" w:bidi="ar"/>
        </w:rPr>
        <w:t xml:space="preserve">   </w:t>
      </w:r>
      <w:r>
        <w:rPr>
          <w:rFonts w:hint="eastAsia" w:ascii="仿宋_GB2312" w:eastAsia="仿宋_GB2312"/>
          <w:b w:val="0"/>
          <w:bCs w:val="0"/>
          <w:color w:val="000000"/>
          <w:sz w:val="32"/>
          <w:szCs w:val="32"/>
          <w:lang w:val="en-US" w:eastAsia="zh-CN"/>
        </w:rPr>
        <w:t>县统计局局长</w:t>
      </w:r>
      <w:r>
        <w:rPr>
          <w:rFonts w:hint="eastAsia" w:ascii="仿宋_GB2312" w:eastAsia="仿宋_GB2312"/>
          <w:b w:val="0"/>
          <w:bCs w:val="0"/>
          <w:color w:val="000000"/>
          <w:sz w:val="32"/>
          <w:szCs w:val="32"/>
        </w:rPr>
        <w:t xml:space="preserve">   </w:t>
      </w:r>
    </w:p>
    <w:p w14:paraId="1E13B0CA">
      <w:pPr>
        <w:keepNext w:val="0"/>
        <w:keepLines w:val="0"/>
        <w:widowControl/>
        <w:suppressLineNumbers w:val="0"/>
        <w:jc w:val="left"/>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            </w:t>
      </w:r>
      <w:r>
        <w:rPr>
          <w:rFonts w:hint="eastAsia" w:ascii="仿宋_GB2312" w:eastAsia="仿宋_GB2312"/>
          <w:b w:val="0"/>
          <w:bCs w:val="0"/>
          <w:color w:val="000000"/>
          <w:sz w:val="32"/>
          <w:szCs w:val="32"/>
        </w:rPr>
        <w:t xml:space="preserve"> </w:t>
      </w:r>
      <w:r>
        <w:rPr>
          <w:rFonts w:ascii="仿宋_GB2312" w:hAnsi="宋体" w:eastAsia="仿宋_GB2312" w:cs="仿宋_GB2312"/>
          <w:b w:val="0"/>
          <w:bCs w:val="0"/>
          <w:color w:val="000000"/>
          <w:kern w:val="0"/>
          <w:sz w:val="32"/>
          <w:szCs w:val="32"/>
          <w:lang w:val="en-US" w:eastAsia="zh-CN" w:bidi="ar"/>
        </w:rPr>
        <w:t>沈礼华</w:t>
      </w:r>
      <w:r>
        <w:rPr>
          <w:rFonts w:hint="eastAsia" w:ascii="仿宋_GB2312" w:hAnsi="宋体" w:eastAsia="仿宋_GB2312" w:cs="仿宋_GB2312"/>
          <w:b w:val="0"/>
          <w:bCs w:val="0"/>
          <w:color w:val="000000"/>
          <w:kern w:val="0"/>
          <w:sz w:val="32"/>
          <w:szCs w:val="32"/>
          <w:lang w:val="en-US" w:eastAsia="zh-CN" w:bidi="ar"/>
        </w:rPr>
        <w:t xml:space="preserve">   </w:t>
      </w:r>
      <w:r>
        <w:rPr>
          <w:rFonts w:hint="eastAsia" w:ascii="仿宋_GB2312" w:eastAsia="仿宋_GB2312"/>
          <w:b w:val="0"/>
          <w:bCs w:val="0"/>
          <w:color w:val="000000"/>
          <w:sz w:val="32"/>
          <w:szCs w:val="32"/>
        </w:rPr>
        <w:t>县民政局局长</w:t>
      </w:r>
    </w:p>
    <w:p w14:paraId="02E42127">
      <w:pPr>
        <w:spacing w:line="520" w:lineRule="exact"/>
        <w:ind w:firstLine="2560" w:firstLineChars="800"/>
        <w:rPr>
          <w:rFonts w:hint="eastAsia" w:ascii="仿宋_GB2312" w:eastAsia="仿宋_GB2312"/>
          <w:b w:val="0"/>
          <w:bCs w:val="0"/>
          <w:color w:val="000000"/>
          <w:sz w:val="32"/>
          <w:szCs w:val="32"/>
        </w:rPr>
      </w:pPr>
      <w:r>
        <w:rPr>
          <w:rFonts w:ascii="仿宋_GB2312" w:hAnsi="宋体" w:eastAsia="仿宋_GB2312" w:cs="仿宋_GB2312"/>
          <w:b w:val="0"/>
          <w:bCs w:val="0"/>
          <w:color w:val="000000"/>
          <w:kern w:val="0"/>
          <w:sz w:val="32"/>
          <w:szCs w:val="32"/>
          <w:lang w:val="en-US" w:eastAsia="zh-CN" w:bidi="ar"/>
        </w:rPr>
        <w:t>何</w:t>
      </w:r>
      <w:r>
        <w:rPr>
          <w:rFonts w:hint="eastAsia" w:ascii="仿宋_GB2312" w:hAnsi="宋体" w:eastAsia="仿宋_GB2312" w:cs="仿宋_GB2312"/>
          <w:b w:val="0"/>
          <w:bCs w:val="0"/>
          <w:color w:val="000000"/>
          <w:kern w:val="0"/>
          <w:sz w:val="32"/>
          <w:szCs w:val="32"/>
          <w:lang w:val="en-US" w:eastAsia="zh-CN" w:bidi="ar"/>
        </w:rPr>
        <w:t xml:space="preserve">  剑   </w:t>
      </w:r>
      <w:r>
        <w:rPr>
          <w:rFonts w:hint="eastAsia" w:ascii="仿宋_GB2312" w:eastAsia="仿宋_GB2312"/>
          <w:b w:val="0"/>
          <w:bCs w:val="0"/>
          <w:color w:val="000000"/>
          <w:sz w:val="32"/>
          <w:szCs w:val="32"/>
        </w:rPr>
        <w:t>县</w:t>
      </w:r>
      <w:r>
        <w:rPr>
          <w:rFonts w:hint="eastAsia" w:ascii="仿宋_GB2312" w:eastAsia="仿宋_GB2312"/>
          <w:b w:val="0"/>
          <w:bCs w:val="0"/>
          <w:color w:val="000000"/>
          <w:sz w:val="32"/>
          <w:szCs w:val="32"/>
          <w:lang w:eastAsia="zh-CN"/>
        </w:rPr>
        <w:t>农业农村局</w:t>
      </w:r>
      <w:r>
        <w:rPr>
          <w:rFonts w:hint="eastAsia" w:ascii="仿宋_GB2312" w:eastAsia="仿宋_GB2312"/>
          <w:b w:val="0"/>
          <w:bCs w:val="0"/>
          <w:color w:val="000000"/>
          <w:sz w:val="32"/>
          <w:szCs w:val="32"/>
        </w:rPr>
        <w:t>长</w:t>
      </w:r>
    </w:p>
    <w:p w14:paraId="24449351">
      <w:pPr>
        <w:keepNext w:val="0"/>
        <w:keepLines w:val="0"/>
        <w:widowControl/>
        <w:suppressLineNumbers w:val="0"/>
        <w:ind w:firstLine="2560" w:firstLineChars="8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 xml:space="preserve">孟海波   </w:t>
      </w:r>
      <w:r>
        <w:rPr>
          <w:rFonts w:hint="eastAsia" w:ascii="仿宋_GB2312" w:eastAsia="仿宋_GB2312"/>
          <w:b w:val="0"/>
          <w:bCs w:val="0"/>
          <w:color w:val="000000"/>
          <w:sz w:val="32"/>
          <w:szCs w:val="32"/>
        </w:rPr>
        <w:t>县教体局局长</w:t>
      </w:r>
    </w:p>
    <w:p w14:paraId="0A80A453">
      <w:pPr>
        <w:keepNext w:val="0"/>
        <w:keepLines w:val="0"/>
        <w:widowControl/>
        <w:suppressLineNumbers w:val="0"/>
        <w:ind w:firstLine="2240" w:firstLineChars="700"/>
        <w:jc w:val="left"/>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 王  东   </w:t>
      </w:r>
      <w:r>
        <w:rPr>
          <w:rFonts w:hint="eastAsia" w:ascii="仿宋_GB2312" w:eastAsia="仿宋_GB2312"/>
          <w:b w:val="0"/>
          <w:bCs w:val="0"/>
          <w:color w:val="000000"/>
          <w:sz w:val="32"/>
          <w:szCs w:val="32"/>
        </w:rPr>
        <w:t>县公安局政委</w:t>
      </w:r>
    </w:p>
    <w:p w14:paraId="09708297">
      <w:pPr>
        <w:spacing w:line="520" w:lineRule="exact"/>
        <w:ind w:firstLine="1920" w:firstLineChars="600"/>
        <w:rPr>
          <w:rFonts w:hint="default"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 </w:t>
      </w:r>
      <w:r>
        <w:rPr>
          <w:rFonts w:hint="eastAsia"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张万兴   </w:t>
      </w:r>
      <w:r>
        <w:rPr>
          <w:rFonts w:hint="eastAsia" w:ascii="仿宋_GB2312" w:eastAsia="仿宋_GB2312"/>
          <w:b w:val="0"/>
          <w:bCs w:val="0"/>
          <w:color w:val="000000"/>
          <w:sz w:val="32"/>
          <w:szCs w:val="32"/>
        </w:rPr>
        <w:t>县残联理事长</w:t>
      </w:r>
    </w:p>
    <w:p w14:paraId="15FBB1A2">
      <w:pPr>
        <w:spacing w:line="520" w:lineRule="exact"/>
        <w:ind w:firstLine="1920" w:firstLineChars="600"/>
        <w:rPr>
          <w:rFonts w:hint="eastAsia" w:ascii="仿宋_GB2312" w:eastAsia="仿宋_GB2312"/>
          <w:b w:val="0"/>
          <w:bCs w:val="0"/>
          <w:color w:val="000000"/>
          <w:sz w:val="32"/>
          <w:szCs w:val="32"/>
          <w:lang w:val="en-US" w:eastAsia="zh-CN"/>
        </w:rPr>
      </w:pPr>
      <w:r>
        <w:rPr>
          <w:rFonts w:hint="eastAsia" w:ascii="仿宋_GB2312" w:eastAsia="仿宋_GB2312"/>
          <w:b w:val="0"/>
          <w:bCs w:val="0"/>
          <w:color w:val="FF0000"/>
          <w:sz w:val="32"/>
          <w:szCs w:val="32"/>
        </w:rPr>
        <w:t xml:space="preserve">  </w:t>
      </w:r>
      <w:r>
        <w:rPr>
          <w:rFonts w:hint="eastAsia" w:ascii="仿宋_GB2312" w:eastAsia="仿宋_GB2312"/>
          <w:b w:val="0"/>
          <w:bCs w:val="0"/>
          <w:color w:val="000000"/>
          <w:sz w:val="32"/>
          <w:szCs w:val="32"/>
        </w:rPr>
        <w:t xml:space="preserve">  </w:t>
      </w:r>
    </w:p>
    <w:p w14:paraId="414A7FE2">
      <w:pPr>
        <w:spacing w:line="520" w:lineRule="exact"/>
        <w:ind w:firstLine="640" w:firstLineChars="200"/>
        <w:rPr>
          <w:rFonts w:ascii="仿宋_GB2312" w:eastAsia="仿宋_GB2312"/>
          <w:b/>
          <w:bCs/>
          <w:color w:val="000000"/>
          <w:sz w:val="32"/>
          <w:szCs w:val="32"/>
          <w:u w:val="single"/>
        </w:rPr>
      </w:pPr>
      <w:r>
        <w:rPr>
          <w:rFonts w:hint="eastAsia" w:ascii="仿宋_GB2312" w:eastAsia="仿宋_GB2312"/>
          <w:color w:val="000000"/>
          <w:sz w:val="32"/>
          <w:szCs w:val="32"/>
        </w:rPr>
        <w:t>领导小组下设办公室，办公室设在县医保局，</w:t>
      </w:r>
      <w:r>
        <w:rPr>
          <w:rFonts w:hint="eastAsia" w:ascii="仿宋_GB2312" w:eastAsia="仿宋_GB2312"/>
          <w:color w:val="000000"/>
          <w:sz w:val="32"/>
          <w:szCs w:val="32"/>
          <w:lang w:val="en-US" w:eastAsia="zh-CN"/>
        </w:rPr>
        <w:t>齐兵</w:t>
      </w:r>
      <w:r>
        <w:rPr>
          <w:rFonts w:hint="eastAsia" w:ascii="仿宋_GB2312" w:eastAsia="仿宋_GB2312"/>
          <w:color w:val="000000"/>
          <w:sz w:val="32"/>
          <w:szCs w:val="32"/>
        </w:rPr>
        <w:t>同志兼任办公室主任，负责城乡居民基本医疗保险征缴日常工作。</w:t>
      </w:r>
    </w:p>
    <w:p w14:paraId="2D4262E8">
      <w:pPr>
        <w:spacing w:line="540" w:lineRule="exact"/>
        <w:rPr>
          <w:rFonts w:hint="eastAsia" w:ascii="黑体" w:eastAsia="黑体"/>
          <w:b w:val="0"/>
          <w:bCs/>
          <w:color w:val="000000"/>
          <w:sz w:val="32"/>
          <w:szCs w:val="32"/>
        </w:rPr>
      </w:pPr>
    </w:p>
    <w:p w14:paraId="7D032ECF">
      <w:pPr>
        <w:spacing w:line="540" w:lineRule="exact"/>
        <w:rPr>
          <w:rFonts w:hint="eastAsia" w:ascii="黑体" w:eastAsia="黑体"/>
          <w:b w:val="0"/>
          <w:bCs/>
          <w:color w:val="000000"/>
          <w:sz w:val="32"/>
          <w:szCs w:val="32"/>
          <w:lang w:val="en-US" w:eastAsia="zh-CN"/>
        </w:rPr>
      </w:pPr>
      <w:r>
        <w:rPr>
          <w:rFonts w:hint="eastAsia" w:ascii="黑体" w:eastAsia="黑体"/>
          <w:b w:val="0"/>
          <w:bCs/>
          <w:color w:val="000000"/>
          <w:sz w:val="32"/>
          <w:szCs w:val="32"/>
        </w:rPr>
        <w:t>附件</w:t>
      </w:r>
      <w:r>
        <w:rPr>
          <w:rFonts w:hint="eastAsia" w:ascii="黑体" w:eastAsia="黑体"/>
          <w:b w:val="0"/>
          <w:bCs/>
          <w:color w:val="000000"/>
          <w:sz w:val="32"/>
          <w:szCs w:val="32"/>
          <w:lang w:val="en-US" w:eastAsia="zh-CN"/>
        </w:rPr>
        <w:t>2：</w:t>
      </w:r>
    </w:p>
    <w:p w14:paraId="2CB541E7">
      <w:pPr>
        <w:spacing w:line="540" w:lineRule="exact"/>
        <w:rPr>
          <w:rFonts w:hint="eastAsia" w:ascii="黑体" w:eastAsia="黑体"/>
          <w:b/>
          <w:color w:val="000000"/>
          <w:sz w:val="32"/>
          <w:szCs w:val="32"/>
          <w:lang w:val="en-US" w:eastAsia="zh-CN"/>
        </w:rPr>
      </w:pPr>
    </w:p>
    <w:p w14:paraId="674008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u w:val="single"/>
          <w:lang w:val="en-US" w:eastAsia="zh-CN"/>
        </w:rPr>
        <w:t xml:space="preserve">    </w:t>
      </w:r>
      <w:r>
        <w:rPr>
          <w:rFonts w:hint="eastAsia" w:ascii="方正小标宋简体" w:hAnsi="方正小标宋简体" w:eastAsia="方正小标宋简体" w:cs="方正小标宋简体"/>
          <w:color w:val="auto"/>
          <w:sz w:val="44"/>
          <w:szCs w:val="44"/>
          <w:lang w:val="en-US" w:eastAsia="zh-CN"/>
        </w:rPr>
        <w:t>乡镇城乡居民医保征缴工作联系表</w:t>
      </w:r>
    </w:p>
    <w:p w14:paraId="10476E73">
      <w:pPr>
        <w:spacing w:line="540" w:lineRule="exact"/>
        <w:rPr>
          <w:rFonts w:hint="eastAsia" w:ascii="仿宋_GB2312" w:eastAsia="仿宋_GB2312"/>
          <w:b/>
          <w:bCs/>
          <w:color w:val="000000"/>
          <w:sz w:val="32"/>
          <w:szCs w:val="32"/>
        </w:rPr>
      </w:pPr>
    </w:p>
    <w:tbl>
      <w:tblPr>
        <w:tblStyle w:val="5"/>
        <w:tblW w:w="5079" w:type="pct"/>
        <w:jc w:val="center"/>
        <w:tblLayout w:type="autofit"/>
        <w:tblCellMar>
          <w:top w:w="0" w:type="dxa"/>
          <w:left w:w="108" w:type="dxa"/>
          <w:bottom w:w="0" w:type="dxa"/>
          <w:right w:w="108" w:type="dxa"/>
        </w:tblCellMar>
      </w:tblPr>
      <w:tblGrid>
        <w:gridCol w:w="4737"/>
        <w:gridCol w:w="2146"/>
        <w:gridCol w:w="1774"/>
      </w:tblGrid>
      <w:tr w14:paraId="3592A483">
        <w:tblPrEx>
          <w:tblCellMar>
            <w:top w:w="0" w:type="dxa"/>
            <w:left w:w="108" w:type="dxa"/>
            <w:bottom w:w="0" w:type="dxa"/>
            <w:right w:w="108" w:type="dxa"/>
          </w:tblCellMar>
        </w:tblPrEx>
        <w:trPr>
          <w:trHeight w:val="461" w:hRule="atLeast"/>
          <w:jc w:val="center"/>
        </w:trPr>
        <w:tc>
          <w:tcPr>
            <w:tcW w:w="2735" w:type="pct"/>
            <w:tcBorders>
              <w:top w:val="single" w:color="auto" w:sz="4" w:space="0"/>
              <w:left w:val="single" w:color="auto" w:sz="4" w:space="0"/>
              <w:bottom w:val="single" w:color="auto" w:sz="4" w:space="0"/>
              <w:right w:val="single" w:color="auto" w:sz="4" w:space="0"/>
            </w:tcBorders>
            <w:noWrap/>
            <w:vAlign w:val="center"/>
          </w:tcPr>
          <w:p w14:paraId="67F94CE9">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人  员　</w:t>
            </w:r>
          </w:p>
        </w:tc>
        <w:tc>
          <w:tcPr>
            <w:tcW w:w="1239" w:type="pct"/>
            <w:tcBorders>
              <w:top w:val="single" w:color="auto" w:sz="4" w:space="0"/>
              <w:left w:val="nil"/>
              <w:bottom w:val="single" w:color="auto" w:sz="4" w:space="0"/>
              <w:right w:val="single" w:color="auto" w:sz="4" w:space="0"/>
            </w:tcBorders>
            <w:noWrap/>
            <w:vAlign w:val="center"/>
          </w:tcPr>
          <w:p w14:paraId="718A3A8C">
            <w:pPr>
              <w:widowControl/>
              <w:spacing w:line="400" w:lineRule="exact"/>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姓  名</w:t>
            </w:r>
          </w:p>
        </w:tc>
        <w:tc>
          <w:tcPr>
            <w:tcW w:w="1024" w:type="pct"/>
            <w:tcBorders>
              <w:top w:val="single" w:color="auto" w:sz="4" w:space="0"/>
              <w:left w:val="nil"/>
              <w:bottom w:val="single" w:color="auto" w:sz="4" w:space="0"/>
              <w:right w:val="single" w:color="auto" w:sz="4" w:space="0"/>
            </w:tcBorders>
            <w:noWrap/>
            <w:vAlign w:val="center"/>
          </w:tcPr>
          <w:p w14:paraId="348024F9">
            <w:pPr>
              <w:widowControl/>
              <w:spacing w:line="400" w:lineRule="exact"/>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联系电话</w:t>
            </w:r>
          </w:p>
        </w:tc>
      </w:tr>
      <w:tr w14:paraId="17F12641">
        <w:tblPrEx>
          <w:tblCellMar>
            <w:top w:w="0" w:type="dxa"/>
            <w:left w:w="108" w:type="dxa"/>
            <w:bottom w:w="0" w:type="dxa"/>
            <w:right w:w="108" w:type="dxa"/>
          </w:tblCellMar>
        </w:tblPrEx>
        <w:trPr>
          <w:trHeight w:val="461" w:hRule="atLeast"/>
          <w:jc w:val="center"/>
        </w:trPr>
        <w:tc>
          <w:tcPr>
            <w:tcW w:w="2735" w:type="pct"/>
            <w:tcBorders>
              <w:top w:val="nil"/>
              <w:left w:val="single" w:color="auto" w:sz="4" w:space="0"/>
              <w:bottom w:val="single" w:color="auto" w:sz="4" w:space="0"/>
              <w:right w:val="single" w:color="auto" w:sz="4" w:space="0"/>
            </w:tcBorders>
            <w:noWrap/>
            <w:vAlign w:val="center"/>
          </w:tcPr>
          <w:p w14:paraId="24DB8C80">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乡镇分管领导</w:t>
            </w:r>
          </w:p>
        </w:tc>
        <w:tc>
          <w:tcPr>
            <w:tcW w:w="1239" w:type="pct"/>
            <w:tcBorders>
              <w:top w:val="nil"/>
              <w:left w:val="nil"/>
              <w:bottom w:val="single" w:color="auto" w:sz="4" w:space="0"/>
              <w:right w:val="single" w:color="auto" w:sz="4" w:space="0"/>
            </w:tcBorders>
            <w:noWrap/>
            <w:vAlign w:val="center"/>
          </w:tcPr>
          <w:p w14:paraId="0D6E893E">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nil"/>
              <w:left w:val="nil"/>
              <w:bottom w:val="single" w:color="auto" w:sz="4" w:space="0"/>
              <w:right w:val="single" w:color="auto" w:sz="4" w:space="0"/>
            </w:tcBorders>
            <w:noWrap/>
            <w:vAlign w:val="center"/>
          </w:tcPr>
          <w:p w14:paraId="68E4EF6D">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1C913C91">
        <w:tblPrEx>
          <w:tblCellMar>
            <w:top w:w="0" w:type="dxa"/>
            <w:left w:w="108" w:type="dxa"/>
            <w:bottom w:w="0" w:type="dxa"/>
            <w:right w:w="108" w:type="dxa"/>
          </w:tblCellMar>
        </w:tblPrEx>
        <w:trPr>
          <w:trHeight w:val="461" w:hRule="atLeast"/>
          <w:jc w:val="center"/>
        </w:trPr>
        <w:tc>
          <w:tcPr>
            <w:tcW w:w="2735" w:type="pct"/>
            <w:vMerge w:val="restart"/>
            <w:tcBorders>
              <w:top w:val="nil"/>
              <w:left w:val="single" w:color="auto" w:sz="4" w:space="0"/>
              <w:bottom w:val="single" w:color="auto" w:sz="4" w:space="0"/>
              <w:right w:val="single" w:color="auto" w:sz="4" w:space="0"/>
            </w:tcBorders>
            <w:noWrap/>
            <w:vAlign w:val="center"/>
          </w:tcPr>
          <w:p w14:paraId="0BEBF761">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乡镇督导审核人员</w:t>
            </w:r>
          </w:p>
        </w:tc>
        <w:tc>
          <w:tcPr>
            <w:tcW w:w="1239" w:type="pct"/>
            <w:tcBorders>
              <w:top w:val="nil"/>
              <w:left w:val="nil"/>
              <w:bottom w:val="single" w:color="auto" w:sz="4" w:space="0"/>
              <w:right w:val="single" w:color="auto" w:sz="4" w:space="0"/>
            </w:tcBorders>
            <w:noWrap/>
            <w:vAlign w:val="center"/>
          </w:tcPr>
          <w:p w14:paraId="0311B5AC">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nil"/>
              <w:left w:val="nil"/>
              <w:bottom w:val="single" w:color="auto" w:sz="4" w:space="0"/>
              <w:right w:val="single" w:color="auto" w:sz="4" w:space="0"/>
            </w:tcBorders>
            <w:noWrap/>
            <w:vAlign w:val="center"/>
          </w:tcPr>
          <w:p w14:paraId="352E87AA">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2EBED7D0">
        <w:tblPrEx>
          <w:tblCellMar>
            <w:top w:w="0" w:type="dxa"/>
            <w:left w:w="108" w:type="dxa"/>
            <w:bottom w:w="0" w:type="dxa"/>
            <w:right w:w="108" w:type="dxa"/>
          </w:tblCellMar>
        </w:tblPrEx>
        <w:trPr>
          <w:trHeight w:val="461" w:hRule="atLeast"/>
          <w:jc w:val="center"/>
        </w:trPr>
        <w:tc>
          <w:tcPr>
            <w:tcW w:w="2735" w:type="pct"/>
            <w:vMerge w:val="continue"/>
            <w:tcBorders>
              <w:top w:val="nil"/>
              <w:left w:val="single" w:color="auto" w:sz="4" w:space="0"/>
              <w:bottom w:val="single" w:color="auto" w:sz="4" w:space="0"/>
              <w:right w:val="single" w:color="auto" w:sz="4" w:space="0"/>
            </w:tcBorders>
            <w:noWrap w:val="0"/>
            <w:vAlign w:val="center"/>
          </w:tcPr>
          <w:p w14:paraId="728CB2C0">
            <w:pPr>
              <w:widowControl/>
              <w:spacing w:line="400" w:lineRule="exact"/>
              <w:jc w:val="left"/>
              <w:rPr>
                <w:rFonts w:hint="eastAsia" w:ascii="仿宋_GB2312" w:hAnsi="宋体" w:eastAsia="仿宋_GB2312" w:cs="宋体"/>
                <w:color w:val="000000"/>
                <w:kern w:val="0"/>
                <w:sz w:val="32"/>
                <w:szCs w:val="32"/>
              </w:rPr>
            </w:pPr>
          </w:p>
        </w:tc>
        <w:tc>
          <w:tcPr>
            <w:tcW w:w="1239" w:type="pct"/>
            <w:tcBorders>
              <w:top w:val="nil"/>
              <w:left w:val="nil"/>
              <w:bottom w:val="single" w:color="auto" w:sz="4" w:space="0"/>
              <w:right w:val="single" w:color="auto" w:sz="4" w:space="0"/>
            </w:tcBorders>
            <w:noWrap/>
            <w:vAlign w:val="center"/>
          </w:tcPr>
          <w:p w14:paraId="3E66539A">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nil"/>
              <w:left w:val="nil"/>
              <w:bottom w:val="single" w:color="auto" w:sz="4" w:space="0"/>
              <w:right w:val="single" w:color="auto" w:sz="4" w:space="0"/>
            </w:tcBorders>
            <w:noWrap/>
            <w:vAlign w:val="center"/>
          </w:tcPr>
          <w:p w14:paraId="174D6FF6">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7B1FCA40">
        <w:tblPrEx>
          <w:tblCellMar>
            <w:top w:w="0" w:type="dxa"/>
            <w:left w:w="108" w:type="dxa"/>
            <w:bottom w:w="0" w:type="dxa"/>
            <w:right w:w="108" w:type="dxa"/>
          </w:tblCellMar>
        </w:tblPrEx>
        <w:trPr>
          <w:trHeight w:val="461" w:hRule="atLeast"/>
          <w:jc w:val="center"/>
        </w:trPr>
        <w:tc>
          <w:tcPr>
            <w:tcW w:w="2735" w:type="pct"/>
            <w:vMerge w:val="restart"/>
            <w:tcBorders>
              <w:top w:val="nil"/>
              <w:left w:val="single" w:color="auto" w:sz="4" w:space="0"/>
              <w:bottom w:val="single" w:color="auto" w:sz="4" w:space="0"/>
              <w:right w:val="single" w:color="auto" w:sz="4" w:space="0"/>
            </w:tcBorders>
            <w:noWrap/>
            <w:vAlign w:val="center"/>
          </w:tcPr>
          <w:p w14:paraId="1F620B56">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电子信息录入人员</w:t>
            </w:r>
          </w:p>
        </w:tc>
        <w:tc>
          <w:tcPr>
            <w:tcW w:w="1239" w:type="pct"/>
            <w:tcBorders>
              <w:top w:val="nil"/>
              <w:left w:val="nil"/>
              <w:bottom w:val="single" w:color="auto" w:sz="4" w:space="0"/>
              <w:right w:val="single" w:color="auto" w:sz="4" w:space="0"/>
            </w:tcBorders>
            <w:noWrap/>
            <w:vAlign w:val="center"/>
          </w:tcPr>
          <w:p w14:paraId="6B1CAE91">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nil"/>
              <w:left w:val="nil"/>
              <w:bottom w:val="single" w:color="auto" w:sz="4" w:space="0"/>
              <w:right w:val="single" w:color="auto" w:sz="4" w:space="0"/>
            </w:tcBorders>
            <w:noWrap/>
            <w:vAlign w:val="center"/>
          </w:tcPr>
          <w:p w14:paraId="6ACD8BE5">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204F91BB">
        <w:tblPrEx>
          <w:tblCellMar>
            <w:top w:w="0" w:type="dxa"/>
            <w:left w:w="108" w:type="dxa"/>
            <w:bottom w:w="0" w:type="dxa"/>
            <w:right w:w="108" w:type="dxa"/>
          </w:tblCellMar>
        </w:tblPrEx>
        <w:trPr>
          <w:trHeight w:val="461" w:hRule="atLeast"/>
          <w:jc w:val="center"/>
        </w:trPr>
        <w:tc>
          <w:tcPr>
            <w:tcW w:w="2735" w:type="pct"/>
            <w:vMerge w:val="continue"/>
            <w:tcBorders>
              <w:top w:val="nil"/>
              <w:left w:val="single" w:color="auto" w:sz="4" w:space="0"/>
              <w:bottom w:val="single" w:color="auto" w:sz="4" w:space="0"/>
              <w:right w:val="single" w:color="auto" w:sz="4" w:space="0"/>
            </w:tcBorders>
            <w:noWrap w:val="0"/>
            <w:vAlign w:val="center"/>
          </w:tcPr>
          <w:p w14:paraId="267F8BC7">
            <w:pPr>
              <w:widowControl/>
              <w:spacing w:line="400" w:lineRule="exact"/>
              <w:jc w:val="left"/>
              <w:rPr>
                <w:rFonts w:hint="eastAsia" w:ascii="仿宋_GB2312" w:hAnsi="宋体" w:eastAsia="仿宋_GB2312" w:cs="宋体"/>
                <w:color w:val="000000"/>
                <w:kern w:val="0"/>
                <w:sz w:val="32"/>
                <w:szCs w:val="32"/>
              </w:rPr>
            </w:pPr>
          </w:p>
        </w:tc>
        <w:tc>
          <w:tcPr>
            <w:tcW w:w="1239" w:type="pct"/>
            <w:tcBorders>
              <w:top w:val="nil"/>
              <w:left w:val="nil"/>
              <w:bottom w:val="single" w:color="auto" w:sz="4" w:space="0"/>
              <w:right w:val="single" w:color="auto" w:sz="4" w:space="0"/>
            </w:tcBorders>
            <w:noWrap/>
            <w:vAlign w:val="center"/>
          </w:tcPr>
          <w:p w14:paraId="58C219B8">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nil"/>
              <w:left w:val="nil"/>
              <w:bottom w:val="single" w:color="auto" w:sz="4" w:space="0"/>
              <w:right w:val="single" w:color="auto" w:sz="4" w:space="0"/>
            </w:tcBorders>
            <w:noWrap/>
            <w:vAlign w:val="center"/>
          </w:tcPr>
          <w:p w14:paraId="6309CB29">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2C6F98C9">
        <w:tblPrEx>
          <w:tblCellMar>
            <w:top w:w="0" w:type="dxa"/>
            <w:left w:w="108" w:type="dxa"/>
            <w:bottom w:w="0" w:type="dxa"/>
            <w:right w:w="108" w:type="dxa"/>
          </w:tblCellMar>
        </w:tblPrEx>
        <w:trPr>
          <w:trHeight w:val="461" w:hRule="atLeast"/>
          <w:jc w:val="center"/>
        </w:trPr>
        <w:tc>
          <w:tcPr>
            <w:tcW w:w="2735" w:type="pct"/>
            <w:vMerge w:val="continue"/>
            <w:tcBorders>
              <w:top w:val="nil"/>
              <w:left w:val="single" w:color="auto" w:sz="4" w:space="0"/>
              <w:bottom w:val="single" w:color="auto" w:sz="4" w:space="0"/>
              <w:right w:val="single" w:color="auto" w:sz="4" w:space="0"/>
            </w:tcBorders>
            <w:noWrap w:val="0"/>
            <w:vAlign w:val="center"/>
          </w:tcPr>
          <w:p w14:paraId="39C73632">
            <w:pPr>
              <w:widowControl/>
              <w:spacing w:line="400" w:lineRule="exact"/>
              <w:jc w:val="left"/>
              <w:rPr>
                <w:rFonts w:hint="eastAsia" w:ascii="仿宋_GB2312" w:hAnsi="宋体" w:eastAsia="仿宋_GB2312" w:cs="宋体"/>
                <w:color w:val="000000"/>
                <w:kern w:val="0"/>
                <w:sz w:val="32"/>
                <w:szCs w:val="32"/>
              </w:rPr>
            </w:pPr>
          </w:p>
        </w:tc>
        <w:tc>
          <w:tcPr>
            <w:tcW w:w="1239" w:type="pct"/>
            <w:tcBorders>
              <w:top w:val="nil"/>
              <w:left w:val="nil"/>
              <w:bottom w:val="single" w:color="auto" w:sz="4" w:space="0"/>
              <w:right w:val="single" w:color="auto" w:sz="4" w:space="0"/>
            </w:tcBorders>
            <w:noWrap/>
            <w:vAlign w:val="center"/>
          </w:tcPr>
          <w:p w14:paraId="19B1B1ED">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nil"/>
              <w:left w:val="nil"/>
              <w:bottom w:val="single" w:color="auto" w:sz="4" w:space="0"/>
              <w:right w:val="single" w:color="auto" w:sz="4" w:space="0"/>
            </w:tcBorders>
            <w:noWrap/>
            <w:vAlign w:val="center"/>
          </w:tcPr>
          <w:p w14:paraId="5EE453DB">
            <w:pPr>
              <w:widowControl/>
              <w:spacing w:line="40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3077862A">
        <w:tblPrEx>
          <w:tblCellMar>
            <w:top w:w="0" w:type="dxa"/>
            <w:left w:w="108" w:type="dxa"/>
            <w:bottom w:w="0" w:type="dxa"/>
            <w:right w:w="108" w:type="dxa"/>
          </w:tblCellMar>
        </w:tblPrEx>
        <w:trPr>
          <w:trHeight w:val="679" w:hRule="atLeast"/>
          <w:jc w:val="center"/>
        </w:trPr>
        <w:tc>
          <w:tcPr>
            <w:tcW w:w="2735" w:type="pct"/>
            <w:tcBorders>
              <w:top w:val="nil"/>
              <w:left w:val="single" w:color="auto" w:sz="4" w:space="0"/>
              <w:bottom w:val="single" w:color="auto" w:sz="4" w:space="0"/>
              <w:right w:val="single" w:color="auto" w:sz="4" w:space="0"/>
            </w:tcBorders>
            <w:noWrap/>
            <w:vAlign w:val="center"/>
          </w:tcPr>
          <w:p w14:paraId="6C60B422">
            <w:pPr>
              <w:widowControl/>
              <w:spacing w:line="400" w:lineRule="exact"/>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行政村</w:t>
            </w:r>
          </w:p>
        </w:tc>
        <w:tc>
          <w:tcPr>
            <w:tcW w:w="1239" w:type="pct"/>
            <w:tcBorders>
              <w:top w:val="nil"/>
              <w:left w:val="nil"/>
              <w:bottom w:val="single" w:color="auto" w:sz="4" w:space="0"/>
              <w:right w:val="single" w:color="auto" w:sz="4" w:space="0"/>
            </w:tcBorders>
            <w:noWrap/>
            <w:vAlign w:val="center"/>
          </w:tcPr>
          <w:p w14:paraId="2D38373E">
            <w:pPr>
              <w:widowControl/>
              <w:spacing w:line="400" w:lineRule="exact"/>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lang w:val="en-US" w:eastAsia="zh-CN"/>
              </w:rPr>
              <w:t>医保</w:t>
            </w:r>
            <w:r>
              <w:rPr>
                <w:rFonts w:hint="eastAsia" w:ascii="仿宋_GB2312" w:hAnsi="宋体" w:eastAsia="仿宋_GB2312" w:cs="宋体"/>
                <w:b/>
                <w:bCs/>
                <w:color w:val="000000"/>
                <w:kern w:val="0"/>
                <w:sz w:val="32"/>
                <w:szCs w:val="32"/>
              </w:rPr>
              <w:t>协办员</w:t>
            </w:r>
          </w:p>
        </w:tc>
        <w:tc>
          <w:tcPr>
            <w:tcW w:w="1024" w:type="pct"/>
            <w:tcBorders>
              <w:top w:val="nil"/>
              <w:left w:val="nil"/>
              <w:bottom w:val="single" w:color="auto" w:sz="4" w:space="0"/>
              <w:right w:val="single" w:color="auto" w:sz="4" w:space="0"/>
            </w:tcBorders>
            <w:noWrap/>
            <w:vAlign w:val="center"/>
          </w:tcPr>
          <w:p w14:paraId="57DEC1D3">
            <w:pPr>
              <w:widowControl/>
              <w:spacing w:line="400" w:lineRule="exact"/>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联系电话</w:t>
            </w:r>
          </w:p>
        </w:tc>
      </w:tr>
      <w:tr w14:paraId="0BD91E54">
        <w:tblPrEx>
          <w:tblCellMar>
            <w:top w:w="0" w:type="dxa"/>
            <w:left w:w="108" w:type="dxa"/>
            <w:bottom w:w="0" w:type="dxa"/>
            <w:right w:w="108" w:type="dxa"/>
          </w:tblCellMar>
        </w:tblPrEx>
        <w:trPr>
          <w:trHeight w:val="530" w:hRule="atLeast"/>
          <w:jc w:val="center"/>
        </w:trPr>
        <w:tc>
          <w:tcPr>
            <w:tcW w:w="2735" w:type="pct"/>
            <w:tcBorders>
              <w:top w:val="nil"/>
              <w:left w:val="single" w:color="auto" w:sz="4" w:space="0"/>
              <w:bottom w:val="single" w:color="auto" w:sz="4" w:space="0"/>
              <w:right w:val="single" w:color="auto" w:sz="4" w:space="0"/>
            </w:tcBorders>
            <w:noWrap/>
            <w:vAlign w:val="center"/>
          </w:tcPr>
          <w:p w14:paraId="71EEBD87">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239" w:type="pct"/>
            <w:tcBorders>
              <w:top w:val="nil"/>
              <w:left w:val="nil"/>
              <w:bottom w:val="single" w:color="auto" w:sz="4" w:space="0"/>
              <w:right w:val="single" w:color="auto" w:sz="4" w:space="0"/>
            </w:tcBorders>
            <w:noWrap/>
            <w:vAlign w:val="center"/>
          </w:tcPr>
          <w:p w14:paraId="0BA5173C">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nil"/>
              <w:left w:val="nil"/>
              <w:bottom w:val="single" w:color="auto" w:sz="4" w:space="0"/>
              <w:right w:val="single" w:color="auto" w:sz="4" w:space="0"/>
            </w:tcBorders>
            <w:noWrap/>
            <w:vAlign w:val="center"/>
          </w:tcPr>
          <w:p w14:paraId="10F896E0">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758E7AB3">
        <w:tblPrEx>
          <w:tblCellMar>
            <w:top w:w="0" w:type="dxa"/>
            <w:left w:w="108" w:type="dxa"/>
            <w:bottom w:w="0" w:type="dxa"/>
            <w:right w:w="108" w:type="dxa"/>
          </w:tblCellMar>
        </w:tblPrEx>
        <w:trPr>
          <w:trHeight w:val="530" w:hRule="atLeast"/>
          <w:jc w:val="center"/>
        </w:trPr>
        <w:tc>
          <w:tcPr>
            <w:tcW w:w="2735" w:type="pct"/>
            <w:tcBorders>
              <w:top w:val="nil"/>
              <w:left w:val="single" w:color="auto" w:sz="4" w:space="0"/>
              <w:bottom w:val="single" w:color="auto" w:sz="4" w:space="0"/>
              <w:right w:val="single" w:color="auto" w:sz="4" w:space="0"/>
            </w:tcBorders>
            <w:noWrap/>
            <w:vAlign w:val="center"/>
          </w:tcPr>
          <w:p w14:paraId="5A17D37C">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239" w:type="pct"/>
            <w:tcBorders>
              <w:top w:val="nil"/>
              <w:left w:val="nil"/>
              <w:bottom w:val="single" w:color="auto" w:sz="4" w:space="0"/>
              <w:right w:val="single" w:color="auto" w:sz="4" w:space="0"/>
            </w:tcBorders>
            <w:noWrap/>
            <w:vAlign w:val="center"/>
          </w:tcPr>
          <w:p w14:paraId="44960563">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nil"/>
              <w:left w:val="nil"/>
              <w:bottom w:val="single" w:color="auto" w:sz="4" w:space="0"/>
              <w:right w:val="single" w:color="auto" w:sz="4" w:space="0"/>
            </w:tcBorders>
            <w:noWrap/>
            <w:vAlign w:val="center"/>
          </w:tcPr>
          <w:p w14:paraId="4D7260B1">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789535D5">
        <w:tblPrEx>
          <w:tblCellMar>
            <w:top w:w="0" w:type="dxa"/>
            <w:left w:w="108" w:type="dxa"/>
            <w:bottom w:w="0" w:type="dxa"/>
            <w:right w:w="108" w:type="dxa"/>
          </w:tblCellMar>
        </w:tblPrEx>
        <w:trPr>
          <w:trHeight w:val="530" w:hRule="atLeast"/>
          <w:jc w:val="center"/>
        </w:trPr>
        <w:tc>
          <w:tcPr>
            <w:tcW w:w="2735" w:type="pct"/>
            <w:tcBorders>
              <w:top w:val="nil"/>
              <w:left w:val="single" w:color="auto" w:sz="4" w:space="0"/>
              <w:bottom w:val="single" w:color="auto" w:sz="4" w:space="0"/>
              <w:right w:val="single" w:color="auto" w:sz="4" w:space="0"/>
            </w:tcBorders>
            <w:noWrap/>
            <w:vAlign w:val="center"/>
          </w:tcPr>
          <w:p w14:paraId="4C726AA4">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239" w:type="pct"/>
            <w:tcBorders>
              <w:top w:val="nil"/>
              <w:left w:val="nil"/>
              <w:bottom w:val="single" w:color="auto" w:sz="4" w:space="0"/>
              <w:right w:val="single" w:color="auto" w:sz="4" w:space="0"/>
            </w:tcBorders>
            <w:noWrap/>
            <w:vAlign w:val="center"/>
          </w:tcPr>
          <w:p w14:paraId="628CAB6D">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nil"/>
              <w:left w:val="nil"/>
              <w:bottom w:val="single" w:color="auto" w:sz="4" w:space="0"/>
              <w:right w:val="single" w:color="auto" w:sz="4" w:space="0"/>
            </w:tcBorders>
            <w:noWrap/>
            <w:vAlign w:val="center"/>
          </w:tcPr>
          <w:p w14:paraId="73AAF0FF">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55EC041D">
        <w:tblPrEx>
          <w:tblCellMar>
            <w:top w:w="0" w:type="dxa"/>
            <w:left w:w="108" w:type="dxa"/>
            <w:bottom w:w="0" w:type="dxa"/>
            <w:right w:w="108" w:type="dxa"/>
          </w:tblCellMar>
        </w:tblPrEx>
        <w:trPr>
          <w:trHeight w:val="530" w:hRule="atLeast"/>
          <w:jc w:val="center"/>
        </w:trPr>
        <w:tc>
          <w:tcPr>
            <w:tcW w:w="2735" w:type="pct"/>
            <w:tcBorders>
              <w:top w:val="nil"/>
              <w:left w:val="single" w:color="auto" w:sz="4" w:space="0"/>
              <w:bottom w:val="single" w:color="auto" w:sz="4" w:space="0"/>
              <w:right w:val="single" w:color="auto" w:sz="4" w:space="0"/>
            </w:tcBorders>
            <w:noWrap/>
            <w:vAlign w:val="center"/>
          </w:tcPr>
          <w:p w14:paraId="5282E239">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239" w:type="pct"/>
            <w:tcBorders>
              <w:top w:val="nil"/>
              <w:left w:val="nil"/>
              <w:bottom w:val="single" w:color="auto" w:sz="4" w:space="0"/>
              <w:right w:val="single" w:color="auto" w:sz="4" w:space="0"/>
            </w:tcBorders>
            <w:noWrap/>
            <w:vAlign w:val="center"/>
          </w:tcPr>
          <w:p w14:paraId="0E603E44">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nil"/>
              <w:left w:val="nil"/>
              <w:bottom w:val="single" w:color="auto" w:sz="4" w:space="0"/>
              <w:right w:val="single" w:color="auto" w:sz="4" w:space="0"/>
            </w:tcBorders>
            <w:noWrap/>
            <w:vAlign w:val="center"/>
          </w:tcPr>
          <w:p w14:paraId="35C4D50C">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30675C68">
        <w:tblPrEx>
          <w:tblCellMar>
            <w:top w:w="0" w:type="dxa"/>
            <w:left w:w="108" w:type="dxa"/>
            <w:bottom w:w="0" w:type="dxa"/>
            <w:right w:w="108" w:type="dxa"/>
          </w:tblCellMar>
        </w:tblPrEx>
        <w:trPr>
          <w:trHeight w:val="530" w:hRule="atLeast"/>
          <w:jc w:val="center"/>
        </w:trPr>
        <w:tc>
          <w:tcPr>
            <w:tcW w:w="2735" w:type="pct"/>
            <w:tcBorders>
              <w:top w:val="nil"/>
              <w:left w:val="single" w:color="auto" w:sz="4" w:space="0"/>
              <w:bottom w:val="single" w:color="auto" w:sz="4" w:space="0"/>
              <w:right w:val="single" w:color="auto" w:sz="4" w:space="0"/>
            </w:tcBorders>
            <w:noWrap/>
            <w:vAlign w:val="center"/>
          </w:tcPr>
          <w:p w14:paraId="175F86F9">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239" w:type="pct"/>
            <w:tcBorders>
              <w:top w:val="nil"/>
              <w:left w:val="nil"/>
              <w:bottom w:val="single" w:color="auto" w:sz="4" w:space="0"/>
              <w:right w:val="single" w:color="auto" w:sz="4" w:space="0"/>
            </w:tcBorders>
            <w:noWrap/>
            <w:vAlign w:val="center"/>
          </w:tcPr>
          <w:p w14:paraId="300343AB">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nil"/>
              <w:left w:val="nil"/>
              <w:bottom w:val="single" w:color="auto" w:sz="4" w:space="0"/>
              <w:right w:val="single" w:color="auto" w:sz="4" w:space="0"/>
            </w:tcBorders>
            <w:noWrap/>
            <w:vAlign w:val="center"/>
          </w:tcPr>
          <w:p w14:paraId="0E750A00">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38B39BBF">
        <w:tblPrEx>
          <w:tblCellMar>
            <w:top w:w="0" w:type="dxa"/>
            <w:left w:w="108" w:type="dxa"/>
            <w:bottom w:w="0" w:type="dxa"/>
            <w:right w:w="108" w:type="dxa"/>
          </w:tblCellMar>
        </w:tblPrEx>
        <w:trPr>
          <w:trHeight w:val="530" w:hRule="atLeast"/>
          <w:jc w:val="center"/>
        </w:trPr>
        <w:tc>
          <w:tcPr>
            <w:tcW w:w="2735" w:type="pct"/>
            <w:tcBorders>
              <w:top w:val="nil"/>
              <w:left w:val="single" w:color="auto" w:sz="4" w:space="0"/>
              <w:bottom w:val="single" w:color="auto" w:sz="4" w:space="0"/>
              <w:right w:val="single" w:color="auto" w:sz="4" w:space="0"/>
            </w:tcBorders>
            <w:noWrap/>
            <w:vAlign w:val="center"/>
          </w:tcPr>
          <w:p w14:paraId="7DBC3B7B">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239" w:type="pct"/>
            <w:tcBorders>
              <w:top w:val="nil"/>
              <w:left w:val="nil"/>
              <w:bottom w:val="single" w:color="auto" w:sz="4" w:space="0"/>
              <w:right w:val="single" w:color="auto" w:sz="4" w:space="0"/>
            </w:tcBorders>
            <w:noWrap/>
            <w:vAlign w:val="center"/>
          </w:tcPr>
          <w:p w14:paraId="0266AA44">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nil"/>
              <w:left w:val="nil"/>
              <w:bottom w:val="single" w:color="auto" w:sz="4" w:space="0"/>
              <w:right w:val="single" w:color="auto" w:sz="4" w:space="0"/>
            </w:tcBorders>
            <w:noWrap/>
            <w:vAlign w:val="center"/>
          </w:tcPr>
          <w:p w14:paraId="284995F5">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2ED880DA">
        <w:tblPrEx>
          <w:tblCellMar>
            <w:top w:w="0" w:type="dxa"/>
            <w:left w:w="108" w:type="dxa"/>
            <w:bottom w:w="0" w:type="dxa"/>
            <w:right w:w="108" w:type="dxa"/>
          </w:tblCellMar>
        </w:tblPrEx>
        <w:trPr>
          <w:trHeight w:val="530" w:hRule="atLeast"/>
          <w:jc w:val="center"/>
        </w:trPr>
        <w:tc>
          <w:tcPr>
            <w:tcW w:w="2735" w:type="pct"/>
            <w:tcBorders>
              <w:top w:val="nil"/>
              <w:left w:val="single" w:color="auto" w:sz="4" w:space="0"/>
              <w:bottom w:val="single" w:color="auto" w:sz="4" w:space="0"/>
              <w:right w:val="single" w:color="auto" w:sz="4" w:space="0"/>
            </w:tcBorders>
            <w:noWrap/>
            <w:vAlign w:val="center"/>
          </w:tcPr>
          <w:p w14:paraId="3C68C2FA">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239" w:type="pct"/>
            <w:tcBorders>
              <w:top w:val="nil"/>
              <w:left w:val="nil"/>
              <w:bottom w:val="single" w:color="auto" w:sz="4" w:space="0"/>
              <w:right w:val="single" w:color="auto" w:sz="4" w:space="0"/>
            </w:tcBorders>
            <w:noWrap/>
            <w:vAlign w:val="center"/>
          </w:tcPr>
          <w:p w14:paraId="73D4E2DC">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nil"/>
              <w:left w:val="nil"/>
              <w:bottom w:val="single" w:color="auto" w:sz="4" w:space="0"/>
              <w:right w:val="single" w:color="auto" w:sz="4" w:space="0"/>
            </w:tcBorders>
            <w:noWrap/>
            <w:vAlign w:val="center"/>
          </w:tcPr>
          <w:p w14:paraId="776E3F41">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41A05B96">
        <w:tblPrEx>
          <w:tblCellMar>
            <w:top w:w="0" w:type="dxa"/>
            <w:left w:w="108" w:type="dxa"/>
            <w:bottom w:w="0" w:type="dxa"/>
            <w:right w:w="108" w:type="dxa"/>
          </w:tblCellMar>
        </w:tblPrEx>
        <w:trPr>
          <w:trHeight w:val="530" w:hRule="atLeast"/>
          <w:jc w:val="center"/>
        </w:trPr>
        <w:tc>
          <w:tcPr>
            <w:tcW w:w="2735" w:type="pct"/>
            <w:tcBorders>
              <w:top w:val="single" w:color="auto" w:sz="4" w:space="0"/>
              <w:left w:val="single" w:color="auto" w:sz="4" w:space="0"/>
              <w:bottom w:val="single" w:color="auto" w:sz="4" w:space="0"/>
              <w:right w:val="single" w:color="auto" w:sz="4" w:space="0"/>
            </w:tcBorders>
            <w:noWrap/>
            <w:vAlign w:val="center"/>
          </w:tcPr>
          <w:p w14:paraId="7DCF119B">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239" w:type="pct"/>
            <w:tcBorders>
              <w:top w:val="single" w:color="auto" w:sz="4" w:space="0"/>
              <w:left w:val="single" w:color="auto" w:sz="4" w:space="0"/>
              <w:bottom w:val="single" w:color="auto" w:sz="4" w:space="0"/>
              <w:right w:val="single" w:color="auto" w:sz="4" w:space="0"/>
            </w:tcBorders>
            <w:noWrap/>
            <w:vAlign w:val="center"/>
          </w:tcPr>
          <w:p w14:paraId="10C9F3C8">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single" w:color="auto" w:sz="4" w:space="0"/>
              <w:left w:val="single" w:color="auto" w:sz="4" w:space="0"/>
              <w:bottom w:val="single" w:color="auto" w:sz="4" w:space="0"/>
              <w:right w:val="single" w:color="auto" w:sz="4" w:space="0"/>
            </w:tcBorders>
            <w:noWrap/>
            <w:vAlign w:val="center"/>
          </w:tcPr>
          <w:p w14:paraId="2C707980">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00AD60C8">
        <w:tblPrEx>
          <w:tblCellMar>
            <w:top w:w="0" w:type="dxa"/>
            <w:left w:w="108" w:type="dxa"/>
            <w:bottom w:w="0" w:type="dxa"/>
            <w:right w:w="108" w:type="dxa"/>
          </w:tblCellMar>
        </w:tblPrEx>
        <w:trPr>
          <w:trHeight w:val="592" w:hRule="atLeast"/>
          <w:jc w:val="center"/>
        </w:trPr>
        <w:tc>
          <w:tcPr>
            <w:tcW w:w="2735" w:type="pct"/>
            <w:tcBorders>
              <w:top w:val="single" w:color="auto" w:sz="4" w:space="0"/>
              <w:left w:val="single" w:color="auto" w:sz="4" w:space="0"/>
              <w:bottom w:val="single" w:color="auto" w:sz="4" w:space="0"/>
              <w:right w:val="single" w:color="auto" w:sz="4" w:space="0"/>
            </w:tcBorders>
            <w:noWrap/>
            <w:vAlign w:val="center"/>
          </w:tcPr>
          <w:p w14:paraId="1DC1EC30">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239" w:type="pct"/>
            <w:tcBorders>
              <w:top w:val="single" w:color="auto" w:sz="4" w:space="0"/>
              <w:left w:val="single" w:color="auto" w:sz="4" w:space="0"/>
              <w:bottom w:val="single" w:color="auto" w:sz="4" w:space="0"/>
              <w:right w:val="single" w:color="auto" w:sz="4" w:space="0"/>
            </w:tcBorders>
            <w:noWrap/>
            <w:vAlign w:val="center"/>
          </w:tcPr>
          <w:p w14:paraId="21301104">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1024" w:type="pct"/>
            <w:tcBorders>
              <w:top w:val="single" w:color="auto" w:sz="4" w:space="0"/>
              <w:left w:val="single" w:color="auto" w:sz="4" w:space="0"/>
              <w:bottom w:val="single" w:color="auto" w:sz="4" w:space="0"/>
              <w:right w:val="single" w:color="auto" w:sz="4" w:space="0"/>
            </w:tcBorders>
            <w:noWrap/>
            <w:vAlign w:val="center"/>
          </w:tcPr>
          <w:p w14:paraId="038A3035">
            <w:pPr>
              <w:widowControl/>
              <w:spacing w:line="40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626F06B4">
        <w:tblPrEx>
          <w:tblCellMar>
            <w:top w:w="0" w:type="dxa"/>
            <w:left w:w="108" w:type="dxa"/>
            <w:bottom w:w="0" w:type="dxa"/>
            <w:right w:w="108" w:type="dxa"/>
          </w:tblCellMar>
        </w:tblPrEx>
        <w:trPr>
          <w:trHeight w:val="592" w:hRule="atLeast"/>
          <w:jc w:val="center"/>
        </w:trPr>
        <w:tc>
          <w:tcPr>
            <w:tcW w:w="2735" w:type="pct"/>
            <w:tcBorders>
              <w:top w:val="single" w:color="auto" w:sz="4" w:space="0"/>
              <w:left w:val="single" w:color="auto" w:sz="4" w:space="0"/>
              <w:bottom w:val="single" w:color="auto" w:sz="4" w:space="0"/>
              <w:right w:val="single" w:color="auto" w:sz="4" w:space="0"/>
            </w:tcBorders>
            <w:noWrap/>
            <w:vAlign w:val="center"/>
          </w:tcPr>
          <w:p w14:paraId="0BFCA49D">
            <w:pPr>
              <w:widowControl/>
              <w:spacing w:line="400" w:lineRule="exact"/>
              <w:jc w:val="left"/>
              <w:rPr>
                <w:rFonts w:hint="eastAsia" w:ascii="仿宋_GB2312" w:hAnsi="宋体" w:eastAsia="仿宋_GB2312" w:cs="宋体"/>
                <w:color w:val="000000"/>
                <w:kern w:val="0"/>
                <w:sz w:val="32"/>
                <w:szCs w:val="32"/>
              </w:rPr>
            </w:pPr>
          </w:p>
        </w:tc>
        <w:tc>
          <w:tcPr>
            <w:tcW w:w="1239" w:type="pct"/>
            <w:tcBorders>
              <w:top w:val="single" w:color="auto" w:sz="4" w:space="0"/>
              <w:left w:val="single" w:color="auto" w:sz="4" w:space="0"/>
              <w:bottom w:val="single" w:color="auto" w:sz="4" w:space="0"/>
              <w:right w:val="single" w:color="auto" w:sz="4" w:space="0"/>
            </w:tcBorders>
            <w:noWrap/>
            <w:vAlign w:val="center"/>
          </w:tcPr>
          <w:p w14:paraId="6BBAC313">
            <w:pPr>
              <w:widowControl/>
              <w:spacing w:line="400" w:lineRule="exact"/>
              <w:jc w:val="left"/>
              <w:rPr>
                <w:rFonts w:hint="eastAsia" w:ascii="仿宋_GB2312" w:hAnsi="宋体" w:eastAsia="仿宋_GB2312" w:cs="宋体"/>
                <w:color w:val="000000"/>
                <w:kern w:val="0"/>
                <w:sz w:val="32"/>
                <w:szCs w:val="32"/>
              </w:rPr>
            </w:pPr>
          </w:p>
        </w:tc>
        <w:tc>
          <w:tcPr>
            <w:tcW w:w="1024" w:type="pct"/>
            <w:tcBorders>
              <w:top w:val="single" w:color="auto" w:sz="4" w:space="0"/>
              <w:left w:val="single" w:color="auto" w:sz="4" w:space="0"/>
              <w:bottom w:val="single" w:color="auto" w:sz="4" w:space="0"/>
              <w:right w:val="single" w:color="auto" w:sz="4" w:space="0"/>
            </w:tcBorders>
            <w:noWrap/>
            <w:vAlign w:val="center"/>
          </w:tcPr>
          <w:p w14:paraId="04284D35">
            <w:pPr>
              <w:widowControl/>
              <w:spacing w:line="400" w:lineRule="exact"/>
              <w:jc w:val="left"/>
              <w:rPr>
                <w:rFonts w:hint="eastAsia" w:ascii="仿宋_GB2312" w:hAnsi="宋体" w:eastAsia="仿宋_GB2312" w:cs="宋体"/>
                <w:color w:val="000000"/>
                <w:kern w:val="0"/>
                <w:sz w:val="32"/>
                <w:szCs w:val="32"/>
              </w:rPr>
            </w:pPr>
          </w:p>
        </w:tc>
      </w:tr>
    </w:tbl>
    <w:p w14:paraId="2BAFBD69">
      <w:pPr>
        <w:spacing w:line="400" w:lineRule="exact"/>
        <w:rPr>
          <w:rFonts w:hint="eastAsia" w:ascii="仿宋_GB2312" w:eastAsia="仿宋_GB2312"/>
          <w:bCs/>
          <w:color w:val="000000"/>
          <w:sz w:val="30"/>
          <w:szCs w:val="30"/>
        </w:rPr>
      </w:pPr>
      <w:r>
        <w:rPr>
          <w:rFonts w:hint="eastAsia" w:ascii="仿宋_GB2312" w:eastAsia="仿宋_GB2312"/>
          <w:bCs/>
          <w:color w:val="000000"/>
          <w:sz w:val="30"/>
          <w:szCs w:val="30"/>
        </w:rPr>
        <w:t>县税务局联系人：</w:t>
      </w:r>
      <w:r>
        <w:rPr>
          <w:rFonts w:hint="eastAsia" w:ascii="仿宋_GB2312" w:eastAsia="仿宋_GB2312"/>
          <w:bCs/>
          <w:color w:val="000000"/>
          <w:sz w:val="30"/>
          <w:szCs w:val="30"/>
          <w:lang w:val="en-US" w:eastAsia="zh-CN"/>
        </w:rPr>
        <w:t>李幸玲 刘 萌</w:t>
      </w:r>
      <w:r>
        <w:rPr>
          <w:rFonts w:hint="eastAsia" w:ascii="仿宋_GB2312" w:eastAsia="仿宋_GB2312"/>
          <w:bCs/>
          <w:color w:val="000000"/>
          <w:sz w:val="30"/>
          <w:szCs w:val="30"/>
        </w:rPr>
        <w:t xml:space="preserve">；联系电话：0377—69675358    </w:t>
      </w:r>
    </w:p>
    <w:p w14:paraId="61F59210">
      <w:pPr>
        <w:spacing w:line="400" w:lineRule="exact"/>
        <w:rPr>
          <w:rFonts w:hint="eastAsia" w:ascii="仿宋_GB2312" w:eastAsia="仿宋_GB2312"/>
          <w:bCs/>
          <w:color w:val="000000"/>
          <w:sz w:val="30"/>
          <w:szCs w:val="30"/>
        </w:rPr>
      </w:pPr>
      <w:r>
        <w:rPr>
          <w:rFonts w:hint="eastAsia" w:ascii="仿宋_GB2312" w:eastAsia="仿宋_GB2312"/>
          <w:bCs/>
          <w:color w:val="000000"/>
          <w:sz w:val="30"/>
          <w:szCs w:val="30"/>
        </w:rPr>
        <w:t>报送邮箱：</w:t>
      </w:r>
      <w:r>
        <w:rPr>
          <w:rFonts w:ascii="仿宋_GB2312" w:eastAsia="仿宋_GB2312"/>
          <w:bCs/>
          <w:color w:val="000000"/>
          <w:sz w:val="30"/>
          <w:szCs w:val="30"/>
        </w:rPr>
        <w:fldChar w:fldCharType="begin"/>
      </w:r>
      <w:r>
        <w:rPr>
          <w:rFonts w:ascii="仿宋_GB2312" w:eastAsia="仿宋_GB2312"/>
          <w:bCs/>
          <w:color w:val="000000"/>
          <w:sz w:val="30"/>
          <w:szCs w:val="30"/>
        </w:rPr>
        <w:instrText xml:space="preserve"> HYPERLINK "mailto:</w:instrText>
      </w:r>
      <w:r>
        <w:rPr>
          <w:rFonts w:hint="eastAsia" w:ascii="仿宋_GB2312" w:eastAsia="仿宋_GB2312"/>
          <w:bCs/>
          <w:color w:val="000000"/>
          <w:sz w:val="30"/>
          <w:szCs w:val="30"/>
        </w:rPr>
        <w:instrText xml:space="preserve">xxxswjsbfsg@163.com</w:instrText>
      </w:r>
      <w:r>
        <w:rPr>
          <w:rFonts w:ascii="仿宋_GB2312" w:eastAsia="仿宋_GB2312"/>
          <w:bCs/>
          <w:color w:val="000000"/>
          <w:sz w:val="30"/>
          <w:szCs w:val="30"/>
        </w:rPr>
        <w:instrText xml:space="preserve">" </w:instrText>
      </w:r>
      <w:r>
        <w:rPr>
          <w:rFonts w:ascii="仿宋_GB2312" w:eastAsia="仿宋_GB2312"/>
          <w:bCs/>
          <w:color w:val="000000"/>
          <w:sz w:val="30"/>
          <w:szCs w:val="30"/>
        </w:rPr>
        <w:fldChar w:fldCharType="separate"/>
      </w:r>
      <w:r>
        <w:rPr>
          <w:rFonts w:hint="eastAsia" w:ascii="仿宋_GB2312" w:eastAsia="仿宋_GB2312"/>
          <w:bCs/>
          <w:color w:val="000000"/>
          <w:sz w:val="30"/>
          <w:szCs w:val="30"/>
          <w:lang w:val="en-US" w:eastAsia="zh-CN"/>
        </w:rPr>
        <w:t>nx</w:t>
      </w:r>
      <w:r>
        <w:rPr>
          <w:rStyle w:val="8"/>
          <w:rFonts w:hint="eastAsia" w:ascii="仿宋_GB2312" w:eastAsia="仿宋_GB2312"/>
          <w:bCs/>
          <w:color w:val="000000"/>
          <w:sz w:val="30"/>
          <w:szCs w:val="30"/>
          <w:u w:val="none"/>
        </w:rPr>
        <w:t>xswjsbfsg@163.com</w:t>
      </w:r>
      <w:r>
        <w:rPr>
          <w:rFonts w:ascii="仿宋_GB2312" w:eastAsia="仿宋_GB2312"/>
          <w:bCs/>
          <w:color w:val="000000"/>
          <w:sz w:val="30"/>
          <w:szCs w:val="30"/>
        </w:rPr>
        <w:fldChar w:fldCharType="end"/>
      </w:r>
    </w:p>
    <w:p w14:paraId="42F0F467">
      <w:pPr>
        <w:spacing w:line="400" w:lineRule="exact"/>
        <w:rPr>
          <w:rFonts w:hint="default" w:ascii="仿宋_GB2312" w:eastAsia="仿宋_GB2312"/>
          <w:bCs/>
          <w:color w:val="000000"/>
          <w:sz w:val="30"/>
          <w:szCs w:val="30"/>
          <w:lang w:val="en-US" w:eastAsia="zh-CN"/>
        </w:rPr>
      </w:pPr>
      <w:r>
        <w:rPr>
          <w:rFonts w:hint="eastAsia" w:ascii="仿宋_GB2312" w:eastAsia="仿宋_GB2312"/>
          <w:bCs/>
          <w:color w:val="000000"/>
          <w:sz w:val="30"/>
          <w:szCs w:val="30"/>
        </w:rPr>
        <w:t>县医保局联系人：</w:t>
      </w:r>
      <w:r>
        <w:rPr>
          <w:rFonts w:hint="eastAsia" w:ascii="仿宋_GB2312" w:eastAsia="仿宋_GB2312"/>
          <w:bCs/>
          <w:color w:val="000000"/>
          <w:sz w:val="30"/>
          <w:szCs w:val="30"/>
          <w:lang w:val="en-US" w:eastAsia="zh-CN"/>
        </w:rPr>
        <w:t>邹  玉 余丰瑞</w:t>
      </w:r>
      <w:r>
        <w:rPr>
          <w:rFonts w:hint="eastAsia" w:ascii="仿宋_GB2312" w:eastAsia="仿宋_GB2312"/>
          <w:bCs/>
          <w:color w:val="000000"/>
          <w:sz w:val="30"/>
          <w:szCs w:val="30"/>
        </w:rPr>
        <w:t>；联系电话：0377—</w:t>
      </w:r>
      <w:r>
        <w:rPr>
          <w:rFonts w:hint="eastAsia" w:ascii="仿宋_GB2312" w:eastAsia="仿宋_GB2312"/>
          <w:bCs/>
          <w:color w:val="000000"/>
          <w:sz w:val="30"/>
          <w:szCs w:val="30"/>
          <w:lang w:val="en-US" w:eastAsia="zh-CN"/>
        </w:rPr>
        <w:t>65319066</w:t>
      </w:r>
    </w:p>
    <w:p w14:paraId="471E7012">
      <w:pPr>
        <w:tabs>
          <w:tab w:val="left" w:pos="5400"/>
        </w:tabs>
        <w:spacing w:line="500" w:lineRule="exact"/>
        <w:rPr>
          <w:rFonts w:hint="eastAsia" w:ascii="仿宋_GB2312" w:eastAsia="仿宋_GB2312"/>
          <w:bCs/>
          <w:color w:val="000000"/>
          <w:sz w:val="30"/>
          <w:szCs w:val="30"/>
          <w:lang w:val="en-US" w:eastAsia="zh-CN"/>
        </w:rPr>
      </w:pPr>
      <w:r>
        <w:rPr>
          <w:rFonts w:hint="eastAsia" w:ascii="仿宋_GB2312" w:eastAsia="仿宋_GB2312"/>
          <w:bCs/>
          <w:color w:val="000000"/>
          <w:sz w:val="30"/>
          <w:szCs w:val="30"/>
        </w:rPr>
        <w:t>报送邮箱：</w:t>
      </w:r>
      <w:r>
        <w:rPr>
          <w:rFonts w:hint="eastAsia" w:ascii="仿宋_GB2312" w:eastAsia="仿宋_GB2312"/>
          <w:bCs/>
          <w:color w:val="000000"/>
          <w:sz w:val="30"/>
          <w:szCs w:val="30"/>
          <w:lang w:val="en-US" w:eastAsia="zh-CN"/>
        </w:rPr>
        <w:t>15660058822</w:t>
      </w:r>
      <w:r>
        <w:rPr>
          <w:rFonts w:hint="eastAsia" w:ascii="仿宋_GB2312" w:eastAsia="仿宋_GB2312"/>
          <w:bCs/>
          <w:color w:val="000000"/>
          <w:sz w:val="30"/>
          <w:szCs w:val="30"/>
        </w:rPr>
        <w:t xml:space="preserve">@163.com  </w:t>
      </w:r>
    </w:p>
    <w:sectPr>
      <w:footerReference r:id="rId3" w:type="default"/>
      <w:footerReference r:id="rId4" w:type="even"/>
      <w:pgSz w:w="11906" w:h="16838"/>
      <w:pgMar w:top="1440" w:right="1800" w:bottom="1440" w:left="1800" w:header="794" w:footer="1361"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9B982C-B8E8-4872-A260-0FC1BB593B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4BAD38C-A123-444F-954E-0B4B801FAD7A}"/>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9C2DA6B0-176D-4455-969D-4F830B4F73EC}"/>
  </w:font>
  <w:font w:name="仿宋_GB2312">
    <w:panose1 w:val="02010609030101010101"/>
    <w:charset w:val="86"/>
    <w:family w:val="modern"/>
    <w:pitch w:val="default"/>
    <w:sig w:usb0="00000001" w:usb1="080E0000" w:usb2="00000000" w:usb3="00000000" w:csb0="00040000" w:csb1="00000000"/>
    <w:embedRegular r:id="rId4" w:fontKey="{0265B0B1-161A-4FA6-9AB9-61C8CB675D4F}"/>
  </w:font>
  <w:font w:name="方正小标宋简体">
    <w:panose1 w:val="03000509000000000000"/>
    <w:charset w:val="86"/>
    <w:family w:val="auto"/>
    <w:pitch w:val="default"/>
    <w:sig w:usb0="00000001" w:usb1="080E0000" w:usb2="00000000" w:usb3="00000000" w:csb0="00040000" w:csb1="00000000"/>
    <w:embedRegular r:id="rId5" w:fontKey="{788A0D41-740E-4C3E-867A-EAD45441A859}"/>
  </w:font>
  <w:font w:name="方正公文小标宋">
    <w:panose1 w:val="02000500000000000000"/>
    <w:charset w:val="86"/>
    <w:family w:val="auto"/>
    <w:pitch w:val="default"/>
    <w:sig w:usb0="A00002BF" w:usb1="38CF7CFA" w:usb2="00000016" w:usb3="00000000" w:csb0="00040001" w:csb1="00000000"/>
    <w:embedRegular r:id="rId6" w:fontKey="{C79E9AF1-C75F-452D-9C6D-E384C5A1791A}"/>
  </w:font>
  <w:font w:name="楷体_GB2312">
    <w:panose1 w:val="02010609030101010101"/>
    <w:charset w:val="86"/>
    <w:family w:val="modern"/>
    <w:pitch w:val="default"/>
    <w:sig w:usb0="00000001" w:usb1="080E0000" w:usb2="00000000" w:usb3="00000000" w:csb0="00040000" w:csb1="00000000"/>
    <w:embedRegular r:id="rId7" w:fontKey="{753DF60F-793F-4CE6-B9BD-C32A18841220}"/>
  </w:font>
  <w:font w:name="楷体">
    <w:panose1 w:val="02010609060101010101"/>
    <w:charset w:val="86"/>
    <w:family w:val="auto"/>
    <w:pitch w:val="default"/>
    <w:sig w:usb0="800002BF" w:usb1="38CF7CFA" w:usb2="00000016" w:usb3="00000000" w:csb0="00040001" w:csb1="00000000"/>
    <w:embedRegular r:id="rId8" w:fontKey="{D0C58932-90A8-4D75-8F08-99DE041A704F}"/>
  </w:font>
  <w:font w:name="方正仿宋_GB2312">
    <w:panose1 w:val="02000000000000000000"/>
    <w:charset w:val="86"/>
    <w:family w:val="auto"/>
    <w:pitch w:val="default"/>
    <w:sig w:usb0="A00002BF" w:usb1="184F6CFA" w:usb2="00000012" w:usb3="00000000" w:csb0="00040001" w:csb1="00000000"/>
    <w:embedRegular r:id="rId9" w:fontKey="{03C78277-7E30-4DBF-B889-903B22762F0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26ACB">
    <w:pPr>
      <w:pStyle w:val="2"/>
      <w:framePr w:wrap="around" w:vAnchor="text" w:hAnchor="margin" w:xAlign="outside" w:y="1"/>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3</w:t>
    </w:r>
    <w:r>
      <w:rPr>
        <w:rStyle w:val="7"/>
        <w:rFonts w:ascii="宋体" w:hAnsi="宋体"/>
        <w:sz w:val="28"/>
        <w:szCs w:val="28"/>
      </w:rPr>
      <w:fldChar w:fldCharType="end"/>
    </w:r>
    <w:r>
      <w:rPr>
        <w:rStyle w:val="7"/>
        <w:rFonts w:hint="eastAsia" w:ascii="宋体" w:hAnsi="宋体"/>
        <w:sz w:val="28"/>
        <w:szCs w:val="28"/>
      </w:rPr>
      <w:t xml:space="preserve"> —</w:t>
    </w:r>
  </w:p>
  <w:p w14:paraId="62BBD1E1">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5C46F">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45E1642A">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YWI2NTRlMmZkZGRlYTNjM2YxNjA5ODJjYzk4YzgifQ=="/>
  </w:docVars>
  <w:rsids>
    <w:rsidRoot w:val="00000000"/>
    <w:rsid w:val="06327490"/>
    <w:rsid w:val="0FB73B25"/>
    <w:rsid w:val="40A83027"/>
    <w:rsid w:val="4E7B4F3B"/>
    <w:rsid w:val="50A6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ind w:firstLine="0" w:firstLineChars="0"/>
      <w:jc w:val="left"/>
    </w:pPr>
    <w:rPr>
      <w:rFonts w:ascii="方正仿宋_GBK" w:hAnsi="方正仿宋_GBK" w:eastAsia="宋体" w:cs="方正仿宋_GBK"/>
      <w:sz w:val="21"/>
      <w:szCs w:val="32"/>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7234</Words>
  <Characters>7481</Characters>
  <Lines>0</Lines>
  <Paragraphs>0</Paragraphs>
  <TotalTime>19</TotalTime>
  <ScaleCrop>false</ScaleCrop>
  <LinksUpToDate>false</LinksUpToDate>
  <CharactersWithSpaces>7713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2024-08-29T01:14:00Z</dcterms:created>
  <dc:creator>lenovo</dc:creator>
  <cp:lastModifiedBy>小鱼</cp:lastModifiedBy>
  <cp:lastPrinted>2024-08-30T01:06:00Z</cp:lastPrinted>
  <dcterms:modified xsi:type="dcterms:W3CDTF">2024-08-30T07:41:47Z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E081E53827B14C479455D0ACE8AF0E2A_12</vt:lpwstr>
  </property>
</Properties>
</file>