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CE4D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沁阳市教育体育局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提前下达2023年中等职业教育学生资助中央资金-中职助学金（豫财教[2022]0105号）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”项目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绩效评价报告</w:t>
      </w:r>
    </w:p>
    <w:p w14:paraId="7BE3B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</w:p>
    <w:p w14:paraId="252B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根据《中共沁阳市委 沁阳市人民政府关于全面实施预算绩效管理的实施意见》（沁发〔20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号）相关文件要求，沁阳市财政局对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沁阳市教育体育局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提前下达2023年中等职业教育学生资助中央资金-中职助学金（豫财教[2022]0105号）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支出绩效进行了评价，现将具体情况报告如下：</w:t>
      </w:r>
    </w:p>
    <w:p w14:paraId="745CB29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  <w:t>一、项目基本情况</w:t>
      </w:r>
    </w:p>
    <w:p w14:paraId="5A6D9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（一）项目基本概况</w:t>
      </w:r>
    </w:p>
    <w:p w14:paraId="3CD7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1.项目简介</w:t>
      </w:r>
    </w:p>
    <w:p w14:paraId="640C3212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  <w:t>中职国家助学金根据教育部办公厅关于印发《中等职业学校学生资助工作指南》的通知(教财厅函〔2020〕8号)及河南省教育厅等五部门关于印发《河南省学生资助项目管理办法》的通知豫教财〔2023〕171 号相关文件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等相关文件要求，以</w:t>
      </w:r>
      <w:r>
        <w:rPr>
          <w:rFonts w:hint="eastAsia" w:ascii="仿宋_GB2312" w:hAnsi="ˎ̥" w:eastAsia="仿宋_GB2312" w:cs="宋体"/>
          <w:sz w:val="32"/>
          <w:szCs w:val="32"/>
          <w:lang w:val="en-US" w:eastAsia="zh-CN"/>
        </w:rPr>
        <w:t>减轻困难家庭的经济压力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为主要目的，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设立中职教育国家助学金项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  <w:t>目，帮助家庭经济困难学生顺利入学、顺利完成学业、顺利就业。杜绝因学致贫、因学返贫现象的发生，巩固拓展沁阳市脱贫攻坚成果同乡村振兴有效衔接工作。</w:t>
      </w:r>
    </w:p>
    <w:p w14:paraId="7B27D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2.项目执行情况</w:t>
      </w:r>
    </w:p>
    <w:p w14:paraId="0409B84E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 w:bidi="ar-SA"/>
        </w:rPr>
        <w:t>做好困难学生认定，</w:t>
      </w:r>
      <w:r>
        <w:rPr>
          <w:rFonts w:hint="eastAsia" w:ascii="仿宋_GB2312" w:hAnsi="ˎ̥" w:eastAsia="仿宋_GB2312" w:cs="宋体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</w:rPr>
        <w:t>具有中等职业教育学校全日制正式学籍的一、二年级在校涉农专业学生和非涉农专业家庭经济困难学生，</w:t>
      </w:r>
      <w:r>
        <w:rPr>
          <w:rFonts w:hint="eastAsia" w:ascii="仿宋_GB2312" w:hAnsi="ˎ̥" w:eastAsia="仿宋_GB2312" w:cs="宋体"/>
          <w:color w:val="222222"/>
          <w:sz w:val="32"/>
          <w:szCs w:val="32"/>
        </w:rPr>
        <w:t>视贫困程度分为</w:t>
      </w:r>
      <w:r>
        <w:rPr>
          <w:rFonts w:hint="eastAsia" w:ascii="仿宋_GB2312" w:hAnsi="ˎ̥" w:eastAsia="仿宋_GB2312" w:cs="宋体"/>
          <w:color w:val="222222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宋体"/>
          <w:color w:val="222222"/>
          <w:sz w:val="32"/>
          <w:szCs w:val="32"/>
        </w:rPr>
        <w:t>-3档享受1000-3000元助学金（</w:t>
      </w:r>
      <w:r>
        <w:rPr>
          <w:rFonts w:hint="eastAsia" w:ascii="仿宋_GB2312" w:eastAsia="仿宋_GB2312"/>
          <w:color w:val="333333"/>
          <w:sz w:val="32"/>
          <w:szCs w:val="32"/>
        </w:rPr>
        <w:t>平均资助标准为每生每年2000元</w:t>
      </w:r>
      <w:r>
        <w:rPr>
          <w:rFonts w:hint="eastAsia" w:ascii="仿宋_GB2312" w:hAnsi="ˎ̥" w:eastAsia="仿宋_GB2312" w:cs="宋体"/>
          <w:color w:val="222222"/>
          <w:sz w:val="32"/>
          <w:szCs w:val="32"/>
        </w:rPr>
        <w:t>）</w:t>
      </w:r>
      <w:r>
        <w:rPr>
          <w:rFonts w:hint="eastAsia" w:ascii="仿宋_GB2312" w:hAnsi="ˎ̥" w:eastAsia="仿宋_GB2312" w:cs="宋体"/>
          <w:color w:val="22222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 w:bidi="ar-SA"/>
        </w:rPr>
        <w:t>按时发放中职教育国家助学金。</w:t>
      </w:r>
    </w:p>
    <w:p w14:paraId="78C8E3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绩效目标</w:t>
      </w:r>
    </w:p>
    <w:tbl>
      <w:tblPr>
        <w:tblStyle w:val="5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65"/>
        <w:gridCol w:w="2149"/>
        <w:gridCol w:w="2299"/>
        <w:gridCol w:w="1393"/>
      </w:tblGrid>
      <w:tr w14:paraId="7E97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7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本级部门预算项目绩效目标表</w:t>
            </w:r>
          </w:p>
        </w:tc>
      </w:tr>
      <w:tr w14:paraId="4D49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4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14C1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E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提前下达2023年中等职业教育学生资助中央资金-中职助学金（豫财教[2022]0105号）</w:t>
            </w:r>
          </w:p>
        </w:tc>
      </w:tr>
      <w:tr w14:paraId="69ED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7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沁阳市教育体育局</w:t>
            </w:r>
          </w:p>
        </w:tc>
      </w:tr>
      <w:tr w14:paraId="679E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E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沁阳市学生资助管理中心</w:t>
            </w:r>
          </w:p>
        </w:tc>
      </w:tr>
      <w:tr w14:paraId="6EBC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105.7</w:t>
            </w:r>
          </w:p>
        </w:tc>
      </w:tr>
      <w:tr w14:paraId="4B51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F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其中：政府预算资金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105.7</w:t>
            </w:r>
          </w:p>
        </w:tc>
      </w:tr>
      <w:tr w14:paraId="1657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1D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财政专户管理资金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C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A2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F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7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单位资金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E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C5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4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目标1：助力保障受资助家庭经济困难学生就读中职学校。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目标2：国家助学金资助政策按规定得到有效有效落实。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目标3：减轻农村贫困家庭负担，确保贫困家庭子女顺利完成学业，阻断贫困代际传递，摆脱精神贫困。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目标4：教育公平显著提升，满足家庭经济困难学生基本生活、学习需要。</w:t>
            </w:r>
          </w:p>
        </w:tc>
      </w:tr>
      <w:tr w14:paraId="3F17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分解目标  </w:t>
            </w:r>
          </w:p>
        </w:tc>
      </w:tr>
      <w:tr w14:paraId="246F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指标值说明</w:t>
            </w:r>
          </w:p>
        </w:tc>
      </w:tr>
      <w:tr w14:paraId="0620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成本指标 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每生每年资助标准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3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≤3000元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D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C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1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B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8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6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2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A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D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2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7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09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产出指标 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中职家庭经济困难人数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8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全覆盖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0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4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家庭经济困难人数占在校生比例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≤15%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E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C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9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补助资金及时足额发放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3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8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7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1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A6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1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7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F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减轻农村家庭教育负担，不让一个学生因家庭贫困而失学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7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B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D8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4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D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BA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C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D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抽样调查群众满意度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3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F9E6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（二）项目总体评价</w:t>
      </w:r>
    </w:p>
    <w:p w14:paraId="2A822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总体上看，沁阳市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关于提前下达2023年中等职业教育学生资助中央资金-中职助学金（豫财教[2022]0105号）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项目，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决策依据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充分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，资金分配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到位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，绩效目标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完成度100%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，项目管理规范，效益效果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明显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得分为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89.5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，等级为良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0E04B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资金情况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 w14:paraId="1D4F6403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2023年，该单位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关于提前下达2023年中等职业教育学生资助中央资金-中职助学金（豫财教[2022]0105号）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项目年初预算为105.7万元，实际支出为103.3万元，预算执行率为99.73 %。主要用于中职教育国家助学金发放。</w:t>
      </w:r>
    </w:p>
    <w:p w14:paraId="69188BC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  <w:t>评价结论</w:t>
      </w:r>
    </w:p>
    <w:p w14:paraId="24848CB5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从总体情况来看，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关于提前下达2023年中等职业教育学生资助中央资金-中职助学金（豫财教[2022]0105号）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项目情况“良”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，根据项目评价实际情况和专家综合评价意见，本项目评价结果如下：</w:t>
      </w:r>
    </w:p>
    <w:p w14:paraId="69DAC7D0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项目立项依据充分。</w:t>
      </w:r>
    </w:p>
    <w:p w14:paraId="5C2D9D69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  <w:t>《中等职业学校学生资助工作指南》的通知(教财厅函〔2020〕8号)</w:t>
      </w:r>
    </w:p>
    <w:p w14:paraId="54A25D85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  <w:t>《河南省学生资助项目管理办法》的通知豫教财〔2023〕171 号</w:t>
      </w:r>
    </w:p>
    <w:p w14:paraId="56F3F81A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2.项目管理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规范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6EC7A6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eastAsia="zh-CN"/>
        </w:rPr>
        <w:t>项目资金根据实际需求及时拨付到位,资金支出严格遵守相关法律法规,支出依据充足,支出程序规范,支出标准合规,不存在虚列项目支出、截留、挤占、挪用、超标准支出等情况</w:t>
      </w:r>
    </w:p>
    <w:p w14:paraId="03761A00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3.项目效果明显。</w:t>
      </w:r>
    </w:p>
    <w:p w14:paraId="3967A39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eastAsia="zh-CN"/>
        </w:rPr>
        <w:t>年,该单位严格按照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中职教育国家助学金发放标准，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切实保证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了中职教育国家助学金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足额发放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</w:p>
    <w:p w14:paraId="4EDFBBE7">
      <w:pPr>
        <w:keepNext w:val="0"/>
        <w:keepLines w:val="0"/>
        <w:pageBreakBefore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项目满意度情况。</w:t>
      </w:r>
    </w:p>
    <w:p w14:paraId="305D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经民意调查，对该项目满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意度为92%。</w:t>
      </w:r>
    </w:p>
    <w:p w14:paraId="4689862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三、存在问题</w:t>
      </w:r>
    </w:p>
    <w:p w14:paraId="4D07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1.该单位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没有单独设立预算绩效管理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科室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，而且投入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绩效管理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的工作人员数量也较少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。</w:t>
      </w:r>
    </w:p>
    <w:p w14:paraId="2B0F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2.绩效目标设置不够清晰，不够精细。</w:t>
      </w:r>
    </w:p>
    <w:p w14:paraId="0711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3.业务管理制度不够健全、完整，对相关专项资金没有跟踪监控、考核等制度。</w:t>
      </w:r>
    </w:p>
    <w:p w14:paraId="28DB1CD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val="en-US" w:eastAsia="zh-CN"/>
        </w:rPr>
        <w:t>相关建议</w:t>
      </w:r>
    </w:p>
    <w:p w14:paraId="387DF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加强绩效理论学习，充实绩效管理人员，完善绩效目标设置，建立健全制度，严格执行。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E9C9F"/>
    <w:multiLevelType w:val="singleLevel"/>
    <w:tmpl w:val="865E9C9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C"/>
    <w:multiLevelType w:val="singleLevel"/>
    <w:tmpl w:val="0000000C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DY2YjE4NWU0OGJjNGY0NTU0ZmZiZDhmNGQ1MGYifQ=="/>
    <w:docVar w:name="KSO_WPS_MARK_KEY" w:val="e98a545c-c18a-49ce-9284-c256f23f57bd"/>
  </w:docVars>
  <w:rsids>
    <w:rsidRoot w:val="169F7DE5"/>
    <w:rsid w:val="00255773"/>
    <w:rsid w:val="01785B98"/>
    <w:rsid w:val="02C9548E"/>
    <w:rsid w:val="032558AB"/>
    <w:rsid w:val="060B4936"/>
    <w:rsid w:val="0627337D"/>
    <w:rsid w:val="0A2E773B"/>
    <w:rsid w:val="0C886EAB"/>
    <w:rsid w:val="0FB71F81"/>
    <w:rsid w:val="10661FD2"/>
    <w:rsid w:val="11C33E38"/>
    <w:rsid w:val="122D02D9"/>
    <w:rsid w:val="13DB5B12"/>
    <w:rsid w:val="14460456"/>
    <w:rsid w:val="169F7DE5"/>
    <w:rsid w:val="192C753C"/>
    <w:rsid w:val="1DC07663"/>
    <w:rsid w:val="22C0687F"/>
    <w:rsid w:val="24732297"/>
    <w:rsid w:val="25423585"/>
    <w:rsid w:val="262A1A15"/>
    <w:rsid w:val="2FE13D07"/>
    <w:rsid w:val="300A1801"/>
    <w:rsid w:val="334D1169"/>
    <w:rsid w:val="33BC6D5A"/>
    <w:rsid w:val="353A66E5"/>
    <w:rsid w:val="3902576C"/>
    <w:rsid w:val="39262272"/>
    <w:rsid w:val="39810054"/>
    <w:rsid w:val="3B295232"/>
    <w:rsid w:val="3C802237"/>
    <w:rsid w:val="3D1912D6"/>
    <w:rsid w:val="3D6F16A4"/>
    <w:rsid w:val="3DEE348A"/>
    <w:rsid w:val="40D20119"/>
    <w:rsid w:val="41173D7E"/>
    <w:rsid w:val="41A8414E"/>
    <w:rsid w:val="43BD0C0D"/>
    <w:rsid w:val="44AB4F09"/>
    <w:rsid w:val="44C05324"/>
    <w:rsid w:val="45E22D2F"/>
    <w:rsid w:val="47FA1BA2"/>
    <w:rsid w:val="4A653DFE"/>
    <w:rsid w:val="4B69167A"/>
    <w:rsid w:val="51510BE7"/>
    <w:rsid w:val="52AB7876"/>
    <w:rsid w:val="53C55E7A"/>
    <w:rsid w:val="546F6218"/>
    <w:rsid w:val="57A06424"/>
    <w:rsid w:val="59173C20"/>
    <w:rsid w:val="5A47702B"/>
    <w:rsid w:val="5D2449B5"/>
    <w:rsid w:val="611C73E1"/>
    <w:rsid w:val="63251ED3"/>
    <w:rsid w:val="641A1130"/>
    <w:rsid w:val="64B33C3A"/>
    <w:rsid w:val="65717652"/>
    <w:rsid w:val="68142C42"/>
    <w:rsid w:val="68594AF9"/>
    <w:rsid w:val="6C225202"/>
    <w:rsid w:val="6FC34F4E"/>
    <w:rsid w:val="71E65233"/>
    <w:rsid w:val="72231CD3"/>
    <w:rsid w:val="732B620A"/>
    <w:rsid w:val="746C1710"/>
    <w:rsid w:val="746F7452"/>
    <w:rsid w:val="76CA0970"/>
    <w:rsid w:val="77DF17B1"/>
    <w:rsid w:val="7AE2272C"/>
    <w:rsid w:val="7B41426B"/>
    <w:rsid w:val="7C541407"/>
    <w:rsid w:val="7D9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1625</Words>
  <Characters>1794</Characters>
  <Lines>0</Lines>
  <Paragraphs>0</Paragraphs>
  <TotalTime>8</TotalTime>
  <ScaleCrop>false</ScaleCrop>
  <LinksUpToDate>false</LinksUpToDate>
  <CharactersWithSpaces>1821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2023-03-30T01:00:00Z</dcterms:created>
  <dc:creator>CW</dc:creator>
  <cp:lastModifiedBy>Administrator</cp:lastModifiedBy>
  <cp:lastPrinted>2023-08-15T02:44:00Z</cp:lastPrinted>
  <dcterms:modified xsi:type="dcterms:W3CDTF">2024-08-26T01:08:42Z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841D57AF29394F85A1E9874F2618F7F3</vt:lpwstr>
  </property>
</Properties>
</file>