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r>
        <w:rPr>
          <w:rFonts w:hint="eastAsia" w:ascii="方正小标宋简体" w:hAnsi="方正小标宋简体" w:eastAsia="方正小标宋简体" w:cs="方正小标宋简体"/>
          <w:snapToGrid/>
          <w:color w:val="auto"/>
          <w:spacing w:val="-6"/>
          <w:w w:val="100"/>
          <w:kern w:val="2"/>
          <w:sz w:val="44"/>
          <w:szCs w:val="44"/>
          <w:highlight w:val="none"/>
          <w:u w:val="none"/>
          <w:lang w:val="en-US" w:eastAsia="zh-CN"/>
        </w:rPr>
        <w:t xml:space="preserve"> </w:t>
      </w:r>
      <w:r>
        <w:rPr>
          <w:rFonts w:hint="eastAsia" w:ascii="方正小标宋简体" w:hAnsi="宋体" w:eastAsia="方正小标宋简体" w:cs="宋体"/>
          <w:bCs/>
          <w:color w:val="FF0000"/>
          <w:w w:val="51"/>
          <w:kern w:val="0"/>
          <w:sz w:val="112"/>
          <w:szCs w:val="112"/>
          <w:lang w:bidi="ar"/>
        </w:rPr>
        <w:t>殷都区文化广电体育旅游局文件</w:t>
      </w:r>
    </w:p>
    <w:p w14:paraId="6E03AAD6">
      <w:pPr>
        <w:widowControl/>
        <w:jc w:val="center"/>
        <w:rPr>
          <w:rFonts w:hint="eastAsia" w:ascii="宋体" w:hAnsi="宋体" w:cs="宋体"/>
          <w:b/>
          <w:bCs/>
          <w:kern w:val="0"/>
          <w:sz w:val="44"/>
          <w:szCs w:val="44"/>
          <w:lang w:bidi="ar"/>
        </w:rPr>
      </w:pPr>
      <w:bookmarkStart w:id="0" w:name="_GoBack"/>
      <w:bookmarkEnd w:id="0"/>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殷文广体旅〔2024〕52号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7155708E">
      <w:pPr>
        <w:keepNext w:val="0"/>
        <w:keepLines w:val="0"/>
        <w:pageBreakBefore w:val="0"/>
        <w:widowControl w:val="0"/>
        <w:kinsoku/>
        <w:wordWrap/>
        <w:overflowPunct/>
        <w:topLinePunct w:val="0"/>
        <w:autoSpaceDE/>
        <w:autoSpaceDN/>
        <w:bidi w:val="0"/>
        <w:adjustRightInd/>
        <w:snapToGrid/>
        <w:spacing w:before="251" w:beforeLines="80" w:line="700" w:lineRule="exact"/>
        <w:ind w:firstLine="420"/>
        <w:jc w:val="center"/>
        <w:textAlignment w:val="auto"/>
        <w:rPr>
          <w:rFonts w:ascii="方正小标宋简体" w:eastAsia="方正小标宋简体"/>
          <w:sz w:val="44"/>
          <w:szCs w:val="44"/>
        </w:rPr>
      </w:pPr>
      <w:r>
        <w:rPr>
          <w:rFonts w:hint="eastAsia" w:ascii="方正小标宋简体" w:eastAsia="方正小标宋简体"/>
          <w:sz w:val="44"/>
          <w:szCs w:val="44"/>
        </w:rPr>
        <w:t>关于对区政协五届</w:t>
      </w:r>
      <w:r>
        <w:rPr>
          <w:rFonts w:hint="eastAsia" w:ascii="方正小标宋简体" w:eastAsia="方正小标宋简体"/>
          <w:sz w:val="44"/>
          <w:szCs w:val="44"/>
          <w:lang w:val="en-US" w:eastAsia="zh-CN"/>
        </w:rPr>
        <w:t>三</w:t>
      </w:r>
      <w:r>
        <w:rPr>
          <w:rFonts w:hint="eastAsia" w:ascii="方正小标宋简体" w:eastAsia="方正小标宋简体"/>
          <w:sz w:val="44"/>
          <w:szCs w:val="44"/>
        </w:rPr>
        <w:t>次会议</w:t>
      </w:r>
    </w:p>
    <w:p w14:paraId="39471E59">
      <w:pPr>
        <w:spacing w:line="700" w:lineRule="exact"/>
        <w:ind w:firstLine="420"/>
        <w:jc w:val="center"/>
        <w:rPr>
          <w:rFonts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53</w:t>
      </w:r>
      <w:r>
        <w:rPr>
          <w:rFonts w:hint="eastAsia" w:ascii="方正小标宋简体" w:eastAsia="方正小标宋简体"/>
          <w:sz w:val="44"/>
          <w:szCs w:val="44"/>
        </w:rPr>
        <w:t>号提案的答复</w:t>
      </w:r>
    </w:p>
    <w:p w14:paraId="3F666AF6">
      <w:pPr>
        <w:spacing w:line="360" w:lineRule="auto"/>
        <w:ind w:firstLine="640" w:firstLineChars="200"/>
        <w:jc w:val="left"/>
        <w:rPr>
          <w:rFonts w:hint="eastAsia" w:ascii="仿宋_GB2312" w:eastAsia="仿宋_GB2312"/>
          <w:sz w:val="32"/>
          <w:szCs w:val="32"/>
        </w:rPr>
      </w:pPr>
    </w:p>
    <w:p w14:paraId="088F5B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lang w:eastAsia="zh-CN"/>
        </w:rPr>
      </w:pPr>
      <w:r>
        <w:rPr>
          <w:rFonts w:hint="eastAsia" w:ascii="仿宋_GB2312" w:eastAsia="仿宋_GB2312"/>
          <w:sz w:val="32"/>
          <w:szCs w:val="32"/>
        </w:rPr>
        <w:t>尊敬的</w:t>
      </w:r>
      <w:r>
        <w:rPr>
          <w:rFonts w:hint="eastAsia" w:ascii="仿宋_GB2312" w:eastAsia="仿宋_GB2312"/>
          <w:sz w:val="32"/>
          <w:szCs w:val="32"/>
          <w:lang w:val="en-US" w:eastAsia="zh-CN"/>
        </w:rPr>
        <w:t>杜会玲</w:t>
      </w:r>
      <w:r>
        <w:rPr>
          <w:rFonts w:hint="eastAsia" w:ascii="仿宋_GB2312" w:eastAsia="仿宋_GB2312"/>
          <w:sz w:val="32"/>
          <w:szCs w:val="32"/>
        </w:rPr>
        <w:t>委员：</w:t>
      </w:r>
    </w:p>
    <w:p w14:paraId="5C7A94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您提出的“关于建议殷都区打造甲骨街</w:t>
      </w:r>
      <w:r>
        <w:rPr>
          <w:rFonts w:hint="eastAsia" w:ascii="仿宋_GB2312" w:eastAsia="仿宋_GB2312"/>
          <w:sz w:val="32"/>
          <w:szCs w:val="32"/>
          <w:lang w:eastAsia="zh-CN"/>
        </w:rPr>
        <w:t>的</w:t>
      </w:r>
      <w:r>
        <w:rPr>
          <w:rFonts w:hint="eastAsia" w:ascii="仿宋_GB2312" w:eastAsia="仿宋_GB2312"/>
          <w:sz w:val="32"/>
          <w:szCs w:val="32"/>
        </w:rPr>
        <w:t>提案”已收悉，现答复如下：</w:t>
      </w:r>
    </w:p>
    <w:p w14:paraId="0754E4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首先感谢您对殷都区文化旅游工作的支持，并提出宝贵意见，这一建议紧密围绕习近平总书记对殷墟甲骨文系列重要指示批示精神，充分体现了对甲骨文文化价值的深刻认识和高度重视。同时，该提案紧密结合殷都区的实际情况，具有很强的针对性和可操作性，对于推动殷墟甲骨文的传承与发展，打造中华文化新地标具有重要意义。现就相关内容回复如下：</w:t>
      </w:r>
    </w:p>
    <w:p w14:paraId="012F28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val="en-US" w:eastAsia="zh-CN"/>
        </w:rPr>
        <w:t>一</w:t>
      </w:r>
      <w:r>
        <w:rPr>
          <w:rFonts w:hint="eastAsia" w:ascii="黑体" w:hAnsi="黑体" w:eastAsia="黑体" w:cs="黑体"/>
          <w:sz w:val="30"/>
          <w:szCs w:val="30"/>
        </w:rPr>
        <w:t>、对提案中提出的理由的分析与回应</w:t>
      </w:r>
    </w:p>
    <w:p w14:paraId="27558A76">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rPr>
        <w:t>（一）实现甲骨文的活态传承的需要</w:t>
      </w:r>
    </w:p>
    <w:p w14:paraId="205795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实现甲骨文的活态传承是打造甲骨街的重要目的之一。甲骨文作为中华文明的瑰宝，其传承与发展不仅关系到中华文化的传承与创新，也关系到民族精神的弘扬与传承。因此，我们需要加强对甲骨文的研究，深入了解甲骨文的历史、文化、语言等方面的内容，以便更好地了解甲骨文的文化内涵，从而更好地传承甲骨文化。同时，我们还需要加强对甲骨文的宣传，通过打造甲骨文街道可以向公众宣传甲骨文化，让更多的人了解甲骨文文化，从而更好地传承甲骨文文化。</w:t>
      </w:r>
    </w:p>
    <w:p w14:paraId="5981914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rPr>
        <w:t>（二）可以使甲骨文接地气</w:t>
      </w:r>
    </w:p>
    <w:p w14:paraId="453F4C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打造甲骨街可以使甲骨文更加接地气，更容易被公众接受和喜爱。甲骨文距离今天生活太久远，在公众日常生活中应用有一定的难度。通过打造甲骨文街道，可以将甲骨文与现代生活相结合，使其更加贴近公众的生活，更容易被公众接受和喜爱。同时，甲骨文街道还可以通过形象具体有趣的表现形式，吸引公众的注意力，提高公众对甲骨文的认知度和兴趣度。</w:t>
      </w:r>
    </w:p>
    <w:p w14:paraId="1DFF3A5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rPr>
        <w:t>（三）可以为甲骨文攒人气</w:t>
      </w:r>
    </w:p>
    <w:p w14:paraId="667343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打造</w:t>
      </w:r>
      <w:r>
        <w:rPr>
          <w:rFonts w:hint="eastAsia" w:ascii="仿宋_GB2312" w:eastAsia="仿宋_GB2312"/>
          <w:sz w:val="32"/>
          <w:szCs w:val="32"/>
          <w:lang w:eastAsia="zh-CN"/>
        </w:rPr>
        <w:t>甲骨街</w:t>
      </w:r>
      <w:r>
        <w:rPr>
          <w:rFonts w:hint="eastAsia" w:ascii="仿宋_GB2312" w:eastAsia="仿宋_GB2312"/>
          <w:sz w:val="32"/>
          <w:szCs w:val="32"/>
        </w:rPr>
        <w:t>可以为甲骨文攒人气，吸引更多的人关注和参与甲骨文的传承与发展。中国文字博物馆于2016年发出“辨识一字十万元”的“悬赏令”已有一人获奖。不久前，第二次活动开锣，依然“一字十万元”。这表明公众对甲骨文的关注度和参与度正在逐步提高。通过打造</w:t>
      </w:r>
      <w:r>
        <w:rPr>
          <w:rFonts w:hint="eastAsia" w:ascii="仿宋_GB2312" w:eastAsia="仿宋_GB2312"/>
          <w:sz w:val="32"/>
          <w:szCs w:val="32"/>
          <w:lang w:eastAsia="zh-CN"/>
        </w:rPr>
        <w:t>甲骨街</w:t>
      </w:r>
      <w:r>
        <w:rPr>
          <w:rFonts w:hint="eastAsia" w:ascii="仿宋_GB2312" w:eastAsia="仿宋_GB2312"/>
          <w:sz w:val="32"/>
          <w:szCs w:val="32"/>
        </w:rPr>
        <w:t>，可以更好地让更多的人切身感受甲骨文的魅力，有助于提升公众对甲骨文的认知度和兴趣度。同时，</w:t>
      </w:r>
      <w:r>
        <w:rPr>
          <w:rFonts w:hint="eastAsia" w:ascii="仿宋_GB2312" w:eastAsia="仿宋_GB2312"/>
          <w:sz w:val="32"/>
          <w:szCs w:val="32"/>
          <w:lang w:eastAsia="zh-CN"/>
        </w:rPr>
        <w:t>甲骨街</w:t>
      </w:r>
      <w:r>
        <w:rPr>
          <w:rFonts w:hint="eastAsia" w:ascii="仿宋_GB2312" w:eastAsia="仿宋_GB2312"/>
          <w:sz w:val="32"/>
          <w:szCs w:val="32"/>
        </w:rPr>
        <w:t>还可以通过举办各种文化活动、展览等形式，吸引更多的游客前来参观游览，进一步提高殷墟景区的知名度和美誉度。</w:t>
      </w:r>
    </w:p>
    <w:p w14:paraId="675805E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对甲骨文活态传承发展现状的梳理</w:t>
      </w:r>
    </w:p>
    <w:p w14:paraId="79F9CCD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rPr>
        <w:t>（一）甲骨文的活态传承</w:t>
      </w:r>
    </w:p>
    <w:p w14:paraId="6092A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如今，以殷墟甲骨文为重点，已打造一批重点展示项目、世界级旅游景区和度假区为牵引，安阳正推动文化图谱具象化、场景化，串珠成链、织链成网，建设中华文明连绵不断的探源地、实证地、体验地。其中，殷墟国家考古遗址公园环境整治工程（一期）新添加了诸多甲骨文元素，在提升改造项目中设计了六个风格特点不同的小广场，有一个广场设计成龟壳状，体现出厚重的殷商文化。建设与殷墟世界文化遗产地位相称的世界一流的殷墟国家考古遗址公园，是传承中华民族优秀传统文化的历史责任，也是促进转型发展的内在需求。未来几年内，殷墟遗址公园将有全新的改变，展示水平将会提整体提升，世界遗产的国际影响力将全面加强。  </w:t>
      </w:r>
    </w:p>
    <w:p w14:paraId="3C6F3F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殷墟宫殿宗庙遗址、殷墟博物馆、殷墟文旅小镇以及东南不过几公里一条古色古香的仓巷街。以甲骨文中鱼、鸟、龟等动物象形文字为原型的艺术装置立体悬挂，随风轻曳。环顾四周，甲骨文海报、动画片、字体设计、文创产品等琳琅满目，随处可见，令人目不暇接。</w:t>
      </w:r>
    </w:p>
    <w:p w14:paraId="2CCB3BA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rPr>
        <w:t>（二）甲骨文接地气</w:t>
      </w:r>
    </w:p>
    <w:p w14:paraId="0752F3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_GB2312" w:eastAsia="仿宋" w:cs="仿宋_GB2312"/>
          <w:sz w:val="32"/>
          <w:lang w:val="en-US" w:eastAsia="zh-CN"/>
        </w:rPr>
      </w:pPr>
      <w:r>
        <w:rPr>
          <w:rFonts w:hint="eastAsia" w:ascii="仿宋_GB2312" w:eastAsia="仿宋_GB2312"/>
          <w:sz w:val="32"/>
          <w:szCs w:val="32"/>
          <w:lang w:val="en-US" w:eastAsia="zh-CN"/>
        </w:rPr>
        <w:t>让殷墟甲骨文融入民众日常生活。甲骨文是中国最早的文字体系，以前更多局限于专家学者的研究领域，如何让甲骨文“飞入寻常百姓家”，让普通民众对甲骨文产生兴趣，学习甲骨文、了解甲骨文，是构建殷墟甲骨文中华文化新地标的关键所在。坚持移动优先、视频为主、交互传播，推动殷商文化“活”起来。把移动端作为主要传播平台，利用抖音、快手、小红书等社交媒体，发布热点活动，提升网络关注度。把短视频作为主要传播载体，邀请网红博主董宇辉制作短视频等，扩大传播范围。把交互式作为主要传播方式，策划网络关注热点，推动关注度持续升温，用网络语言讲好甲骨文故事，吸引更多人打卡殷墟、点赞殷墟、传播殷墟。引导专家学者撰写甲骨文普及读物，让民众更多了解甲骨文。开展甲骨文双语小课堂，用趣味化、动漫化方式引导中小学生走近甲骨文，了解汉字魅力。</w:t>
      </w:r>
    </w:p>
    <w:p w14:paraId="4AB5FB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安阳文旅”、“殷墟文旅”等多个文旅公众号和抖音号，定期发布关于安阳历史文化的资讯、活动信息和旅游指南，致力于传播安阳深厚的历史文化底蕴。我们鼓励对安阳历史文化感兴趣的朋友们通过这些网络平台详细了解相关信息。</w:t>
      </w:r>
    </w:p>
    <w:p w14:paraId="612AAC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此外，依托甲骨文构型和内涵进行文创开发，打造甲骨文书法作品、甲骨文表情包、甲骨文商标、甲骨文盲盒等产品，丰富公共文化产品供给。</w:t>
      </w:r>
    </w:p>
    <w:p w14:paraId="473FCFA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 w:hAnsi="楷体" w:eastAsia="楷体" w:cs="楷体"/>
          <w:b/>
          <w:bCs/>
          <w:sz w:val="30"/>
          <w:szCs w:val="30"/>
          <w:lang w:eastAsia="zh-CN"/>
        </w:rPr>
      </w:pPr>
      <w:r>
        <w:rPr>
          <w:rFonts w:hint="eastAsia" w:ascii="楷体" w:hAnsi="楷体" w:eastAsia="楷体" w:cs="楷体"/>
          <w:b/>
          <w:bCs/>
          <w:sz w:val="30"/>
          <w:szCs w:val="30"/>
        </w:rPr>
        <w:t>（三）为甲骨文攒人气</w:t>
      </w:r>
    </w:p>
    <w:p w14:paraId="6967CF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依托河南博物院、中国文字博物馆、殷墟博物馆等场馆资源，构筑甲骨文展览展示体系，策划推出了一批重要展览，创新展览展示手段，多角度、全方位、深层次地解读展示甲骨文研究成果和中国文字起源发展进程。</w:t>
      </w:r>
    </w:p>
    <w:p w14:paraId="240AE0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塑造“行走河南·读懂中国”品牌。通过持续推进甲骨文发掘保护、收集整理、研究阐释、文创开发、研学旅行、数字应用、交流传播等工作，在文化和旅游相生共兴、相辅相成中实现文旅产业高质量发展，推动中华优秀传统文化创造性转化和创新性发展，能够为中华民族现代文明建设提供源源不断的文化动力。更好地推动河南文旅文创融合发展。安阳是中华文明的主要发祥地，传承弘扬优秀传统文化，是安阳的优势所在和责任担当。把殷墟甲骨文打造成为中华文化新地标，是塑造“行走河南·读懂中国”品牌的具体举措，是守正创新，践行习近平文化思想，建设中华民族现代文明的河南实践。殷墟甲骨文所在城市安阳，是国家级历史文化名城，中华文化新地标的打造，有利于把安阳市打造成为中华文明的圣地，增强安阳在世界上的美誉度、影响力、吸引力，提升安阳市的文化软实力和区域竞争力，推动安阳市文化旅游高质量发展。</w:t>
      </w:r>
    </w:p>
    <w:p w14:paraId="3F2A76B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对未来工作的展望与承诺</w:t>
      </w:r>
    </w:p>
    <w:p w14:paraId="12B20F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为了推动殷墟甲骨文的传承与发展，打造中华文化新地标，我们将采取以下措施：</w:t>
      </w:r>
    </w:p>
    <w:p w14:paraId="1C38144C">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sz w:val="32"/>
          <w:szCs w:val="32"/>
          <w:lang w:eastAsia="zh-CN"/>
        </w:rPr>
      </w:pPr>
      <w:r>
        <w:rPr>
          <w:rFonts w:hint="eastAsia" w:ascii="楷体" w:hAnsi="楷体" w:eastAsia="楷体" w:cs="楷体"/>
          <w:b/>
          <w:bCs/>
          <w:sz w:val="30"/>
          <w:szCs w:val="30"/>
        </w:rPr>
        <w:t>（一）加强组织领导，明确责任分工。</w:t>
      </w:r>
      <w:r>
        <w:rPr>
          <w:rFonts w:hint="eastAsia" w:ascii="仿宋_GB2312" w:eastAsia="仿宋_GB2312"/>
          <w:sz w:val="32"/>
          <w:szCs w:val="32"/>
        </w:rPr>
        <w:t>成立由区委、区政府主要领导任组长的领导小组，统筹协调全区甲骨文传承与发展工作。同时，明确各部门的责任分工，形成齐抓共管的工作格局。</w:t>
      </w:r>
    </w:p>
    <w:p w14:paraId="2E5B9C93">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sz w:val="32"/>
          <w:szCs w:val="32"/>
          <w:lang w:eastAsia="zh-CN"/>
        </w:rPr>
      </w:pPr>
      <w:r>
        <w:rPr>
          <w:rFonts w:hint="eastAsia" w:ascii="楷体" w:hAnsi="楷体" w:eastAsia="楷体" w:cs="楷体"/>
          <w:b/>
          <w:bCs/>
          <w:sz w:val="30"/>
          <w:szCs w:val="30"/>
        </w:rPr>
        <w:t>（二）加强政策支持，加大投入力度。</w:t>
      </w:r>
      <w:r>
        <w:rPr>
          <w:rFonts w:hint="eastAsia" w:ascii="仿宋_GB2312" w:eastAsia="仿宋_GB2312"/>
          <w:sz w:val="32"/>
          <w:szCs w:val="32"/>
        </w:rPr>
        <w:t>出台相关政策措施，支持甲骨文传承与发展工作。同时，加大财政投入力度，为甲骨文传承与发展提供必要的经费保障。</w:t>
      </w:r>
    </w:p>
    <w:p w14:paraId="6F79A7CE">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sz w:val="32"/>
          <w:szCs w:val="32"/>
          <w:lang w:eastAsia="zh-CN"/>
        </w:rPr>
      </w:pPr>
      <w:r>
        <w:rPr>
          <w:rFonts w:hint="eastAsia" w:ascii="楷体" w:hAnsi="楷体" w:eastAsia="楷体" w:cs="楷体"/>
          <w:b/>
          <w:bCs/>
          <w:sz w:val="30"/>
          <w:szCs w:val="30"/>
        </w:rPr>
        <w:t>（三）加强人才队伍建设，提高传承能力。</w:t>
      </w:r>
      <w:r>
        <w:rPr>
          <w:rFonts w:hint="eastAsia" w:ascii="仿宋_GB2312" w:eastAsia="仿宋_GB2312"/>
          <w:sz w:val="32"/>
          <w:szCs w:val="32"/>
        </w:rPr>
        <w:t>加强甲骨文研究、保护、传承等方面的人才队伍建设，提高传承能力。同时，鼓励社会各界积极参与甲骨文传承与发展工作，形成全社会共同参与的良好氛围。</w:t>
      </w:r>
    </w:p>
    <w:p w14:paraId="48D8EA23">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sz w:val="32"/>
          <w:szCs w:val="32"/>
          <w:lang w:eastAsia="zh-CN"/>
        </w:rPr>
      </w:pPr>
      <w:r>
        <w:rPr>
          <w:rFonts w:hint="eastAsia" w:ascii="楷体" w:hAnsi="楷体" w:eastAsia="楷体" w:cs="楷体"/>
          <w:b/>
          <w:bCs/>
          <w:sz w:val="30"/>
          <w:szCs w:val="30"/>
        </w:rPr>
        <w:t>（四）加强宣传推广，提高知名度。</w:t>
      </w:r>
      <w:r>
        <w:rPr>
          <w:rFonts w:hint="eastAsia" w:ascii="仿宋_GB2312" w:eastAsia="仿宋_GB2312"/>
          <w:sz w:val="32"/>
          <w:szCs w:val="32"/>
        </w:rPr>
        <w:t>加强甲骨文的宣传推广工作，提高其知名度和影响力。通过举办各种文化活动、展览等形式，向公众展示甲骨文的魅力和价值。同时，加强与媒体的合作与交流，扩大甲骨文传承与发展的影响力。</w:t>
      </w:r>
    </w:p>
    <w:p w14:paraId="106129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总之，我们将全力支持</w:t>
      </w:r>
      <w:r>
        <w:rPr>
          <w:rFonts w:hint="eastAsia" w:ascii="仿宋_GB2312" w:eastAsia="仿宋_GB2312"/>
          <w:sz w:val="32"/>
          <w:szCs w:val="32"/>
          <w:lang w:val="en-US" w:eastAsia="zh-CN"/>
        </w:rPr>
        <w:t>您</w:t>
      </w:r>
      <w:r>
        <w:rPr>
          <w:rFonts w:hint="eastAsia" w:ascii="仿宋_GB2312" w:eastAsia="仿宋_GB2312"/>
          <w:sz w:val="32"/>
          <w:szCs w:val="32"/>
        </w:rPr>
        <w:t>提出的“关于建议殷都区打造甲骨街”的政协提案，积极推动殷墟甲骨文的传承与发展工作，为打造中华文化新地标贡献力量。同时，我们也希望</w:t>
      </w:r>
      <w:r>
        <w:rPr>
          <w:rFonts w:hint="eastAsia" w:ascii="仿宋_GB2312" w:eastAsia="仿宋_GB2312"/>
          <w:sz w:val="32"/>
          <w:szCs w:val="32"/>
          <w:lang w:val="en-US" w:eastAsia="zh-CN"/>
        </w:rPr>
        <w:t>您</w:t>
      </w:r>
      <w:r>
        <w:rPr>
          <w:rFonts w:hint="eastAsia" w:ascii="仿宋_GB2312" w:eastAsia="仿宋_GB2312"/>
          <w:sz w:val="32"/>
          <w:szCs w:val="32"/>
        </w:rPr>
        <w:t>能够继续关注和支持殷墟甲骨文的传承与发展工作，共同推动中华文化的繁荣与发展。</w:t>
      </w:r>
    </w:p>
    <w:p w14:paraId="79BF53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p>
    <w:p w14:paraId="1D98B4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再次感谢您对政府工作的监督和支持！</w:t>
      </w:r>
    </w:p>
    <w:p w14:paraId="5830397B">
      <w:pPr>
        <w:spacing w:line="360" w:lineRule="auto"/>
        <w:jc w:val="left"/>
        <w:rPr>
          <w:rFonts w:ascii="仿宋_GB2312" w:eastAsia="仿宋_GB2312"/>
          <w:sz w:val="32"/>
          <w:szCs w:val="32"/>
        </w:rPr>
      </w:pPr>
    </w:p>
    <w:p w14:paraId="0F596FB5">
      <w:pPr>
        <w:spacing w:line="360" w:lineRule="auto"/>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（印章）</w:t>
      </w:r>
    </w:p>
    <w:p w14:paraId="2CE4B086">
      <w:pPr>
        <w:spacing w:line="360" w:lineRule="auto"/>
        <w:jc w:val="left"/>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14:paraId="124CF125">
      <w:pPr>
        <w:spacing w:line="360" w:lineRule="auto"/>
        <w:jc w:val="left"/>
        <w:rPr>
          <w:rFonts w:hint="eastAsia" w:ascii="仿宋_GB2312" w:eastAsia="仿宋_GB2312"/>
          <w:sz w:val="32"/>
          <w:szCs w:val="32"/>
        </w:rPr>
      </w:pPr>
    </w:p>
    <w:p w14:paraId="04AF483C">
      <w:pPr>
        <w:spacing w:line="360" w:lineRule="auto"/>
        <w:jc w:val="left"/>
        <w:rPr>
          <w:rFonts w:ascii="仿宋_GB2312" w:eastAsia="仿宋_GB2312"/>
          <w:sz w:val="32"/>
          <w:szCs w:val="32"/>
        </w:rPr>
      </w:pPr>
      <w:r>
        <w:rPr>
          <w:rFonts w:hint="eastAsia" w:ascii="仿宋_GB2312" w:eastAsia="仿宋_GB2312"/>
          <w:sz w:val="32"/>
          <w:szCs w:val="32"/>
        </w:rPr>
        <w:t>联系单位：区文广体旅局</w:t>
      </w:r>
    </w:p>
    <w:p w14:paraId="24CF0161">
      <w:pPr>
        <w:spacing w:line="360" w:lineRule="auto"/>
        <w:jc w:val="left"/>
        <w:rPr>
          <w:rFonts w:ascii="仿宋_GB2312" w:eastAsia="仿宋_GB2312"/>
          <w:sz w:val="32"/>
          <w:szCs w:val="32"/>
        </w:rPr>
      </w:pPr>
      <w:r>
        <w:rPr>
          <w:rFonts w:hint="eastAsia" w:ascii="仿宋_GB2312" w:eastAsia="仿宋_GB2312"/>
          <w:sz w:val="32"/>
          <w:szCs w:val="32"/>
        </w:rPr>
        <w:t>联系电话：5</w:t>
      </w:r>
      <w:r>
        <w:rPr>
          <w:rFonts w:ascii="仿宋_GB2312" w:eastAsia="仿宋_GB2312"/>
          <w:sz w:val="32"/>
          <w:szCs w:val="32"/>
        </w:rPr>
        <w:t>315735</w:t>
      </w:r>
    </w:p>
    <w:p w14:paraId="2EB658A1">
      <w:pPr>
        <w:spacing w:line="360" w:lineRule="auto"/>
        <w:jc w:val="left"/>
        <w:rPr>
          <w:rFonts w:hint="default" w:ascii="仿宋_GB2312" w:eastAsia="仿宋_GB2312"/>
          <w:sz w:val="32"/>
          <w:szCs w:val="32"/>
          <w:lang w:val="en-US" w:eastAsia="zh-CN"/>
        </w:rPr>
      </w:pPr>
      <w:r>
        <w:rPr>
          <w:rFonts w:hint="eastAsia" w:ascii="仿宋_GB2312" w:eastAsia="仿宋_GB2312"/>
          <w:sz w:val="32"/>
          <w:szCs w:val="32"/>
        </w:rPr>
        <w:t>联</w:t>
      </w:r>
      <w:r>
        <w:rPr>
          <w:rFonts w:ascii="仿宋_GB2312" w:eastAsia="仿宋_GB2312"/>
          <w:sz w:val="32"/>
          <w:szCs w:val="32"/>
        </w:rPr>
        <w:t xml:space="preserve"> </w:t>
      </w:r>
      <w:r>
        <w:rPr>
          <w:rFonts w:hint="eastAsia" w:ascii="仿宋_GB2312" w:eastAsia="仿宋_GB2312"/>
          <w:sz w:val="32"/>
          <w:szCs w:val="32"/>
        </w:rPr>
        <w:t>系</w:t>
      </w:r>
      <w:r>
        <w:rPr>
          <w:rFonts w:ascii="仿宋_GB2312" w:eastAsia="仿宋_GB2312"/>
          <w:sz w:val="32"/>
          <w:szCs w:val="32"/>
        </w:rPr>
        <w:t xml:space="preserve"> </w:t>
      </w:r>
      <w:r>
        <w:rPr>
          <w:rFonts w:hint="eastAsia" w:ascii="仿宋_GB2312" w:eastAsia="仿宋_GB2312"/>
          <w:sz w:val="32"/>
          <w:szCs w:val="32"/>
        </w:rPr>
        <w:t>人：</w:t>
      </w:r>
      <w:r>
        <w:rPr>
          <w:rFonts w:hint="eastAsia" w:ascii="仿宋_GB2312" w:eastAsia="仿宋_GB2312"/>
          <w:sz w:val="32"/>
          <w:szCs w:val="32"/>
          <w:lang w:val="en-US" w:eastAsia="zh-CN"/>
        </w:rPr>
        <w:t>鲍倩</w:t>
      </w:r>
    </w:p>
    <w:p w14:paraId="1AE556E9">
      <w:pPr>
        <w:spacing w:line="360" w:lineRule="auto"/>
        <w:jc w:val="left"/>
        <w:rPr>
          <w:rFonts w:hint="eastAsia" w:ascii="仿宋" w:hAnsi="仿宋" w:eastAsia="仿宋" w:cs="仿宋"/>
          <w:sz w:val="30"/>
          <w:szCs w:val="30"/>
        </w:rPr>
      </w:pPr>
      <w:r>
        <w:rPr>
          <w:rFonts w:hint="eastAsia" w:ascii="仿宋_GB2312" w:eastAsia="仿宋_GB2312"/>
          <w:sz w:val="32"/>
          <w:szCs w:val="32"/>
        </w:rPr>
        <w:t>抄送：区政协提案委办公室（1份）、区政府办公室（</w:t>
      </w:r>
      <w:r>
        <w:rPr>
          <w:rFonts w:ascii="仿宋_GB2312" w:eastAsia="仿宋_GB2312"/>
          <w:sz w:val="32"/>
          <w:szCs w:val="32"/>
        </w:rPr>
        <w:t>1</w:t>
      </w:r>
      <w:r>
        <w:rPr>
          <w:rFonts w:hint="eastAsia" w:ascii="仿宋_GB2312" w:eastAsia="仿宋_GB2312"/>
          <w:sz w:val="32"/>
          <w:szCs w:val="32"/>
        </w:rPr>
        <w:t>份）</w:t>
      </w:r>
    </w:p>
    <w:sectPr>
      <w:pgSz w:w="11906" w:h="16838"/>
      <w:pgMar w:top="153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7134BB-5D61-4405-A73A-F17A8665CF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FC464E8-AF68-4BB6-9986-C21E7DCAADF1}"/>
  </w:font>
  <w:font w:name="方正小标宋简体">
    <w:panose1 w:val="03000509000000000000"/>
    <w:charset w:val="86"/>
    <w:family w:val="auto"/>
    <w:pitch w:val="default"/>
    <w:sig w:usb0="00000001" w:usb1="080E0000" w:usb2="00000000" w:usb3="00000000" w:csb0="00040000" w:csb1="00000000"/>
    <w:embedRegular r:id="rId3" w:fontKey="{27334E76-763D-431E-8584-4B36ACF7DBC3}"/>
  </w:font>
  <w:font w:name="仿宋_GB2312">
    <w:panose1 w:val="02010609030101010101"/>
    <w:charset w:val="86"/>
    <w:family w:val="auto"/>
    <w:pitch w:val="default"/>
    <w:sig w:usb0="00000001" w:usb1="080E0000" w:usb2="00000000" w:usb3="00000000" w:csb0="00040000" w:csb1="00000000"/>
    <w:embedRegular r:id="rId4" w:fontKey="{EA034D3A-ADA2-44F2-99FF-0F435B5108A2}"/>
  </w:font>
  <w:font w:name="楷体">
    <w:panose1 w:val="02010609060101010101"/>
    <w:charset w:val="86"/>
    <w:family w:val="auto"/>
    <w:pitch w:val="default"/>
    <w:sig w:usb0="800002BF" w:usb1="38CF7CFA" w:usb2="00000016" w:usb3="00000000" w:csb0="00040001" w:csb1="00000000"/>
    <w:embedRegular r:id="rId5" w:fontKey="{25B16C61-A1B9-4070-8942-BD9F1A228C0A}"/>
  </w:font>
  <w:font w:name="仿宋">
    <w:panose1 w:val="02010609060101010101"/>
    <w:charset w:val="86"/>
    <w:family w:val="auto"/>
    <w:pitch w:val="default"/>
    <w:sig w:usb0="800002BF" w:usb1="38CF7CFA" w:usb2="00000016" w:usb3="00000000" w:csb0="00040001" w:csb1="00000000"/>
    <w:embedRegular r:id="rId6" w:fontKey="{481399FC-3A67-4FA9-962B-A13F817FE4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7D26A"/>
    <w:multiLevelType w:val="singleLevel"/>
    <w:tmpl w:val="0BB7D2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7F7A15EC"/>
    <w:rsid w:val="07611085"/>
    <w:rsid w:val="0F0942D3"/>
    <w:rsid w:val="105E0AEC"/>
    <w:rsid w:val="15F774C1"/>
    <w:rsid w:val="1C7802AA"/>
    <w:rsid w:val="71B67445"/>
    <w:rsid w:val="7B646B66"/>
    <w:rsid w:val="7EE10F4C"/>
    <w:rsid w:val="7F7A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2894</Words>
  <Characters>2911</Characters>
  <Lines>0</Lines>
  <Paragraphs>0</Paragraphs>
  <TotalTime>0</TotalTime>
  <ScaleCrop>false</ScaleCrop>
  <LinksUpToDate>false</LinksUpToDate>
  <CharactersWithSpaces>2992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2024-07-04T08:51:00Z</dcterms:created>
  <dc:creator></dc:creator>
  <cp:lastModifiedBy></cp:lastModifiedBy>
  <cp:lastPrinted>2024-09-24T01:33:53Z</cp:lastPrinted>
  <dcterms:modified xsi:type="dcterms:W3CDTF">2024-09-24T01:40:26Z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4B182F684B8448D2ABFCF458860FB962_13</vt:lpwstr>
  </property>
</Properties>
</file>