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widowControl/>
        <w:spacing w:before="936" w:beforeLines="300"/>
        <w:ind w:left="0" w:leftChars="0" w:firstLine="0" w:firstLineChars="0"/>
        <w:jc w:val="center"/>
        <w:rPr>
          <w:rFonts w:hint="eastAsia" w:ascii="方正小标宋简体" w:hAnsi="宋体" w:eastAsia="方正小标宋简体" w:cs="宋体"/>
          <w:bCs/>
          <w:color w:val="FF0000"/>
          <w:w w:val="51"/>
          <w:kern w:val="0"/>
          <w:sz w:val="112"/>
          <w:szCs w:val="112"/>
          <w:lang w:bidi="ar"/>
        </w:rPr>
      </w:pPr>
      <w:r>
        <w:rPr>
          <w:rFonts w:hint="eastAsia" w:ascii="方正小标宋简体" w:hAnsi="方正小标宋简体" w:eastAsia="方正小标宋简体" w:cs="方正小标宋简体"/>
          <w:snapToGrid/>
          <w:color w:val="auto"/>
          <w:spacing w:val="-6"/>
          <w:w w:val="100"/>
          <w:kern w:val="2"/>
          <w:sz w:val="44"/>
          <w:szCs w:val="44"/>
          <w:highlight w:val="none"/>
          <w:u w:val="none"/>
          <w:lang w:val="en-US" w:eastAsia="zh-CN"/>
        </w:rPr>
        <w:t xml:space="preserve"> </w:t>
      </w:r>
      <w:r>
        <w:rPr>
          <w:rFonts w:hint="eastAsia" w:ascii="方正小标宋简体" w:hAnsi="宋体" w:eastAsia="方正小标宋简体" w:cs="宋体"/>
          <w:bCs/>
          <w:color w:val="FF0000"/>
          <w:w w:val="51"/>
          <w:kern w:val="0"/>
          <w:sz w:val="112"/>
          <w:szCs w:val="112"/>
          <w:lang w:bidi="ar"/>
        </w:rPr>
        <w:t>殷都区文化广电体育旅游局文件</w:t>
      </w:r>
    </w:p>
    <w:p w14:paraId="6E03AAD6">
      <w:pPr>
        <w:widowControl/>
        <w:jc w:val="center"/>
        <w:rPr>
          <w:rFonts w:hint="eastAsia" w:ascii="宋体" w:hAnsi="宋体" w:cs="宋体"/>
          <w:b/>
          <w:bCs/>
          <w:kern w:val="0"/>
          <w:sz w:val="44"/>
          <w:szCs w:val="44"/>
          <w:lang w:bidi="ar"/>
        </w:rPr>
      </w:pPr>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bookmarkStart w:id="0" w:name="_GoBack"/>
      <w:bookmarkEnd w:id="0"/>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殷文广体旅〔2024〕55号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33112C1A">
      <w:pPr>
        <w:keepNext w:val="0"/>
        <w:keepLines w:val="0"/>
        <w:pageBreakBefore w:val="0"/>
        <w:widowControl w:val="0"/>
        <w:kinsoku/>
        <w:wordWrap/>
        <w:overflowPunct/>
        <w:topLinePunct w:val="0"/>
        <w:autoSpaceDE/>
        <w:autoSpaceDN/>
        <w:bidi w:val="0"/>
        <w:adjustRightInd/>
        <w:snapToGrid/>
        <w:spacing w:before="251" w:beforeLines="80" w:line="700" w:lineRule="exact"/>
        <w:ind w:firstLine="420"/>
        <w:jc w:val="center"/>
        <w:textAlignment w:val="auto"/>
        <w:rPr>
          <w:rFonts w:ascii="方正小标宋简体" w:eastAsia="方正小标宋简体"/>
          <w:sz w:val="44"/>
          <w:szCs w:val="44"/>
        </w:rPr>
      </w:pPr>
      <w:r>
        <w:rPr>
          <w:rFonts w:hint="eastAsia" w:ascii="方正小标宋简体" w:eastAsia="方正小标宋简体"/>
          <w:sz w:val="44"/>
          <w:szCs w:val="44"/>
        </w:rPr>
        <w:t>关于对区政协五届三次会议</w:t>
      </w:r>
    </w:p>
    <w:p w14:paraId="50B538D1">
      <w:pPr>
        <w:spacing w:line="700" w:lineRule="exact"/>
        <w:ind w:firstLine="420"/>
        <w:jc w:val="center"/>
        <w:rPr>
          <w:rFonts w:ascii="方正小标宋简体" w:eastAsia="方正小标宋简体"/>
          <w:sz w:val="44"/>
          <w:szCs w:val="44"/>
        </w:rPr>
      </w:pPr>
      <w:r>
        <w:rPr>
          <w:rFonts w:hint="eastAsia" w:ascii="方正小标宋简体" w:eastAsia="方正小标宋简体"/>
          <w:sz w:val="44"/>
          <w:szCs w:val="44"/>
        </w:rPr>
        <w:t>第95号提案的答复</w:t>
      </w:r>
    </w:p>
    <w:p w14:paraId="6D76ECD2">
      <w:pPr>
        <w:pStyle w:val="9"/>
        <w:jc w:val="center"/>
        <w:rPr>
          <w:rFonts w:ascii="方正小标宋简体" w:eastAsia="方正小标宋简体"/>
          <w:sz w:val="44"/>
          <w:szCs w:val="44"/>
        </w:rPr>
      </w:pPr>
    </w:p>
    <w:p w14:paraId="6C0F464B">
      <w:pPr>
        <w:spacing w:line="560" w:lineRule="exact"/>
        <w:jc w:val="left"/>
        <w:rPr>
          <w:rFonts w:ascii="仿宋" w:hAnsi="仿宋" w:eastAsia="仿宋"/>
          <w:sz w:val="32"/>
          <w:szCs w:val="32"/>
        </w:rPr>
      </w:pPr>
      <w:r>
        <w:rPr>
          <w:rFonts w:hint="eastAsia" w:ascii="仿宋" w:hAnsi="仿宋" w:eastAsia="仿宋"/>
          <w:sz w:val="32"/>
          <w:szCs w:val="32"/>
        </w:rPr>
        <w:t>尊敬的吴苏桉委员：</w:t>
      </w:r>
    </w:p>
    <w:p w14:paraId="593DB764">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您提出的关于“打造建设数字化殷墟甲骨文展示基地”的提案已收悉，现答复如下：</w:t>
      </w:r>
    </w:p>
    <w:p w14:paraId="24429504">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首先感谢您对殷都区文化旅游工作提出的宝贵建议和支持关注！您提出的“关于打造建设数字化殷墟甲骨文展示基地的提案”十分及时。促进文化产业和旅游产业融合发展，是文化和旅游融合的重要组成内容，是完善文化和旅游融合发展体制机制的应有之义。</w:t>
      </w:r>
    </w:p>
    <w:p w14:paraId="660C1A0D">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习近平总书记在视察安阳时指出，“中国的汉文字非常了不起，中华民族的形成和发展离不开汉文字的</w:t>
      </w:r>
      <w:r>
        <w:rPr>
          <w:rFonts w:hint="eastAsia" w:ascii="仿宋" w:hAnsi="仿宋" w:eastAsia="仿宋" w:cs="仿宋"/>
          <w:sz w:val="32"/>
          <w:szCs w:val="32"/>
        </w:rPr>
        <w:t>维</w:t>
      </w:r>
      <w:r>
        <w:rPr>
          <w:rFonts w:ascii="仿宋" w:hAnsi="仿宋" w:eastAsia="仿宋" w:cs="仿宋"/>
          <w:sz w:val="32"/>
          <w:szCs w:val="32"/>
        </w:rPr>
        <w:t>系。”</w:t>
      </w:r>
      <w:r>
        <w:rPr>
          <w:rFonts w:hint="eastAsia" w:ascii="仿宋" w:hAnsi="仿宋" w:eastAsia="仿宋" w:cs="仿宋"/>
          <w:sz w:val="32"/>
          <w:szCs w:val="32"/>
        </w:rPr>
        <w:t>甲骨文作为汉文字的起源，是中华传统文化乃至中华文明的重要内容之一。为增进文化自信、提高国家文化软实力，</w:t>
      </w:r>
      <w:r>
        <w:rPr>
          <w:rFonts w:ascii="仿宋" w:hAnsi="仿宋" w:eastAsia="仿宋" w:cs="仿宋"/>
          <w:sz w:val="32"/>
          <w:szCs w:val="32"/>
        </w:rPr>
        <w:t>全面落实文旅文创融合战略，抢抓加强殷墟遗址保护的重大机遇，</w:t>
      </w:r>
      <w:r>
        <w:rPr>
          <w:rFonts w:hint="eastAsia" w:ascii="仿宋" w:hAnsi="仿宋" w:eastAsia="仿宋" w:cs="仿宋"/>
          <w:sz w:val="32"/>
          <w:szCs w:val="32"/>
        </w:rPr>
        <w:t>安阳市委市政府锚定打造“中华字都”城市主题文化旅游品牌</w:t>
      </w:r>
      <w:r>
        <w:rPr>
          <w:rFonts w:ascii="仿宋" w:hAnsi="仿宋" w:eastAsia="仿宋" w:cs="仿宋"/>
          <w:sz w:val="32"/>
          <w:szCs w:val="32"/>
        </w:rPr>
        <w:t>，</w:t>
      </w:r>
      <w:r>
        <w:rPr>
          <w:rFonts w:hint="eastAsia" w:ascii="仿宋" w:hAnsi="仿宋" w:eastAsia="仿宋" w:cs="仿宋"/>
          <w:sz w:val="32"/>
          <w:szCs w:val="32"/>
        </w:rPr>
        <w:t>推动甲骨文活化利用，积极发展殷墟周边文旅产业，</w:t>
      </w:r>
      <w:r>
        <w:rPr>
          <w:rFonts w:ascii="仿宋" w:hAnsi="仿宋" w:eastAsia="仿宋" w:cs="仿宋"/>
          <w:sz w:val="32"/>
          <w:szCs w:val="32"/>
        </w:rPr>
        <w:t>做强安阳特色文化旅游品牌，奋力把安阳打造成为文化特色鲜明的国际旅游目的地城市。</w:t>
      </w:r>
    </w:p>
    <w:p w14:paraId="73D634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武官村是连接殷墟宫殿宗庙区、王陵遗址区的重要点位，从展示利用的角度来看适宜于发展成为旅游休憩节点。根据殷墟国家考古遗址公园建设方案，将围绕武官村打造武官村民俗文化旅游村项目。通过改造武官村范围内民国时期建筑，梳理村庄道路，修复生态环境，打造生态农业，形成宜居宜业宜游宜文的文化旅游综合体。</w:t>
      </w:r>
    </w:p>
    <w:p w14:paraId="517E7351">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在推动甲骨文研学方面，殷都区政府对辖区内各研学基地予以政策支持。区教育部门本着教育性、实践性、普及性，印发了《进一步规范全区中小学研学旅行工作的通知》，要求区属各学校对应年级在一学期年内至少组织开展1次研学旅行活动。原则上在安阳市范围内的国家、省、市、县(区)命名的各类中小学研学实践教育基地和具备研学旅行实践教育条件的旅游景区、博物馆、科普馆等研学场所进行，其中包含位于武官村的司母戊研学实践基地。</w:t>
      </w:r>
    </w:p>
    <w:p w14:paraId="09497D23">
      <w:pPr>
        <w:spacing w:line="560" w:lineRule="exact"/>
        <w:ind w:firstLine="640" w:firstLineChars="200"/>
        <w:jc w:val="left"/>
        <w:rPr>
          <w:rFonts w:ascii="仿宋" w:hAnsi="仿宋" w:eastAsia="仿宋" w:cs="黑体"/>
          <w:sz w:val="32"/>
          <w:szCs w:val="32"/>
        </w:rPr>
      </w:pPr>
      <w:r>
        <w:rPr>
          <w:rFonts w:hint="eastAsia" w:ascii="仿宋" w:hAnsi="仿宋" w:eastAsia="仿宋" w:cs="仿宋"/>
          <w:sz w:val="32"/>
          <w:szCs w:val="32"/>
        </w:rPr>
        <w:t>同时，为促进旅行研学效果，</w:t>
      </w:r>
      <w:r>
        <w:rPr>
          <w:rFonts w:hint="eastAsia" w:ascii="仿宋" w:hAnsi="仿宋" w:eastAsia="仿宋" w:cs="楷体_GB2312"/>
          <w:sz w:val="32"/>
          <w:szCs w:val="32"/>
        </w:rPr>
        <w:t>在区教育部门和文旅部门的指导下，</w:t>
      </w:r>
      <w:r>
        <w:rPr>
          <w:rFonts w:hint="eastAsia" w:ascii="仿宋" w:hAnsi="仿宋" w:eastAsia="仿宋" w:cs="仿宋_GB2312"/>
          <w:sz w:val="32"/>
          <w:szCs w:val="32"/>
        </w:rPr>
        <w:t>殷墟景区和武官村司母戊研学基地已先后研发推出了一系列研学课程，其中司母戊研学基地开发的《</w:t>
      </w:r>
      <w:r>
        <w:rPr>
          <w:rFonts w:ascii="仿宋" w:hAnsi="仿宋" w:eastAsia="仿宋" w:cs="仿宋_GB2312"/>
          <w:sz w:val="32"/>
          <w:szCs w:val="32"/>
        </w:rPr>
        <w:t>洹水之南 殷商大邑</w:t>
      </w:r>
      <w:r>
        <w:rPr>
          <w:rFonts w:hint="eastAsia" w:ascii="仿宋" w:hAnsi="仿宋" w:eastAsia="仿宋" w:cs="仿宋_GB2312"/>
          <w:sz w:val="32"/>
          <w:szCs w:val="32"/>
        </w:rPr>
        <w:t>》课程在被评为2</w:t>
      </w:r>
      <w:r>
        <w:rPr>
          <w:rFonts w:ascii="仿宋" w:hAnsi="仿宋" w:eastAsia="仿宋" w:cs="仿宋_GB2312"/>
          <w:sz w:val="32"/>
          <w:szCs w:val="32"/>
        </w:rPr>
        <w:t>022</w:t>
      </w:r>
      <w:r>
        <w:rPr>
          <w:rFonts w:hint="eastAsia" w:ascii="仿宋" w:hAnsi="仿宋" w:eastAsia="仿宋" w:cs="仿宋_GB2312"/>
          <w:sz w:val="32"/>
          <w:szCs w:val="32"/>
        </w:rPr>
        <w:t>年安阳市十佳研学实践教育精品课程的同时还获评为河南省研学实践教育特色课程。</w:t>
      </w:r>
    </w:p>
    <w:p w14:paraId="0C21F8D3">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在殷墟数字化方面，根据现有工作安排，由殷墟管委会牵头，围绕殷墟景区提高数字化展陈水平。至2024年初殷墟景区数字化展陈提升工程已完工，“数字妇好”借助VR视频眼镜</w:t>
      </w:r>
      <w:r>
        <w:rPr>
          <w:rFonts w:hint="eastAsia" w:ascii="仿宋" w:hAnsi="仿宋" w:eastAsia="仿宋" w:cs="仿宋"/>
          <w:sz w:val="32"/>
          <w:szCs w:val="32"/>
        </w:rPr>
        <w:t>已和游客“见面”。</w:t>
      </w:r>
    </w:p>
    <w:p w14:paraId="520E43A8">
      <w:pPr>
        <w:spacing w:line="560" w:lineRule="exact"/>
        <w:ind w:firstLine="640" w:firstLineChars="200"/>
        <w:jc w:val="left"/>
        <w:rPr>
          <w:rFonts w:ascii="仿宋" w:hAnsi="仿宋" w:eastAsia="仿宋" w:cs="仿宋_GB2312"/>
          <w:sz w:val="32"/>
          <w:szCs w:val="32"/>
        </w:rPr>
      </w:pPr>
      <w:r>
        <w:rPr>
          <w:rFonts w:hint="eastAsia" w:ascii="仿宋" w:hAnsi="仿宋" w:eastAsia="仿宋"/>
          <w:sz w:val="32"/>
          <w:szCs w:val="32"/>
        </w:rPr>
        <w:t>此外，</w:t>
      </w:r>
      <w:r>
        <w:rPr>
          <w:rFonts w:hint="eastAsia" w:ascii="仿宋" w:hAnsi="仿宋" w:eastAsia="仿宋" w:cs="仿宋"/>
          <w:sz w:val="32"/>
          <w:szCs w:val="32"/>
        </w:rPr>
        <w:t>为</w:t>
      </w:r>
      <w:r>
        <w:rPr>
          <w:rFonts w:hint="eastAsia" w:ascii="仿宋" w:hAnsi="仿宋" w:eastAsia="仿宋" w:cs="仿宋_GB2312"/>
          <w:sz w:val="32"/>
          <w:szCs w:val="32"/>
        </w:rPr>
        <w:t>活化利用甲骨文等文化载体，我区政府通过打造甲骨文教育特色学校、甲骨文书屋等，对以甲骨文为代表的殷商文化进行活化利用再传播。至2</w:t>
      </w:r>
      <w:r>
        <w:rPr>
          <w:rFonts w:ascii="仿宋" w:hAnsi="仿宋" w:eastAsia="仿宋" w:cs="仿宋_GB2312"/>
          <w:sz w:val="32"/>
          <w:szCs w:val="32"/>
        </w:rPr>
        <w:t>02</w:t>
      </w:r>
      <w:r>
        <w:rPr>
          <w:rFonts w:hint="eastAsia" w:ascii="仿宋" w:hAnsi="仿宋" w:eastAsia="仿宋" w:cs="仿宋_GB2312"/>
          <w:sz w:val="32"/>
          <w:szCs w:val="32"/>
        </w:rPr>
        <w:t>4年我区辖区内共有河南省教育厅命名的甲骨文特色教育学校3个，新建改建并投入使用了1</w:t>
      </w:r>
      <w:r>
        <w:rPr>
          <w:rFonts w:ascii="仿宋" w:hAnsi="仿宋" w:eastAsia="仿宋" w:cs="仿宋_GB2312"/>
          <w:sz w:val="32"/>
          <w:szCs w:val="32"/>
        </w:rPr>
        <w:t>1</w:t>
      </w:r>
      <w:r>
        <w:rPr>
          <w:rFonts w:hint="eastAsia" w:ascii="仿宋" w:hAnsi="仿宋" w:eastAsia="仿宋" w:cs="仿宋_GB2312"/>
          <w:sz w:val="32"/>
          <w:szCs w:val="32"/>
        </w:rPr>
        <w:t>个甲骨文书屋，其中包括一个二级图书馆殷都区图书馆。在“全国最美公共文化空间”评选中，丹枫园甲骨文书屋在以安阳市第一名的名次入围了省级评选。最终位列河南赛区1</w:t>
      </w:r>
      <w:r>
        <w:rPr>
          <w:rFonts w:ascii="仿宋" w:hAnsi="仿宋" w:eastAsia="仿宋" w:cs="仿宋_GB2312"/>
          <w:sz w:val="32"/>
          <w:szCs w:val="32"/>
        </w:rPr>
        <w:t>7</w:t>
      </w:r>
      <w:r>
        <w:rPr>
          <w:rFonts w:hint="eastAsia" w:ascii="仿宋" w:hAnsi="仿宋" w:eastAsia="仿宋" w:cs="仿宋_GB2312"/>
          <w:sz w:val="32"/>
          <w:szCs w:val="32"/>
        </w:rPr>
        <w:t>位。</w:t>
      </w:r>
    </w:p>
    <w:p w14:paraId="775822DB">
      <w:pPr>
        <w:spacing w:line="560" w:lineRule="exact"/>
        <w:ind w:firstLine="640" w:firstLineChars="200"/>
        <w:jc w:val="left"/>
        <w:rPr>
          <w:rFonts w:ascii="仿宋" w:hAnsi="仿宋" w:eastAsia="仿宋" w:cs="仿宋"/>
          <w:sz w:val="32"/>
          <w:szCs w:val="32"/>
        </w:rPr>
      </w:pPr>
      <w:r>
        <w:rPr>
          <w:rFonts w:hint="eastAsia" w:ascii="仿宋" w:hAnsi="仿宋" w:eastAsia="仿宋" w:cs="仿宋_GB2312"/>
          <w:sz w:val="32"/>
          <w:szCs w:val="32"/>
        </w:rPr>
        <w:t>同时为促进甲骨文传播，宣传推介“甲骨文故乡”品牌，殷墟管委会、殷都区文广体旅局、殷墟景区及其他相关单位通过举办</w:t>
      </w:r>
      <w:r>
        <w:rPr>
          <w:rFonts w:ascii="仿宋" w:hAnsi="仿宋" w:eastAsia="仿宋" w:cs="仿宋_GB2312"/>
          <w:sz w:val="32"/>
          <w:szCs w:val="32"/>
        </w:rPr>
        <w:t>甲骨文识读大会</w:t>
      </w:r>
      <w:r>
        <w:rPr>
          <w:rFonts w:hint="eastAsia" w:ascii="仿宋" w:hAnsi="仿宋" w:eastAsia="仿宋" w:cs="仿宋_GB2312"/>
          <w:sz w:val="32"/>
          <w:szCs w:val="32"/>
        </w:rPr>
        <w:t>、甲骨文普及讲座、志愿者巡回宣讲等多种形式宣传推介甲骨文及殷商文化，在文化传播</w:t>
      </w:r>
      <w:r>
        <w:rPr>
          <w:rFonts w:ascii="仿宋" w:hAnsi="仿宋" w:eastAsia="仿宋" w:cs="仿宋_GB2312"/>
          <w:sz w:val="32"/>
          <w:szCs w:val="32"/>
        </w:rPr>
        <w:t>过程中，让更多人了解安阳</w:t>
      </w:r>
      <w:r>
        <w:rPr>
          <w:rFonts w:hint="eastAsia" w:ascii="仿宋" w:hAnsi="仿宋" w:eastAsia="仿宋" w:cs="仿宋_GB2312"/>
          <w:sz w:val="32"/>
          <w:szCs w:val="32"/>
        </w:rPr>
        <w:t>，继承和发扬</w:t>
      </w:r>
      <w:r>
        <w:rPr>
          <w:rFonts w:ascii="仿宋" w:hAnsi="仿宋" w:eastAsia="仿宋" w:cs="仿宋_GB2312"/>
          <w:sz w:val="32"/>
          <w:szCs w:val="32"/>
        </w:rPr>
        <w:t>汉字文明</w:t>
      </w:r>
      <w:r>
        <w:rPr>
          <w:rFonts w:hint="eastAsia" w:ascii="仿宋" w:hAnsi="仿宋" w:eastAsia="仿宋" w:cs="仿宋_GB2312"/>
          <w:sz w:val="32"/>
          <w:szCs w:val="32"/>
        </w:rPr>
        <w:t>和中华文化</w:t>
      </w:r>
      <w:r>
        <w:rPr>
          <w:rFonts w:ascii="仿宋" w:hAnsi="仿宋" w:eastAsia="仿宋" w:cs="仿宋_GB2312"/>
          <w:sz w:val="32"/>
          <w:szCs w:val="32"/>
        </w:rPr>
        <w:t>，</w:t>
      </w:r>
      <w:r>
        <w:rPr>
          <w:rFonts w:hint="eastAsia" w:ascii="仿宋" w:hAnsi="仿宋" w:eastAsia="仿宋" w:cs="仿宋_GB2312"/>
          <w:sz w:val="32"/>
          <w:szCs w:val="32"/>
        </w:rPr>
        <w:t>逐步提升国家文化软实力，增进文化自信</w:t>
      </w:r>
      <w:r>
        <w:rPr>
          <w:rFonts w:ascii="仿宋" w:hAnsi="仿宋" w:eastAsia="仿宋" w:cs="仿宋_GB2312"/>
          <w:sz w:val="32"/>
          <w:szCs w:val="32"/>
        </w:rPr>
        <w:t>。把传承和弘扬中华优秀传统文化同培育和践行社会主义核心价值观统一起来，不断增强中华民族的归属感、认同感、尊严感、荣誉感。</w:t>
      </w:r>
    </w:p>
    <w:p w14:paraId="1FE464AE">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下</w:t>
      </w:r>
      <w:r>
        <w:rPr>
          <w:rFonts w:hint="eastAsia" w:ascii="仿宋" w:hAnsi="仿宋" w:eastAsia="仿宋"/>
          <w:sz w:val="32"/>
          <w:szCs w:val="32"/>
        </w:rPr>
        <w:t>一步，我区将准确把握文化建设、旅游发展和文旅融合的规律特点，建立健全融合发展的体制机制，推动文化和旅游在更广范围、更深层次、更高水平上融合发展，让融合发展成为推动文化和旅游工作的新动能、新优势。加大对文化产业挖掘，对旅游产业进行整体规划，加大招商引资、资金投入、政策支持、宣传推介力度，扶持文旅行业，助推我区文旅事业高质量跨越式发展，打造中华文化新地标，中原文旅新名片，助推我区“文旅兴区”战略顺利实现</w:t>
      </w:r>
      <w:r>
        <w:rPr>
          <w:rFonts w:hint="eastAsia" w:ascii="仿宋" w:hAnsi="仿宋" w:eastAsia="仿宋" w:cs="仿宋"/>
          <w:sz w:val="32"/>
          <w:szCs w:val="32"/>
        </w:rPr>
        <w:t>。</w:t>
      </w:r>
    </w:p>
    <w:p w14:paraId="542A243E">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您提出的宝贵建议，将会对我们今后的工作起到督促和推进作用，再次感谢您对政府工作的监督和支持！</w:t>
      </w:r>
    </w:p>
    <w:p w14:paraId="5072F3E4">
      <w:pPr>
        <w:pStyle w:val="9"/>
        <w:spacing w:line="560" w:lineRule="exact"/>
      </w:pPr>
    </w:p>
    <w:p w14:paraId="24CC88DB">
      <w:pPr>
        <w:pStyle w:val="9"/>
        <w:spacing w:line="560" w:lineRule="exact"/>
      </w:pPr>
    </w:p>
    <w:p w14:paraId="4647C446">
      <w:pPr>
        <w:pStyle w:val="9"/>
        <w:spacing w:line="560" w:lineRule="exact"/>
      </w:pPr>
    </w:p>
    <w:p w14:paraId="109D31D8">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2023年5月15日</w:t>
      </w:r>
    </w:p>
    <w:p w14:paraId="29AFFFB1">
      <w:pPr>
        <w:spacing w:line="560" w:lineRule="exact"/>
        <w:ind w:firstLine="640" w:firstLineChars="200"/>
        <w:jc w:val="right"/>
        <w:rPr>
          <w:rFonts w:ascii="仿宋" w:hAnsi="仿宋" w:eastAsia="仿宋" w:cs="仿宋"/>
          <w:sz w:val="32"/>
          <w:szCs w:val="32"/>
        </w:rPr>
      </w:pPr>
    </w:p>
    <w:p w14:paraId="5D49D98C">
      <w:pPr>
        <w:spacing w:line="560" w:lineRule="exact"/>
        <w:jc w:val="left"/>
        <w:rPr>
          <w:rFonts w:ascii="仿宋_GB2312" w:eastAsia="仿宋_GB2312"/>
          <w:sz w:val="32"/>
          <w:szCs w:val="32"/>
        </w:rPr>
      </w:pPr>
    </w:p>
    <w:p w14:paraId="1F900918">
      <w:pPr>
        <w:spacing w:line="560" w:lineRule="exact"/>
        <w:jc w:val="left"/>
        <w:rPr>
          <w:rFonts w:ascii="仿宋_GB2312" w:eastAsia="仿宋_GB2312"/>
          <w:sz w:val="32"/>
          <w:szCs w:val="32"/>
        </w:rPr>
      </w:pPr>
    </w:p>
    <w:p w14:paraId="5ACFA501">
      <w:pPr>
        <w:spacing w:line="560" w:lineRule="exact"/>
        <w:jc w:val="left"/>
        <w:rPr>
          <w:rFonts w:ascii="仿宋" w:hAnsi="仿宋" w:eastAsia="仿宋"/>
          <w:sz w:val="32"/>
          <w:szCs w:val="32"/>
        </w:rPr>
      </w:pPr>
      <w:r>
        <w:rPr>
          <w:rFonts w:hint="eastAsia" w:ascii="仿宋" w:hAnsi="仿宋" w:eastAsia="仿宋"/>
          <w:sz w:val="32"/>
          <w:szCs w:val="32"/>
        </w:rPr>
        <w:t>联系单位：区文广体旅局</w:t>
      </w:r>
    </w:p>
    <w:p w14:paraId="7AE17BE5">
      <w:pPr>
        <w:spacing w:line="560" w:lineRule="exact"/>
        <w:jc w:val="left"/>
        <w:rPr>
          <w:rFonts w:ascii="仿宋" w:hAnsi="仿宋" w:eastAsia="仿宋"/>
          <w:sz w:val="32"/>
          <w:szCs w:val="32"/>
        </w:rPr>
      </w:pPr>
      <w:r>
        <w:rPr>
          <w:rFonts w:hint="eastAsia" w:ascii="仿宋" w:hAnsi="仿宋" w:eastAsia="仿宋"/>
          <w:sz w:val="32"/>
          <w:szCs w:val="32"/>
        </w:rPr>
        <w:t>联系电话：0372-5</w:t>
      </w:r>
      <w:r>
        <w:rPr>
          <w:rFonts w:ascii="仿宋" w:hAnsi="仿宋" w:eastAsia="仿宋"/>
          <w:sz w:val="32"/>
          <w:szCs w:val="32"/>
        </w:rPr>
        <w:t>31573</w:t>
      </w:r>
      <w:r>
        <w:rPr>
          <w:rFonts w:hint="eastAsia" w:ascii="仿宋" w:hAnsi="仿宋" w:eastAsia="仿宋"/>
          <w:sz w:val="32"/>
          <w:szCs w:val="32"/>
        </w:rPr>
        <w:t>8</w:t>
      </w:r>
    </w:p>
    <w:p w14:paraId="5522A69E">
      <w:pPr>
        <w:spacing w:line="560" w:lineRule="exact"/>
        <w:jc w:val="left"/>
        <w:rPr>
          <w:rFonts w:ascii="仿宋" w:hAnsi="仿宋" w:eastAsia="仿宋"/>
          <w:sz w:val="32"/>
          <w:szCs w:val="32"/>
        </w:rPr>
      </w:pPr>
      <w:r>
        <w:rPr>
          <w:rFonts w:hint="eastAsia" w:ascii="仿宋" w:hAnsi="仿宋" w:eastAsia="仿宋"/>
          <w:sz w:val="32"/>
          <w:szCs w:val="32"/>
        </w:rPr>
        <w:t>联</w:t>
      </w:r>
      <w:r>
        <w:rPr>
          <w:rFonts w:ascii="仿宋" w:hAnsi="仿宋" w:eastAsia="仿宋"/>
          <w:sz w:val="32"/>
          <w:szCs w:val="32"/>
        </w:rPr>
        <w:t xml:space="preserve"> </w:t>
      </w:r>
      <w:r>
        <w:rPr>
          <w:rFonts w:hint="eastAsia" w:ascii="仿宋" w:hAnsi="仿宋" w:eastAsia="仿宋"/>
          <w:sz w:val="32"/>
          <w:szCs w:val="32"/>
        </w:rPr>
        <w:t>系</w:t>
      </w:r>
      <w:r>
        <w:rPr>
          <w:rFonts w:ascii="仿宋" w:hAnsi="仿宋" w:eastAsia="仿宋"/>
          <w:sz w:val="32"/>
          <w:szCs w:val="32"/>
        </w:rPr>
        <w:t xml:space="preserve"> </w:t>
      </w:r>
      <w:r>
        <w:rPr>
          <w:rFonts w:hint="eastAsia" w:ascii="仿宋" w:hAnsi="仿宋" w:eastAsia="仿宋"/>
          <w:sz w:val="32"/>
          <w:szCs w:val="32"/>
        </w:rPr>
        <w:t>人：王宏宇</w:t>
      </w:r>
    </w:p>
    <w:p w14:paraId="04ED3702">
      <w:pPr>
        <w:spacing w:line="560" w:lineRule="exact"/>
        <w:jc w:val="left"/>
        <w:rPr>
          <w:rFonts w:ascii="仿宋" w:hAnsi="仿宋" w:eastAsia="仿宋"/>
          <w:sz w:val="32"/>
          <w:szCs w:val="32"/>
        </w:rPr>
      </w:pPr>
      <w:r>
        <w:rPr>
          <w:rFonts w:hint="eastAsia" w:ascii="仿宋" w:hAnsi="仿宋" w:eastAsia="仿宋"/>
          <w:sz w:val="32"/>
          <w:szCs w:val="32"/>
        </w:rPr>
        <w:t>抄送：区政协提案委办公室（1份）、区政府办公室（</w:t>
      </w:r>
      <w:r>
        <w:rPr>
          <w:rFonts w:ascii="仿宋" w:hAnsi="仿宋" w:eastAsia="仿宋"/>
          <w:sz w:val="32"/>
          <w:szCs w:val="32"/>
        </w:rPr>
        <w:t>1</w:t>
      </w:r>
      <w:r>
        <w:rPr>
          <w:rFonts w:hint="eastAsia" w:ascii="仿宋" w:hAnsi="仿宋" w:eastAsia="仿宋"/>
          <w:sz w:val="32"/>
          <w:szCs w:val="32"/>
        </w:rPr>
        <w:t>份）</w:t>
      </w:r>
    </w:p>
    <w:sectPr>
      <w:footerReference r:id="rId3" w:type="default"/>
      <w:footerReference r:id="rId4" w:type="even"/>
      <w:pgSz w:w="11906" w:h="16838"/>
      <w:pgMar w:top="1531" w:right="1417"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82384"/>
      <w:docPartObj>
        <w:docPartGallery w:val="autotext"/>
      </w:docPartObj>
    </w:sdtPr>
    <w:sdtEndPr>
      <w:rPr>
        <w:rFonts w:ascii="仿宋" w:hAnsi="仿宋" w:eastAsia="仿宋"/>
        <w:sz w:val="24"/>
        <w:szCs w:val="24"/>
      </w:rPr>
    </w:sdtEndPr>
    <w:sdtContent>
      <w:p w14:paraId="077B628B">
        <w:pPr>
          <w:pStyle w:val="4"/>
          <w:jc w:val="right"/>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w:t>
        </w:r>
        <w:r>
          <w:rPr>
            <w:rFonts w:ascii="仿宋" w:hAnsi="仿宋" w:eastAsia="仿宋"/>
            <w:sz w:val="24"/>
            <w:szCs w:val="24"/>
          </w:rPr>
          <w:fldChar w:fldCharType="end"/>
        </w:r>
      </w:p>
    </w:sdtContent>
  </w:sdt>
  <w:p w14:paraId="75BCB025">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4"/>
        <w:szCs w:val="24"/>
      </w:rPr>
      <w:id w:val="-192160592"/>
      <w:docPartObj>
        <w:docPartGallery w:val="autotext"/>
      </w:docPartObj>
    </w:sdtPr>
    <w:sdtEndPr>
      <w:rPr>
        <w:rFonts w:ascii="仿宋" w:hAnsi="仿宋" w:eastAsia="仿宋"/>
        <w:sz w:val="24"/>
        <w:szCs w:val="24"/>
      </w:rPr>
    </w:sdtEndPr>
    <w:sdtContent>
      <w:p w14:paraId="4302437D">
        <w:pPr>
          <w:pStyle w:val="4"/>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w:t>
        </w:r>
        <w:r>
          <w:rPr>
            <w:rFonts w:ascii="仿宋" w:hAnsi="仿宋" w:eastAsia="仿宋"/>
            <w:sz w:val="24"/>
            <w:szCs w:val="24"/>
          </w:rPr>
          <w:fldChar w:fldCharType="end"/>
        </w:r>
      </w:p>
    </w:sdtContent>
  </w:sdt>
  <w:p w14:paraId="38BB3206">
    <w:pPr>
      <w:pStyle w:val="4"/>
      <w:rPr>
        <w:rFonts w:ascii="仿宋" w:hAnsi="仿宋" w:eastAsia="仿宋"/>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1F150628"/>
    <w:rsid w:val="00047E45"/>
    <w:rsid w:val="00076381"/>
    <w:rsid w:val="00122379"/>
    <w:rsid w:val="001B703B"/>
    <w:rsid w:val="00203D59"/>
    <w:rsid w:val="0027547F"/>
    <w:rsid w:val="002769A1"/>
    <w:rsid w:val="002805D3"/>
    <w:rsid w:val="00367774"/>
    <w:rsid w:val="00394F4D"/>
    <w:rsid w:val="003A77FD"/>
    <w:rsid w:val="003D087E"/>
    <w:rsid w:val="003E10B5"/>
    <w:rsid w:val="003E5305"/>
    <w:rsid w:val="004160A5"/>
    <w:rsid w:val="00426607"/>
    <w:rsid w:val="00445818"/>
    <w:rsid w:val="00485818"/>
    <w:rsid w:val="005259C4"/>
    <w:rsid w:val="00541934"/>
    <w:rsid w:val="005765E2"/>
    <w:rsid w:val="005D45F0"/>
    <w:rsid w:val="0072725B"/>
    <w:rsid w:val="007459C6"/>
    <w:rsid w:val="00760586"/>
    <w:rsid w:val="0084009E"/>
    <w:rsid w:val="008B7F9C"/>
    <w:rsid w:val="00915388"/>
    <w:rsid w:val="00917BF5"/>
    <w:rsid w:val="009E2093"/>
    <w:rsid w:val="00A02CA1"/>
    <w:rsid w:val="00A63A7F"/>
    <w:rsid w:val="00B179E3"/>
    <w:rsid w:val="00B20AED"/>
    <w:rsid w:val="00B53ED1"/>
    <w:rsid w:val="00B924D8"/>
    <w:rsid w:val="00BC1DBF"/>
    <w:rsid w:val="00C3427E"/>
    <w:rsid w:val="00C72C22"/>
    <w:rsid w:val="00C74257"/>
    <w:rsid w:val="00D11D8D"/>
    <w:rsid w:val="00D15F42"/>
    <w:rsid w:val="00EA72D8"/>
    <w:rsid w:val="00FD4060"/>
    <w:rsid w:val="00FF0857"/>
    <w:rsid w:val="06B5533D"/>
    <w:rsid w:val="11C52008"/>
    <w:rsid w:val="1F150628"/>
    <w:rsid w:val="2E1D3FC2"/>
    <w:rsid w:val="31A96404"/>
    <w:rsid w:val="383612B1"/>
    <w:rsid w:val="3CB243A3"/>
    <w:rsid w:val="4348798E"/>
    <w:rsid w:val="68C62E1F"/>
    <w:rsid w:val="79CE0777"/>
    <w:rsid w:val="7C4D2771"/>
    <w:rsid w:val="7CD1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before="180" w:after="18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Default"/>
    <w:basedOn w:val="1"/>
    <w:qFormat/>
    <w:uiPriority w:val="99"/>
    <w:pPr>
      <w:autoSpaceDE w:val="0"/>
      <w:autoSpaceDN w:val="0"/>
      <w:adjustRightInd w:val="0"/>
      <w:jc w:val="left"/>
    </w:pPr>
    <w:rPr>
      <w:color w:val="000000"/>
      <w:kern w:val="0"/>
      <w:sz w:val="24"/>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E4910-84D0-4775-A567-B23756909476}">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1671</Words>
  <Characters>1703</Characters>
  <Lines>12</Lines>
  <Paragraphs>3</Paragraphs>
  <TotalTime>0</TotalTime>
  <ScaleCrop>false</ScaleCrop>
  <LinksUpToDate>false</LinksUpToDate>
  <CharactersWithSpaces>1707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2023-03-08T08:55:00Z</dcterms:created>
  <dc:creator>海阔天空</dc:creator>
  <cp:lastModifiedBy></cp:lastModifiedBy>
  <cp:lastPrinted>2024-09-24T01:34:01Z</cp:lastPrinted>
  <dcterms:modified xsi:type="dcterms:W3CDTF">2024-09-24T01:40:33Z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E5201DD4F4BB463F9BB6DB42B414FD36_13</vt:lpwstr>
  </property>
</Properties>
</file>