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D4B0A9">
      <w:pPr>
        <w:widowControl/>
        <w:spacing w:before="936" w:beforeLines="300"/>
        <w:ind w:left="0" w:leftChars="0" w:firstLine="0" w:firstLineChars="0"/>
        <w:jc w:val="center"/>
        <w:rPr>
          <w:rFonts w:hint="eastAsia" w:ascii="方正小标宋简体" w:hAnsi="宋体" w:eastAsia="方正小标宋简体" w:cs="宋体"/>
          <w:bCs/>
          <w:color w:val="FF0000"/>
          <w:w w:val="51"/>
          <w:kern w:val="0"/>
          <w:sz w:val="112"/>
          <w:szCs w:val="112"/>
          <w:lang w:bidi="ar"/>
        </w:rPr>
      </w:pPr>
      <w:r>
        <w:rPr>
          <w:rFonts w:hint="eastAsia" w:ascii="方正小标宋简体" w:hAnsi="宋体" w:eastAsia="方正小标宋简体" w:cs="宋体"/>
          <w:bCs/>
          <w:color w:val="FF0000"/>
          <w:w w:val="51"/>
          <w:kern w:val="0"/>
          <w:sz w:val="112"/>
          <w:szCs w:val="112"/>
          <w:lang w:bidi="ar"/>
        </w:rPr>
        <w:t>殷都</w:t>
      </w:r>
      <w:bookmarkStart w:id="0" w:name="_GoBack"/>
      <w:bookmarkEnd w:id="0"/>
      <w:r>
        <w:rPr>
          <w:rFonts w:hint="eastAsia" w:ascii="方正小标宋简体" w:hAnsi="宋体" w:eastAsia="方正小标宋简体" w:cs="宋体"/>
          <w:bCs/>
          <w:color w:val="FF0000"/>
          <w:w w:val="51"/>
          <w:kern w:val="0"/>
          <w:sz w:val="112"/>
          <w:szCs w:val="112"/>
          <w:lang w:bidi="ar"/>
        </w:rPr>
        <w:t>区文化广电体育旅游局文件</w:t>
      </w:r>
    </w:p>
    <w:p w14:paraId="6E03AAD6">
      <w:pPr>
        <w:widowControl/>
        <w:jc w:val="center"/>
        <w:rPr>
          <w:rFonts w:hint="eastAsia" w:ascii="宋体" w:hAnsi="宋体" w:cs="宋体"/>
          <w:b/>
          <w:bCs/>
          <w:kern w:val="0"/>
          <w:sz w:val="44"/>
          <w:szCs w:val="44"/>
          <w:lang w:bidi="ar"/>
        </w:rPr>
      </w:pPr>
    </w:p>
    <w:p w14:paraId="4380DF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firstLine="320" w:firstLineChars="100"/>
        <w:jc w:val="both"/>
        <w:textAlignment w:val="auto"/>
        <w:rPr>
          <w:rFonts w:hint="eastAsia" w:ascii="仿宋_GB2312" w:hAnsi="仿宋_GB2312" w:eastAsia="仿宋_GB2312" w:cs="仿宋_GB2312"/>
          <w:b w:val="0"/>
          <w:bCs w:val="0"/>
          <w:kern w:val="2"/>
          <w:sz w:val="32"/>
          <w:szCs w:val="32"/>
          <w:lang w:val="en-US" w:eastAsia="zh-CN" w:bidi="ar-SA"/>
        </w:rPr>
      </w:pPr>
    </w:p>
    <w:p w14:paraId="3C19CC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firstLine="640" w:firstLineChars="200"/>
        <w:jc w:val="both"/>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殷文广体旅〔2024〕43号             签发人：李昳娴</w:t>
      </w:r>
    </w:p>
    <w:p w14:paraId="3C4EC210">
      <w:pPr>
        <w:keepNext w:val="0"/>
        <w:keepLines w:val="0"/>
        <w:pageBreakBefore w:val="0"/>
        <w:widowControl w:val="0"/>
        <w:kinsoku/>
        <w:wordWrap/>
        <w:overflowPunct/>
        <w:topLinePunct w:val="0"/>
        <w:autoSpaceDE/>
        <w:autoSpaceDN/>
        <w:bidi w:val="0"/>
        <w:adjustRightInd/>
        <w:snapToGrid/>
        <w:spacing w:before="251" w:beforeLines="80" w:line="600" w:lineRule="exact"/>
        <w:ind w:firstLine="0" w:firstLineChars="0"/>
        <w:jc w:val="center"/>
        <w:textAlignment w:val="auto"/>
        <w:rPr>
          <w:rFonts w:hint="eastAsia" w:ascii="仿宋_GB2312" w:hAnsi="仿宋_GB2312" w:eastAsia="仿宋_GB2312" w:cs="仿宋_GB2312"/>
          <w:b w:val="0"/>
          <w:bCs w:val="0"/>
          <w:kern w:val="2"/>
          <w:sz w:val="32"/>
          <w:szCs w:val="32"/>
          <w:lang w:val="en-US" w:eastAsia="zh-CN" w:bidi="ar-SA"/>
        </w:rPr>
      </w:pPr>
      <w:r>
        <w:rPr>
          <w:sz w:val="44"/>
        </w:rPr>
        <mc:AlternateContent>
          <mc:Choice Requires="wps">
            <w:drawing>
              <wp:anchor distT="0" distB="0" distL="114300" distR="114300" simplePos="0" relativeHeight="251659264" behindDoc="0" locked="0" layoutInCell="1" allowOverlap="1">
                <wp:simplePos x="0" y="0"/>
                <wp:positionH relativeFrom="column">
                  <wp:posOffset>104775</wp:posOffset>
                </wp:positionH>
                <wp:positionV relativeFrom="paragraph">
                  <wp:posOffset>147320</wp:posOffset>
                </wp:positionV>
                <wp:extent cx="5461000" cy="0"/>
                <wp:effectExtent l="0" t="13970" r="6350" b="24130"/>
                <wp:wrapNone/>
                <wp:docPr id="2" name="直接连接符 2"/>
                <wp:cNvGraphicFramePr/>
                <a:graphic xmlns:a="http://schemas.openxmlformats.org/drawingml/2006/main">
                  <a:graphicData uri="http://schemas.microsoft.com/office/word/2010/wordprocessingShape">
                    <wps:wsp>
                      <wps:cNvCnPr/>
                      <wps:spPr>
                        <a:xfrm>
                          <a:off x="0" y="0"/>
                          <a:ext cx="5461000" cy="0"/>
                        </a:xfrm>
                        <a:prstGeom prst="line">
                          <a:avLst/>
                        </a:prstGeom>
                        <a:ln w="28575" cmpd="sng">
                          <a:solidFill>
                            <a:srgbClr val="FF0000"/>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8.25pt;margin-top:11.6pt;height:0pt;width:430pt;z-index:251659264;mso-width-relative:page;mso-height-relative:page;" filled="f" stroked="t" coordsize="21600,21600" o:gfxdata="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TPlqPWAAAA&#10;CAEAAA8AAAAAAAAAAQAgAAAAIgAAAGRycy9kb3ducmV2LnhtbFBLAQIUABQAAAAIAIdO4kA13QwS&#10;5gEAALIDAAAOAAAAAAAAAAEAIAAAACUBAABkcnMvZTJvRG9jLnhtbFBLBQYAAAAABgAGAFkBAAB9&#10;BQAAAAA=&#10;">
                <v:fill on="f" focussize="0,0"/>
                <v:stroke weight="2.25pt" color="#FF0000 [3204]" miterlimit="8" joinstyle="miter"/>
                <v:imagedata o:title=""/>
                <o:lock v:ext="edit" aspectratio="f"/>
              </v:line>
            </w:pict>
          </mc:Fallback>
        </mc:AlternateContent>
      </w:r>
      <w:r>
        <w:rPr>
          <w:rFonts w:hint="eastAsia" w:ascii="仿宋_GB2312" w:hAnsi="仿宋_GB2312" w:eastAsia="仿宋_GB2312" w:cs="仿宋_GB2312"/>
          <w:b w:val="0"/>
          <w:bCs w:val="0"/>
          <w:kern w:val="2"/>
          <w:sz w:val="32"/>
          <w:szCs w:val="32"/>
          <w:lang w:val="en-US" w:eastAsia="zh-CN" w:bidi="ar-SA"/>
        </w:rPr>
        <w:t xml:space="preserve"> 是否公开：公开                     办理结果：B</w:t>
      </w:r>
    </w:p>
    <w:p w14:paraId="0EDEC935">
      <w:pPr>
        <w:keepNext w:val="0"/>
        <w:keepLines w:val="0"/>
        <w:pageBreakBefore w:val="0"/>
        <w:widowControl w:val="0"/>
        <w:kinsoku/>
        <w:wordWrap/>
        <w:overflowPunct/>
        <w:topLinePunct w:val="0"/>
        <w:autoSpaceDE/>
        <w:autoSpaceDN/>
        <w:bidi w:val="0"/>
        <w:adjustRightInd/>
        <w:snapToGrid/>
        <w:spacing w:before="251" w:beforeLines="80" w:line="70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关于对区五届人大四次会议</w:t>
      </w:r>
    </w:p>
    <w:p w14:paraId="6E63D1DA">
      <w:pPr>
        <w:spacing w:line="700" w:lineRule="exact"/>
        <w:jc w:val="center"/>
        <w:rPr>
          <w:rFonts w:ascii="方正小标宋简体" w:eastAsia="方正小标宋简体"/>
          <w:sz w:val="44"/>
          <w:szCs w:val="44"/>
        </w:rPr>
      </w:pPr>
      <w:r>
        <w:rPr>
          <w:rFonts w:hint="eastAsia" w:ascii="方正小标宋简体" w:eastAsia="方正小标宋简体"/>
          <w:sz w:val="44"/>
          <w:szCs w:val="44"/>
        </w:rPr>
        <w:t>“加快推动殷墟甲骨文打造中华新地标、中原文旅新名片”议案的答复</w:t>
      </w:r>
    </w:p>
    <w:p w14:paraId="6CD60261">
      <w:pPr>
        <w:spacing w:line="560" w:lineRule="exact"/>
        <w:jc w:val="left"/>
        <w:rPr>
          <w:rFonts w:ascii="仿宋" w:hAnsi="仿宋" w:eastAsia="仿宋"/>
          <w:sz w:val="32"/>
          <w:szCs w:val="32"/>
        </w:rPr>
      </w:pPr>
    </w:p>
    <w:p w14:paraId="70DB5B93">
      <w:pPr>
        <w:spacing w:line="560" w:lineRule="exact"/>
        <w:jc w:val="left"/>
        <w:rPr>
          <w:rFonts w:ascii="仿宋" w:hAnsi="仿宋" w:eastAsia="仿宋"/>
          <w:sz w:val="32"/>
          <w:szCs w:val="32"/>
        </w:rPr>
      </w:pPr>
      <w:r>
        <w:rPr>
          <w:rFonts w:hint="eastAsia" w:ascii="仿宋" w:hAnsi="仿宋" w:eastAsia="仿宋"/>
          <w:sz w:val="32"/>
          <w:szCs w:val="32"/>
        </w:rPr>
        <w:t>尊敬的武栋代表：</w:t>
      </w:r>
    </w:p>
    <w:p w14:paraId="63C1AC3C">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您提出的关于“加快推动殷墟甲骨文打造中华新地标、中原文旅新名片”的议案已收悉，现答复如下：</w:t>
      </w:r>
    </w:p>
    <w:p w14:paraId="797862BD">
      <w:pPr>
        <w:spacing w:line="560" w:lineRule="exact"/>
        <w:ind w:firstLine="640" w:firstLineChars="200"/>
        <w:rPr>
          <w:rFonts w:ascii="仿宋" w:hAnsi="仿宋" w:eastAsia="仿宋"/>
          <w:sz w:val="32"/>
          <w:szCs w:val="32"/>
        </w:rPr>
      </w:pPr>
      <w:r>
        <w:rPr>
          <w:rFonts w:hint="eastAsia" w:ascii="仿宋" w:hAnsi="仿宋" w:eastAsia="仿宋" w:cs="仿宋"/>
          <w:sz w:val="32"/>
          <w:szCs w:val="32"/>
        </w:rPr>
        <w:t>首先感谢您对殷都区文化旅游工作提出的宝贵建议和支持关注</w:t>
      </w:r>
      <w:r>
        <w:rPr>
          <w:rFonts w:hint="eastAsia" w:ascii="仿宋" w:hAnsi="仿宋" w:eastAsia="仿宋"/>
          <w:sz w:val="32"/>
          <w:szCs w:val="32"/>
        </w:rPr>
        <w:t>！</w:t>
      </w:r>
    </w:p>
    <w:p w14:paraId="13ADFBF5">
      <w:pPr>
        <w:spacing w:line="560" w:lineRule="exact"/>
        <w:ind w:firstLine="640" w:firstLineChars="200"/>
        <w:rPr>
          <w:rFonts w:ascii="仿宋" w:hAnsi="仿宋" w:eastAsia="仿宋"/>
          <w:color w:val="000000"/>
          <w:sz w:val="32"/>
          <w:szCs w:val="32"/>
          <w:shd w:val="clear" w:color="auto" w:fill="FFFFFF"/>
        </w:rPr>
      </w:pPr>
      <w:r>
        <w:rPr>
          <w:rFonts w:hint="eastAsia" w:ascii="仿宋" w:hAnsi="仿宋" w:eastAsia="仿宋"/>
          <w:color w:val="000000" w:themeColor="text1"/>
          <w:sz w:val="32"/>
          <w:szCs w:val="32"/>
          <w14:textFill>
            <w14:solidFill>
              <w14:schemeClr w14:val="tx1"/>
            </w14:solidFill>
          </w14:textFill>
        </w:rPr>
        <w:t>殷都区正主动融入黄河文化旅游带和世界级大遗址公园走廊，积极推进殷墟国家考古遗址公园、安阳曹操高陵遗址公园、水冶古城新地标、漳河峡谷康养游、清凉山生态游、武官、司空民俗文化村等文旅项目建设，完善旅游要素、丰富旅游业态，</w:t>
      </w:r>
      <w:r>
        <w:rPr>
          <w:rFonts w:hint="eastAsia" w:ascii="仿宋" w:hAnsi="仿宋" w:eastAsia="仿宋"/>
          <w:color w:val="000000"/>
          <w:sz w:val="32"/>
          <w:szCs w:val="32"/>
          <w:shd w:val="clear" w:color="auto" w:fill="FFFFFF"/>
        </w:rPr>
        <w:t>以殷墟为起点，把殷墟、曹操高陵、马氏庄园、珍珠泉、水冶古城、李鸿柏庄园、漳河峡谷国家湿地公园、修定寺塔、抗日民主政府旧址、跃进渠、古井村、殷墟考古文旅小镇、新都汇丹尼斯商圈等连线串串，形成“东看殷商文化，北闻三国故事，西游漳河峡谷，南猎塔山风光，中阅马氏春秋、赏柏门珠沼”的全域旅游大格局。</w:t>
      </w:r>
    </w:p>
    <w:p w14:paraId="70312B2E">
      <w:pPr>
        <w:spacing w:line="560" w:lineRule="exact"/>
        <w:ind w:firstLine="640" w:firstLineChars="200"/>
        <w:rPr>
          <w:rFonts w:ascii="仿宋" w:hAnsi="仿宋" w:eastAsia="仿宋"/>
          <w:sz w:val="32"/>
          <w:szCs w:val="32"/>
        </w:rPr>
      </w:pPr>
      <w:r>
        <w:rPr>
          <w:rFonts w:hint="eastAsia" w:ascii="仿宋" w:hAnsi="仿宋" w:eastAsia="仿宋"/>
          <w:sz w:val="32"/>
          <w:szCs w:val="32"/>
        </w:rPr>
        <w:t>您提出的“加快推动殷墟甲骨文打造中华新地标、中原文旅新名片”十分及时。殷墟片区旅游景区众多，每个景点都独具特色，为游客们呈现了一幅幅绚丽多彩的画卷。无论是探索古老的殷墟遗址，还是品味自然风光的壮美，或是感受当地民俗文化的独特魅力，这些景区都能满足游客们的多元化需求。</w:t>
      </w:r>
    </w:p>
    <w:p w14:paraId="31434766">
      <w:pPr>
        <w:spacing w:line="560" w:lineRule="exact"/>
        <w:ind w:firstLine="640" w:firstLineChars="200"/>
        <w:rPr>
          <w:rFonts w:ascii="仿宋" w:hAnsi="仿宋" w:eastAsia="仿宋"/>
          <w:sz w:val="32"/>
          <w:szCs w:val="32"/>
        </w:rPr>
      </w:pPr>
      <w:r>
        <w:rPr>
          <w:rFonts w:hint="eastAsia" w:ascii="仿宋" w:hAnsi="仿宋" w:eastAsia="仿宋" w:cs="仿宋"/>
          <w:sz w:val="32"/>
          <w:szCs w:val="32"/>
        </w:rPr>
        <w:t>在殷墟保护利用基础设施方面，着力打造一批基础设施、配套项目。一是殷墟国家考古遗址配套服务项目，二是安阳市殷墟旅游基础设施一期项目。</w:t>
      </w:r>
    </w:p>
    <w:p w14:paraId="43B65A5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在研学旅行产品方面</w:t>
      </w:r>
      <w:r>
        <w:rPr>
          <w:rFonts w:hint="eastAsia" w:ascii="仿宋" w:hAnsi="仿宋" w:eastAsia="仿宋"/>
          <w:sz w:val="32"/>
          <w:szCs w:val="32"/>
        </w:rPr>
        <w:t>。安阳市殷都区研学题材主要有三大类。一类是以甲骨文和青铜器为代表的殷商</w:t>
      </w:r>
      <w:r>
        <w:rPr>
          <w:rFonts w:ascii="仿宋" w:hAnsi="仿宋" w:eastAsia="仿宋"/>
          <w:sz w:val="32"/>
          <w:szCs w:val="32"/>
        </w:rPr>
        <w:t>文化</w:t>
      </w:r>
      <w:r>
        <w:rPr>
          <w:rFonts w:hint="eastAsia" w:ascii="仿宋" w:hAnsi="仿宋" w:eastAsia="仿宋"/>
          <w:sz w:val="32"/>
          <w:szCs w:val="32"/>
        </w:rPr>
        <w:t>，结合农耕农事，打造了一批具有本地特色而又侧重点不同的殷商文化研学；二类是以马氏庄园、跃进渠等一批红色革命文物点发展红色研学旅行；三类是逐步培育起了具有安阳殷都本地特色的安阳钢铁文化以发展工业研学旅游。</w:t>
      </w:r>
      <w:r>
        <w:rPr>
          <w:rFonts w:hint="eastAsia" w:ascii="仿宋" w:hAnsi="仿宋" w:eastAsia="仿宋" w:cs="仿宋"/>
          <w:sz w:val="32"/>
          <w:szCs w:val="32"/>
        </w:rPr>
        <w:t>截至</w:t>
      </w:r>
      <w:r>
        <w:rPr>
          <w:rFonts w:ascii="仿宋" w:hAnsi="仿宋" w:eastAsia="仿宋" w:cs="仿宋"/>
          <w:sz w:val="32"/>
          <w:szCs w:val="32"/>
        </w:rPr>
        <w:t>202</w:t>
      </w:r>
      <w:r>
        <w:rPr>
          <w:rFonts w:hint="eastAsia" w:ascii="仿宋" w:hAnsi="仿宋" w:eastAsia="仿宋" w:cs="仿宋"/>
          <w:sz w:val="32"/>
          <w:szCs w:val="32"/>
        </w:rPr>
        <w:t>4年3月底，辖区内共有研学基地（营地）9家，其中国家级研学基地1处、省级研学基地4处、区级研学基地4处。拥有省级精品（特色）课程2节，市级精品课程5节。课程多以甲骨文、青铜器等殷商文化代表和农耕体验为主，兼具跃进渠、刘邓大军等红色题材课程和安钢工业旅游研学课程。至2024年6月底，各研学基地已累计接待接待团队数量700余个，累计14.31万人。</w:t>
      </w:r>
    </w:p>
    <w:p w14:paraId="2DFE0FD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促进甲骨文体健身与文化传承的双赢。2024年以来，甲骨文体操作为一种独特的健身方式，逐渐在小学和机关单位中流行开来。这种体操结合了甲骨文的元素，通过模仿甲骨文的形态和笔画，设计出一系列简单易学的动作，既锻炼了身体，又传承了中华优秀传统文化。在小学中，甲骨文体操成为了课间操的新选择，孩子们在欢快的音乐声中，一边学习甲骨文的知识，一边锻炼身体，既锻炼了身体素质，又培养了对传统文化的兴趣和热爱。在机关单位中，甲骨文体操则成为了职工们下班后的健身活动，大家在紧张的工作之余，通过甲骨文体操放松身心，缓解压力，同时也增强了团队凝聚力和文化认同感。我区利用各种媒体和渠道宣传甲骨文的历史和文化价值；开展甲骨文进校园、进社区等教育普及活动，让更多人了解和认识甲骨文；加强与国际文化交流机构的合作，推动甲骨文走向世界舞台。</w:t>
      </w:r>
    </w:p>
    <w:p w14:paraId="10054ECC">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为了确保殷墟景区的交通秩序和游客安全，我区经过精心规划和准备，一是制定了殷墟片区内南向来车和东向来车两条明确的动线。同时，采取了一系列有效的交通管控措施。首先，增设了约300米的隔离栏，将南北向和东西向的车流有效分隔，确保车辆按指定动线行驶，避免交叉混乱。此外，我们还布置了500个反光锥，以提醒驾驶员注意道路边界和交通规则，进一步增强交通安全性。二是在交通指示牌和景区导览图的设置方面，也下足了功夫。在关键路段和交叉口设置了清晰明了的交通指示牌，引导驾驶员按照正确的方向行驶。同时，在景区入口处和停车场门前等显眼位置设置了导览图，方便游客了解景区布局和停车信息，避免在景区内盲目寻找停车位或聚集。三是挖潜规划车位，</w:t>
      </w:r>
      <w:r>
        <w:rPr>
          <w:rFonts w:hint="eastAsia" w:ascii="仿宋" w:hAnsi="仿宋" w:eastAsia="仿宋" w:cs="仿宋_GB2312"/>
          <w:sz w:val="32"/>
        </w:rPr>
        <w:t>对商颂广场南侧地块、</w:t>
      </w:r>
      <w:r>
        <w:rPr>
          <w:rFonts w:hint="eastAsia" w:ascii="仿宋" w:hAnsi="仿宋" w:eastAsia="仿宋"/>
          <w:sz w:val="32"/>
          <w:szCs w:val="32"/>
        </w:rPr>
        <w:t>对原省建七公司院落平整、</w:t>
      </w:r>
      <w:r>
        <w:rPr>
          <w:rFonts w:hint="eastAsia" w:ascii="仿宋" w:hAnsi="仿宋" w:eastAsia="仿宋" w:cs="仿宋_GB2312"/>
          <w:sz w:val="32"/>
        </w:rPr>
        <w:t>文旅小镇东侧原厂房进行改善升级，分别增加100个、500个、500个停车位；将安钢大道、泰祥路等慢车道科学规划利用，设置临时停车位500个。加上目前玉兰园停车场、博物馆停车场、商颂广场停车场约1000个停车位，殷墟片区内外共可停放2600余辆车。目前，殷墟博物馆、玉兰园、商颂广场、文旅小镇、曹操高陵、袁林等6个停车场已接入市级智慧停车管理服务平台，实现智能化管理、自助缴费、无感支付快速通行、预约服务、远端查询余位等场景和功能，提高景区停车场通行效率和停车泊位周转率，缓解停车紧张和交通压力。</w:t>
      </w:r>
    </w:p>
    <w:p w14:paraId="25E66642">
      <w:pPr>
        <w:pStyle w:val="13"/>
        <w:spacing w:line="560" w:lineRule="exact"/>
        <w:ind w:firstLine="640" w:firstLineChars="200"/>
        <w:jc w:val="both"/>
        <w:textAlignment w:val="baseline"/>
        <w:rPr>
          <w:rFonts w:ascii="仿宋" w:hAnsi="仿宋" w:eastAsia="仿宋" w:cs="仿宋_GB2312"/>
          <w:sz w:val="32"/>
          <w:szCs w:val="32"/>
        </w:rPr>
      </w:pPr>
      <w:r>
        <w:rPr>
          <w:rFonts w:hint="eastAsia" w:ascii="仿宋" w:hAnsi="仿宋" w:eastAsia="仿宋" w:cs="仿宋_GB2312"/>
          <w:sz w:val="32"/>
          <w:szCs w:val="32"/>
        </w:rPr>
        <w:t>总的来，旅游是文化的形和体，文化为旅游注入灵魂，殷都区内“来了不想走，走了还想来”的地方不多，与设想尚有很大差距。</w:t>
      </w:r>
      <w:r>
        <w:rPr>
          <w:rFonts w:hint="eastAsia" w:ascii="仿宋" w:hAnsi="仿宋" w:eastAsia="仿宋"/>
          <w:sz w:val="32"/>
          <w:szCs w:val="32"/>
        </w:rPr>
        <w:t>在后续发展中，我区在扛好文物保护政治责任的同时，将在丰富“吃住行游购娱”等文旅产业发展要素上下功夫，打造中华文化新地标，中原文旅新名片。</w:t>
      </w:r>
    </w:p>
    <w:p w14:paraId="713D1F82">
      <w:pPr>
        <w:pStyle w:val="7"/>
        <w:spacing w:before="0" w:beforeAutospacing="0" w:after="0" w:afterAutospacing="0" w:line="560" w:lineRule="exact"/>
        <w:ind w:firstLine="640"/>
        <w:rPr>
          <w:rFonts w:ascii="仿宋" w:hAnsi="仿宋" w:eastAsia="仿宋"/>
          <w:color w:val="000000"/>
          <w:sz w:val="32"/>
          <w:szCs w:val="32"/>
        </w:rPr>
      </w:pPr>
    </w:p>
    <w:p w14:paraId="41B3DE31">
      <w:pPr>
        <w:spacing w:line="560" w:lineRule="exact"/>
        <w:ind w:firstLine="640" w:firstLineChars="200"/>
        <w:rPr>
          <w:rFonts w:ascii="仿宋" w:hAnsi="仿宋" w:eastAsia="仿宋"/>
          <w:sz w:val="32"/>
          <w:szCs w:val="32"/>
        </w:rPr>
      </w:pPr>
      <w:r>
        <w:rPr>
          <w:rFonts w:hint="eastAsia" w:ascii="仿宋" w:hAnsi="仿宋" w:eastAsia="仿宋"/>
          <w:sz w:val="32"/>
          <w:szCs w:val="32"/>
        </w:rPr>
        <w:t>再次感谢您对政府工作的监督和支持！</w:t>
      </w:r>
    </w:p>
    <w:p w14:paraId="0E03FFB4">
      <w:pPr>
        <w:spacing w:line="560" w:lineRule="exact"/>
        <w:ind w:firstLine="640"/>
        <w:jc w:val="left"/>
        <w:rPr>
          <w:rFonts w:ascii="仿宋" w:hAnsi="仿宋" w:eastAsia="仿宋"/>
          <w:sz w:val="32"/>
          <w:szCs w:val="32"/>
        </w:rPr>
      </w:pPr>
    </w:p>
    <w:p w14:paraId="71874BF1">
      <w:pPr>
        <w:spacing w:line="560" w:lineRule="exact"/>
        <w:ind w:firstLine="640"/>
        <w:jc w:val="right"/>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rPr>
        <w:t>4年5月6日</w:t>
      </w:r>
    </w:p>
    <w:p w14:paraId="6DC7A941">
      <w:pPr>
        <w:spacing w:line="560" w:lineRule="exact"/>
        <w:ind w:firstLine="640"/>
        <w:jc w:val="left"/>
        <w:rPr>
          <w:rFonts w:ascii="仿宋" w:hAnsi="仿宋" w:eastAsia="仿宋"/>
          <w:sz w:val="32"/>
          <w:szCs w:val="32"/>
        </w:rPr>
      </w:pPr>
    </w:p>
    <w:p w14:paraId="008E5D41">
      <w:pPr>
        <w:spacing w:line="560" w:lineRule="exact"/>
        <w:ind w:firstLine="640"/>
        <w:jc w:val="left"/>
        <w:rPr>
          <w:rFonts w:ascii="仿宋" w:hAnsi="仿宋" w:eastAsia="仿宋"/>
          <w:sz w:val="32"/>
          <w:szCs w:val="32"/>
        </w:rPr>
      </w:pPr>
      <w:r>
        <w:rPr>
          <w:rFonts w:hint="eastAsia" w:ascii="仿宋" w:hAnsi="仿宋" w:eastAsia="仿宋"/>
          <w:sz w:val="32"/>
          <w:szCs w:val="32"/>
        </w:rPr>
        <w:t>联系单位：区文广体旅局</w:t>
      </w:r>
    </w:p>
    <w:p w14:paraId="199551AD">
      <w:pPr>
        <w:spacing w:line="560" w:lineRule="exact"/>
        <w:ind w:firstLine="640"/>
        <w:jc w:val="left"/>
        <w:rPr>
          <w:rFonts w:hint="eastAsia" w:ascii="仿宋" w:hAnsi="仿宋" w:eastAsia="仿宋"/>
          <w:sz w:val="32"/>
          <w:szCs w:val="32"/>
        </w:rPr>
      </w:pPr>
      <w:r>
        <w:rPr>
          <w:rFonts w:hint="eastAsia" w:ascii="仿宋" w:hAnsi="仿宋" w:eastAsia="仿宋"/>
          <w:sz w:val="32"/>
          <w:szCs w:val="32"/>
        </w:rPr>
        <w:t>联系电话：0372-5</w:t>
      </w:r>
      <w:r>
        <w:rPr>
          <w:rFonts w:ascii="仿宋" w:hAnsi="仿宋" w:eastAsia="仿宋"/>
          <w:sz w:val="32"/>
          <w:szCs w:val="32"/>
        </w:rPr>
        <w:t>31573</w:t>
      </w:r>
      <w:r>
        <w:rPr>
          <w:rFonts w:hint="eastAsia" w:ascii="仿宋" w:hAnsi="仿宋" w:eastAsia="仿宋"/>
          <w:sz w:val="32"/>
          <w:szCs w:val="32"/>
        </w:rPr>
        <w:t>8</w:t>
      </w:r>
    </w:p>
    <w:p w14:paraId="084FF64E">
      <w:pPr>
        <w:spacing w:line="560" w:lineRule="exact"/>
        <w:ind w:firstLine="640"/>
        <w:jc w:val="left"/>
        <w:rPr>
          <w:rFonts w:ascii="仿宋" w:hAnsi="仿宋" w:eastAsia="仿宋"/>
          <w:sz w:val="32"/>
          <w:szCs w:val="32"/>
        </w:rPr>
      </w:pPr>
      <w:r>
        <w:rPr>
          <w:rFonts w:hint="eastAsia" w:ascii="仿宋" w:hAnsi="仿宋" w:eastAsia="仿宋"/>
          <w:sz w:val="32"/>
          <w:szCs w:val="32"/>
        </w:rPr>
        <w:t>联</w:t>
      </w:r>
      <w:r>
        <w:rPr>
          <w:rFonts w:ascii="仿宋" w:hAnsi="仿宋" w:eastAsia="仿宋"/>
          <w:sz w:val="32"/>
          <w:szCs w:val="32"/>
        </w:rPr>
        <w:t xml:space="preserve"> </w:t>
      </w:r>
      <w:r>
        <w:rPr>
          <w:rFonts w:hint="eastAsia" w:ascii="仿宋" w:hAnsi="仿宋" w:eastAsia="仿宋"/>
          <w:sz w:val="32"/>
          <w:szCs w:val="32"/>
        </w:rPr>
        <w:t>系</w:t>
      </w:r>
      <w:r>
        <w:rPr>
          <w:rFonts w:ascii="仿宋" w:hAnsi="仿宋" w:eastAsia="仿宋"/>
          <w:sz w:val="32"/>
          <w:szCs w:val="32"/>
        </w:rPr>
        <w:t xml:space="preserve"> </w:t>
      </w:r>
      <w:r>
        <w:rPr>
          <w:rFonts w:hint="eastAsia" w:ascii="仿宋" w:hAnsi="仿宋" w:eastAsia="仿宋"/>
          <w:sz w:val="32"/>
          <w:szCs w:val="32"/>
        </w:rPr>
        <w:t>人：王康</w:t>
      </w:r>
    </w:p>
    <w:p w14:paraId="3BB4FBE5">
      <w:pPr>
        <w:spacing w:line="560" w:lineRule="exact"/>
        <w:ind w:firstLine="640"/>
        <w:jc w:val="left"/>
        <w:rPr>
          <w:rFonts w:hint="eastAsia" w:ascii="仿宋" w:hAnsi="仿宋" w:eastAsia="仿宋"/>
          <w:sz w:val="32"/>
          <w:szCs w:val="32"/>
        </w:rPr>
      </w:pPr>
      <w:r>
        <w:rPr>
          <w:rFonts w:hint="eastAsia" w:ascii="仿宋" w:hAnsi="仿宋" w:eastAsia="仿宋"/>
          <w:sz w:val="32"/>
          <w:szCs w:val="32"/>
        </w:rPr>
        <w:t>抄送：区人大选工委办公室（1份）、区政府办公室（</w:t>
      </w:r>
      <w:r>
        <w:rPr>
          <w:rFonts w:ascii="仿宋" w:hAnsi="仿宋" w:eastAsia="仿宋"/>
          <w:sz w:val="32"/>
          <w:szCs w:val="32"/>
        </w:rPr>
        <w:t>1</w:t>
      </w:r>
      <w:r>
        <w:rPr>
          <w:rFonts w:hint="eastAsia" w:ascii="仿宋" w:hAnsi="仿宋" w:eastAsia="仿宋"/>
          <w:sz w:val="32"/>
          <w:szCs w:val="32"/>
        </w:rPr>
        <w:t>份）</w:t>
      </w:r>
    </w:p>
    <w:sectPr>
      <w:pgSz w:w="11906" w:h="16838"/>
      <w:pgMar w:top="1531" w:right="1417"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hMWVkYWUwZWJkMWNiNjA4YTU4NTI2ZjZlNWFjMjAifQ=="/>
  </w:docVars>
  <w:rsids>
    <w:rsidRoot w:val="00D36A9F"/>
    <w:rsid w:val="00035752"/>
    <w:rsid w:val="0004150F"/>
    <w:rsid w:val="00043C56"/>
    <w:rsid w:val="000636C9"/>
    <w:rsid w:val="000874C7"/>
    <w:rsid w:val="000B2451"/>
    <w:rsid w:val="000C794C"/>
    <w:rsid w:val="000D4AF0"/>
    <w:rsid w:val="000E3C53"/>
    <w:rsid w:val="00115C08"/>
    <w:rsid w:val="00200122"/>
    <w:rsid w:val="0024248D"/>
    <w:rsid w:val="002437BF"/>
    <w:rsid w:val="002D6974"/>
    <w:rsid w:val="00326BA9"/>
    <w:rsid w:val="00355C04"/>
    <w:rsid w:val="00383E5C"/>
    <w:rsid w:val="003C6615"/>
    <w:rsid w:val="00424655"/>
    <w:rsid w:val="00434F96"/>
    <w:rsid w:val="00437BE3"/>
    <w:rsid w:val="00450F52"/>
    <w:rsid w:val="004712F8"/>
    <w:rsid w:val="004A54F9"/>
    <w:rsid w:val="004D590D"/>
    <w:rsid w:val="004F5891"/>
    <w:rsid w:val="00552FE9"/>
    <w:rsid w:val="005A0B0E"/>
    <w:rsid w:val="005E69D8"/>
    <w:rsid w:val="006054B7"/>
    <w:rsid w:val="00621C52"/>
    <w:rsid w:val="00775674"/>
    <w:rsid w:val="007820FD"/>
    <w:rsid w:val="007E5622"/>
    <w:rsid w:val="007F2696"/>
    <w:rsid w:val="0080356F"/>
    <w:rsid w:val="008B5473"/>
    <w:rsid w:val="008D0F4F"/>
    <w:rsid w:val="00907066"/>
    <w:rsid w:val="009358D1"/>
    <w:rsid w:val="009659A3"/>
    <w:rsid w:val="009C6643"/>
    <w:rsid w:val="009D3025"/>
    <w:rsid w:val="00A93F36"/>
    <w:rsid w:val="00AA1FE6"/>
    <w:rsid w:val="00AE208B"/>
    <w:rsid w:val="00AF6699"/>
    <w:rsid w:val="00B17ABF"/>
    <w:rsid w:val="00B33AFE"/>
    <w:rsid w:val="00B72C2C"/>
    <w:rsid w:val="00BB2214"/>
    <w:rsid w:val="00BE19B1"/>
    <w:rsid w:val="00C7523D"/>
    <w:rsid w:val="00CA2E91"/>
    <w:rsid w:val="00CA51A9"/>
    <w:rsid w:val="00CD4073"/>
    <w:rsid w:val="00CF666E"/>
    <w:rsid w:val="00D0511A"/>
    <w:rsid w:val="00D16CB2"/>
    <w:rsid w:val="00D36A9F"/>
    <w:rsid w:val="00D423F3"/>
    <w:rsid w:val="00D842A2"/>
    <w:rsid w:val="00D93776"/>
    <w:rsid w:val="00DD31EF"/>
    <w:rsid w:val="00E033BF"/>
    <w:rsid w:val="00EB5E99"/>
    <w:rsid w:val="00F126AE"/>
    <w:rsid w:val="00F52CDB"/>
    <w:rsid w:val="00FA375C"/>
    <w:rsid w:val="00FF3752"/>
    <w:rsid w:val="00FF3DC5"/>
    <w:rsid w:val="02C24BF1"/>
    <w:rsid w:val="03AC37EB"/>
    <w:rsid w:val="064424ED"/>
    <w:rsid w:val="072374EC"/>
    <w:rsid w:val="082D34E5"/>
    <w:rsid w:val="090321E8"/>
    <w:rsid w:val="0B310B66"/>
    <w:rsid w:val="0F874811"/>
    <w:rsid w:val="10663775"/>
    <w:rsid w:val="10A95098"/>
    <w:rsid w:val="111F4083"/>
    <w:rsid w:val="13505E22"/>
    <w:rsid w:val="15D908CA"/>
    <w:rsid w:val="15DF3EBA"/>
    <w:rsid w:val="1C8A3B28"/>
    <w:rsid w:val="21563504"/>
    <w:rsid w:val="24D74796"/>
    <w:rsid w:val="252164F2"/>
    <w:rsid w:val="2B472419"/>
    <w:rsid w:val="2ED209B0"/>
    <w:rsid w:val="35A11871"/>
    <w:rsid w:val="378400E7"/>
    <w:rsid w:val="38A24536"/>
    <w:rsid w:val="3CC97668"/>
    <w:rsid w:val="45B7426E"/>
    <w:rsid w:val="47513DBB"/>
    <w:rsid w:val="476D71AC"/>
    <w:rsid w:val="4A0E235D"/>
    <w:rsid w:val="4E142038"/>
    <w:rsid w:val="50BB5D80"/>
    <w:rsid w:val="5840759B"/>
    <w:rsid w:val="596F26E4"/>
    <w:rsid w:val="5D032D70"/>
    <w:rsid w:val="5EB70B11"/>
    <w:rsid w:val="61CD2A9C"/>
    <w:rsid w:val="6ABE0A2A"/>
    <w:rsid w:val="74AA17E4"/>
    <w:rsid w:val="77046B7B"/>
    <w:rsid w:val="7D8020A4"/>
    <w:rsid w:val="7FDF4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b/>
      <w:kern w:val="44"/>
      <w:sz w:val="48"/>
      <w:szCs w:val="48"/>
    </w:rPr>
  </w:style>
  <w:style w:type="paragraph" w:styleId="3">
    <w:name w:val="heading 4"/>
    <w:basedOn w:val="1"/>
    <w:qFormat/>
    <w:uiPriority w:val="9"/>
    <w:pPr>
      <w:widowControl/>
      <w:spacing w:before="100" w:beforeAutospacing="1" w:after="100" w:afterAutospacing="1"/>
      <w:jc w:val="left"/>
      <w:outlineLvl w:val="3"/>
    </w:pPr>
    <w:rPr>
      <w:rFonts w:ascii="宋体" w:hAnsi="宋体" w:cs="宋体"/>
      <w:b/>
      <w:bCs/>
      <w:kern w:val="0"/>
      <w:sz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qFormat/>
    <w:uiPriority w:val="0"/>
    <w:pPr>
      <w:spacing w:before="180" w:after="180"/>
    </w:pPr>
  </w:style>
  <w:style w:type="paragraph" w:styleId="5">
    <w:name w:val="footer"/>
    <w:basedOn w:val="1"/>
    <w:link w:val="12"/>
    <w:autoRedefine/>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10">
    <w:name w:val="Strong"/>
    <w:basedOn w:val="9"/>
    <w:autoRedefine/>
    <w:qFormat/>
    <w:uiPriority w:val="22"/>
    <w:rPr>
      <w:b/>
      <w:bCs/>
    </w:rPr>
  </w:style>
  <w:style w:type="character" w:customStyle="1" w:styleId="11">
    <w:name w:val="页眉 字符"/>
    <w:basedOn w:val="9"/>
    <w:link w:val="6"/>
    <w:autoRedefine/>
    <w:qFormat/>
    <w:uiPriority w:val="0"/>
    <w:rPr>
      <w:kern w:val="2"/>
      <w:sz w:val="18"/>
      <w:szCs w:val="18"/>
    </w:rPr>
  </w:style>
  <w:style w:type="character" w:customStyle="1" w:styleId="12">
    <w:name w:val="页脚 字符"/>
    <w:basedOn w:val="9"/>
    <w:link w:val="5"/>
    <w:autoRedefine/>
    <w:qFormat/>
    <w:uiPriority w:val="0"/>
    <w:rPr>
      <w:kern w:val="2"/>
      <w:sz w:val="18"/>
      <w:szCs w:val="18"/>
    </w:rPr>
  </w:style>
  <w:style w:type="paragraph" w:customStyle="1" w:styleId="13">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4">
    <w:name w:val="p0"/>
    <w:basedOn w:val="1"/>
    <w:autoRedefine/>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2013</Words>
  <Characters>2064</Characters>
  <Lines>15</Lines>
  <Paragraphs>4</Paragraphs>
  <TotalTime>0</TotalTime>
  <ScaleCrop>false</ScaleCrop>
  <LinksUpToDate>false</LinksUpToDate>
  <CharactersWithSpaces>2068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督察室</dc:creator>
  <cp:lastModifiedBy></cp:lastModifiedBy>
  <cp:lastPrinted>2024-09-24T01:30:04Z</cp:lastPrinted>
  <dcterms:modified xsi:type="dcterms:W3CDTF">2024-09-24T01:30:31Z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3A3A4DBB48E14CFAA26349363AFA6BA4_13</vt:lpwstr>
  </property>
</Properties>
</file>