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99246">
      <w:pPr>
        <w:keepNext w:val="0"/>
        <w:keepLines w:val="0"/>
        <w:pageBreakBefore w:val="0"/>
        <w:widowControl w:val="0"/>
        <w:kinsoku/>
        <w:wordWrap/>
        <w:overflowPunct/>
        <w:topLinePunct/>
        <w:autoSpaceDE/>
        <w:autoSpaceDN/>
        <w:bidi w:val="0"/>
        <w:adjustRightInd w:val="0"/>
        <w:snapToGrid/>
        <w:spacing w:beforeAutospacing="0" w:afterAutospacing="0" w:line="640" w:lineRule="exact"/>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附件</w:t>
      </w:r>
    </w:p>
    <w:p w14:paraId="14C63C04">
      <w:pPr>
        <w:keepNext w:val="0"/>
        <w:keepLines w:val="0"/>
        <w:pageBreakBefore w:val="0"/>
        <w:widowControl w:val="0"/>
        <w:kinsoku/>
        <w:wordWrap/>
        <w:overflowPunct/>
        <w:topLinePunct/>
        <w:autoSpaceDE/>
        <w:autoSpaceDN/>
        <w:bidi w:val="0"/>
        <w:adjustRightInd w:val="0"/>
        <w:snapToGrid/>
        <w:spacing w:beforeAutospacing="0" w:afterAutospacing="0" w:line="640" w:lineRule="exact"/>
        <w:jc w:val="center"/>
        <w:textAlignment w:val="auto"/>
        <w:rPr>
          <w:rFonts w:hint="eastAsia" w:eastAsia="方正小标宋简体" w:cs="Times New Roman"/>
          <w:b w:val="0"/>
          <w:bCs w:val="0"/>
          <w:color w:val="auto"/>
          <w:sz w:val="44"/>
          <w:szCs w:val="44"/>
          <w:highlight w:val="none"/>
          <w:lang w:eastAsia="zh-CN"/>
        </w:rPr>
      </w:pPr>
      <w:bookmarkStart w:id="29" w:name="_GoBack"/>
      <w:bookmarkEnd w:id="29"/>
      <w:r>
        <w:rPr>
          <w:rFonts w:hint="eastAsia" w:eastAsia="方正小标宋简体" w:cs="Times New Roman"/>
          <w:b w:val="0"/>
          <w:bCs w:val="0"/>
          <w:color w:val="auto"/>
          <w:sz w:val="44"/>
          <w:szCs w:val="44"/>
          <w:highlight w:val="none"/>
          <w:lang w:eastAsia="zh-CN"/>
        </w:rPr>
        <w:t>沁阳</w:t>
      </w:r>
      <w:r>
        <w:rPr>
          <w:rFonts w:hint="default" w:ascii="Times New Roman" w:hAnsi="Times New Roman" w:eastAsia="方正小标宋简体" w:cs="Times New Roman"/>
          <w:b w:val="0"/>
          <w:bCs w:val="0"/>
          <w:color w:val="auto"/>
          <w:sz w:val="44"/>
          <w:szCs w:val="44"/>
          <w:highlight w:val="none"/>
        </w:rPr>
        <w:t>市空气质量</w:t>
      </w:r>
      <w:r>
        <w:rPr>
          <w:rFonts w:hint="default" w:ascii="Times New Roman" w:hAnsi="Times New Roman" w:eastAsia="方正小标宋简体" w:cs="Times New Roman"/>
          <w:b w:val="0"/>
          <w:bCs w:val="0"/>
          <w:color w:val="auto"/>
          <w:sz w:val="44"/>
          <w:szCs w:val="44"/>
          <w:highlight w:val="none"/>
          <w:lang w:eastAsia="zh-CN"/>
        </w:rPr>
        <w:t>持续</w:t>
      </w:r>
      <w:r>
        <w:rPr>
          <w:rFonts w:hint="default" w:ascii="Times New Roman" w:hAnsi="Times New Roman" w:eastAsia="方正小标宋简体" w:cs="Times New Roman"/>
          <w:b w:val="0"/>
          <w:bCs w:val="0"/>
          <w:color w:val="auto"/>
          <w:sz w:val="44"/>
          <w:szCs w:val="44"/>
          <w:highlight w:val="none"/>
        </w:rPr>
        <w:t>改善行动</w:t>
      </w:r>
      <w:r>
        <w:rPr>
          <w:rFonts w:hint="eastAsia" w:eastAsia="方正小标宋简体" w:cs="Times New Roman"/>
          <w:b w:val="0"/>
          <w:bCs w:val="0"/>
          <w:color w:val="auto"/>
          <w:sz w:val="44"/>
          <w:szCs w:val="44"/>
          <w:highlight w:val="none"/>
          <w:lang w:eastAsia="zh-CN"/>
        </w:rPr>
        <w:t>方案</w:t>
      </w:r>
    </w:p>
    <w:p w14:paraId="468BC542">
      <w:pPr>
        <w:pStyle w:val="2"/>
        <w:keepNext w:val="0"/>
        <w:keepLines w:val="0"/>
        <w:pageBreakBefore w:val="0"/>
        <w:widowControl w:val="0"/>
        <w:kinsoku/>
        <w:wordWrap/>
        <w:overflowPunct/>
        <w:autoSpaceDE/>
        <w:autoSpaceDN/>
        <w:bidi w:val="0"/>
        <w:snapToGrid/>
        <w:spacing w:beforeAutospacing="0" w:afterAutospacing="0" w:line="640" w:lineRule="exact"/>
        <w:jc w:val="center"/>
        <w:textAlignment w:val="auto"/>
        <w:rPr>
          <w:rFonts w:hint="eastAsia" w:ascii="Times New Roman" w:hAnsi="Times New Roman" w:eastAsia="仿宋_GB2312" w:cs="Times New Roman"/>
          <w:b w:val="0"/>
          <w:bCs w:val="0"/>
          <w:color w:val="auto"/>
          <w:kern w:val="2"/>
          <w:sz w:val="32"/>
          <w:szCs w:val="24"/>
          <w:highlight w:val="none"/>
          <w:lang w:val="en-US" w:eastAsia="zh-CN" w:bidi="ar-SA"/>
        </w:rPr>
      </w:pPr>
      <w:r>
        <w:rPr>
          <w:rFonts w:hint="eastAsia" w:ascii="楷体_GB2312" w:hAnsi="楷体_GB2312" w:eastAsia="楷体_GB2312" w:cs="楷体_GB2312"/>
          <w:b w:val="0"/>
          <w:bCs w:val="0"/>
          <w:color w:val="auto"/>
          <w:kern w:val="2"/>
          <w:sz w:val="32"/>
          <w:szCs w:val="24"/>
          <w:highlight w:val="none"/>
          <w:lang w:val="en-US" w:eastAsia="zh-CN" w:bidi="ar-SA"/>
        </w:rPr>
        <w:t>（征求意见稿）</w:t>
      </w:r>
    </w:p>
    <w:p w14:paraId="034F9A68">
      <w:pPr>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645ADDB1">
      <w:pPr>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color w:val="auto"/>
          <w:highlight w:val="none"/>
          <w:lang w:val="en-US" w:eastAsia="zh-CN"/>
        </w:rPr>
        <w:t>为贯彻落实</w:t>
      </w:r>
      <w:r>
        <w:rPr>
          <w:rFonts w:hint="eastAsia"/>
          <w:color w:val="auto"/>
          <w:highlight w:val="none"/>
          <w:lang w:val="en-US" w:eastAsia="zh-CN"/>
        </w:rPr>
        <w:t>《河南省人民政府关于印发</w:t>
      </w:r>
      <w:r>
        <w:rPr>
          <w:color w:val="auto"/>
          <w:highlight w:val="none"/>
          <w:lang w:val="en-US" w:eastAsia="zh-CN"/>
        </w:rPr>
        <w:t>〈</w:t>
      </w:r>
      <w:r>
        <w:rPr>
          <w:rFonts w:hint="eastAsia"/>
          <w:color w:val="auto"/>
          <w:highlight w:val="none"/>
          <w:lang w:val="en-US" w:eastAsia="zh-CN"/>
        </w:rPr>
        <w:t>河南省空气质量持续改善行动计划</w:t>
      </w:r>
      <w:r>
        <w:rPr>
          <w:color w:val="auto"/>
          <w:highlight w:val="none"/>
          <w:lang w:val="en-US" w:eastAsia="zh-CN"/>
        </w:rPr>
        <w:t>〉</w:t>
      </w:r>
      <w:r>
        <w:rPr>
          <w:rFonts w:hint="eastAsia"/>
          <w:color w:val="auto"/>
          <w:highlight w:val="none"/>
          <w:lang w:val="en-US" w:eastAsia="zh-CN"/>
        </w:rPr>
        <w:t>的通知》（</w:t>
      </w:r>
      <w:r>
        <w:rPr>
          <w:rFonts w:hint="default"/>
          <w:color w:val="auto"/>
          <w:highlight w:val="none"/>
          <w:lang w:val="en-US" w:eastAsia="zh-CN"/>
        </w:rPr>
        <w:t>豫政〔2024〕12号</w:t>
      </w:r>
      <w:r>
        <w:rPr>
          <w:rFonts w:hint="eastAsia"/>
          <w:color w:val="auto"/>
          <w:highlight w:val="none"/>
          <w:lang w:val="en-US" w:eastAsia="zh-CN"/>
        </w:rPr>
        <w:t>）、</w:t>
      </w:r>
      <w:bookmarkStart w:id="0" w:name="OLE_LINK6"/>
      <w:r>
        <w:rPr>
          <w:rFonts w:hint="eastAsia"/>
          <w:color w:val="auto"/>
          <w:highlight w:val="none"/>
          <w:lang w:val="en-US" w:eastAsia="zh-CN"/>
        </w:rPr>
        <w:t>《焦作市空气质量持续改善行动方案》（焦政〔2024〕11号）</w:t>
      </w:r>
      <w:bookmarkEnd w:id="0"/>
      <w:r>
        <w:rPr>
          <w:rFonts w:hint="eastAsia"/>
          <w:color w:val="auto"/>
          <w:highlight w:val="none"/>
          <w:lang w:val="en-US" w:eastAsia="zh-CN"/>
        </w:rPr>
        <w:t>等文件</w:t>
      </w:r>
      <w:r>
        <w:rPr>
          <w:color w:val="auto"/>
          <w:highlight w:val="none"/>
          <w:lang w:val="en-US" w:eastAsia="zh-CN"/>
        </w:rPr>
        <w:t>要求，</w:t>
      </w:r>
      <w:bookmarkStart w:id="1" w:name="OLE_LINK8"/>
      <w:r>
        <w:rPr>
          <w:rFonts w:hint="default" w:ascii="Times New Roman" w:hAnsi="Times New Roman" w:cs="Times New Roman"/>
          <w:color w:val="auto"/>
          <w:sz w:val="32"/>
          <w:szCs w:val="32"/>
          <w:highlight w:val="none"/>
          <w:lang w:eastAsia="zh-CN"/>
        </w:rPr>
        <w:t>持续深入打好蓝天保卫战</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切实保障人民群众身体健康，以空气持续改善推动经济高质量发展，</w:t>
      </w:r>
      <w:bookmarkEnd w:id="1"/>
      <w:bookmarkStart w:id="2" w:name="OLE_LINK7"/>
      <w:r>
        <w:rPr>
          <w:rFonts w:hint="eastAsia" w:cs="Times New Roman"/>
          <w:color w:val="auto"/>
          <w:sz w:val="32"/>
          <w:szCs w:val="32"/>
          <w:highlight w:val="none"/>
          <w:lang w:eastAsia="zh-CN"/>
        </w:rPr>
        <w:t>结合我市实际，</w:t>
      </w:r>
      <w:bookmarkEnd w:id="2"/>
      <w:r>
        <w:rPr>
          <w:rFonts w:hint="default" w:ascii="Times New Roman" w:hAnsi="Times New Roman" w:cs="Times New Roman"/>
          <w:color w:val="auto"/>
          <w:sz w:val="32"/>
          <w:szCs w:val="32"/>
          <w:highlight w:val="none"/>
          <w:lang w:eastAsia="zh-CN"/>
        </w:rPr>
        <w:t>制定</w:t>
      </w:r>
      <w:r>
        <w:rPr>
          <w:rFonts w:hint="default" w:ascii="Times New Roman" w:hAnsi="Times New Roman" w:eastAsia="仿宋_GB2312" w:cs="Times New Roman"/>
          <w:color w:val="auto"/>
          <w:spacing w:val="7"/>
          <w:sz w:val="32"/>
          <w:szCs w:val="32"/>
          <w:highlight w:val="none"/>
        </w:rPr>
        <w:t>本行动</w:t>
      </w:r>
      <w:r>
        <w:rPr>
          <w:rFonts w:hint="eastAsia" w:cs="Times New Roman"/>
          <w:color w:val="auto"/>
          <w:spacing w:val="7"/>
          <w:sz w:val="32"/>
          <w:szCs w:val="32"/>
          <w:highlight w:val="none"/>
          <w:lang w:eastAsia="zh-CN"/>
        </w:rPr>
        <w:t>方案</w:t>
      </w:r>
      <w:r>
        <w:rPr>
          <w:rFonts w:hint="default" w:ascii="Times New Roman" w:hAnsi="Times New Roman" w:eastAsia="仿宋_GB2312" w:cs="Times New Roman"/>
          <w:color w:val="auto"/>
          <w:spacing w:val="7"/>
          <w:sz w:val="32"/>
          <w:szCs w:val="32"/>
          <w:highlight w:val="none"/>
        </w:rPr>
        <w:t>。</w:t>
      </w:r>
    </w:p>
    <w:p w14:paraId="03CD322B">
      <w:pPr>
        <w:pStyle w:val="3"/>
        <w:keepNext w:val="0"/>
        <w:keepLines w:val="0"/>
        <w:pageBreakBefore w:val="0"/>
        <w:widowControl w:val="0"/>
        <w:kinsoku/>
        <w:wordWrap/>
        <w:overflowPunct/>
        <w:topLinePunct/>
        <w:autoSpaceDE/>
        <w:autoSpaceDN/>
        <w:bidi w:val="0"/>
        <w:snapToGrid/>
        <w:spacing w:before="0" w:beforeAutospacing="0" w:after="0" w:afterAutospacing="0" w:line="560" w:lineRule="exact"/>
        <w:ind w:firstLine="640" w:firstLineChars="200"/>
        <w:jc w:val="both"/>
        <w:textAlignment w:val="auto"/>
        <w:outlineLvl w:val="0"/>
        <w:rPr>
          <w:rFonts w:hint="default" w:ascii="Times New Roman" w:hAnsi="Times New Roman" w:eastAsia="黑体" w:cs="Times New Roman"/>
          <w:b w:val="0"/>
          <w:bCs w:val="0"/>
          <w:color w:val="auto"/>
          <w:sz w:val="32"/>
          <w:szCs w:val="32"/>
          <w:highlight w:val="none"/>
          <w:lang w:eastAsia="zh-CN"/>
        </w:rPr>
      </w:pPr>
      <w:bookmarkStart w:id="3" w:name="_Toc114408631"/>
      <w:r>
        <w:rPr>
          <w:rFonts w:hint="default" w:ascii="Times New Roman" w:hAnsi="Times New Roman" w:eastAsia="黑体" w:cs="Times New Roman"/>
          <w:b w:val="0"/>
          <w:bCs w:val="0"/>
          <w:color w:val="auto"/>
          <w:sz w:val="32"/>
          <w:szCs w:val="32"/>
          <w:highlight w:val="none"/>
          <w:lang w:eastAsia="zh-CN"/>
        </w:rPr>
        <w:t>一、总体要求</w:t>
      </w:r>
    </w:p>
    <w:p w14:paraId="12A349BE">
      <w:pPr>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outlineLvl w:val="1"/>
        <w:rPr>
          <w:rFonts w:hint="default"/>
          <w:color w:val="auto"/>
          <w:highlight w:val="none"/>
          <w:lang w:eastAsia="zh-CN"/>
        </w:rPr>
      </w:pPr>
      <w:r>
        <w:rPr>
          <w:rFonts w:hint="default" w:ascii="Times New Roman" w:hAnsi="Times New Roman" w:eastAsia="楷体_GB2312" w:cs="Times New Roman"/>
          <w:color w:val="auto"/>
          <w:sz w:val="32"/>
          <w:szCs w:val="32"/>
          <w:highlight w:val="none"/>
          <w:lang w:eastAsia="zh-CN"/>
        </w:rPr>
        <w:t>（一）指导思想。</w:t>
      </w:r>
      <w:r>
        <w:rPr>
          <w:rFonts w:hint="default" w:ascii="Times New Roman" w:hAnsi="Times New Roman" w:cs="Times New Roman"/>
          <w:color w:val="auto"/>
          <w:sz w:val="32"/>
          <w:szCs w:val="32"/>
          <w:highlight w:val="none"/>
          <w:lang w:eastAsia="zh-CN"/>
        </w:rPr>
        <w:t>以习近平新时代中国特色社会主义思想为指导，深入贯彻习近平生态文明思想，</w:t>
      </w:r>
      <w:r>
        <w:rPr>
          <w:color w:val="auto"/>
          <w:highlight w:val="none"/>
          <w:lang w:val="en-US" w:eastAsia="zh-CN"/>
        </w:rPr>
        <w:t>全面贯彻党的二十大</w:t>
      </w:r>
      <w:r>
        <w:rPr>
          <w:rFonts w:hint="eastAsia"/>
          <w:color w:val="auto"/>
          <w:highlight w:val="none"/>
          <w:lang w:val="en-US" w:eastAsia="zh-CN"/>
        </w:rPr>
        <w:t>和</w:t>
      </w:r>
      <w:r>
        <w:rPr>
          <w:color w:val="auto"/>
          <w:highlight w:val="none"/>
          <w:lang w:val="en-US" w:eastAsia="zh-CN"/>
        </w:rPr>
        <w:t>二十届二中</w:t>
      </w:r>
      <w:r>
        <w:rPr>
          <w:rFonts w:hint="eastAsia"/>
          <w:color w:val="auto"/>
          <w:highlight w:val="none"/>
          <w:lang w:val="en-US" w:eastAsia="zh-CN"/>
        </w:rPr>
        <w:t>、三中</w:t>
      </w:r>
      <w:r>
        <w:rPr>
          <w:color w:val="auto"/>
          <w:highlight w:val="none"/>
          <w:lang w:val="en-US" w:eastAsia="zh-CN"/>
        </w:rPr>
        <w:t>全会精神</w:t>
      </w:r>
      <w:r>
        <w:rPr>
          <w:rFonts w:hint="default" w:ascii="Times New Roman" w:hAnsi="Times New Roman" w:cs="Times New Roman"/>
          <w:color w:val="auto"/>
          <w:sz w:val="32"/>
          <w:szCs w:val="32"/>
          <w:highlight w:val="none"/>
          <w:lang w:eastAsia="zh-CN"/>
        </w:rPr>
        <w:t>，</w:t>
      </w:r>
      <w:r>
        <w:rPr>
          <w:rFonts w:hint="eastAsia" w:cs="Times New Roman"/>
          <w:color w:val="auto"/>
          <w:sz w:val="32"/>
          <w:szCs w:val="32"/>
          <w:highlight w:val="none"/>
          <w:lang w:eastAsia="zh-CN"/>
        </w:rPr>
        <w:t>认真</w:t>
      </w:r>
      <w:r>
        <w:rPr>
          <w:rFonts w:hint="default" w:ascii="Times New Roman" w:hAnsi="Times New Roman" w:cs="Times New Roman"/>
          <w:color w:val="auto"/>
          <w:sz w:val="32"/>
          <w:szCs w:val="32"/>
          <w:highlight w:val="none"/>
          <w:lang w:eastAsia="zh-CN"/>
        </w:rPr>
        <w:t>落实国家、省、</w:t>
      </w:r>
      <w:r>
        <w:rPr>
          <w:rFonts w:hint="eastAsia" w:cs="Times New Roman"/>
          <w:color w:val="auto"/>
          <w:sz w:val="32"/>
          <w:szCs w:val="32"/>
          <w:highlight w:val="none"/>
          <w:lang w:eastAsia="zh-CN"/>
        </w:rPr>
        <w:t>焦作</w:t>
      </w:r>
      <w:r>
        <w:rPr>
          <w:rFonts w:hint="default" w:ascii="Times New Roman" w:hAnsi="Times New Roman" w:cs="Times New Roman"/>
          <w:color w:val="auto"/>
          <w:sz w:val="32"/>
          <w:szCs w:val="32"/>
          <w:highlight w:val="none"/>
          <w:lang w:eastAsia="zh-CN"/>
        </w:rPr>
        <w:t>市生态环境保护大会部署，大力推动氮氧化物和VOCs（挥发性有机物）</w:t>
      </w:r>
      <w:r>
        <w:rPr>
          <w:rFonts w:hint="eastAsia" w:cs="Times New Roman"/>
          <w:color w:val="auto"/>
          <w:sz w:val="32"/>
          <w:szCs w:val="32"/>
          <w:highlight w:val="none"/>
          <w:lang w:eastAsia="zh-CN"/>
        </w:rPr>
        <w:t>协同</w:t>
      </w:r>
      <w:r>
        <w:rPr>
          <w:rFonts w:hint="default" w:ascii="Times New Roman" w:hAnsi="Times New Roman" w:cs="Times New Roman"/>
          <w:color w:val="auto"/>
          <w:sz w:val="32"/>
          <w:szCs w:val="32"/>
          <w:highlight w:val="none"/>
          <w:lang w:eastAsia="zh-CN"/>
        </w:rPr>
        <w:t>减排</w:t>
      </w:r>
      <w:r>
        <w:rPr>
          <w:rFonts w:hint="eastAsia" w:cs="Times New Roman"/>
          <w:color w:val="auto"/>
          <w:sz w:val="32"/>
          <w:szCs w:val="32"/>
          <w:highlight w:val="none"/>
          <w:lang w:eastAsia="zh-CN"/>
        </w:rPr>
        <w:t>，</w:t>
      </w:r>
      <w:r>
        <w:rPr>
          <w:color w:val="auto"/>
          <w:highlight w:val="none"/>
          <w:lang w:val="en-US" w:eastAsia="zh-CN"/>
        </w:rPr>
        <w:t>加快推动产业结构、能源结构、交通运输结构优化调整，完善大气环境管理体系，有效提升污染防治能力，</w:t>
      </w:r>
      <w:r>
        <w:rPr>
          <w:rFonts w:hint="default" w:ascii="Times New Roman" w:hAnsi="Times New Roman" w:cs="Times New Roman"/>
          <w:color w:val="auto"/>
          <w:sz w:val="32"/>
          <w:szCs w:val="32"/>
          <w:highlight w:val="none"/>
          <w:lang w:eastAsia="zh-CN"/>
        </w:rPr>
        <w:t>远近结合研究谋划大气污染防治路径，</w:t>
      </w:r>
      <w:r>
        <w:rPr>
          <w:color w:val="auto"/>
          <w:highlight w:val="none"/>
          <w:lang w:val="en-US" w:eastAsia="zh-CN"/>
        </w:rPr>
        <w:t>推动大气污染综合治理、系统治理、源头治理，加快形成绿色低碳生产生活方式，努力实现环境、经济和社会效益多赢</w:t>
      </w:r>
      <w:r>
        <w:rPr>
          <w:rFonts w:hint="eastAsia"/>
          <w:color w:val="auto"/>
          <w:highlight w:val="none"/>
          <w:lang w:val="en-US" w:eastAsia="zh-CN"/>
        </w:rPr>
        <w:t>，为推进美丽沁阳建设贡献力量</w:t>
      </w:r>
      <w:r>
        <w:rPr>
          <w:color w:val="auto"/>
          <w:highlight w:val="none"/>
          <w:lang w:val="en-US" w:eastAsia="zh-CN"/>
        </w:rPr>
        <w:t>。</w:t>
      </w:r>
    </w:p>
    <w:p w14:paraId="4565F7D3">
      <w:pPr>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outlineLvl w:val="1"/>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（二）目标指标。</w:t>
      </w:r>
      <w:bookmarkEnd w:id="3"/>
    </w:p>
    <w:p w14:paraId="698C6661">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val="en-US" w:eastAsia="zh-CN"/>
        </w:rPr>
        <w:t>2024年，全市空气质量PM</w:t>
      </w:r>
      <w:r>
        <w:rPr>
          <w:rFonts w:hint="default" w:ascii="Times New Roman" w:hAnsi="Times New Roman" w:eastAsia="仿宋_GB2312" w:cs="Times New Roman"/>
          <w:color w:val="auto"/>
          <w:sz w:val="32"/>
          <w:szCs w:val="32"/>
          <w:highlight w:val="none"/>
          <w:shd w:val="clear" w:color="auto" w:fill="FFFFFF"/>
          <w:vertAlign w:val="subscript"/>
          <w:lang w:val="en-US" w:eastAsia="zh-CN"/>
        </w:rPr>
        <w:t>10</w:t>
      </w:r>
      <w:r>
        <w:rPr>
          <w:rFonts w:hint="default" w:ascii="Times New Roman" w:hAnsi="Times New Roman" w:eastAsia="仿宋_GB2312" w:cs="Times New Roman"/>
          <w:color w:val="auto"/>
          <w:sz w:val="32"/>
          <w:szCs w:val="32"/>
          <w:highlight w:val="none"/>
          <w:shd w:val="clear" w:color="auto" w:fill="FFFFFF"/>
          <w:lang w:val="en-US" w:eastAsia="zh-CN"/>
        </w:rPr>
        <w:t>浓度、</w:t>
      </w:r>
      <w:r>
        <w:rPr>
          <w:rFonts w:hint="default" w:ascii="Times New Roman" w:hAnsi="Times New Roman" w:eastAsia="仿宋_GB2312" w:cs="Times New Roman"/>
          <w:color w:val="auto"/>
          <w:sz w:val="32"/>
          <w:szCs w:val="32"/>
          <w:highlight w:val="none"/>
          <w:shd w:val="clear" w:color="auto" w:fill="FFFFFF"/>
        </w:rPr>
        <w:t>PM</w:t>
      </w:r>
      <w:r>
        <w:rPr>
          <w:rFonts w:hint="default" w:ascii="Times New Roman" w:hAnsi="Times New Roman" w:eastAsia="仿宋_GB2312" w:cs="Times New Roman"/>
          <w:color w:val="auto"/>
          <w:sz w:val="32"/>
          <w:szCs w:val="32"/>
          <w:highlight w:val="none"/>
          <w:shd w:val="clear" w:color="auto" w:fill="FFFFFF"/>
          <w:vertAlign w:val="subscript"/>
        </w:rPr>
        <w:t>2.5</w:t>
      </w:r>
      <w:r>
        <w:rPr>
          <w:rFonts w:hint="default" w:ascii="Times New Roman" w:hAnsi="Times New Roman" w:eastAsia="仿宋_GB2312" w:cs="Times New Roman"/>
          <w:color w:val="auto"/>
          <w:sz w:val="32"/>
          <w:szCs w:val="32"/>
          <w:highlight w:val="none"/>
          <w:shd w:val="clear" w:color="auto" w:fill="FFFFFF"/>
        </w:rPr>
        <w:t>浓度</w:t>
      </w:r>
      <w:r>
        <w:rPr>
          <w:rFonts w:hint="default" w:ascii="Times New Roman" w:hAnsi="Times New Roman" w:eastAsia="仿宋_GB2312" w:cs="Times New Roman"/>
          <w:color w:val="auto"/>
          <w:sz w:val="32"/>
          <w:szCs w:val="32"/>
          <w:highlight w:val="none"/>
          <w:shd w:val="clear" w:color="auto" w:fill="FFFFFF"/>
          <w:lang w:eastAsia="zh-CN"/>
        </w:rPr>
        <w:t>分别</w:t>
      </w:r>
      <w:r>
        <w:rPr>
          <w:rFonts w:hint="default" w:ascii="Times New Roman" w:hAnsi="Times New Roman" w:eastAsia="仿宋_GB2312" w:cs="Times New Roman"/>
          <w:color w:val="auto"/>
          <w:sz w:val="32"/>
          <w:szCs w:val="32"/>
          <w:highlight w:val="none"/>
          <w:shd w:val="clear" w:color="auto" w:fill="FFFFFF"/>
          <w:lang w:val="en-US" w:eastAsia="zh-CN"/>
        </w:rPr>
        <w:t>控制在</w:t>
      </w:r>
      <w:r>
        <w:rPr>
          <w:rFonts w:hint="eastAsia" w:cs="Times New Roman"/>
          <w:color w:val="auto"/>
          <w:sz w:val="32"/>
          <w:szCs w:val="32"/>
          <w:highlight w:val="none"/>
          <w:shd w:val="clear" w:color="auto" w:fill="FFFFFF"/>
          <w:lang w:val="en-US" w:eastAsia="zh-CN"/>
        </w:rPr>
        <w:t>78</w:t>
      </w:r>
      <w:r>
        <w:rPr>
          <w:rFonts w:hint="default" w:ascii="Times New Roman" w:hAnsi="Times New Roman" w:eastAsia="仿宋_GB2312" w:cs="Times New Roman"/>
          <w:color w:val="auto"/>
          <w:sz w:val="32"/>
          <w:szCs w:val="32"/>
          <w:highlight w:val="none"/>
          <w:shd w:val="clear" w:color="auto" w:fill="FFFFFF"/>
          <w:lang w:eastAsia="zh-CN"/>
        </w:rPr>
        <w:t>微克</w:t>
      </w:r>
      <w:r>
        <w:rPr>
          <w:rFonts w:hint="default" w:ascii="Times New Roman" w:hAnsi="Times New Roman" w:eastAsia="仿宋_GB2312" w:cs="Times New Roman"/>
          <w:color w:val="auto"/>
          <w:sz w:val="32"/>
          <w:szCs w:val="32"/>
          <w:highlight w:val="none"/>
          <w:shd w:val="clear" w:color="auto" w:fill="FFFFFF"/>
          <w:lang w:val="en-US" w:eastAsia="zh-CN"/>
        </w:rPr>
        <w:t>/立方米、</w:t>
      </w:r>
      <w:r>
        <w:rPr>
          <w:rFonts w:hint="default" w:ascii="Times New Roman" w:hAnsi="Times New Roman" w:eastAsia="仿宋_GB2312" w:cs="Times New Roman"/>
          <w:color w:val="auto"/>
          <w:sz w:val="32"/>
          <w:szCs w:val="32"/>
          <w:highlight w:val="none"/>
          <w:shd w:val="clear" w:color="auto" w:fill="FFFFFF"/>
        </w:rPr>
        <w:t>4</w:t>
      </w:r>
      <w:r>
        <w:rPr>
          <w:rFonts w:hint="default" w:ascii="Times New Roman" w:hAnsi="Times New Roman" w:eastAsia="仿宋_GB2312" w:cs="Times New Roman"/>
          <w:color w:val="auto"/>
          <w:sz w:val="32"/>
          <w:szCs w:val="32"/>
          <w:highlight w:val="none"/>
          <w:shd w:val="clear" w:color="auto" w:fill="FFFFFF"/>
          <w:lang w:val="en-US" w:eastAsia="zh"/>
        </w:rPr>
        <w:t>4.</w:t>
      </w:r>
      <w:r>
        <w:rPr>
          <w:rFonts w:hint="default"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lang w:eastAsia="zh-CN"/>
        </w:rPr>
        <w:t>微克</w:t>
      </w:r>
      <w:r>
        <w:rPr>
          <w:rFonts w:hint="default" w:ascii="Times New Roman" w:hAnsi="Times New Roman" w:eastAsia="仿宋_GB2312" w:cs="Times New Roman"/>
          <w:color w:val="auto"/>
          <w:sz w:val="32"/>
          <w:szCs w:val="32"/>
          <w:highlight w:val="none"/>
          <w:shd w:val="clear" w:color="auto" w:fill="FFFFFF"/>
          <w:lang w:val="en-US" w:eastAsia="zh-CN"/>
        </w:rPr>
        <w:t>/立方米</w:t>
      </w:r>
      <w:r>
        <w:rPr>
          <w:rFonts w:hint="default" w:ascii="Times New Roman" w:hAnsi="Times New Roman" w:eastAsia="仿宋_GB2312" w:cs="Times New Roman"/>
          <w:color w:val="auto"/>
          <w:sz w:val="32"/>
          <w:szCs w:val="32"/>
          <w:highlight w:val="none"/>
          <w:shd w:val="clear" w:color="auto" w:fill="FFFFFF"/>
        </w:rPr>
        <w:t>以内，优良天数</w:t>
      </w:r>
      <w:r>
        <w:rPr>
          <w:rFonts w:hint="default" w:ascii="Times New Roman" w:hAnsi="Times New Roman" w:eastAsia="仿宋_GB2312" w:cs="Times New Roman"/>
          <w:color w:val="auto"/>
          <w:sz w:val="32"/>
          <w:szCs w:val="32"/>
          <w:highlight w:val="none"/>
          <w:shd w:val="clear" w:color="auto" w:fill="FFFFFF"/>
          <w:lang w:eastAsia="zh-CN"/>
        </w:rPr>
        <w:t>达到</w:t>
      </w:r>
      <w:r>
        <w:rPr>
          <w:rFonts w:hint="default" w:ascii="Times New Roman" w:hAnsi="Times New Roman" w:eastAsia="仿宋_GB2312" w:cs="Times New Roman"/>
          <w:color w:val="auto"/>
          <w:kern w:val="0"/>
          <w:sz w:val="32"/>
          <w:szCs w:val="32"/>
          <w:highlight w:val="none"/>
        </w:rPr>
        <w:t>6</w:t>
      </w:r>
      <w:r>
        <w:rPr>
          <w:rFonts w:hint="eastAsia" w:cs="Times New Roman"/>
          <w:color w:val="auto"/>
          <w:kern w:val="0"/>
          <w:sz w:val="32"/>
          <w:szCs w:val="32"/>
          <w:highlight w:val="none"/>
          <w:lang w:val="en-US" w:eastAsia="zh-CN"/>
        </w:rPr>
        <w:t>3.9</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shd w:val="clear" w:color="auto" w:fill="FFFFFF"/>
        </w:rPr>
        <w:t>2</w:t>
      </w:r>
      <w:r>
        <w:rPr>
          <w:rFonts w:hint="default" w:ascii="Times New Roman" w:hAnsi="Times New Roman" w:eastAsia="仿宋_GB2312" w:cs="Times New Roman"/>
          <w:color w:val="auto"/>
          <w:sz w:val="32"/>
          <w:szCs w:val="32"/>
          <w:highlight w:val="none"/>
          <w:shd w:val="clear" w:color="auto" w:fill="FFFFFF"/>
          <w:lang w:val="en-US" w:eastAsia="zh-CN"/>
        </w:rPr>
        <w:t>34</w:t>
      </w:r>
      <w:r>
        <w:rPr>
          <w:rFonts w:hint="default" w:ascii="Times New Roman" w:hAnsi="Times New Roman" w:eastAsia="仿宋_GB2312" w:cs="Times New Roman"/>
          <w:color w:val="auto"/>
          <w:sz w:val="32"/>
          <w:szCs w:val="32"/>
          <w:highlight w:val="none"/>
          <w:shd w:val="clear" w:color="auto" w:fill="FFFFFF"/>
        </w:rPr>
        <w:t>天以上，重度及以上污染天数下降</w:t>
      </w:r>
      <w:r>
        <w:rPr>
          <w:rFonts w:hint="default" w:ascii="Times New Roman" w:hAnsi="Times New Roman" w:eastAsia="仿宋_GB2312" w:cs="Times New Roman"/>
          <w:color w:val="auto"/>
          <w:sz w:val="32"/>
          <w:szCs w:val="32"/>
          <w:highlight w:val="none"/>
          <w:shd w:val="clear" w:color="auto" w:fill="FFFFFF"/>
          <w:lang w:eastAsia="zh-CN"/>
        </w:rPr>
        <w:t>至</w:t>
      </w:r>
      <w:r>
        <w:rPr>
          <w:rFonts w:hint="eastAsia" w:cs="Times New Roman"/>
          <w:color w:val="auto"/>
          <w:sz w:val="32"/>
          <w:szCs w:val="32"/>
          <w:highlight w:val="none"/>
          <w:shd w:val="clear" w:color="auto" w:fill="FFFFFF"/>
          <w:lang w:val="en-US" w:eastAsia="zh-CN"/>
        </w:rPr>
        <w:t>1.9%、</w:t>
      </w:r>
      <w:r>
        <w:rPr>
          <w:rFonts w:hint="default" w:ascii="Times New Roman" w:hAnsi="Times New Roman" w:eastAsia="仿宋_GB2312" w:cs="Times New Roman"/>
          <w:color w:val="auto"/>
          <w:sz w:val="32"/>
          <w:szCs w:val="32"/>
          <w:highlight w:val="none"/>
          <w:shd w:val="clear" w:color="auto" w:fill="FFFFFF"/>
          <w:lang w:val="en-US" w:eastAsia="zh-CN"/>
        </w:rPr>
        <w:t>7</w:t>
      </w:r>
      <w:r>
        <w:rPr>
          <w:rFonts w:hint="default" w:ascii="Times New Roman" w:hAnsi="Times New Roman" w:eastAsia="仿宋_GB2312" w:cs="Times New Roman"/>
          <w:color w:val="auto"/>
          <w:sz w:val="32"/>
          <w:szCs w:val="32"/>
          <w:highlight w:val="none"/>
          <w:shd w:val="clear" w:color="auto" w:fill="FFFFFF"/>
        </w:rPr>
        <w:t>天以内</w:t>
      </w:r>
      <w:r>
        <w:rPr>
          <w:rFonts w:hint="default" w:ascii="Times New Roman" w:hAnsi="Times New Roman" w:eastAsia="仿宋_GB2312" w:cs="Times New Roman"/>
          <w:color w:val="auto"/>
          <w:sz w:val="32"/>
          <w:szCs w:val="32"/>
          <w:highlight w:val="none"/>
          <w:shd w:val="clear" w:color="auto" w:fill="FFFFFF"/>
          <w:lang w:eastAsia="zh-CN"/>
        </w:rPr>
        <w:t>。综合指数排名退出全</w:t>
      </w:r>
      <w:r>
        <w:rPr>
          <w:rFonts w:hint="eastAsia" w:ascii="Times New Roman" w:hAnsi="Times New Roman" w:eastAsia="仿宋_GB2312" w:cs="Times New Roman"/>
          <w:color w:val="auto"/>
          <w:sz w:val="32"/>
          <w:szCs w:val="32"/>
          <w:highlight w:val="none"/>
          <w:shd w:val="clear" w:color="auto" w:fill="FFFFFF"/>
          <w:lang w:eastAsia="zh-CN"/>
        </w:rPr>
        <w:t>省</w:t>
      </w:r>
      <w:r>
        <w:rPr>
          <w:rFonts w:hint="eastAsia" w:ascii="Times New Roman" w:hAnsi="Times New Roman" w:eastAsia="仿宋_GB2312" w:cs="Times New Roman"/>
          <w:color w:val="auto"/>
          <w:sz w:val="32"/>
          <w:szCs w:val="32"/>
          <w:highlight w:val="none"/>
          <w:shd w:val="clear" w:color="auto" w:fill="FFFFFF"/>
          <w:lang w:val="en-US" w:eastAsia="zh-CN"/>
        </w:rPr>
        <w:t>103</w:t>
      </w:r>
      <w:r>
        <w:rPr>
          <w:rFonts w:hint="default" w:ascii="Times New Roman" w:hAnsi="Times New Roman" w:eastAsia="仿宋_GB2312" w:cs="Times New Roman"/>
          <w:color w:val="auto"/>
          <w:sz w:val="32"/>
          <w:szCs w:val="32"/>
          <w:highlight w:val="none"/>
          <w:shd w:val="clear" w:color="auto" w:fill="FFFFFF"/>
          <w:lang w:eastAsia="zh-CN"/>
        </w:rPr>
        <w:t>个</w:t>
      </w:r>
      <w:r>
        <w:rPr>
          <w:rFonts w:hint="eastAsia" w:cs="Times New Roman"/>
          <w:color w:val="auto"/>
          <w:sz w:val="32"/>
          <w:szCs w:val="32"/>
          <w:highlight w:val="none"/>
          <w:shd w:val="clear" w:color="auto" w:fill="FFFFFF"/>
          <w:lang w:eastAsia="zh-CN"/>
        </w:rPr>
        <w:t>县市中考核排</w:t>
      </w:r>
      <w:r>
        <w:rPr>
          <w:rFonts w:hint="eastAsia" w:ascii="Times New Roman" w:hAnsi="Times New Roman" w:eastAsia="仿宋_GB2312" w:cs="Times New Roman"/>
          <w:color w:val="auto"/>
          <w:sz w:val="32"/>
          <w:szCs w:val="32"/>
          <w:highlight w:val="none"/>
          <w:shd w:val="clear" w:color="auto" w:fill="FFFFFF"/>
          <w:lang w:eastAsia="zh-CN"/>
        </w:rPr>
        <w:t>名</w:t>
      </w:r>
      <w:r>
        <w:rPr>
          <w:rFonts w:hint="default" w:ascii="Times New Roman" w:hAnsi="Times New Roman" w:eastAsia="仿宋_GB2312" w:cs="Times New Roman"/>
          <w:color w:val="auto"/>
          <w:sz w:val="32"/>
          <w:szCs w:val="32"/>
          <w:highlight w:val="none"/>
          <w:shd w:val="clear" w:color="auto" w:fill="FFFFFF"/>
          <w:lang w:eastAsia="zh-CN"/>
        </w:rPr>
        <w:t>后</w:t>
      </w:r>
      <w:r>
        <w:rPr>
          <w:rFonts w:hint="default" w:ascii="Times New Roman" w:hAnsi="Times New Roman" w:eastAsia="仿宋_GB2312" w:cs="Times New Roman"/>
          <w:color w:val="auto"/>
          <w:sz w:val="32"/>
          <w:szCs w:val="32"/>
          <w:highlight w:val="none"/>
          <w:shd w:val="clear" w:color="auto" w:fill="FFFFFF"/>
          <w:lang w:val="en-US" w:eastAsia="zh-CN"/>
        </w:rPr>
        <w:t>15</w:t>
      </w:r>
      <w:r>
        <w:rPr>
          <w:rFonts w:hint="default" w:ascii="Times New Roman" w:hAnsi="Times New Roman" w:eastAsia="仿宋_GB2312" w:cs="Times New Roman"/>
          <w:color w:val="auto"/>
          <w:sz w:val="32"/>
          <w:szCs w:val="32"/>
          <w:highlight w:val="none"/>
          <w:shd w:val="clear" w:color="auto" w:fill="FFFFFF"/>
          <w:lang w:eastAsia="zh-CN"/>
        </w:rPr>
        <w:t>位</w:t>
      </w:r>
      <w:bookmarkStart w:id="4" w:name="OLE_LINK5"/>
      <w:r>
        <w:rPr>
          <w:rFonts w:hint="eastAsia"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各</w:t>
      </w:r>
      <w:r>
        <w:rPr>
          <w:rFonts w:hint="eastAsia" w:ascii="Times New Roman" w:hAnsi="Times New Roman" w:eastAsia="仿宋_GB2312" w:cs="Times New Roman"/>
          <w:color w:val="auto"/>
          <w:sz w:val="32"/>
          <w:szCs w:val="32"/>
          <w:highlight w:val="none"/>
          <w:shd w:val="clear" w:color="auto" w:fill="FFFFFF"/>
          <w:lang w:eastAsia="zh-CN"/>
        </w:rPr>
        <w:t>乡（镇）街道环境空气质量排名退出焦作市</w:t>
      </w:r>
      <w:r>
        <w:rPr>
          <w:rFonts w:hint="eastAsia" w:ascii="Times New Roman" w:hAnsi="Times New Roman" w:eastAsia="仿宋_GB2312" w:cs="Times New Roman"/>
          <w:color w:val="auto"/>
          <w:sz w:val="32"/>
          <w:szCs w:val="32"/>
          <w:highlight w:val="none"/>
          <w:shd w:val="clear" w:color="auto" w:fill="FFFFFF"/>
          <w:lang w:val="en-US" w:eastAsia="zh-CN"/>
        </w:rPr>
        <w:t>63个乡</w:t>
      </w:r>
      <w:r>
        <w:rPr>
          <w:rFonts w:hint="eastAsia"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镇</w:t>
      </w:r>
      <w:r>
        <w:rPr>
          <w:rFonts w:hint="eastAsia"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街道办中考核排名后3位</w:t>
      </w:r>
      <w:r>
        <w:rPr>
          <w:rFonts w:hint="default" w:ascii="Times New Roman" w:hAnsi="Times New Roman" w:eastAsia="仿宋_GB2312" w:cs="Times New Roman"/>
          <w:color w:val="auto"/>
          <w:sz w:val="32"/>
          <w:szCs w:val="32"/>
          <w:highlight w:val="none"/>
          <w:shd w:val="clear" w:color="auto" w:fill="FFFFFF"/>
          <w:lang w:val="en-US" w:eastAsia="zh-CN"/>
        </w:rPr>
        <w:t>。</w:t>
      </w:r>
      <w:bookmarkEnd w:id="4"/>
    </w:p>
    <w:p w14:paraId="0037E719">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default" w:ascii="Times New Roman" w:hAnsi="Times New Roman" w:cs="Times New Roman"/>
          <w:color w:val="auto"/>
          <w:kern w:val="0"/>
          <w:sz w:val="32"/>
          <w:szCs w:val="32"/>
          <w:highlight w:val="none"/>
          <w:lang w:val="en-US" w:eastAsia="zh-CN"/>
        </w:rPr>
        <w:t>全市空气质量</w:t>
      </w:r>
      <w:r>
        <w:rPr>
          <w:rFonts w:hint="default" w:ascii="Times New Roman" w:hAnsi="Times New Roman" w:eastAsia="仿宋_GB2312" w:cs="Times New Roman"/>
          <w:color w:val="auto"/>
          <w:kern w:val="0"/>
          <w:sz w:val="32"/>
          <w:szCs w:val="32"/>
          <w:highlight w:val="none"/>
          <w:lang w:val="en-US" w:eastAsia="zh-CN"/>
        </w:rPr>
        <w:t>PM</w:t>
      </w:r>
      <w:r>
        <w:rPr>
          <w:rFonts w:hint="default" w:ascii="Times New Roman" w:hAnsi="Times New Roman" w:eastAsia="仿宋_GB2312" w:cs="Times New Roman"/>
          <w:color w:val="auto"/>
          <w:kern w:val="0"/>
          <w:sz w:val="32"/>
          <w:szCs w:val="32"/>
          <w:highlight w:val="none"/>
          <w:vertAlign w:val="subscript"/>
          <w:lang w:val="en-US" w:eastAsia="zh-CN"/>
        </w:rPr>
        <w:t>10</w:t>
      </w:r>
      <w:r>
        <w:rPr>
          <w:rFonts w:hint="default" w:ascii="Times New Roman" w:hAnsi="Times New Roman" w:eastAsia="仿宋_GB2312" w:cs="Times New Roman"/>
          <w:color w:val="auto"/>
          <w:kern w:val="0"/>
          <w:sz w:val="32"/>
          <w:szCs w:val="32"/>
          <w:highlight w:val="none"/>
          <w:vertAlign w:val="baseline"/>
          <w:lang w:val="en-US" w:eastAsia="zh-CN"/>
        </w:rPr>
        <w:t>浓度</w:t>
      </w:r>
      <w:r>
        <w:rPr>
          <w:rFonts w:hint="default" w:ascii="Times New Roman" w:hAnsi="Times New Roman" w:cs="Times New Roman"/>
          <w:color w:val="auto"/>
          <w:kern w:val="0"/>
          <w:sz w:val="32"/>
          <w:szCs w:val="32"/>
          <w:highlight w:val="none"/>
          <w:vertAlign w:val="baseline"/>
          <w:lang w:val="en-US" w:eastAsia="zh-CN"/>
        </w:rPr>
        <w:t>、</w:t>
      </w:r>
      <w:r>
        <w:rPr>
          <w:rFonts w:hint="default" w:ascii="Times New Roman" w:hAnsi="Times New Roman" w:eastAsia="仿宋_GB2312" w:cs="Times New Roman"/>
          <w:color w:val="auto"/>
          <w:kern w:val="0"/>
          <w:sz w:val="32"/>
          <w:szCs w:val="32"/>
          <w:highlight w:val="none"/>
        </w:rPr>
        <w:t>PM</w:t>
      </w:r>
      <w:r>
        <w:rPr>
          <w:rFonts w:hint="default" w:ascii="Times New Roman" w:hAnsi="Times New Roman" w:eastAsia="仿宋_GB2312" w:cs="Times New Roman"/>
          <w:color w:val="auto"/>
          <w:kern w:val="0"/>
          <w:sz w:val="32"/>
          <w:szCs w:val="32"/>
          <w:highlight w:val="none"/>
          <w:vertAlign w:val="subscript"/>
        </w:rPr>
        <w:t>2.5</w:t>
      </w:r>
      <w:r>
        <w:rPr>
          <w:rFonts w:hint="default" w:ascii="Times New Roman" w:hAnsi="Times New Roman" w:eastAsia="仿宋_GB2312" w:cs="Times New Roman"/>
          <w:color w:val="auto"/>
          <w:kern w:val="0"/>
          <w:sz w:val="32"/>
          <w:szCs w:val="32"/>
          <w:highlight w:val="none"/>
        </w:rPr>
        <w:t>浓度</w:t>
      </w:r>
      <w:r>
        <w:rPr>
          <w:rFonts w:hint="default" w:ascii="Times New Roman" w:hAnsi="Times New Roman" w:cs="Times New Roman"/>
          <w:color w:val="auto"/>
          <w:kern w:val="0"/>
          <w:sz w:val="32"/>
          <w:szCs w:val="32"/>
          <w:highlight w:val="none"/>
          <w:lang w:eastAsia="zh-CN"/>
        </w:rPr>
        <w:t>分别</w:t>
      </w:r>
      <w:r>
        <w:rPr>
          <w:rFonts w:hint="default" w:ascii="Times New Roman" w:hAnsi="Times New Roman" w:cs="Times New Roman"/>
          <w:color w:val="auto"/>
          <w:kern w:val="0"/>
          <w:sz w:val="32"/>
          <w:szCs w:val="32"/>
          <w:highlight w:val="none"/>
          <w:lang w:val="en-US" w:eastAsia="zh-CN"/>
        </w:rPr>
        <w:t>控制在</w:t>
      </w:r>
      <w:r>
        <w:rPr>
          <w:rFonts w:hint="eastAsia" w:cs="Times New Roman"/>
          <w:color w:val="auto"/>
          <w:kern w:val="0"/>
          <w:sz w:val="32"/>
          <w:szCs w:val="32"/>
          <w:highlight w:val="none"/>
          <w:lang w:val="en-US" w:eastAsia="zh-CN"/>
        </w:rPr>
        <w:t>76</w:t>
      </w:r>
      <w:r>
        <w:rPr>
          <w:rFonts w:hint="default" w:ascii="Times New Roman" w:hAnsi="Times New Roman" w:eastAsia="仿宋_GB2312" w:cs="Times New Roman"/>
          <w:color w:val="auto"/>
          <w:sz w:val="32"/>
          <w:szCs w:val="32"/>
          <w:highlight w:val="none"/>
          <w:lang w:eastAsia="zh-CN"/>
        </w:rPr>
        <w:t>微克</w:t>
      </w:r>
      <w:r>
        <w:rPr>
          <w:rFonts w:hint="default" w:ascii="Times New Roman" w:hAnsi="Times New Roman" w:eastAsia="仿宋_GB2312" w:cs="Times New Roman"/>
          <w:color w:val="auto"/>
          <w:sz w:val="32"/>
          <w:szCs w:val="32"/>
          <w:highlight w:val="none"/>
          <w:lang w:val="en-US" w:eastAsia="zh-CN"/>
        </w:rPr>
        <w:t>/立方米</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44</w:t>
      </w:r>
      <w:r>
        <w:rPr>
          <w:rFonts w:hint="default" w:ascii="Times New Roman" w:hAnsi="Times New Roman" w:eastAsia="仿宋_GB2312" w:cs="Times New Roman"/>
          <w:color w:val="auto"/>
          <w:sz w:val="32"/>
          <w:szCs w:val="32"/>
          <w:highlight w:val="none"/>
          <w:lang w:eastAsia="zh-CN"/>
        </w:rPr>
        <w:t>微克</w:t>
      </w:r>
      <w:r>
        <w:rPr>
          <w:rFonts w:hint="default" w:ascii="Times New Roman" w:hAnsi="Times New Roman" w:eastAsia="仿宋_GB2312" w:cs="Times New Roman"/>
          <w:color w:val="auto"/>
          <w:sz w:val="32"/>
          <w:szCs w:val="32"/>
          <w:highlight w:val="none"/>
          <w:lang w:val="en-US" w:eastAsia="zh-CN"/>
        </w:rPr>
        <w:t>/立方米</w:t>
      </w:r>
      <w:r>
        <w:rPr>
          <w:rFonts w:hint="default" w:ascii="Times New Roman" w:hAnsi="Times New Roman" w:eastAsia="仿宋_GB2312" w:cs="Times New Roman"/>
          <w:color w:val="auto"/>
          <w:sz w:val="32"/>
          <w:szCs w:val="32"/>
          <w:highlight w:val="none"/>
        </w:rPr>
        <w:t>以内</w:t>
      </w:r>
      <w:r>
        <w:rPr>
          <w:rFonts w:hint="default" w:ascii="Times New Roman" w:hAnsi="Times New Roman" w:eastAsia="仿宋_GB2312" w:cs="Times New Roman"/>
          <w:color w:val="auto"/>
          <w:kern w:val="0"/>
          <w:sz w:val="32"/>
          <w:szCs w:val="32"/>
          <w:highlight w:val="none"/>
        </w:rPr>
        <w:t>，优良天数比例达到66.5%、243天以上，重度及以上污染天数</w:t>
      </w:r>
      <w:r>
        <w:rPr>
          <w:rFonts w:hint="default" w:ascii="Times New Roman" w:hAnsi="Times New Roman" w:eastAsia="仿宋_GB2312" w:cs="Times New Roman"/>
          <w:color w:val="auto"/>
          <w:kern w:val="0"/>
          <w:sz w:val="32"/>
          <w:szCs w:val="32"/>
          <w:highlight w:val="none"/>
          <w:lang w:val="en-US" w:eastAsia="zh-CN"/>
        </w:rPr>
        <w:t>比例</w:t>
      </w:r>
      <w:r>
        <w:rPr>
          <w:rFonts w:hint="default" w:ascii="Times New Roman" w:hAnsi="Times New Roman" w:eastAsia="仿宋_GB2312" w:cs="Times New Roman"/>
          <w:color w:val="auto"/>
          <w:kern w:val="0"/>
          <w:sz w:val="32"/>
          <w:szCs w:val="32"/>
          <w:highlight w:val="none"/>
        </w:rPr>
        <w:t>下降至1.5%、5天以内</w:t>
      </w:r>
      <w:r>
        <w:rPr>
          <w:rFonts w:hint="eastAsia"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lang w:eastAsia="zh-CN"/>
        </w:rPr>
        <w:t>综合指数排名退出全</w:t>
      </w:r>
      <w:r>
        <w:rPr>
          <w:rFonts w:hint="eastAsia" w:ascii="Times New Roman" w:hAnsi="Times New Roman" w:eastAsia="仿宋_GB2312" w:cs="Times New Roman"/>
          <w:color w:val="auto"/>
          <w:sz w:val="32"/>
          <w:szCs w:val="32"/>
          <w:highlight w:val="none"/>
          <w:shd w:val="clear" w:color="auto" w:fill="FFFFFF"/>
          <w:lang w:eastAsia="zh-CN"/>
        </w:rPr>
        <w:t>省</w:t>
      </w:r>
      <w:r>
        <w:rPr>
          <w:rFonts w:hint="eastAsia" w:ascii="Times New Roman" w:hAnsi="Times New Roman" w:eastAsia="仿宋_GB2312" w:cs="Times New Roman"/>
          <w:color w:val="auto"/>
          <w:sz w:val="32"/>
          <w:szCs w:val="32"/>
          <w:highlight w:val="none"/>
          <w:shd w:val="clear" w:color="auto" w:fill="FFFFFF"/>
          <w:lang w:val="en-US" w:eastAsia="zh-CN"/>
        </w:rPr>
        <w:t>103</w:t>
      </w:r>
      <w:r>
        <w:rPr>
          <w:rFonts w:hint="default" w:ascii="Times New Roman" w:hAnsi="Times New Roman" w:eastAsia="仿宋_GB2312" w:cs="Times New Roman"/>
          <w:color w:val="auto"/>
          <w:sz w:val="32"/>
          <w:szCs w:val="32"/>
          <w:highlight w:val="none"/>
          <w:shd w:val="clear" w:color="auto" w:fill="FFFFFF"/>
          <w:lang w:eastAsia="zh-CN"/>
        </w:rPr>
        <w:t>个</w:t>
      </w:r>
      <w:r>
        <w:rPr>
          <w:rFonts w:hint="eastAsia" w:cs="Times New Roman"/>
          <w:color w:val="auto"/>
          <w:sz w:val="32"/>
          <w:szCs w:val="32"/>
          <w:highlight w:val="none"/>
          <w:shd w:val="clear" w:color="auto" w:fill="FFFFFF"/>
          <w:lang w:eastAsia="zh-CN"/>
        </w:rPr>
        <w:t>县市中考核排</w:t>
      </w:r>
      <w:r>
        <w:rPr>
          <w:rFonts w:hint="eastAsia" w:ascii="Times New Roman" w:hAnsi="Times New Roman" w:eastAsia="仿宋_GB2312" w:cs="Times New Roman"/>
          <w:color w:val="auto"/>
          <w:sz w:val="32"/>
          <w:szCs w:val="32"/>
          <w:highlight w:val="none"/>
          <w:shd w:val="clear" w:color="auto" w:fill="FFFFFF"/>
          <w:lang w:eastAsia="zh-CN"/>
        </w:rPr>
        <w:t>名</w:t>
      </w:r>
      <w:r>
        <w:rPr>
          <w:rFonts w:hint="default" w:ascii="Times New Roman" w:hAnsi="Times New Roman" w:eastAsia="仿宋_GB2312" w:cs="Times New Roman"/>
          <w:color w:val="auto"/>
          <w:sz w:val="32"/>
          <w:szCs w:val="32"/>
          <w:highlight w:val="none"/>
          <w:shd w:val="clear" w:color="auto" w:fill="FFFFFF"/>
          <w:lang w:eastAsia="zh-CN"/>
        </w:rPr>
        <w:t>后</w:t>
      </w:r>
      <w:r>
        <w:rPr>
          <w:rFonts w:hint="default" w:ascii="Times New Roman" w:hAnsi="Times New Roman" w:eastAsia="仿宋_GB2312" w:cs="Times New Roman"/>
          <w:color w:val="auto"/>
          <w:sz w:val="32"/>
          <w:szCs w:val="32"/>
          <w:highlight w:val="none"/>
          <w:shd w:val="clear" w:color="auto" w:fill="FFFFFF"/>
          <w:lang w:val="en-US" w:eastAsia="zh-CN"/>
        </w:rPr>
        <w:t>15</w:t>
      </w:r>
      <w:r>
        <w:rPr>
          <w:rFonts w:hint="default" w:ascii="Times New Roman" w:hAnsi="Times New Roman" w:eastAsia="仿宋_GB2312" w:cs="Times New Roman"/>
          <w:color w:val="auto"/>
          <w:sz w:val="32"/>
          <w:szCs w:val="32"/>
          <w:highlight w:val="none"/>
          <w:shd w:val="clear" w:color="auto" w:fill="FFFFFF"/>
          <w:lang w:eastAsia="zh-CN"/>
        </w:rPr>
        <w:t>位</w:t>
      </w:r>
      <w:r>
        <w:rPr>
          <w:rFonts w:hint="eastAsia"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各</w:t>
      </w:r>
      <w:r>
        <w:rPr>
          <w:rFonts w:hint="eastAsia" w:ascii="Times New Roman" w:hAnsi="Times New Roman" w:eastAsia="仿宋_GB2312" w:cs="Times New Roman"/>
          <w:color w:val="auto"/>
          <w:sz w:val="32"/>
          <w:szCs w:val="32"/>
          <w:highlight w:val="none"/>
          <w:shd w:val="clear" w:color="auto" w:fill="FFFFFF"/>
          <w:lang w:eastAsia="zh-CN"/>
        </w:rPr>
        <w:t>乡（镇）街道环境空气质量排名退出焦作市</w:t>
      </w:r>
      <w:r>
        <w:rPr>
          <w:rFonts w:hint="eastAsia" w:ascii="Times New Roman" w:hAnsi="Times New Roman" w:eastAsia="仿宋_GB2312" w:cs="Times New Roman"/>
          <w:color w:val="auto"/>
          <w:sz w:val="32"/>
          <w:szCs w:val="32"/>
          <w:highlight w:val="none"/>
          <w:shd w:val="clear" w:color="auto" w:fill="FFFFFF"/>
          <w:lang w:val="en-US" w:eastAsia="zh-CN"/>
        </w:rPr>
        <w:t>63个乡</w:t>
      </w:r>
      <w:r>
        <w:rPr>
          <w:rFonts w:hint="eastAsia"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镇</w:t>
      </w:r>
      <w:r>
        <w:rPr>
          <w:rFonts w:hint="eastAsia"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街道办中考核排名后3位</w:t>
      </w:r>
      <w:r>
        <w:rPr>
          <w:rFonts w:hint="default" w:ascii="Times New Roman" w:hAnsi="Times New Roman" w:eastAsia="仿宋_GB2312" w:cs="Times New Roman"/>
          <w:color w:val="auto"/>
          <w:sz w:val="32"/>
          <w:szCs w:val="32"/>
          <w:highlight w:val="none"/>
          <w:shd w:val="clear" w:color="auto" w:fill="FFFFFF"/>
          <w:lang w:val="en-US" w:eastAsia="zh-CN"/>
        </w:rPr>
        <w:t>。</w:t>
      </w:r>
    </w:p>
    <w:p w14:paraId="1D2DEA1A">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color w:val="auto"/>
          <w:kern w:val="0"/>
          <w:sz w:val="32"/>
          <w:szCs w:val="32"/>
          <w:highlight w:val="none"/>
          <w:lang w:eastAsia="zh-CN"/>
        </w:rPr>
        <w:t>到</w:t>
      </w:r>
      <w:r>
        <w:rPr>
          <w:rFonts w:hint="default" w:ascii="Times New Roman" w:hAnsi="Times New Roman" w:eastAsia="仿宋_GB2312" w:cs="Times New Roman"/>
          <w:color w:val="auto"/>
          <w:kern w:val="0"/>
          <w:sz w:val="32"/>
          <w:szCs w:val="32"/>
          <w:highlight w:val="none"/>
        </w:rPr>
        <w:t>2025年</w:t>
      </w:r>
      <w:r>
        <w:rPr>
          <w:rFonts w:hint="default" w:ascii="Times New Roman" w:hAnsi="Times New Roman" w:cs="Times New Roman"/>
          <w:color w:val="auto"/>
          <w:kern w:val="0"/>
          <w:sz w:val="32"/>
          <w:szCs w:val="32"/>
          <w:highlight w:val="none"/>
          <w:lang w:eastAsia="zh-CN"/>
        </w:rPr>
        <w:t>底</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eastAsia="zh-CN"/>
        </w:rPr>
        <w:t>完成“十四五”</w:t>
      </w:r>
      <w:r>
        <w:rPr>
          <w:rFonts w:hint="default" w:ascii="Times New Roman" w:hAnsi="Times New Roman" w:eastAsia="仿宋_GB2312" w:cs="Times New Roman"/>
          <w:color w:val="auto"/>
          <w:kern w:val="0"/>
          <w:sz w:val="32"/>
          <w:szCs w:val="32"/>
          <w:highlight w:val="none"/>
        </w:rPr>
        <w:t>大气污染物</w:t>
      </w:r>
      <w:r>
        <w:rPr>
          <w:rFonts w:hint="default" w:ascii="Times New Roman" w:hAnsi="Times New Roman" w:cs="Times New Roman"/>
          <w:color w:val="auto"/>
          <w:kern w:val="0"/>
          <w:sz w:val="32"/>
          <w:szCs w:val="32"/>
          <w:highlight w:val="none"/>
          <w:lang w:eastAsia="zh-CN"/>
        </w:rPr>
        <w:t>总量减排目标，</w:t>
      </w:r>
      <w:r>
        <w:rPr>
          <w:rFonts w:hint="default" w:ascii="Times New Roman" w:hAnsi="Times New Roman" w:eastAsia="仿宋_GB2312" w:cs="Times New Roman"/>
          <w:b w:val="0"/>
          <w:bCs w:val="0"/>
          <w:color w:val="auto"/>
          <w:kern w:val="2"/>
          <w:sz w:val="32"/>
          <w:szCs w:val="32"/>
          <w:highlight w:val="none"/>
        </w:rPr>
        <w:t>运输结构、</w:t>
      </w:r>
      <w:r>
        <w:rPr>
          <w:rFonts w:hint="eastAsia" w:cs="Times New Roman"/>
          <w:b w:val="0"/>
          <w:bCs w:val="0"/>
          <w:color w:val="auto"/>
          <w:kern w:val="2"/>
          <w:sz w:val="32"/>
          <w:szCs w:val="32"/>
          <w:highlight w:val="none"/>
          <w:lang w:eastAsia="zh-CN"/>
        </w:rPr>
        <w:t>用</w:t>
      </w:r>
      <w:r>
        <w:rPr>
          <w:rFonts w:hint="default" w:ascii="Times New Roman" w:hAnsi="Times New Roman" w:eastAsia="仿宋_GB2312" w:cs="Times New Roman"/>
          <w:b w:val="0"/>
          <w:bCs w:val="0"/>
          <w:color w:val="auto"/>
          <w:kern w:val="2"/>
          <w:sz w:val="32"/>
          <w:szCs w:val="32"/>
          <w:highlight w:val="none"/>
        </w:rPr>
        <w:t>车结</w:t>
      </w:r>
      <w:r>
        <w:rPr>
          <w:rFonts w:hint="default" w:ascii="Times New Roman" w:hAnsi="Times New Roman" w:eastAsia="仿宋_GB2312" w:cs="Times New Roman"/>
          <w:color w:val="auto"/>
          <w:kern w:val="2"/>
          <w:sz w:val="32"/>
          <w:szCs w:val="32"/>
          <w:highlight w:val="none"/>
        </w:rPr>
        <w:t>构清洁低碳程度明显提高，移动源冒黑烟现象基本消除，</w:t>
      </w:r>
      <w:r>
        <w:rPr>
          <w:rFonts w:hint="default" w:ascii="Times New Roman" w:hAnsi="Times New Roman" w:eastAsia="仿宋_GB2312" w:cs="Times New Roman"/>
          <w:color w:val="auto"/>
          <w:kern w:val="2"/>
          <w:sz w:val="32"/>
          <w:szCs w:val="32"/>
          <w:highlight w:val="none"/>
          <w:lang w:eastAsia="zh-CN"/>
        </w:rPr>
        <w:t>新能源和国六排放标准货车保有量占比力争超过</w:t>
      </w:r>
      <w:r>
        <w:rPr>
          <w:rFonts w:hint="default" w:ascii="Times New Roman" w:hAnsi="Times New Roman" w:eastAsia="仿宋_GB2312" w:cs="Times New Roman"/>
          <w:color w:val="auto"/>
          <w:kern w:val="2"/>
          <w:sz w:val="32"/>
          <w:szCs w:val="32"/>
          <w:highlight w:val="none"/>
          <w:lang w:val="en-US" w:eastAsia="zh-CN"/>
        </w:rPr>
        <w:t>40%，铁路货运量占比提升0.5个百分点，</w:t>
      </w:r>
      <w:r>
        <w:rPr>
          <w:rFonts w:hint="default" w:ascii="Times New Roman" w:hAnsi="Times New Roman" w:eastAsia="仿宋_GB2312" w:cs="Times New Roman"/>
          <w:color w:val="auto"/>
          <w:kern w:val="0"/>
          <w:sz w:val="32"/>
          <w:szCs w:val="32"/>
          <w:highlight w:val="none"/>
        </w:rPr>
        <w:t>柴油货车氮氧化物排放量下降12%以上</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kern w:val="2"/>
          <w:sz w:val="32"/>
          <w:szCs w:val="32"/>
          <w:highlight w:val="none"/>
        </w:rPr>
        <w:t>移动源现代化环境管理体系初步形成。</w:t>
      </w:r>
    </w:p>
    <w:p w14:paraId="2B9A75DA">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仿宋_GB2312" w:cs="Times New Roman"/>
          <w:color w:val="auto"/>
          <w:kern w:val="0"/>
          <w:sz w:val="32"/>
          <w:szCs w:val="32"/>
          <w:highlight w:val="none"/>
        </w:rPr>
      </w:pPr>
      <w:bookmarkStart w:id="5" w:name="_Toc114408639"/>
      <w:r>
        <w:rPr>
          <w:rFonts w:hint="default" w:ascii="Times New Roman" w:hAnsi="Times New Roman" w:eastAsia="黑体" w:cs="Times New Roman"/>
          <w:b w:val="0"/>
          <w:bCs w:val="0"/>
          <w:color w:val="auto"/>
          <w:sz w:val="32"/>
          <w:szCs w:val="32"/>
          <w:highlight w:val="none"/>
          <w:lang w:eastAsia="zh-CN"/>
        </w:rPr>
        <w:t>二、工作任务</w:t>
      </w:r>
    </w:p>
    <w:p w14:paraId="60A11A49">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（一）深入打好PM</w:t>
      </w:r>
      <w:r>
        <w:rPr>
          <w:rFonts w:hint="default" w:ascii="Times New Roman" w:hAnsi="Times New Roman" w:eastAsia="楷体_GB2312" w:cs="Times New Roman"/>
          <w:b w:val="0"/>
          <w:bCs w:val="0"/>
          <w:color w:val="auto"/>
          <w:kern w:val="44"/>
          <w:sz w:val="32"/>
          <w:szCs w:val="32"/>
          <w:highlight w:val="none"/>
          <w:vertAlign w:val="subscript"/>
          <w:lang w:val="en-US" w:eastAsia="zh-CN" w:bidi="ar-SA"/>
        </w:rPr>
        <w:t>2.5</w:t>
      </w:r>
      <w:r>
        <w:rPr>
          <w:rFonts w:hint="default" w:ascii="Times New Roman" w:hAnsi="Times New Roman" w:eastAsia="楷体_GB2312" w:cs="Times New Roman"/>
          <w:b w:val="0"/>
          <w:bCs w:val="0"/>
          <w:color w:val="auto"/>
          <w:kern w:val="44"/>
          <w:sz w:val="32"/>
          <w:szCs w:val="32"/>
          <w:highlight w:val="none"/>
          <w:lang w:val="en-US" w:eastAsia="zh-CN" w:bidi="ar-SA"/>
        </w:rPr>
        <w:t>污染防治攻坚战</w:t>
      </w:r>
    </w:p>
    <w:p w14:paraId="7EAF4624">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cs="Times New Roman"/>
          <w:b/>
          <w:bCs/>
          <w:color w:val="auto"/>
          <w:kern w:val="0"/>
          <w:sz w:val="32"/>
          <w:szCs w:val="32"/>
          <w:highlight w:val="none"/>
          <w:lang w:val="en-US" w:eastAsia="zh-CN"/>
        </w:rPr>
        <w:t xml:space="preserve">1. </w:t>
      </w:r>
      <w:r>
        <w:rPr>
          <w:rFonts w:hint="default" w:ascii="Times New Roman" w:hAnsi="Times New Roman" w:eastAsia="仿宋_GB2312" w:cs="Times New Roman"/>
          <w:b/>
          <w:bCs/>
          <w:color w:val="auto"/>
          <w:kern w:val="0"/>
          <w:sz w:val="32"/>
          <w:szCs w:val="32"/>
          <w:highlight w:val="none"/>
          <w:lang w:eastAsia="zh-CN"/>
        </w:rPr>
        <w:t>持续优化产业布局</w:t>
      </w:r>
      <w:r>
        <w:rPr>
          <w:rFonts w:hint="default" w:ascii="Times New Roman" w:hAnsi="Times New Roman"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严格落实“三线一单”生态环境分区管控要求，加强“三线一单”成果在政策制定、环境准入、园区管理、执法监管等方面的应用。全市</w:t>
      </w:r>
      <w:r>
        <w:rPr>
          <w:rFonts w:hint="default" w:ascii="Times New Roman" w:hAnsi="Times New Roman" w:cs="Times New Roman"/>
          <w:color w:val="auto"/>
          <w:kern w:val="0"/>
          <w:sz w:val="32"/>
          <w:szCs w:val="32"/>
          <w:highlight w:val="none"/>
          <w:lang w:eastAsia="zh-CN"/>
        </w:rPr>
        <w:t>原则上</w:t>
      </w:r>
      <w:r>
        <w:rPr>
          <w:rFonts w:hint="default" w:ascii="Times New Roman" w:hAnsi="Times New Roman" w:eastAsia="仿宋_GB2312" w:cs="Times New Roman"/>
          <w:color w:val="auto"/>
          <w:kern w:val="0"/>
          <w:sz w:val="32"/>
          <w:szCs w:val="32"/>
          <w:highlight w:val="none"/>
        </w:rPr>
        <w:t>不再新增化工园区。（市生态环境局</w:t>
      </w:r>
      <w:r>
        <w:rPr>
          <w:rFonts w:hint="eastAsia" w:cs="Times New Roman"/>
          <w:color w:val="auto"/>
          <w:kern w:val="0"/>
          <w:sz w:val="32"/>
          <w:szCs w:val="32"/>
          <w:highlight w:val="none"/>
          <w:lang w:eastAsia="zh-CN"/>
        </w:rPr>
        <w:t>沁阳分局</w:t>
      </w:r>
      <w:r>
        <w:rPr>
          <w:rFonts w:hint="default" w:ascii="Times New Roman" w:hAnsi="Times New Roman" w:cs="Times New Roman"/>
          <w:color w:val="auto"/>
          <w:kern w:val="0"/>
          <w:sz w:val="32"/>
          <w:szCs w:val="32"/>
          <w:highlight w:val="none"/>
          <w:lang w:eastAsia="zh-CN"/>
        </w:rPr>
        <w:t>、</w:t>
      </w:r>
      <w:r>
        <w:rPr>
          <w:rFonts w:hint="eastAsia" w:cs="Times New Roman"/>
          <w:color w:val="auto"/>
          <w:kern w:val="0"/>
          <w:sz w:val="32"/>
          <w:szCs w:val="32"/>
          <w:highlight w:val="none"/>
          <w:lang w:eastAsia="zh-CN"/>
        </w:rPr>
        <w:t>工信</w:t>
      </w:r>
      <w:r>
        <w:rPr>
          <w:rFonts w:hint="default" w:ascii="Times New Roman" w:hAnsi="Times New Roman" w:eastAsia="仿宋_GB2312" w:cs="Times New Roman"/>
          <w:color w:val="auto"/>
          <w:kern w:val="0"/>
          <w:sz w:val="32"/>
          <w:szCs w:val="32"/>
          <w:highlight w:val="none"/>
        </w:rPr>
        <w:t>局、发改委</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住建局</w:t>
      </w:r>
      <w:r>
        <w:rPr>
          <w:rFonts w:hint="default" w:ascii="Times New Roman" w:hAnsi="Times New Roman" w:cs="Times New Roman"/>
          <w:color w:val="auto"/>
          <w:kern w:val="0"/>
          <w:sz w:val="32"/>
          <w:szCs w:val="32"/>
          <w:highlight w:val="none"/>
          <w:lang w:eastAsia="zh-CN"/>
        </w:rPr>
        <w:t>等部门按职责分工负责</w:t>
      </w:r>
      <w:r>
        <w:rPr>
          <w:rFonts w:hint="default" w:ascii="Times New Roman" w:hAnsi="Times New Roman" w:eastAsia="仿宋_GB2312" w:cs="Times New Roman"/>
          <w:color w:val="auto"/>
          <w:kern w:val="0"/>
          <w:sz w:val="32"/>
          <w:szCs w:val="32"/>
          <w:highlight w:val="none"/>
        </w:rPr>
        <w:t>）</w:t>
      </w:r>
    </w:p>
    <w:p w14:paraId="630A4048">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rPr>
      </w:pPr>
      <w:bookmarkStart w:id="6" w:name="_Toc114408641"/>
      <w:r>
        <w:rPr>
          <w:rFonts w:hint="default" w:ascii="Times New Roman" w:hAnsi="Times New Roman" w:cs="Times New Roman"/>
          <w:b/>
          <w:bCs/>
          <w:color w:val="auto"/>
          <w:kern w:val="0"/>
          <w:sz w:val="32"/>
          <w:szCs w:val="32"/>
          <w:highlight w:val="none"/>
          <w:lang w:val="en-US" w:eastAsia="zh-CN"/>
        </w:rPr>
        <w:t xml:space="preserve">2. </w:t>
      </w:r>
      <w:r>
        <w:rPr>
          <w:rFonts w:hint="default" w:ascii="Times New Roman" w:hAnsi="Times New Roman" w:eastAsia="仿宋_GB2312" w:cs="Times New Roman"/>
          <w:b/>
          <w:bCs/>
          <w:color w:val="auto"/>
          <w:kern w:val="0"/>
          <w:sz w:val="32"/>
          <w:szCs w:val="32"/>
          <w:highlight w:val="none"/>
          <w:lang w:eastAsia="zh-CN"/>
        </w:rPr>
        <w:t>坚决遏制高能耗、高排放项目盲目发展</w:t>
      </w:r>
      <w:bookmarkEnd w:id="6"/>
      <w:r>
        <w:rPr>
          <w:rFonts w:hint="default" w:ascii="Times New Roman" w:hAnsi="Times New Roman" w:cs="Times New Roman"/>
          <w:b/>
          <w:bCs/>
          <w:color w:val="auto"/>
          <w:kern w:val="0"/>
          <w:sz w:val="32"/>
          <w:szCs w:val="32"/>
          <w:highlight w:val="none"/>
          <w:lang w:eastAsia="zh-CN"/>
        </w:rPr>
        <w:t>。</w:t>
      </w:r>
      <w:r>
        <w:rPr>
          <w:rFonts w:hint="default" w:ascii="Times New Roman" w:hAnsi="Times New Roman" w:cs="Times New Roman"/>
          <w:b w:val="0"/>
          <w:bCs w:val="0"/>
          <w:color w:val="auto"/>
          <w:kern w:val="0"/>
          <w:sz w:val="32"/>
          <w:szCs w:val="32"/>
          <w:highlight w:val="none"/>
          <w:lang w:eastAsia="zh-CN"/>
        </w:rPr>
        <w:t>建设项目要按照区域污染物削减要求，实施倍量替代。技术改造、改建项目原则上不新增现有污染因子排放量，扩建项目不得增加污染物排放强度（单位产品污染物排放量）。</w:t>
      </w:r>
      <w:r>
        <w:rPr>
          <w:rFonts w:hint="default" w:ascii="Times New Roman" w:hAnsi="Times New Roman" w:eastAsia="仿宋_GB2312" w:cs="Times New Roman"/>
          <w:b w:val="0"/>
          <w:bCs w:val="0"/>
          <w:color w:val="auto"/>
          <w:sz w:val="32"/>
          <w:szCs w:val="32"/>
          <w:highlight w:val="none"/>
          <w:lang w:val="en-US" w:eastAsia="zh-CN"/>
        </w:rPr>
        <w:t>全市严禁新增</w:t>
      </w:r>
      <w:r>
        <w:rPr>
          <w:rFonts w:hint="default" w:ascii="Times New Roman" w:hAnsi="Times New Roman" w:cs="Times New Roman"/>
          <w:color w:val="auto"/>
          <w:highlight w:val="none"/>
          <w:lang w:val="en-US" w:eastAsia="zh-CN"/>
        </w:rPr>
        <w:t>钢铁、水泥熟料、玻璃、煤化工、焦化、铸造、</w:t>
      </w:r>
      <w:r>
        <w:rPr>
          <w:rFonts w:hint="eastAsia" w:cs="Times New Roman"/>
          <w:color w:val="auto"/>
          <w:highlight w:val="none"/>
          <w:lang w:val="en-US" w:eastAsia="zh-CN"/>
        </w:rPr>
        <w:t>炭素</w:t>
      </w:r>
      <w:r>
        <w:rPr>
          <w:rFonts w:hint="default" w:ascii="Times New Roman" w:hAnsi="Times New Roman" w:cs="Times New Roman"/>
          <w:color w:val="auto"/>
          <w:highlight w:val="none"/>
          <w:lang w:val="en-US" w:eastAsia="zh-CN"/>
        </w:rPr>
        <w:t>、烧结砖瓦、铁合金</w:t>
      </w:r>
      <w:r>
        <w:rPr>
          <w:rFonts w:hint="eastAsia" w:ascii="Times New Roman" w:hAnsi="Times New Roman" w:cs="Times New Roman"/>
          <w:color w:val="auto"/>
          <w:highlight w:val="none"/>
          <w:lang w:val="en-US" w:eastAsia="zh-CN"/>
        </w:rPr>
        <w:t>、铅锌冶炼</w:t>
      </w:r>
      <w:r>
        <w:rPr>
          <w:rFonts w:hint="default" w:ascii="Times New Roman" w:hAnsi="Times New Roman" w:cs="Times New Roman"/>
          <w:color w:val="auto"/>
          <w:highlight w:val="none"/>
          <w:lang w:val="en-US" w:eastAsia="zh-CN"/>
        </w:rPr>
        <w:t>（含再生铅）</w:t>
      </w:r>
      <w:r>
        <w:rPr>
          <w:rFonts w:hint="eastAsia" w:ascii="Times New Roman" w:hAnsi="Times New Roman" w:cs="Times New Roman"/>
          <w:color w:val="auto"/>
          <w:highlight w:val="none"/>
          <w:lang w:val="en-US" w:eastAsia="zh-CN"/>
        </w:rPr>
        <w:t>、含烧结工序的耐火材料</w:t>
      </w:r>
      <w:r>
        <w:rPr>
          <w:rFonts w:hint="default" w:ascii="Times New Roman" w:hAnsi="Times New Roman" w:eastAsia="仿宋_GB2312" w:cs="Times New Roman"/>
          <w:b w:val="0"/>
          <w:bCs w:val="0"/>
          <w:color w:val="auto"/>
          <w:sz w:val="32"/>
          <w:szCs w:val="32"/>
          <w:highlight w:val="none"/>
          <w:lang w:val="en-US" w:eastAsia="zh-CN"/>
        </w:rPr>
        <w:t>等行业产能。</w:t>
      </w:r>
      <w:r>
        <w:rPr>
          <w:rFonts w:hint="eastAsia"/>
          <w:color w:val="auto"/>
          <w:highlight w:val="none"/>
          <w:lang w:eastAsia="zh-CN"/>
        </w:rPr>
        <w:t>水泥、烧结砖瓦等产能置换严格按照国家、省有关要求执行，原则上烧结砖瓦企业整合总产能不低于1亿块/年（单条生产线大于6000万块/年）。</w:t>
      </w:r>
      <w:r>
        <w:rPr>
          <w:rFonts w:hint="default" w:ascii="Times New Roman" w:hAnsi="Times New Roman" w:eastAsia="仿宋_GB2312" w:cs="Times New Roman"/>
          <w:color w:val="auto"/>
          <w:kern w:val="0"/>
          <w:sz w:val="32"/>
          <w:szCs w:val="32"/>
          <w:highlight w:val="none"/>
        </w:rPr>
        <w:t>水泥行业产能置换项目应实现矿石皮带廊密闭运输，大宗物料产品清洁运输。对于通过环境影响评价审批超过五年及以上仍未建成投产的新建、扩建高耗能、高排放和产能过剩的产业项目，要暂停建设</w:t>
      </w:r>
      <w:r>
        <w:rPr>
          <w:rFonts w:hint="eastAsia" w:cs="Times New Roman"/>
          <w:color w:val="auto"/>
          <w:kern w:val="0"/>
          <w:sz w:val="32"/>
          <w:szCs w:val="32"/>
          <w:highlight w:val="none"/>
          <w:lang w:eastAsia="zh-CN"/>
        </w:rPr>
        <w:t>并</w:t>
      </w:r>
      <w:r>
        <w:rPr>
          <w:rFonts w:hint="default" w:ascii="Times New Roman" w:hAnsi="Times New Roman" w:eastAsia="仿宋_GB2312" w:cs="Times New Roman"/>
          <w:color w:val="auto"/>
          <w:kern w:val="0"/>
          <w:sz w:val="32"/>
          <w:szCs w:val="32"/>
          <w:highlight w:val="none"/>
        </w:rPr>
        <w:t>按新的环境、产业政策重新评价。禁止新建除集中供热外的燃煤、燃生物质锅炉，原则上禁止在集中供热覆盖范围内新建锅炉（备用天然气锅炉除外）。（市生态环境局</w:t>
      </w:r>
      <w:r>
        <w:rPr>
          <w:rFonts w:hint="eastAsia" w:cs="Times New Roman"/>
          <w:color w:val="auto"/>
          <w:kern w:val="0"/>
          <w:sz w:val="32"/>
          <w:szCs w:val="32"/>
          <w:highlight w:val="none"/>
          <w:lang w:eastAsia="zh-CN"/>
        </w:rPr>
        <w:t>沁阳分局</w:t>
      </w:r>
      <w:r>
        <w:rPr>
          <w:rFonts w:hint="default" w:ascii="Times New Roman" w:hAnsi="Times New Roman" w:eastAsia="仿宋_GB2312" w:cs="Times New Roman"/>
          <w:color w:val="auto"/>
          <w:kern w:val="0"/>
          <w:sz w:val="32"/>
          <w:szCs w:val="32"/>
          <w:highlight w:val="none"/>
        </w:rPr>
        <w:t>、发改委</w:t>
      </w:r>
      <w:r>
        <w:rPr>
          <w:rFonts w:hint="eastAsia" w:cs="Times New Roman"/>
          <w:color w:val="auto"/>
          <w:kern w:val="0"/>
          <w:sz w:val="32"/>
          <w:szCs w:val="32"/>
          <w:highlight w:val="none"/>
          <w:lang w:eastAsia="zh-CN"/>
        </w:rPr>
        <w:t>负责</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eastAsia="zh-CN"/>
        </w:rPr>
        <w:t>市</w:t>
      </w:r>
      <w:r>
        <w:rPr>
          <w:rFonts w:hint="eastAsia" w:cs="Times New Roman"/>
          <w:color w:val="auto"/>
          <w:kern w:val="0"/>
          <w:sz w:val="32"/>
          <w:szCs w:val="32"/>
          <w:highlight w:val="none"/>
          <w:lang w:eastAsia="zh-CN"/>
        </w:rPr>
        <w:t>工信</w:t>
      </w:r>
      <w:r>
        <w:rPr>
          <w:rFonts w:hint="default" w:ascii="Times New Roman" w:hAnsi="Times New Roman" w:eastAsia="仿宋_GB2312" w:cs="Times New Roman"/>
          <w:color w:val="auto"/>
          <w:kern w:val="0"/>
          <w:sz w:val="32"/>
          <w:szCs w:val="32"/>
          <w:highlight w:val="none"/>
        </w:rPr>
        <w:t>局</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自然资源和规划局、交通局</w:t>
      </w:r>
      <w:r>
        <w:rPr>
          <w:rFonts w:hint="eastAsia" w:cs="Times New Roman"/>
          <w:color w:val="auto"/>
          <w:kern w:val="0"/>
          <w:sz w:val="32"/>
          <w:szCs w:val="32"/>
          <w:highlight w:val="none"/>
          <w:lang w:eastAsia="zh-CN"/>
        </w:rPr>
        <w:t>配合</w:t>
      </w:r>
      <w:r>
        <w:rPr>
          <w:rFonts w:hint="default" w:ascii="Times New Roman" w:hAnsi="Times New Roman" w:eastAsia="仿宋_GB2312" w:cs="Times New Roman"/>
          <w:color w:val="auto"/>
          <w:kern w:val="0"/>
          <w:sz w:val="32"/>
          <w:szCs w:val="32"/>
          <w:highlight w:val="none"/>
        </w:rPr>
        <w:t>）</w:t>
      </w:r>
    </w:p>
    <w:p w14:paraId="5F7AA274">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rPr>
      </w:pPr>
      <w:bookmarkStart w:id="7" w:name="_Toc114408642"/>
      <w:r>
        <w:rPr>
          <w:rFonts w:hint="default" w:ascii="Times New Roman" w:hAnsi="Times New Roman" w:cs="Times New Roman"/>
          <w:b/>
          <w:bCs/>
          <w:color w:val="auto"/>
          <w:kern w:val="0"/>
          <w:sz w:val="32"/>
          <w:szCs w:val="32"/>
          <w:highlight w:val="none"/>
          <w:lang w:val="en-US" w:eastAsia="zh-CN"/>
        </w:rPr>
        <w:t xml:space="preserve">3. </w:t>
      </w:r>
      <w:r>
        <w:rPr>
          <w:rFonts w:hint="default" w:ascii="Times New Roman" w:hAnsi="Times New Roman" w:eastAsia="仿宋_GB2312" w:cs="Times New Roman"/>
          <w:b/>
          <w:bCs/>
          <w:color w:val="auto"/>
          <w:kern w:val="0"/>
          <w:sz w:val="32"/>
          <w:szCs w:val="32"/>
          <w:highlight w:val="none"/>
          <w:lang w:eastAsia="zh-CN"/>
        </w:rPr>
        <w:t>加快现有过剩产能淘汰工作</w:t>
      </w:r>
      <w:bookmarkEnd w:id="7"/>
      <w:r>
        <w:rPr>
          <w:rFonts w:hint="default" w:ascii="Times New Roman" w:hAnsi="Times New Roman" w:cs="Times New Roman"/>
          <w:b/>
          <w:bCs/>
          <w:color w:val="auto"/>
          <w:kern w:val="0"/>
          <w:sz w:val="32"/>
          <w:szCs w:val="32"/>
          <w:highlight w:val="none"/>
          <w:lang w:eastAsia="zh-CN"/>
        </w:rPr>
        <w:t>。</w:t>
      </w:r>
      <w:r>
        <w:rPr>
          <w:rFonts w:hint="eastAsia" w:cs="Times New Roman"/>
          <w:color w:val="auto"/>
          <w:kern w:val="0"/>
          <w:sz w:val="32"/>
          <w:szCs w:val="32"/>
          <w:highlight w:val="none"/>
          <w:lang w:eastAsia="zh-CN"/>
        </w:rPr>
        <w:t>落实国家、省产业政策</w:t>
      </w:r>
      <w:r>
        <w:rPr>
          <w:rFonts w:hint="default" w:ascii="Times New Roman" w:hAnsi="Times New Roman" w:eastAsia="仿宋_GB2312" w:cs="Times New Roman"/>
          <w:color w:val="auto"/>
          <w:kern w:val="0"/>
          <w:sz w:val="32"/>
          <w:szCs w:val="32"/>
          <w:highlight w:val="none"/>
        </w:rPr>
        <w:t>，</w:t>
      </w:r>
      <w:r>
        <w:rPr>
          <w:color w:val="auto"/>
          <w:highlight w:val="none"/>
          <w:lang w:val="en-US" w:eastAsia="zh-CN"/>
        </w:rPr>
        <w:t>淘汰落后煤炭洗选产能</w:t>
      </w:r>
      <w:r>
        <w:rPr>
          <w:rFonts w:hint="eastAsia"/>
          <w:color w:val="auto"/>
          <w:highlight w:val="none"/>
          <w:lang w:val="en-US" w:eastAsia="zh-CN"/>
        </w:rPr>
        <w:t>；工信部门牵头</w:t>
      </w:r>
      <w:r>
        <w:rPr>
          <w:rFonts w:hint="default" w:ascii="Times New Roman" w:hAnsi="Times New Roman" w:eastAsia="仿宋_GB2312" w:cs="Times New Roman"/>
          <w:b w:val="0"/>
          <w:bCs/>
          <w:color w:val="auto"/>
          <w:sz w:val="32"/>
          <w:szCs w:val="32"/>
          <w:highlight w:val="none"/>
        </w:rPr>
        <w:t>研究制定烧结砖瓦行业整合提升方案，</w:t>
      </w:r>
      <w:r>
        <w:rPr>
          <w:rFonts w:hint="default" w:cs="Times New Roman"/>
          <w:b w:val="0"/>
          <w:bCs/>
          <w:color w:val="auto"/>
          <w:sz w:val="32"/>
          <w:szCs w:val="32"/>
          <w:highlight w:val="none"/>
        </w:rPr>
        <w:t>2025年底前</w:t>
      </w:r>
      <w:r>
        <w:rPr>
          <w:rFonts w:hint="eastAsia"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推动6000万标砖/年以下烧结砖及烧结空心砌块生产线有序退出。对烧结砖瓦企业关停退出实施逐年递减的资金奖补方式，对2025年之后完成的，不再给予资金奖补</w:t>
      </w:r>
      <w:r>
        <w:rPr>
          <w:color w:val="auto"/>
          <w:highlight w:val="none"/>
          <w:lang w:val="en-US" w:eastAsia="zh-CN"/>
        </w:rPr>
        <w:t>。</w:t>
      </w:r>
      <w:r>
        <w:rPr>
          <w:rFonts w:hint="default"/>
          <w:color w:val="auto"/>
          <w:highlight w:val="none"/>
          <w:lang w:val="en-US" w:eastAsia="zh-CN"/>
        </w:rPr>
        <w:t>2024年12月底前，沁阳市宏达钢铁有限公司2台35吨炼钢电弧炉有序退出或完成大型化改造</w:t>
      </w:r>
      <w:r>
        <w:rPr>
          <w:rFonts w:hint="eastAsia"/>
          <w:color w:val="auto"/>
          <w:highlight w:val="none"/>
          <w:lang w:val="en-US" w:eastAsia="zh-CN"/>
        </w:rPr>
        <w:t>。</w:t>
      </w:r>
      <w:r>
        <w:rPr>
          <w:rFonts w:hint="default" w:ascii="Times New Roman" w:hAnsi="Times New Roman" w:eastAsia="仿宋_GB2312" w:cs="Times New Roman"/>
          <w:color w:val="auto"/>
          <w:kern w:val="0"/>
          <w:sz w:val="32"/>
          <w:szCs w:val="32"/>
          <w:highlight w:val="none"/>
        </w:rPr>
        <w:t>（市</w:t>
      </w:r>
      <w:r>
        <w:rPr>
          <w:rFonts w:hint="eastAsia" w:cs="Times New Roman"/>
          <w:color w:val="auto"/>
          <w:kern w:val="0"/>
          <w:sz w:val="32"/>
          <w:szCs w:val="32"/>
          <w:highlight w:val="none"/>
          <w:lang w:eastAsia="zh-CN"/>
        </w:rPr>
        <w:t>工信</w:t>
      </w:r>
      <w:r>
        <w:rPr>
          <w:rFonts w:hint="default" w:ascii="Times New Roman" w:hAnsi="Times New Roman" w:eastAsia="仿宋_GB2312" w:cs="Times New Roman"/>
          <w:color w:val="auto"/>
          <w:kern w:val="0"/>
          <w:sz w:val="32"/>
          <w:szCs w:val="32"/>
          <w:highlight w:val="none"/>
        </w:rPr>
        <w:t>局、生态环境局</w:t>
      </w:r>
      <w:r>
        <w:rPr>
          <w:rFonts w:hint="eastAsia" w:cs="Times New Roman"/>
          <w:color w:val="auto"/>
          <w:kern w:val="0"/>
          <w:sz w:val="32"/>
          <w:szCs w:val="32"/>
          <w:highlight w:val="none"/>
          <w:lang w:eastAsia="zh-CN"/>
        </w:rPr>
        <w:t>沁阳分局</w:t>
      </w:r>
      <w:r>
        <w:rPr>
          <w:rFonts w:hint="default" w:ascii="Times New Roman" w:hAnsi="Times New Roman" w:eastAsia="仿宋_GB2312" w:cs="Times New Roman"/>
          <w:color w:val="auto"/>
          <w:kern w:val="0"/>
          <w:sz w:val="32"/>
          <w:szCs w:val="32"/>
          <w:highlight w:val="none"/>
        </w:rPr>
        <w:t>、发改委、应急管理局、市场监管局</w:t>
      </w:r>
      <w:r>
        <w:rPr>
          <w:rFonts w:hint="default" w:ascii="Times New Roman" w:hAnsi="Times New Roman" w:eastAsia="仿宋_GB2312" w:cs="Times New Roman"/>
          <w:color w:val="auto"/>
          <w:kern w:val="0"/>
          <w:sz w:val="32"/>
          <w:szCs w:val="32"/>
          <w:highlight w:val="none"/>
          <w:lang w:eastAsia="zh-CN"/>
        </w:rPr>
        <w:t>、财政局〔国资委〕</w:t>
      </w:r>
      <w:r>
        <w:rPr>
          <w:rFonts w:hint="default" w:ascii="Times New Roman" w:hAnsi="Times New Roman" w:eastAsia="仿宋_GB2312" w:cs="Times New Roman"/>
          <w:color w:val="auto"/>
          <w:kern w:val="0"/>
          <w:sz w:val="32"/>
          <w:szCs w:val="32"/>
          <w:highlight w:val="none"/>
        </w:rPr>
        <w:t>按</w:t>
      </w:r>
      <w:r>
        <w:rPr>
          <w:rFonts w:hint="default" w:ascii="Times New Roman" w:hAnsi="Times New Roman" w:eastAsia="仿宋_GB2312" w:cs="Times New Roman"/>
          <w:color w:val="auto"/>
          <w:kern w:val="0"/>
          <w:sz w:val="32"/>
          <w:szCs w:val="32"/>
          <w:highlight w:val="none"/>
          <w:lang w:eastAsia="zh-CN"/>
        </w:rPr>
        <w:t>职责</w:t>
      </w:r>
      <w:r>
        <w:rPr>
          <w:rFonts w:hint="default" w:ascii="Times New Roman" w:hAnsi="Times New Roman" w:eastAsia="仿宋_GB2312" w:cs="Times New Roman"/>
          <w:color w:val="auto"/>
          <w:kern w:val="0"/>
          <w:sz w:val="32"/>
          <w:szCs w:val="32"/>
          <w:highlight w:val="none"/>
        </w:rPr>
        <w:t>分工负责）</w:t>
      </w:r>
    </w:p>
    <w:p w14:paraId="36624DD8">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cs="Times New Roman"/>
          <w:b/>
          <w:bCs/>
          <w:color w:val="auto"/>
          <w:kern w:val="0"/>
          <w:sz w:val="32"/>
          <w:szCs w:val="32"/>
          <w:highlight w:val="none"/>
          <w:lang w:val="en-US" w:eastAsia="zh-CN"/>
        </w:rPr>
        <w:t xml:space="preserve">4. </w:t>
      </w:r>
      <w:r>
        <w:rPr>
          <w:rFonts w:hint="default" w:ascii="Times New Roman" w:hAnsi="Times New Roman" w:eastAsia="仿宋_GB2312" w:cs="Times New Roman"/>
          <w:b/>
          <w:bCs/>
          <w:color w:val="auto"/>
          <w:kern w:val="0"/>
          <w:sz w:val="32"/>
          <w:szCs w:val="32"/>
          <w:highlight w:val="none"/>
          <w:lang w:val="en-US" w:eastAsia="zh-CN"/>
        </w:rPr>
        <w:t>大力推进</w:t>
      </w:r>
      <w:r>
        <w:rPr>
          <w:rFonts w:hint="default" w:ascii="Times New Roman" w:hAnsi="Times New Roman" w:eastAsia="仿宋_GB2312" w:cs="Times New Roman"/>
          <w:b/>
          <w:bCs/>
          <w:color w:val="auto"/>
          <w:kern w:val="0"/>
          <w:sz w:val="32"/>
          <w:szCs w:val="32"/>
          <w:highlight w:val="none"/>
          <w:lang w:eastAsia="zh-CN"/>
        </w:rPr>
        <w:t>绿色化、清洁化改造</w:t>
      </w:r>
      <w:r>
        <w:rPr>
          <w:rFonts w:hint="default" w:ascii="Times New Roman" w:hAnsi="Times New Roman"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推进</w:t>
      </w:r>
      <w:r>
        <w:rPr>
          <w:rFonts w:hint="default" w:ascii="Times New Roman" w:hAnsi="Times New Roman" w:eastAsia="仿宋_GB2312" w:cs="Times New Roman"/>
          <w:color w:val="auto"/>
          <w:kern w:val="0"/>
          <w:sz w:val="32"/>
          <w:szCs w:val="32"/>
          <w:highlight w:val="none"/>
          <w:lang w:val="en-US" w:eastAsia="zh-CN"/>
        </w:rPr>
        <w:t>钢铁、煤化工、水泥、铝加工、玻璃、耐火材料、建材</w:t>
      </w:r>
      <w:r>
        <w:rPr>
          <w:rFonts w:hint="default" w:ascii="Times New Roman" w:hAnsi="Times New Roman" w:eastAsia="仿宋_GB2312" w:cs="Times New Roman"/>
          <w:color w:val="auto"/>
          <w:kern w:val="0"/>
          <w:sz w:val="32"/>
          <w:szCs w:val="32"/>
          <w:highlight w:val="none"/>
        </w:rPr>
        <w:t>等产业绿色、减量、提质发展，开展全流程清洁化、循环化、低碳化改造。</w:t>
      </w:r>
      <w:r>
        <w:rPr>
          <w:rFonts w:hint="default" w:ascii="Times New Roman" w:hAnsi="Times New Roman" w:eastAsia="仿宋_GB2312" w:cs="Times New Roman"/>
          <w:i w:val="0"/>
          <w:iCs w:val="0"/>
          <w:caps w:val="0"/>
          <w:color w:val="auto"/>
          <w:spacing w:val="0"/>
          <w:sz w:val="32"/>
          <w:szCs w:val="32"/>
          <w:shd w:val="clear" w:color="auto" w:fill="FFFFFF"/>
        </w:rPr>
        <w:t>2024年，新创绿色制造名单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iCs w:val="0"/>
          <w:caps w:val="0"/>
          <w:color w:val="auto"/>
          <w:spacing w:val="0"/>
          <w:sz w:val="32"/>
          <w:szCs w:val="32"/>
          <w:shd w:val="clear" w:color="auto" w:fill="FFFFFF"/>
        </w:rPr>
        <w:t>个；2025年，新创绿色制造名单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iCs w:val="0"/>
          <w:caps w:val="0"/>
          <w:color w:val="auto"/>
          <w:spacing w:val="0"/>
          <w:sz w:val="32"/>
          <w:szCs w:val="32"/>
          <w:shd w:val="clear" w:color="auto" w:fill="FFFFFF"/>
        </w:rPr>
        <w:t>个。</w:t>
      </w:r>
      <w:r>
        <w:rPr>
          <w:rFonts w:hint="default" w:ascii="Times New Roman" w:hAnsi="Times New Roman" w:eastAsia="仿宋_GB2312" w:cs="Times New Roman"/>
          <w:color w:val="auto"/>
          <w:kern w:val="0"/>
          <w:sz w:val="32"/>
          <w:szCs w:val="32"/>
          <w:highlight w:val="none"/>
        </w:rPr>
        <w:t>（市</w:t>
      </w:r>
      <w:r>
        <w:rPr>
          <w:rFonts w:hint="eastAsia" w:cs="Times New Roman"/>
          <w:color w:val="auto"/>
          <w:kern w:val="0"/>
          <w:sz w:val="32"/>
          <w:szCs w:val="32"/>
          <w:highlight w:val="none"/>
          <w:lang w:eastAsia="zh-CN"/>
        </w:rPr>
        <w:t>工信</w:t>
      </w:r>
      <w:r>
        <w:rPr>
          <w:rFonts w:hint="default" w:ascii="Times New Roman" w:hAnsi="Times New Roman" w:eastAsia="仿宋_GB2312" w:cs="Times New Roman"/>
          <w:color w:val="auto"/>
          <w:kern w:val="0"/>
          <w:sz w:val="32"/>
          <w:szCs w:val="32"/>
          <w:highlight w:val="none"/>
          <w:lang w:eastAsia="zh-CN"/>
        </w:rPr>
        <w:t>局</w:t>
      </w:r>
      <w:r>
        <w:rPr>
          <w:rFonts w:hint="eastAsia" w:cs="Times New Roman"/>
          <w:color w:val="auto"/>
          <w:kern w:val="0"/>
          <w:sz w:val="32"/>
          <w:szCs w:val="32"/>
          <w:highlight w:val="none"/>
          <w:lang w:eastAsia="zh-CN"/>
        </w:rPr>
        <w:t>负责</w:t>
      </w:r>
      <w:r>
        <w:rPr>
          <w:rFonts w:hint="default" w:ascii="Times New Roman" w:hAnsi="Times New Roman" w:eastAsia="仿宋_GB2312" w:cs="Times New Roman"/>
          <w:color w:val="auto"/>
          <w:kern w:val="0"/>
          <w:sz w:val="32"/>
          <w:szCs w:val="32"/>
          <w:highlight w:val="none"/>
        </w:rPr>
        <w:t>，市生态环境局</w:t>
      </w:r>
      <w:r>
        <w:rPr>
          <w:rFonts w:hint="eastAsia" w:cs="Times New Roman"/>
          <w:color w:val="auto"/>
          <w:kern w:val="0"/>
          <w:sz w:val="32"/>
          <w:szCs w:val="32"/>
          <w:highlight w:val="none"/>
          <w:lang w:eastAsia="zh-CN"/>
        </w:rPr>
        <w:t>沁阳分局</w:t>
      </w:r>
      <w:r>
        <w:rPr>
          <w:rFonts w:hint="default" w:ascii="Times New Roman" w:hAnsi="Times New Roman" w:eastAsia="仿宋_GB2312" w:cs="Times New Roman"/>
          <w:color w:val="auto"/>
          <w:kern w:val="0"/>
          <w:sz w:val="32"/>
          <w:szCs w:val="32"/>
          <w:highlight w:val="none"/>
          <w:lang w:eastAsia="zh-CN"/>
        </w:rPr>
        <w:t>、发改委</w:t>
      </w:r>
      <w:r>
        <w:rPr>
          <w:rFonts w:hint="eastAsia" w:cs="Times New Roman"/>
          <w:color w:val="auto"/>
          <w:kern w:val="0"/>
          <w:sz w:val="32"/>
          <w:szCs w:val="32"/>
          <w:highlight w:val="none"/>
          <w:lang w:eastAsia="zh-CN"/>
        </w:rPr>
        <w:t>配合</w:t>
      </w:r>
      <w:r>
        <w:rPr>
          <w:rFonts w:hint="default" w:ascii="Times New Roman" w:hAnsi="Times New Roman" w:eastAsia="仿宋_GB2312" w:cs="Times New Roman"/>
          <w:color w:val="auto"/>
          <w:kern w:val="0"/>
          <w:sz w:val="32"/>
          <w:szCs w:val="32"/>
          <w:highlight w:val="none"/>
        </w:rPr>
        <w:t>）</w:t>
      </w:r>
    </w:p>
    <w:p w14:paraId="738C0BB5">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rPr>
      </w:pPr>
      <w:r>
        <w:rPr>
          <w:rFonts w:hint="eastAsia" w:cs="Times New Roman"/>
          <w:b/>
          <w:bCs/>
          <w:color w:val="auto"/>
          <w:kern w:val="0"/>
          <w:sz w:val="32"/>
          <w:szCs w:val="32"/>
          <w:highlight w:val="none"/>
          <w:lang w:val="en-US" w:eastAsia="zh-CN"/>
        </w:rPr>
        <w:t>5</w:t>
      </w:r>
      <w:r>
        <w:rPr>
          <w:rFonts w:hint="default" w:ascii="Times New Roman" w:hAnsi="Times New Roman" w:cs="Times New Roman"/>
          <w:b/>
          <w:bCs/>
          <w:color w:val="auto"/>
          <w:kern w:val="0"/>
          <w:sz w:val="32"/>
          <w:szCs w:val="32"/>
          <w:highlight w:val="none"/>
          <w:lang w:val="en-US" w:eastAsia="zh-CN"/>
        </w:rPr>
        <w:t xml:space="preserve">. </w:t>
      </w:r>
      <w:r>
        <w:rPr>
          <w:rFonts w:hint="default" w:ascii="Times New Roman" w:hAnsi="Times New Roman" w:eastAsia="仿宋_GB2312" w:cs="Times New Roman"/>
          <w:b/>
          <w:bCs/>
          <w:color w:val="auto"/>
          <w:kern w:val="0"/>
          <w:sz w:val="32"/>
          <w:szCs w:val="32"/>
          <w:highlight w:val="none"/>
        </w:rPr>
        <w:t>推进重点区域企业搬迁</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要研究制定城区污染排放企业退城入园计划和实施方案，按相关要求在政府门户网站定期公布搬迁改造企业进展情况，接受社会监督。（市生态环境局</w:t>
      </w:r>
      <w:r>
        <w:rPr>
          <w:rFonts w:hint="eastAsia" w:cs="Times New Roman"/>
          <w:color w:val="auto"/>
          <w:kern w:val="0"/>
          <w:sz w:val="32"/>
          <w:szCs w:val="32"/>
          <w:highlight w:val="none"/>
          <w:lang w:eastAsia="zh-CN"/>
        </w:rPr>
        <w:t>沁阳分局</w:t>
      </w:r>
      <w:r>
        <w:rPr>
          <w:rFonts w:hint="default" w:ascii="Times New Roman" w:hAnsi="Times New Roman" w:eastAsia="仿宋_GB2312" w:cs="Times New Roman"/>
          <w:color w:val="auto"/>
          <w:kern w:val="0"/>
          <w:sz w:val="32"/>
          <w:szCs w:val="32"/>
          <w:highlight w:val="none"/>
          <w:lang w:eastAsia="zh-CN"/>
        </w:rPr>
        <w:t>、应急管理局、</w:t>
      </w:r>
      <w:r>
        <w:rPr>
          <w:rFonts w:hint="eastAsia" w:cs="Times New Roman"/>
          <w:color w:val="auto"/>
          <w:kern w:val="0"/>
          <w:sz w:val="32"/>
          <w:szCs w:val="32"/>
          <w:highlight w:val="none"/>
          <w:lang w:eastAsia="zh-CN"/>
        </w:rPr>
        <w:t>工信</w:t>
      </w:r>
      <w:r>
        <w:rPr>
          <w:rFonts w:hint="default" w:ascii="Times New Roman" w:hAnsi="Times New Roman" w:eastAsia="仿宋_GB2312" w:cs="Times New Roman"/>
          <w:color w:val="auto"/>
          <w:kern w:val="0"/>
          <w:sz w:val="32"/>
          <w:szCs w:val="32"/>
          <w:highlight w:val="none"/>
        </w:rPr>
        <w:t>局</w:t>
      </w:r>
      <w:r>
        <w:rPr>
          <w:rFonts w:hint="default" w:ascii="Times New Roman" w:hAnsi="Times New Roman" w:eastAsia="仿宋_GB2312" w:cs="Times New Roman"/>
          <w:color w:val="auto"/>
          <w:kern w:val="0"/>
          <w:sz w:val="32"/>
          <w:szCs w:val="32"/>
          <w:highlight w:val="none"/>
          <w:lang w:eastAsia="zh-CN"/>
        </w:rPr>
        <w:t>、发改委按职责分工负责</w:t>
      </w:r>
      <w:r>
        <w:rPr>
          <w:rFonts w:hint="default" w:ascii="Times New Roman" w:hAnsi="Times New Roman" w:eastAsia="仿宋_GB2312" w:cs="Times New Roman"/>
          <w:color w:val="auto"/>
          <w:kern w:val="0"/>
          <w:sz w:val="32"/>
          <w:szCs w:val="32"/>
          <w:highlight w:val="none"/>
        </w:rPr>
        <w:t>）</w:t>
      </w:r>
    </w:p>
    <w:p w14:paraId="7166FD6A">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rPr>
      </w:pPr>
      <w:r>
        <w:rPr>
          <w:rFonts w:hint="eastAsia" w:cs="Times New Roman"/>
          <w:b/>
          <w:bCs/>
          <w:color w:val="auto"/>
          <w:kern w:val="0"/>
          <w:sz w:val="32"/>
          <w:szCs w:val="32"/>
          <w:highlight w:val="none"/>
          <w:lang w:val="en-US" w:eastAsia="zh-CN"/>
        </w:rPr>
        <w:t>6</w:t>
      </w:r>
      <w:r>
        <w:rPr>
          <w:rFonts w:hint="default" w:ascii="Times New Roman" w:hAnsi="Times New Roman" w:cs="Times New Roman"/>
          <w:b/>
          <w:bCs/>
          <w:color w:val="auto"/>
          <w:kern w:val="0"/>
          <w:sz w:val="32"/>
          <w:szCs w:val="32"/>
          <w:highlight w:val="none"/>
          <w:lang w:val="en-US" w:eastAsia="zh-CN"/>
        </w:rPr>
        <w:t xml:space="preserve">. </w:t>
      </w:r>
      <w:r>
        <w:rPr>
          <w:rFonts w:hint="default" w:ascii="Times New Roman" w:hAnsi="Times New Roman" w:eastAsia="仿宋_GB2312" w:cs="Times New Roman"/>
          <w:b/>
          <w:bCs/>
          <w:color w:val="auto"/>
          <w:kern w:val="0"/>
          <w:sz w:val="32"/>
          <w:szCs w:val="32"/>
          <w:highlight w:val="none"/>
        </w:rPr>
        <w:t>强化重点行业超低排放改造。</w:t>
      </w:r>
      <w:r>
        <w:rPr>
          <w:color w:val="auto"/>
          <w:highlight w:val="none"/>
          <w:lang w:val="en-US" w:eastAsia="zh-CN"/>
        </w:rPr>
        <w:t>新（改、扩）建火电、钢铁、水泥项目要达到超低排放水平</w:t>
      </w:r>
      <w:r>
        <w:rPr>
          <w:rFonts w:hint="eastAsia"/>
          <w:color w:val="auto"/>
          <w:highlight w:val="none"/>
          <w:lang w:val="en-US" w:eastAsia="zh-CN"/>
        </w:rPr>
        <w:t>，2025年9月底前，</w:t>
      </w:r>
      <w:r>
        <w:rPr>
          <w:rFonts w:hint="default" w:ascii="Times New Roman" w:hAnsi="Times New Roman" w:eastAsia="仿宋_GB2312" w:cs="Times New Roman"/>
          <w:color w:val="auto"/>
          <w:sz w:val="32"/>
          <w:szCs w:val="32"/>
          <w:highlight w:val="none"/>
        </w:rPr>
        <w:t>钢铁、水泥行业企业</w:t>
      </w:r>
      <w:r>
        <w:rPr>
          <w:rFonts w:hint="default" w:ascii="Times New Roman" w:hAnsi="Times New Roman" w:cs="Times New Roman"/>
          <w:color w:val="auto"/>
          <w:sz w:val="32"/>
          <w:szCs w:val="32"/>
          <w:highlight w:val="none"/>
          <w:lang w:eastAsia="zh-CN"/>
        </w:rPr>
        <w:t>有组织、无组织排放</w:t>
      </w:r>
      <w:r>
        <w:rPr>
          <w:rFonts w:hint="default" w:cs="Times New Roman"/>
          <w:color w:val="auto"/>
          <w:sz w:val="32"/>
          <w:szCs w:val="32"/>
          <w:highlight w:val="none"/>
          <w:lang w:eastAsia="zh-CN"/>
        </w:rPr>
        <w:t>、车辆运输、监测监控等方面</w:t>
      </w:r>
      <w:r>
        <w:rPr>
          <w:rFonts w:hint="default" w:ascii="Times New Roman" w:hAnsi="Times New Roman" w:eastAsia="仿宋_GB2312" w:cs="Times New Roman"/>
          <w:color w:val="auto"/>
          <w:sz w:val="32"/>
          <w:szCs w:val="32"/>
          <w:highlight w:val="none"/>
        </w:rPr>
        <w:t>全面达到超低排放水平。</w:t>
      </w:r>
      <w:r>
        <w:rPr>
          <w:color w:val="auto"/>
          <w:highlight w:val="none"/>
          <w:lang w:val="en-US" w:eastAsia="zh-CN"/>
        </w:rPr>
        <w:t>持续推进玻璃、耐火材料、有色、铸造、</w:t>
      </w:r>
      <w:r>
        <w:rPr>
          <w:rFonts w:hint="eastAsia"/>
          <w:color w:val="auto"/>
          <w:highlight w:val="none"/>
          <w:lang w:val="en-US" w:eastAsia="zh-CN"/>
        </w:rPr>
        <w:t>炭素</w:t>
      </w:r>
      <w:r>
        <w:rPr>
          <w:color w:val="auto"/>
          <w:highlight w:val="none"/>
          <w:lang w:val="en-US" w:eastAsia="zh-CN"/>
        </w:rPr>
        <w:t>、砖瓦等工业炉窑深度治理，实施陶瓷、生物质锅炉等行业提标改造。</w:t>
      </w:r>
      <w:r>
        <w:rPr>
          <w:rFonts w:hint="eastAsia"/>
          <w:color w:val="auto"/>
          <w:highlight w:val="none"/>
          <w:lang w:val="en-US" w:eastAsia="zh-CN"/>
        </w:rPr>
        <w:t>2024年10月底前，</w:t>
      </w:r>
      <w:r>
        <w:rPr>
          <w:color w:val="auto"/>
          <w:highlight w:val="none"/>
          <w:lang w:eastAsia="zh-CN"/>
        </w:rPr>
        <w:t>全面</w:t>
      </w:r>
      <w:r>
        <w:rPr>
          <w:color w:val="auto"/>
          <w:highlight w:val="none"/>
          <w:lang w:val="en-US" w:eastAsia="zh-CN"/>
        </w:rPr>
        <w:t>完成燃气锅炉低氮燃烧改造；生物质锅炉全部采用专用炉具，配套布袋等高效除尘设施，禁止掺烧煤炭、生活垃圾等其他物料。</w:t>
      </w:r>
      <w:r>
        <w:rPr>
          <w:rFonts w:hint="default" w:ascii="Times New Roman" w:hAnsi="Times New Roman" w:eastAsia="仿宋_GB2312" w:cs="Times New Roman"/>
          <w:color w:val="auto"/>
          <w:kern w:val="0"/>
          <w:sz w:val="32"/>
          <w:szCs w:val="32"/>
          <w:highlight w:val="none"/>
        </w:rPr>
        <w:t>（市生态环境局</w:t>
      </w:r>
      <w:r>
        <w:rPr>
          <w:rFonts w:hint="eastAsia" w:cs="Times New Roman"/>
          <w:color w:val="auto"/>
          <w:kern w:val="0"/>
          <w:sz w:val="32"/>
          <w:szCs w:val="32"/>
          <w:highlight w:val="none"/>
          <w:lang w:eastAsia="zh-CN"/>
        </w:rPr>
        <w:t>沁阳分局负责</w:t>
      </w:r>
      <w:r>
        <w:rPr>
          <w:rFonts w:hint="default" w:ascii="Times New Roman" w:hAnsi="Times New Roman" w:eastAsia="仿宋_GB2312" w:cs="Times New Roman"/>
          <w:color w:val="auto"/>
          <w:kern w:val="0"/>
          <w:sz w:val="32"/>
          <w:szCs w:val="32"/>
          <w:highlight w:val="none"/>
        </w:rPr>
        <w:t>，市</w:t>
      </w:r>
      <w:r>
        <w:rPr>
          <w:rFonts w:hint="eastAsia" w:cs="Times New Roman"/>
          <w:color w:val="auto"/>
          <w:kern w:val="0"/>
          <w:sz w:val="32"/>
          <w:szCs w:val="32"/>
          <w:highlight w:val="none"/>
          <w:lang w:eastAsia="zh-CN"/>
        </w:rPr>
        <w:t>发改委、工信</w:t>
      </w:r>
      <w:r>
        <w:rPr>
          <w:rFonts w:hint="default" w:ascii="Times New Roman" w:hAnsi="Times New Roman" w:eastAsia="仿宋_GB2312" w:cs="Times New Roman"/>
          <w:color w:val="auto"/>
          <w:kern w:val="0"/>
          <w:sz w:val="32"/>
          <w:szCs w:val="32"/>
          <w:highlight w:val="none"/>
        </w:rPr>
        <w:t>局</w:t>
      </w:r>
      <w:r>
        <w:rPr>
          <w:rFonts w:hint="default" w:ascii="Times New Roman" w:hAnsi="Times New Roman" w:cs="Times New Roman"/>
          <w:color w:val="auto"/>
          <w:kern w:val="0"/>
          <w:sz w:val="32"/>
          <w:szCs w:val="32"/>
          <w:highlight w:val="none"/>
          <w:lang w:eastAsia="zh-CN"/>
        </w:rPr>
        <w:t>、交通局</w:t>
      </w:r>
      <w:r>
        <w:rPr>
          <w:rFonts w:hint="eastAsia" w:cs="Times New Roman"/>
          <w:color w:val="auto"/>
          <w:kern w:val="0"/>
          <w:sz w:val="32"/>
          <w:szCs w:val="32"/>
          <w:highlight w:val="none"/>
          <w:lang w:eastAsia="zh-CN"/>
        </w:rPr>
        <w:t>、住建局配合</w:t>
      </w:r>
      <w:r>
        <w:rPr>
          <w:rFonts w:hint="default" w:ascii="Times New Roman" w:hAnsi="Times New Roman" w:eastAsia="仿宋_GB2312" w:cs="Times New Roman"/>
          <w:color w:val="auto"/>
          <w:kern w:val="0"/>
          <w:sz w:val="32"/>
          <w:szCs w:val="32"/>
          <w:highlight w:val="none"/>
        </w:rPr>
        <w:t>）</w:t>
      </w:r>
    </w:p>
    <w:p w14:paraId="4F9ECF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highlight w:val="none"/>
          <w:lang w:val="en-US" w:eastAsia="zh-CN"/>
        </w:rPr>
      </w:pPr>
      <w:r>
        <w:rPr>
          <w:rFonts w:hint="eastAsia" w:cs="Times New Roman"/>
          <w:b/>
          <w:bCs/>
          <w:color w:val="auto"/>
          <w:sz w:val="32"/>
          <w:szCs w:val="32"/>
          <w:highlight w:val="none"/>
          <w:lang w:val="en-US" w:eastAsia="zh-CN"/>
        </w:rPr>
        <w:t>7</w:t>
      </w:r>
      <w:r>
        <w:rPr>
          <w:rFonts w:hint="default" w:ascii="Times New Roman" w:hAnsi="Times New Roman" w:cs="Times New Roman"/>
          <w:b/>
          <w:bCs/>
          <w:color w:val="auto"/>
          <w:kern w:val="0"/>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实施</w:t>
      </w:r>
      <w:r>
        <w:rPr>
          <w:rFonts w:hint="eastAsia" w:cs="Times New Roman"/>
          <w:b/>
          <w:bCs/>
          <w:color w:val="auto"/>
          <w:sz w:val="32"/>
          <w:szCs w:val="32"/>
          <w:highlight w:val="none"/>
          <w:lang w:eastAsia="zh-CN"/>
        </w:rPr>
        <w:t>工业企业</w:t>
      </w:r>
      <w:r>
        <w:rPr>
          <w:rFonts w:hint="default" w:ascii="Times New Roman" w:hAnsi="Times New Roman" w:eastAsia="仿宋_GB2312" w:cs="Times New Roman"/>
          <w:b/>
          <w:bCs/>
          <w:color w:val="auto"/>
          <w:sz w:val="32"/>
          <w:szCs w:val="32"/>
          <w:highlight w:val="none"/>
          <w:lang w:eastAsia="zh-CN"/>
        </w:rPr>
        <w:t>深度治理</w:t>
      </w:r>
      <w:r>
        <w:rPr>
          <w:rFonts w:hint="eastAsia"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工业企业应采用高效脱硫、脱硝、除尘设施，符合</w:t>
      </w:r>
      <w:r>
        <w:rPr>
          <w:rFonts w:hint="eastAsia" w:cs="Times New Roman"/>
          <w:color w:val="auto"/>
          <w:sz w:val="32"/>
          <w:szCs w:val="32"/>
          <w:highlight w:val="none"/>
          <w:lang w:eastAsia="zh-CN"/>
        </w:rPr>
        <w:t>焦作</w:t>
      </w:r>
      <w:r>
        <w:rPr>
          <w:rFonts w:hint="default" w:ascii="Times New Roman" w:hAnsi="Times New Roman" w:eastAsia="仿宋_GB2312" w:cs="Times New Roman"/>
          <w:color w:val="auto"/>
          <w:sz w:val="32"/>
          <w:szCs w:val="32"/>
          <w:highlight w:val="none"/>
          <w:lang w:eastAsia="zh-CN"/>
        </w:rPr>
        <w:t>市关于改善生态环境质量的特别要求，并按照《排污许可管理条例》相关规定，于</w:t>
      </w:r>
      <w:r>
        <w:rPr>
          <w:rFonts w:hint="default" w:ascii="Times New Roman" w:hAnsi="Times New Roman" w:eastAsia="仿宋_GB2312" w:cs="Times New Roman"/>
          <w:color w:val="auto"/>
          <w:sz w:val="32"/>
          <w:szCs w:val="32"/>
          <w:highlight w:val="none"/>
          <w:lang w:val="en-US" w:eastAsia="zh-CN"/>
        </w:rPr>
        <w:t>2024年10月底前将载入排污许可证管理，严格污染物排放浓度和排放总量控制。（市生态环境局</w:t>
      </w:r>
      <w:r>
        <w:rPr>
          <w:rFonts w:hint="eastAsia" w:cs="Times New Roman"/>
          <w:color w:val="auto"/>
          <w:sz w:val="32"/>
          <w:szCs w:val="32"/>
          <w:highlight w:val="none"/>
          <w:lang w:val="en-US" w:eastAsia="zh-CN"/>
        </w:rPr>
        <w:t>沁阳分局负责</w:t>
      </w:r>
      <w:r>
        <w:rPr>
          <w:rFonts w:hint="default" w:ascii="Times New Roman" w:hAnsi="Times New Roman" w:eastAsia="仿宋_GB2312" w:cs="Times New Roman"/>
          <w:color w:val="auto"/>
          <w:sz w:val="32"/>
          <w:szCs w:val="32"/>
          <w:highlight w:val="none"/>
          <w:lang w:val="en-US" w:eastAsia="zh-CN"/>
        </w:rPr>
        <w:t>，市</w:t>
      </w:r>
      <w:r>
        <w:rPr>
          <w:rFonts w:hint="eastAsia" w:cs="Times New Roman"/>
          <w:color w:val="auto"/>
          <w:sz w:val="32"/>
          <w:szCs w:val="32"/>
          <w:highlight w:val="none"/>
          <w:lang w:val="en-US" w:eastAsia="zh-CN"/>
        </w:rPr>
        <w:t>工信</w:t>
      </w:r>
      <w:r>
        <w:rPr>
          <w:rFonts w:hint="default" w:ascii="Times New Roman" w:hAnsi="Times New Roman" w:eastAsia="仿宋_GB2312" w:cs="Times New Roman"/>
          <w:color w:val="auto"/>
          <w:sz w:val="32"/>
          <w:szCs w:val="32"/>
          <w:highlight w:val="none"/>
          <w:lang w:val="en-US" w:eastAsia="zh-CN"/>
        </w:rPr>
        <w:t>局</w:t>
      </w:r>
      <w:r>
        <w:rPr>
          <w:rFonts w:hint="eastAsia" w:cs="Times New Roman"/>
          <w:color w:val="auto"/>
          <w:sz w:val="32"/>
          <w:szCs w:val="32"/>
          <w:highlight w:val="none"/>
          <w:lang w:val="en-US" w:eastAsia="zh-CN"/>
        </w:rPr>
        <w:t>配合</w:t>
      </w:r>
      <w:r>
        <w:rPr>
          <w:rFonts w:hint="default" w:ascii="Times New Roman" w:hAnsi="Times New Roman" w:eastAsia="仿宋_GB2312" w:cs="Times New Roman"/>
          <w:color w:val="auto"/>
          <w:sz w:val="32"/>
          <w:szCs w:val="32"/>
          <w:highlight w:val="none"/>
          <w:lang w:val="en-US" w:eastAsia="zh-CN"/>
        </w:rPr>
        <w:t>）</w:t>
      </w:r>
    </w:p>
    <w:p w14:paraId="33A47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eastAsia" w:cs="Times New Roman"/>
          <w:b/>
          <w:bCs/>
          <w:color w:val="auto"/>
          <w:kern w:val="0"/>
          <w:sz w:val="32"/>
          <w:szCs w:val="32"/>
          <w:highlight w:val="none"/>
          <w:lang w:val="en-US" w:eastAsia="zh-CN"/>
        </w:rPr>
        <w:t>8</w:t>
      </w:r>
      <w:r>
        <w:rPr>
          <w:rFonts w:hint="default" w:ascii="Times New Roman" w:hAnsi="Times New Roman" w:eastAsia="仿宋_GB2312" w:cs="Times New Roman"/>
          <w:b/>
          <w:bCs/>
          <w:color w:val="auto"/>
          <w:kern w:val="0"/>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开展低效失效污染治理设施排查整治。</w:t>
      </w:r>
      <w:r>
        <w:rPr>
          <w:rFonts w:hint="default" w:ascii="Times New Roman" w:hAnsi="Times New Roman" w:eastAsia="仿宋_GB2312" w:cs="Times New Roman"/>
          <w:b w:val="0"/>
          <w:bCs w:val="0"/>
          <w:color w:val="auto"/>
          <w:sz w:val="32"/>
          <w:szCs w:val="32"/>
          <w:highlight w:val="none"/>
          <w:lang w:val="en-US" w:eastAsia="zh-CN"/>
        </w:rPr>
        <w:t>制定工业炉窑、锅炉、涉VOCs等重点行业低效失效治理设施排查整治方案，重点关注治理工艺不适用，去除效率低或无去除效果、无稳定达标排放能力；治理设备简陋，必要组件未安装，未形成稳定可靠的副产品和消纳去向；建设质量低劣，关键组件达不到规范要求；管道或相关设施腐蚀、破损严重；自动化水平不高，无控制系统或功能缺失；治理设施运行维护不到位，关键组件、关键参数未按相关技术规范进行操作，污染物治理效果达不到设计要求；为掩盖治理设施低效失效等问题，不正常运维甚至干扰自动监测，篡改、伪造监测数据等情形，对疑似存在低效失效问题的设施开展现场手工监测，全面系统分析大气污染治理存在的突出问题，针对排查中发现的问题建立问题清单。对于污染治理设施不正常运行、偷排直排、篡改伪造监控数据、出具虚假不实监测报告等行为进行重点检查。2024年</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val="en-US" w:eastAsia="zh-CN"/>
        </w:rPr>
        <w:t>月底前组织企业完成自查，12月底前完成排查工作，对于能立行立改的问题，督促企业抓紧整改到位；确需一定整改周期，明确提升改造措施和时限，未按时完成提升改造的纳入秋冬季生产调控范围。</w:t>
      </w:r>
      <w:r>
        <w:rPr>
          <w:rFonts w:hint="default" w:ascii="Times New Roman" w:hAnsi="Times New Roman" w:eastAsia="仿宋_GB2312" w:cs="Times New Roman"/>
          <w:color w:val="auto"/>
          <w:sz w:val="32"/>
          <w:szCs w:val="32"/>
          <w:highlight w:val="none"/>
          <w:lang w:val="en-US" w:eastAsia="zh-CN"/>
        </w:rPr>
        <w:t>（市生态环境局</w:t>
      </w:r>
      <w:r>
        <w:rPr>
          <w:rFonts w:hint="eastAsia" w:cs="Times New Roman"/>
          <w:color w:val="auto"/>
          <w:sz w:val="32"/>
          <w:szCs w:val="32"/>
          <w:highlight w:val="none"/>
          <w:lang w:val="en-US" w:eastAsia="zh-CN"/>
        </w:rPr>
        <w:t>沁阳分局</w:t>
      </w:r>
      <w:r>
        <w:rPr>
          <w:rFonts w:hint="default" w:ascii="Times New Roman" w:hAnsi="Times New Roman" w:eastAsia="仿宋_GB2312" w:cs="Times New Roman"/>
          <w:color w:val="auto"/>
          <w:sz w:val="32"/>
          <w:szCs w:val="32"/>
          <w:highlight w:val="none"/>
          <w:lang w:val="en-US" w:eastAsia="zh-CN"/>
        </w:rPr>
        <w:t>牵头，市</w:t>
      </w:r>
      <w:r>
        <w:rPr>
          <w:rFonts w:hint="eastAsia" w:cs="Times New Roman"/>
          <w:color w:val="auto"/>
          <w:sz w:val="32"/>
          <w:szCs w:val="32"/>
          <w:highlight w:val="none"/>
          <w:lang w:val="en-US" w:eastAsia="zh-CN"/>
        </w:rPr>
        <w:t>工信</w:t>
      </w:r>
      <w:r>
        <w:rPr>
          <w:rFonts w:hint="default" w:ascii="Times New Roman" w:hAnsi="Times New Roman" w:eastAsia="仿宋_GB2312" w:cs="Times New Roman"/>
          <w:color w:val="auto"/>
          <w:sz w:val="32"/>
          <w:szCs w:val="32"/>
          <w:highlight w:val="none"/>
          <w:lang w:val="en-US" w:eastAsia="zh-CN"/>
        </w:rPr>
        <w:t>局参与）</w:t>
      </w:r>
    </w:p>
    <w:p w14:paraId="01931F51">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（二）深入打好PM</w:t>
      </w:r>
      <w:r>
        <w:rPr>
          <w:rFonts w:hint="default" w:ascii="Times New Roman" w:hAnsi="Times New Roman" w:eastAsia="楷体_GB2312" w:cs="Times New Roman"/>
          <w:b w:val="0"/>
          <w:bCs w:val="0"/>
          <w:color w:val="auto"/>
          <w:kern w:val="44"/>
          <w:sz w:val="32"/>
          <w:szCs w:val="32"/>
          <w:highlight w:val="none"/>
          <w:vertAlign w:val="subscript"/>
          <w:lang w:val="en-US" w:eastAsia="zh-CN" w:bidi="ar-SA"/>
        </w:rPr>
        <w:t>10</w:t>
      </w:r>
      <w:r>
        <w:rPr>
          <w:rFonts w:hint="default" w:ascii="Times New Roman" w:hAnsi="Times New Roman" w:eastAsia="楷体_GB2312" w:cs="Times New Roman"/>
          <w:b w:val="0"/>
          <w:bCs w:val="0"/>
          <w:color w:val="auto"/>
          <w:kern w:val="44"/>
          <w:sz w:val="32"/>
          <w:szCs w:val="32"/>
          <w:highlight w:val="none"/>
          <w:lang w:val="en-US" w:eastAsia="zh-CN" w:bidi="ar-SA"/>
        </w:rPr>
        <w:t>污染防治攻坚战</w:t>
      </w:r>
    </w:p>
    <w:p w14:paraId="19D3A816">
      <w:pPr>
        <w:keepNext w:val="0"/>
        <w:keepLines w:val="0"/>
        <w:pageBreakBefore w:val="0"/>
        <w:widowControl w:val="0"/>
        <w:kinsoku/>
        <w:wordWrap/>
        <w:overflowPunct/>
        <w:topLinePunct/>
        <w:autoSpaceDE/>
        <w:autoSpaceDN/>
        <w:bidi w:val="0"/>
        <w:adjustRightInd/>
        <w:spacing w:line="560" w:lineRule="exact"/>
        <w:ind w:firstLine="643" w:firstLineChars="200"/>
        <w:textAlignment w:val="auto"/>
        <w:outlineLvl w:val="1"/>
        <w:rPr>
          <w:rFonts w:hint="default" w:ascii="Times New Roman" w:hAnsi="Times New Roman" w:eastAsia="仿宋_GB2312" w:cs="Times New Roman"/>
          <w:color w:val="auto"/>
          <w:kern w:val="0"/>
          <w:sz w:val="32"/>
          <w:szCs w:val="32"/>
          <w:highlight w:val="none"/>
          <w:u w:val="none"/>
          <w:lang w:val="en-US" w:eastAsia="zh-CN"/>
        </w:rPr>
      </w:pPr>
      <w:bookmarkStart w:id="8" w:name="_Toc114408660"/>
      <w:r>
        <w:rPr>
          <w:rFonts w:hint="default" w:ascii="Times New Roman" w:hAnsi="Times New Roman" w:eastAsia="仿宋_GB2312" w:cs="Times New Roman"/>
          <w:b/>
          <w:bCs/>
          <w:color w:val="auto"/>
          <w:kern w:val="0"/>
          <w:sz w:val="32"/>
          <w:szCs w:val="32"/>
          <w:highlight w:val="none"/>
          <w:lang w:val="en-US" w:eastAsia="zh-CN"/>
        </w:rPr>
        <w:t xml:space="preserve">1. </w:t>
      </w:r>
      <w:bookmarkEnd w:id="8"/>
      <w:r>
        <w:rPr>
          <w:rFonts w:hint="default" w:ascii="Times New Roman" w:hAnsi="Times New Roman" w:eastAsia="仿宋_GB2312" w:cs="Times New Roman"/>
          <w:b/>
          <w:bCs/>
          <w:color w:val="auto"/>
          <w:kern w:val="0"/>
          <w:sz w:val="32"/>
          <w:szCs w:val="32"/>
          <w:highlight w:val="none"/>
          <w:lang w:val="en-US" w:eastAsia="zh-CN"/>
        </w:rPr>
        <w:t>深化扬尘污染综合治理</w:t>
      </w:r>
      <w:r>
        <w:rPr>
          <w:rFonts w:hint="default" w:ascii="Times New Roman" w:hAnsi="Times New Roman" w:cs="Times New Roman"/>
          <w:b/>
          <w:bCs/>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住建、交通、</w:t>
      </w:r>
      <w:r>
        <w:rPr>
          <w:rFonts w:hint="default" w:ascii="Times New Roman" w:hAnsi="Times New Roman" w:eastAsia="仿宋_GB2312" w:cs="Times New Roman"/>
          <w:color w:val="auto"/>
          <w:sz w:val="32"/>
          <w:szCs w:val="32"/>
          <w:highlight w:val="none"/>
          <w:u w:val="none"/>
          <w:lang w:eastAsia="zh-CN"/>
        </w:rPr>
        <w:t>自然资源和规划</w:t>
      </w:r>
      <w:r>
        <w:rPr>
          <w:rFonts w:hint="default" w:ascii="Times New Roman" w:hAnsi="Times New Roman" w:eastAsia="仿宋_GB2312" w:cs="Times New Roman"/>
          <w:color w:val="auto"/>
          <w:sz w:val="32"/>
          <w:szCs w:val="32"/>
          <w:highlight w:val="none"/>
          <w:u w:val="none"/>
        </w:rPr>
        <w:t>、水利</w:t>
      </w:r>
      <w:r>
        <w:rPr>
          <w:rFonts w:hint="default" w:ascii="Times New Roman" w:hAnsi="Times New Roman" w:eastAsia="仿宋_GB2312" w:cs="Times New Roman"/>
          <w:color w:val="auto"/>
          <w:sz w:val="32"/>
          <w:szCs w:val="32"/>
          <w:highlight w:val="none"/>
          <w:u w:val="none"/>
          <w:lang w:eastAsia="zh-CN"/>
        </w:rPr>
        <w:t>、</w:t>
      </w:r>
      <w:r>
        <w:rPr>
          <w:rFonts w:hint="eastAsia" w:cs="Times New Roman"/>
          <w:color w:val="auto"/>
          <w:sz w:val="32"/>
          <w:szCs w:val="32"/>
          <w:highlight w:val="none"/>
          <w:u w:val="none"/>
          <w:lang w:eastAsia="zh-CN"/>
        </w:rPr>
        <w:t>林业</w:t>
      </w:r>
      <w:r>
        <w:rPr>
          <w:rFonts w:hint="default" w:ascii="Times New Roman" w:hAnsi="Times New Roman" w:eastAsia="仿宋_GB2312" w:cs="Times New Roman"/>
          <w:color w:val="auto"/>
          <w:sz w:val="32"/>
          <w:szCs w:val="32"/>
          <w:highlight w:val="none"/>
          <w:u w:val="none"/>
          <w:lang w:eastAsia="zh-CN"/>
        </w:rPr>
        <w:t>、</w:t>
      </w:r>
      <w:r>
        <w:rPr>
          <w:rFonts w:hint="eastAsia" w:cs="Times New Roman"/>
          <w:color w:val="auto"/>
          <w:sz w:val="32"/>
          <w:szCs w:val="32"/>
          <w:highlight w:val="none"/>
          <w:u w:val="none"/>
          <w:lang w:eastAsia="zh-CN"/>
        </w:rPr>
        <w:t>沁河</w:t>
      </w:r>
      <w:r>
        <w:rPr>
          <w:rFonts w:hint="default" w:ascii="Times New Roman" w:hAnsi="Times New Roman" w:eastAsia="仿宋_GB2312" w:cs="Times New Roman"/>
          <w:color w:val="auto"/>
          <w:sz w:val="32"/>
          <w:szCs w:val="32"/>
          <w:highlight w:val="none"/>
          <w:u w:val="none"/>
          <w:lang w:eastAsia="zh-CN"/>
        </w:rPr>
        <w:t>河务</w:t>
      </w:r>
      <w:r>
        <w:rPr>
          <w:rFonts w:hint="default" w:ascii="Times New Roman" w:hAnsi="Times New Roman" w:eastAsia="仿宋_GB2312" w:cs="Times New Roman"/>
          <w:color w:val="auto"/>
          <w:sz w:val="32"/>
          <w:szCs w:val="32"/>
          <w:highlight w:val="none"/>
          <w:u w:val="none"/>
        </w:rPr>
        <w:t>等监管部门以及乡镇政府（街道办事处），均要依据法定管理职责和管理权限，与主管领域或辖区内施工单位</w:t>
      </w:r>
      <w:r>
        <w:rPr>
          <w:rFonts w:hint="default" w:ascii="Times New Roman" w:hAnsi="Times New Roman" w:cs="Times New Roman"/>
          <w:color w:val="auto"/>
          <w:sz w:val="32"/>
          <w:szCs w:val="32"/>
          <w:highlight w:val="none"/>
          <w:u w:val="none"/>
          <w:lang w:eastAsia="zh-CN"/>
        </w:rPr>
        <w:t>（或项目法人）</w:t>
      </w:r>
      <w:r>
        <w:rPr>
          <w:rFonts w:hint="default" w:ascii="Times New Roman" w:hAnsi="Times New Roman" w:eastAsia="仿宋_GB2312" w:cs="Times New Roman"/>
          <w:color w:val="auto"/>
          <w:sz w:val="32"/>
          <w:szCs w:val="32"/>
          <w:highlight w:val="none"/>
          <w:u w:val="none"/>
        </w:rPr>
        <w:t>签订扬尘污染治理责任书，监督施工单位</w:t>
      </w:r>
      <w:r>
        <w:rPr>
          <w:rFonts w:hint="default" w:ascii="Times New Roman" w:hAnsi="Times New Roman" w:cs="Times New Roman"/>
          <w:color w:val="auto"/>
          <w:sz w:val="32"/>
          <w:szCs w:val="32"/>
          <w:highlight w:val="none"/>
          <w:u w:val="none"/>
          <w:lang w:eastAsia="zh-CN"/>
        </w:rPr>
        <w:t>（或项目法人）</w:t>
      </w:r>
      <w:r>
        <w:rPr>
          <w:rFonts w:hint="default" w:ascii="Times New Roman" w:hAnsi="Times New Roman" w:eastAsia="仿宋_GB2312" w:cs="Times New Roman"/>
          <w:color w:val="auto"/>
          <w:sz w:val="32"/>
          <w:szCs w:val="32"/>
          <w:highlight w:val="none"/>
          <w:u w:val="none"/>
        </w:rPr>
        <w:t>按照规定标准、治理措施和时限，完成各项治理任务。</w:t>
      </w:r>
      <w:r>
        <w:rPr>
          <w:rFonts w:hint="default" w:ascii="Times New Roman" w:hAnsi="Times New Roman" w:cs="Times New Roman"/>
          <w:color w:val="auto"/>
          <w:sz w:val="32"/>
          <w:szCs w:val="32"/>
          <w:highlight w:val="none"/>
          <w:u w:val="none"/>
          <w:lang w:val="en-US" w:eastAsia="zh-CN"/>
        </w:rPr>
        <w:t>2024年、2025年，实现扬尘污染防控标准化示范工地创建数量达到辖区在建工程的20%、30%。</w:t>
      </w:r>
      <w:r>
        <w:rPr>
          <w:rFonts w:hint="default" w:ascii="Times New Roman" w:hAnsi="Times New Roman" w:cs="Times New Roman"/>
          <w:color w:val="auto"/>
          <w:sz w:val="32"/>
          <w:szCs w:val="32"/>
          <w:highlight w:val="none"/>
          <w:u w:val="none"/>
          <w:lang w:eastAsia="zh-CN"/>
        </w:rPr>
        <w:t>实施网格</w:t>
      </w:r>
      <w:r>
        <w:rPr>
          <w:rFonts w:hint="default" w:ascii="Times New Roman" w:hAnsi="Times New Roman" w:eastAsia="仿宋_GB2312" w:cs="Times New Roman"/>
          <w:color w:val="auto"/>
          <w:sz w:val="32"/>
          <w:szCs w:val="32"/>
          <w:highlight w:val="none"/>
        </w:rPr>
        <w:t>化降尘量监测</w:t>
      </w:r>
      <w:r>
        <w:rPr>
          <w:rFonts w:hint="default" w:ascii="Times New Roman" w:hAnsi="Times New Roman" w:eastAsia="仿宋_GB2312" w:cs="Times New Roman"/>
          <w:color w:val="auto"/>
          <w:kern w:val="0"/>
          <w:sz w:val="32"/>
          <w:szCs w:val="32"/>
          <w:highlight w:val="none"/>
        </w:rPr>
        <w:t>考核</w:t>
      </w:r>
      <w:r>
        <w:rPr>
          <w:rFonts w:hint="default"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eastAsia="zh-CN"/>
        </w:rPr>
        <w:t>全市</w:t>
      </w:r>
      <w:r>
        <w:rPr>
          <w:rFonts w:hint="default" w:ascii="Times New Roman" w:hAnsi="Times New Roman" w:eastAsia="仿宋_GB2312" w:cs="Times New Roman"/>
          <w:color w:val="auto"/>
          <w:kern w:val="0"/>
          <w:sz w:val="32"/>
          <w:szCs w:val="32"/>
          <w:highlight w:val="none"/>
        </w:rPr>
        <w:t>平均降尘量不高于</w:t>
      </w:r>
      <w:r>
        <w:rPr>
          <w:rFonts w:hint="default" w:ascii="Times New Roman" w:hAnsi="Times New Roman"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吨/月</w:t>
      </w:r>
      <w:r>
        <w:rPr>
          <w:rFonts w:hint="default" w:ascii="Times New Roman" w:hAnsi="Times New Roman" w:eastAsia="汉仪大黑简"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t>平方公里。（</w:t>
      </w:r>
      <w:r>
        <w:rPr>
          <w:rFonts w:hint="default" w:ascii="Times New Roman" w:hAnsi="Times New Roman" w:eastAsia="仿宋_GB2312" w:cs="Times New Roman"/>
          <w:color w:val="auto"/>
          <w:kern w:val="0"/>
          <w:sz w:val="32"/>
          <w:szCs w:val="32"/>
          <w:highlight w:val="none"/>
          <w:lang w:eastAsia="zh-CN"/>
        </w:rPr>
        <w:t>市</w:t>
      </w:r>
      <w:r>
        <w:rPr>
          <w:rFonts w:hint="default" w:ascii="Times New Roman" w:hAnsi="Times New Roman" w:cs="Times New Roman"/>
          <w:color w:val="auto"/>
          <w:kern w:val="0"/>
          <w:sz w:val="32"/>
          <w:szCs w:val="32"/>
          <w:highlight w:val="none"/>
          <w:lang w:eastAsia="zh-CN"/>
        </w:rPr>
        <w:t>住建局</w:t>
      </w:r>
      <w:r>
        <w:rPr>
          <w:rFonts w:hint="default"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eastAsia="zh-CN"/>
        </w:rPr>
        <w:t>城管</w:t>
      </w:r>
      <w:r>
        <w:rPr>
          <w:rFonts w:hint="default" w:ascii="Times New Roman" w:hAnsi="Times New Roman" w:eastAsia="仿宋_GB2312" w:cs="Times New Roman"/>
          <w:color w:val="auto"/>
          <w:kern w:val="0"/>
          <w:sz w:val="32"/>
          <w:szCs w:val="32"/>
          <w:highlight w:val="none"/>
          <w:lang w:eastAsia="zh-CN"/>
        </w:rPr>
        <w:t>局、</w:t>
      </w:r>
      <w:r>
        <w:rPr>
          <w:rFonts w:hint="default" w:ascii="Times New Roman" w:hAnsi="Times New Roman" w:eastAsia="仿宋_GB2312" w:cs="Times New Roman"/>
          <w:color w:val="auto"/>
          <w:kern w:val="0"/>
          <w:sz w:val="32"/>
          <w:szCs w:val="32"/>
          <w:highlight w:val="none"/>
        </w:rPr>
        <w:t>交通局、自然资源</w:t>
      </w:r>
      <w:r>
        <w:rPr>
          <w:rFonts w:hint="default" w:ascii="Times New Roman" w:hAnsi="Times New Roman" w:eastAsia="仿宋_GB2312" w:cs="Times New Roman"/>
          <w:color w:val="auto"/>
          <w:kern w:val="0"/>
          <w:sz w:val="32"/>
          <w:szCs w:val="32"/>
          <w:highlight w:val="none"/>
          <w:lang w:eastAsia="zh-CN"/>
        </w:rPr>
        <w:t>和规划</w:t>
      </w:r>
      <w:r>
        <w:rPr>
          <w:rFonts w:hint="default" w:ascii="Times New Roman" w:hAnsi="Times New Roman" w:eastAsia="仿宋_GB2312" w:cs="Times New Roman"/>
          <w:color w:val="auto"/>
          <w:kern w:val="0"/>
          <w:sz w:val="32"/>
          <w:szCs w:val="32"/>
          <w:highlight w:val="none"/>
        </w:rPr>
        <w:t>局、林业发展服务中心、水利局、</w:t>
      </w:r>
      <w:r>
        <w:rPr>
          <w:rFonts w:hint="eastAsia" w:cs="Times New Roman"/>
          <w:color w:val="auto"/>
          <w:kern w:val="0"/>
          <w:sz w:val="32"/>
          <w:szCs w:val="32"/>
          <w:highlight w:val="none"/>
          <w:lang w:eastAsia="zh-CN"/>
        </w:rPr>
        <w:t>沁河</w:t>
      </w:r>
      <w:r>
        <w:rPr>
          <w:rFonts w:hint="default" w:ascii="Times New Roman" w:hAnsi="Times New Roman" w:eastAsia="仿宋_GB2312" w:cs="Times New Roman"/>
          <w:color w:val="auto"/>
          <w:kern w:val="0"/>
          <w:sz w:val="32"/>
          <w:szCs w:val="32"/>
          <w:highlight w:val="none"/>
          <w:lang w:eastAsia="zh-CN"/>
        </w:rPr>
        <w:t>河务局</w:t>
      </w:r>
      <w:r>
        <w:rPr>
          <w:rFonts w:hint="eastAsia" w:cs="Times New Roman"/>
          <w:color w:val="auto"/>
          <w:kern w:val="0"/>
          <w:sz w:val="32"/>
          <w:szCs w:val="32"/>
          <w:highlight w:val="none"/>
          <w:lang w:eastAsia="zh-CN"/>
        </w:rPr>
        <w:t>等</w:t>
      </w:r>
      <w:r>
        <w:rPr>
          <w:rFonts w:hint="default" w:ascii="Times New Roman" w:hAnsi="Times New Roman" w:eastAsia="仿宋_GB2312" w:cs="Times New Roman"/>
          <w:color w:val="auto"/>
          <w:kern w:val="0"/>
          <w:sz w:val="32"/>
          <w:szCs w:val="32"/>
          <w:highlight w:val="none"/>
          <w:lang w:eastAsia="zh-CN"/>
        </w:rPr>
        <w:t>按职责分工负责</w:t>
      </w:r>
      <w:r>
        <w:rPr>
          <w:rFonts w:hint="default" w:ascii="Times New Roman" w:hAnsi="Times New Roman" w:eastAsia="仿宋_GB2312" w:cs="Times New Roman"/>
          <w:color w:val="auto"/>
          <w:kern w:val="0"/>
          <w:sz w:val="32"/>
          <w:szCs w:val="32"/>
          <w:highlight w:val="none"/>
        </w:rPr>
        <w:t>）</w:t>
      </w:r>
    </w:p>
    <w:p w14:paraId="1FF77840">
      <w:pPr>
        <w:keepNext w:val="0"/>
        <w:keepLines w:val="0"/>
        <w:pageBreakBefore w:val="0"/>
        <w:widowControl w:val="0"/>
        <w:kinsoku/>
        <w:wordWrap/>
        <w:overflowPunct/>
        <w:topLinePunct/>
        <w:autoSpaceDE/>
        <w:autoSpaceDN/>
        <w:bidi w:val="0"/>
        <w:adjustRightInd/>
        <w:spacing w:line="560" w:lineRule="exact"/>
        <w:ind w:firstLine="643" w:firstLineChars="200"/>
        <w:textAlignment w:val="auto"/>
        <w:outlineLvl w:val="1"/>
        <w:rPr>
          <w:rFonts w:hint="default" w:ascii="Times New Roman" w:hAnsi="Times New Roman" w:eastAsia="仿宋_GB2312" w:cs="Times New Roman"/>
          <w:color w:val="auto"/>
          <w:kern w:val="0"/>
          <w:sz w:val="32"/>
          <w:szCs w:val="32"/>
          <w:highlight w:val="none"/>
        </w:rPr>
      </w:pPr>
      <w:r>
        <w:rPr>
          <w:rFonts w:hint="eastAsia" w:cs="Times New Roman"/>
          <w:b/>
          <w:bCs/>
          <w:color w:val="auto"/>
          <w:kern w:val="0"/>
          <w:sz w:val="32"/>
          <w:szCs w:val="32"/>
          <w:highlight w:val="none"/>
          <w:u w:val="none"/>
          <w:lang w:val="en-US" w:eastAsia="zh-CN"/>
        </w:rPr>
        <w:t>2.</w:t>
      </w:r>
      <w:r>
        <w:rPr>
          <w:rFonts w:hint="default" w:ascii="Times New Roman" w:hAnsi="Times New Roman" w:eastAsia="仿宋_GB2312" w:cs="Times New Roman"/>
          <w:b/>
          <w:bCs/>
          <w:color w:val="auto"/>
          <w:kern w:val="0"/>
          <w:sz w:val="32"/>
          <w:szCs w:val="32"/>
          <w:highlight w:val="none"/>
          <w:u w:val="none"/>
          <w:lang w:val="en-US" w:eastAsia="zh-CN"/>
        </w:rPr>
        <w:t>持续开展城市清洁行动</w:t>
      </w:r>
      <w:r>
        <w:rPr>
          <w:rFonts w:hint="eastAsia" w:cs="Times New Roman"/>
          <w:b/>
          <w:bCs/>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US" w:eastAsia="zh-CN"/>
        </w:rPr>
        <w:t>强化道路扬尘综合整治，对长期未开发的建设裸地进行排查整治。</w:t>
      </w:r>
      <w:r>
        <w:rPr>
          <w:rFonts w:hint="default" w:ascii="Times New Roman" w:hAnsi="Times New Roman" w:eastAsia="仿宋_GB2312" w:cs="Times New Roman"/>
          <w:color w:val="auto"/>
          <w:kern w:val="0"/>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城管、公安、交通、</w:t>
      </w:r>
      <w:r>
        <w:rPr>
          <w:rFonts w:hint="eastAsia" w:cs="Times New Roman"/>
          <w:color w:val="auto"/>
          <w:sz w:val="32"/>
          <w:szCs w:val="32"/>
          <w:highlight w:val="none"/>
          <w:u w:val="none"/>
          <w:lang w:eastAsia="zh-CN"/>
        </w:rPr>
        <w:t>林业</w:t>
      </w:r>
      <w:r>
        <w:rPr>
          <w:rFonts w:hint="default" w:ascii="Times New Roman" w:hAnsi="Times New Roman" w:eastAsia="仿宋_GB2312" w:cs="Times New Roman"/>
          <w:color w:val="auto"/>
          <w:sz w:val="32"/>
          <w:szCs w:val="32"/>
          <w:highlight w:val="none"/>
          <w:u w:val="none"/>
        </w:rPr>
        <w:t>等监管部门以及乡镇政府（街道办事处），要认真履行监督管理职责，</w:t>
      </w:r>
      <w:r>
        <w:rPr>
          <w:rFonts w:hint="default" w:ascii="Times New Roman" w:hAnsi="Times New Roman" w:eastAsia="仿宋_GB2312" w:cs="Times New Roman"/>
          <w:color w:val="auto"/>
          <w:kern w:val="0"/>
          <w:sz w:val="32"/>
          <w:szCs w:val="32"/>
          <w:highlight w:val="none"/>
        </w:rPr>
        <w:t>进一步扩大道路机械化清扫和洒水范围，加大城市外环路、城市出入口、城乡结合部等重要路段冲洗保洁力度</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强化道路清洗保洁作业与道路绿化用地扬尘治理。</w:t>
      </w:r>
      <w:r>
        <w:rPr>
          <w:rFonts w:hint="default" w:ascii="Times New Roman" w:hAnsi="Times New Roman" w:eastAsia="仿宋_GB2312" w:cs="Times New Roman"/>
          <w:color w:val="auto"/>
          <w:kern w:val="0"/>
          <w:sz w:val="32"/>
          <w:szCs w:val="32"/>
          <w:highlight w:val="none"/>
          <w:u w:val="none"/>
          <w:lang w:val="en-US" w:eastAsia="zh-CN"/>
        </w:rPr>
        <w:t>到2025年，城市建成区主次干道机械化清扫率达到</w:t>
      </w:r>
      <w:r>
        <w:rPr>
          <w:rFonts w:hint="default" w:ascii="Times New Roman" w:hAnsi="Times New Roman" w:eastAsia="仿宋_GB2312" w:cs="Times New Roman"/>
          <w:color w:val="auto"/>
          <w:kern w:val="0"/>
          <w:sz w:val="32"/>
          <w:szCs w:val="32"/>
          <w:highlight w:val="none"/>
        </w:rPr>
        <w:t>70%</w:t>
      </w:r>
      <w:r>
        <w:rPr>
          <w:rFonts w:hint="default" w:ascii="Times New Roman" w:hAnsi="Times New Roman" w:cs="Times New Roman"/>
          <w:color w:val="auto"/>
          <w:kern w:val="0"/>
          <w:sz w:val="32"/>
          <w:szCs w:val="32"/>
          <w:highlight w:val="none"/>
          <w:lang w:eastAsia="zh-CN"/>
        </w:rPr>
        <w:t>左右</w:t>
      </w:r>
      <w:r>
        <w:rPr>
          <w:rFonts w:hint="eastAsia"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rPr>
        <w:t>加强渣土车扬尘</w:t>
      </w:r>
      <w:r>
        <w:rPr>
          <w:rFonts w:hint="default" w:ascii="Times New Roman" w:hAnsi="Times New Roman" w:cs="Times New Roman"/>
          <w:color w:val="auto"/>
          <w:kern w:val="0"/>
          <w:sz w:val="32"/>
          <w:szCs w:val="32"/>
          <w:highlight w:val="none"/>
          <w:lang w:eastAsia="zh-CN"/>
        </w:rPr>
        <w:t>污染防控</w:t>
      </w:r>
      <w:r>
        <w:rPr>
          <w:rFonts w:hint="default" w:ascii="Times New Roman" w:hAnsi="Times New Roman" w:eastAsia="仿宋_GB2312" w:cs="Times New Roman"/>
          <w:color w:val="auto"/>
          <w:kern w:val="0"/>
          <w:sz w:val="32"/>
          <w:szCs w:val="32"/>
          <w:highlight w:val="none"/>
        </w:rPr>
        <w:t>，保持行驶途中全密闭。（</w:t>
      </w:r>
      <w:r>
        <w:rPr>
          <w:rFonts w:hint="default" w:ascii="Times New Roman" w:hAnsi="Times New Roman" w:eastAsia="仿宋_GB2312" w:cs="Times New Roman"/>
          <w:color w:val="auto"/>
          <w:kern w:val="0"/>
          <w:sz w:val="32"/>
          <w:szCs w:val="32"/>
          <w:highlight w:val="none"/>
          <w:lang w:eastAsia="zh-CN"/>
        </w:rPr>
        <w:t>市</w:t>
      </w:r>
      <w:r>
        <w:rPr>
          <w:rFonts w:hint="eastAsia" w:ascii="Times New Roman" w:hAnsi="Times New Roman" w:eastAsia="仿宋_GB2312" w:cs="Times New Roman"/>
          <w:color w:val="auto"/>
          <w:kern w:val="0"/>
          <w:sz w:val="32"/>
          <w:szCs w:val="32"/>
          <w:highlight w:val="none"/>
          <w:lang w:eastAsia="zh-CN"/>
        </w:rPr>
        <w:t>城管</w:t>
      </w:r>
      <w:r>
        <w:rPr>
          <w:rFonts w:hint="default" w:ascii="Times New Roman" w:hAnsi="Times New Roman" w:eastAsia="仿宋_GB2312" w:cs="Times New Roman"/>
          <w:color w:val="auto"/>
          <w:kern w:val="0"/>
          <w:sz w:val="32"/>
          <w:szCs w:val="32"/>
          <w:highlight w:val="none"/>
          <w:lang w:eastAsia="zh-CN"/>
        </w:rPr>
        <w:t>局、</w:t>
      </w:r>
      <w:r>
        <w:rPr>
          <w:rFonts w:hint="default" w:ascii="Times New Roman" w:hAnsi="Times New Roman" w:eastAsia="仿宋_GB2312" w:cs="Times New Roman"/>
          <w:color w:val="auto"/>
          <w:kern w:val="0"/>
          <w:sz w:val="32"/>
          <w:szCs w:val="32"/>
          <w:highlight w:val="none"/>
        </w:rPr>
        <w:t>交通局</w:t>
      </w:r>
      <w:r>
        <w:rPr>
          <w:rFonts w:hint="default"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林业发展服务中心</w:t>
      </w:r>
      <w:r>
        <w:rPr>
          <w:rFonts w:hint="default" w:ascii="Times New Roman" w:hAnsi="Times New Roman" w:eastAsia="仿宋_GB2312" w:cs="Times New Roman"/>
          <w:color w:val="auto"/>
          <w:kern w:val="0"/>
          <w:sz w:val="32"/>
          <w:szCs w:val="32"/>
          <w:highlight w:val="none"/>
          <w:lang w:eastAsia="zh-CN"/>
        </w:rPr>
        <w:t>、公安局按职责分工负责</w:t>
      </w:r>
      <w:r>
        <w:rPr>
          <w:rFonts w:hint="default" w:ascii="Times New Roman" w:hAnsi="Times New Roman" w:eastAsia="仿宋_GB2312" w:cs="Times New Roman"/>
          <w:color w:val="auto"/>
          <w:kern w:val="0"/>
          <w:sz w:val="32"/>
          <w:szCs w:val="32"/>
          <w:highlight w:val="none"/>
        </w:rPr>
        <w:t>）</w:t>
      </w:r>
    </w:p>
    <w:p w14:paraId="25A1D640">
      <w:pPr>
        <w:keepNext w:val="0"/>
        <w:keepLines w:val="0"/>
        <w:pageBreakBefore w:val="0"/>
        <w:widowControl w:val="0"/>
        <w:kinsoku/>
        <w:wordWrap/>
        <w:overflowPunct/>
        <w:topLinePunct/>
        <w:autoSpaceDE/>
        <w:autoSpaceDN/>
        <w:bidi w:val="0"/>
        <w:adjustRightInd/>
        <w:snapToGrid/>
        <w:spacing w:line="560" w:lineRule="exact"/>
        <w:ind w:left="0" w:right="0" w:rightChars="0" w:firstLine="643" w:firstLineChars="200"/>
        <w:textAlignment w:val="auto"/>
        <w:outlineLvl w:val="1"/>
        <w:rPr>
          <w:rFonts w:hint="default" w:ascii="Times New Roman" w:hAnsi="Times New Roman" w:eastAsia="仿宋_GB2312" w:cs="Times New Roman"/>
          <w:color w:val="auto"/>
          <w:kern w:val="0"/>
          <w:sz w:val="32"/>
          <w:szCs w:val="32"/>
          <w:highlight w:val="none"/>
          <w:u w:val="none"/>
          <w:lang w:eastAsia="zh-CN"/>
        </w:rPr>
      </w:pPr>
      <w:r>
        <w:rPr>
          <w:rFonts w:hint="eastAsia" w:cs="Times New Roman"/>
          <w:b/>
          <w:bCs/>
          <w:color w:val="auto"/>
          <w:kern w:val="0"/>
          <w:sz w:val="32"/>
          <w:szCs w:val="32"/>
          <w:highlight w:val="none"/>
          <w:lang w:val="en-US" w:eastAsia="zh-CN"/>
        </w:rPr>
        <w:t>3.</w:t>
      </w:r>
      <w:r>
        <w:rPr>
          <w:rFonts w:hint="default" w:ascii="Times New Roman" w:hAnsi="Times New Roman" w:cs="Times New Roman"/>
          <w:b/>
          <w:bCs/>
          <w:color w:val="auto"/>
          <w:kern w:val="0"/>
          <w:sz w:val="32"/>
          <w:szCs w:val="32"/>
          <w:highlight w:val="none"/>
          <w:u w:val="none"/>
          <w:lang w:eastAsia="zh-CN"/>
        </w:rPr>
        <w:t>强化重点区域扬尘治理。</w:t>
      </w:r>
      <w:r>
        <w:rPr>
          <w:rFonts w:hint="default" w:ascii="Times New Roman" w:hAnsi="Times New Roman" w:cs="Times New Roman"/>
          <w:b w:val="0"/>
          <w:bCs w:val="0"/>
          <w:color w:val="auto"/>
          <w:kern w:val="0"/>
          <w:sz w:val="32"/>
          <w:szCs w:val="32"/>
          <w:highlight w:val="none"/>
          <w:u w:val="none"/>
          <w:lang w:eastAsia="zh-CN"/>
        </w:rPr>
        <w:t>要</w:t>
      </w:r>
      <w:r>
        <w:rPr>
          <w:rFonts w:hint="default" w:ascii="Times New Roman" w:hAnsi="Times New Roman" w:cs="Times New Roman"/>
          <w:b w:val="0"/>
          <w:bCs w:val="0"/>
          <w:color w:val="auto"/>
          <w:kern w:val="0"/>
          <w:sz w:val="32"/>
          <w:szCs w:val="32"/>
          <w:highlight w:val="none"/>
          <w:u w:val="none"/>
          <w:lang w:val="en-US" w:eastAsia="zh-CN"/>
        </w:rPr>
        <w:t>督促</w:t>
      </w:r>
      <w:r>
        <w:rPr>
          <w:rFonts w:hint="default" w:ascii="Times New Roman" w:hAnsi="Times New Roman" w:cs="Times New Roman"/>
          <w:color w:val="auto"/>
          <w:kern w:val="0"/>
          <w:sz w:val="32"/>
          <w:szCs w:val="32"/>
          <w:highlight w:val="none"/>
          <w:u w:val="none"/>
          <w:lang w:val="en-US" w:eastAsia="zh-CN"/>
        </w:rPr>
        <w:t>国省干线公路</w:t>
      </w:r>
      <w:r>
        <w:rPr>
          <w:rFonts w:hint="eastAsia" w:cs="Times New Roman"/>
          <w:color w:val="auto"/>
          <w:kern w:val="0"/>
          <w:sz w:val="32"/>
          <w:szCs w:val="32"/>
          <w:highlight w:val="none"/>
          <w:u w:val="none"/>
          <w:lang w:val="en-US" w:eastAsia="zh-CN"/>
        </w:rPr>
        <w:t>、城区道路</w:t>
      </w:r>
      <w:r>
        <w:rPr>
          <w:rFonts w:hint="default" w:ascii="Times New Roman" w:hAnsi="Times New Roman" w:cs="Times New Roman"/>
          <w:color w:val="auto"/>
          <w:kern w:val="0"/>
          <w:sz w:val="32"/>
          <w:szCs w:val="32"/>
          <w:highlight w:val="none"/>
          <w:u w:val="none"/>
          <w:lang w:val="en-US" w:eastAsia="zh-CN"/>
        </w:rPr>
        <w:t>两侧</w:t>
      </w:r>
      <w:r>
        <w:rPr>
          <w:rFonts w:hint="eastAsia" w:cs="Times New Roman"/>
          <w:color w:val="auto"/>
          <w:kern w:val="0"/>
          <w:sz w:val="32"/>
          <w:szCs w:val="32"/>
          <w:highlight w:val="none"/>
          <w:u w:val="none"/>
          <w:lang w:val="en-US" w:eastAsia="zh-CN"/>
        </w:rPr>
        <w:t>等</w:t>
      </w:r>
      <w:r>
        <w:rPr>
          <w:rFonts w:hint="default" w:ascii="Times New Roman" w:hAnsi="Times New Roman" w:cs="Times New Roman"/>
          <w:color w:val="auto"/>
          <w:kern w:val="0"/>
          <w:sz w:val="32"/>
          <w:szCs w:val="32"/>
          <w:highlight w:val="none"/>
          <w:u w:val="none"/>
          <w:lang w:val="en-US" w:eastAsia="zh-CN"/>
        </w:rPr>
        <w:t>单位、企业、门店等落实“门前五包”</w:t>
      </w:r>
      <w:r>
        <w:rPr>
          <w:rFonts w:hint="eastAsia" w:cs="Times New Roman"/>
          <w:color w:val="auto"/>
          <w:kern w:val="0"/>
          <w:sz w:val="32"/>
          <w:szCs w:val="32"/>
          <w:highlight w:val="none"/>
          <w:u w:val="none"/>
          <w:lang w:val="en-US" w:eastAsia="zh-CN"/>
        </w:rPr>
        <w:t>（门前包卫生、包绿化、包市政公用设施、包建筑物容貌、包秩序）</w:t>
      </w:r>
      <w:r>
        <w:rPr>
          <w:rFonts w:hint="default" w:ascii="Times New Roman" w:hAnsi="Times New Roman" w:cs="Times New Roman"/>
          <w:color w:val="auto"/>
          <w:kern w:val="0"/>
          <w:sz w:val="32"/>
          <w:szCs w:val="32"/>
          <w:highlight w:val="none"/>
          <w:u w:val="none"/>
          <w:lang w:val="en-US" w:eastAsia="zh-CN"/>
        </w:rPr>
        <w:t>责任制，严格落实“定人、定时、定责”制度，严格门前区域硬化绿化、</w:t>
      </w:r>
      <w:r>
        <w:rPr>
          <w:rFonts w:hint="default" w:ascii="Times New Roman" w:hAnsi="Times New Roman" w:eastAsia="仿宋_GB2312" w:cs="Times New Roman"/>
          <w:color w:val="auto"/>
          <w:kern w:val="0"/>
          <w:sz w:val="32"/>
          <w:szCs w:val="32"/>
          <w:highlight w:val="none"/>
          <w:u w:val="none"/>
          <w:lang w:val="en-US" w:eastAsia="zh-CN"/>
        </w:rPr>
        <w:t>道路洒水冲洗降尘</w:t>
      </w:r>
      <w:r>
        <w:rPr>
          <w:rFonts w:hint="default" w:ascii="Times New Roman" w:hAnsi="Times New Roman" w:cs="Times New Roman"/>
          <w:color w:val="auto"/>
          <w:kern w:val="0"/>
          <w:sz w:val="32"/>
          <w:szCs w:val="32"/>
          <w:highlight w:val="none"/>
          <w:u w:val="none"/>
          <w:lang w:val="en-US" w:eastAsia="zh-CN"/>
        </w:rPr>
        <w:t>等措施，严查车辆沿路抛撒、带泥上路等违规行为，减少道路面源污染。开展停车场扬尘污染专项整治，2024年</w:t>
      </w:r>
      <w:r>
        <w:rPr>
          <w:rFonts w:hint="eastAsia" w:cs="Times New Roman"/>
          <w:color w:val="auto"/>
          <w:kern w:val="0"/>
          <w:sz w:val="32"/>
          <w:szCs w:val="32"/>
          <w:highlight w:val="none"/>
          <w:u w:val="none"/>
          <w:lang w:val="en-US" w:eastAsia="zh-CN"/>
        </w:rPr>
        <w:t>9</w:t>
      </w:r>
      <w:r>
        <w:rPr>
          <w:rFonts w:hint="default" w:ascii="Times New Roman" w:hAnsi="Times New Roman" w:cs="Times New Roman"/>
          <w:color w:val="auto"/>
          <w:kern w:val="0"/>
          <w:sz w:val="32"/>
          <w:szCs w:val="32"/>
          <w:highlight w:val="none"/>
          <w:u w:val="none"/>
          <w:lang w:val="en-US" w:eastAsia="zh-CN"/>
        </w:rPr>
        <w:t>月底前，完成城市建成区</w:t>
      </w:r>
      <w:r>
        <w:rPr>
          <w:rFonts w:hint="default" w:cs="Times New Roman"/>
          <w:color w:val="auto"/>
          <w:kern w:val="0"/>
          <w:sz w:val="32"/>
          <w:szCs w:val="32"/>
          <w:highlight w:val="none"/>
          <w:u w:val="none"/>
          <w:lang w:eastAsia="zh-CN"/>
        </w:rPr>
        <w:t>及</w:t>
      </w:r>
      <w:r>
        <w:rPr>
          <w:rFonts w:hint="default" w:ascii="Times New Roman" w:hAnsi="Times New Roman" w:cs="Times New Roman"/>
          <w:color w:val="auto"/>
          <w:kern w:val="0"/>
          <w:sz w:val="32"/>
          <w:szCs w:val="32"/>
          <w:highlight w:val="none"/>
          <w:u w:val="none"/>
          <w:lang w:val="en-US" w:eastAsia="zh-CN"/>
        </w:rPr>
        <w:t>国省干线两侧停车场专项整治工作。2024年12月底前，全面完成辖区范围内停车场专项整治，确保场内道路全面硬化，裸露土地全覆盖，</w:t>
      </w:r>
      <w:r>
        <w:rPr>
          <w:rFonts w:hint="default" w:cs="Times New Roman"/>
          <w:color w:val="auto"/>
          <w:kern w:val="0"/>
          <w:sz w:val="32"/>
          <w:szCs w:val="32"/>
          <w:highlight w:val="none"/>
          <w:u w:val="none"/>
          <w:lang w:eastAsia="zh-CN"/>
        </w:rPr>
        <w:t>并做好</w:t>
      </w:r>
      <w:r>
        <w:rPr>
          <w:rFonts w:hint="default" w:ascii="Times New Roman" w:hAnsi="Times New Roman" w:cs="Times New Roman"/>
          <w:color w:val="auto"/>
          <w:kern w:val="0"/>
          <w:sz w:val="32"/>
          <w:szCs w:val="32"/>
          <w:highlight w:val="none"/>
          <w:u w:val="none"/>
          <w:lang w:val="en-US" w:eastAsia="zh-CN"/>
        </w:rPr>
        <w:t>场内道路</w:t>
      </w:r>
      <w:r>
        <w:rPr>
          <w:rFonts w:hint="default" w:cs="Times New Roman"/>
          <w:color w:val="auto"/>
          <w:kern w:val="0"/>
          <w:sz w:val="32"/>
          <w:szCs w:val="32"/>
          <w:highlight w:val="none"/>
          <w:u w:val="none"/>
          <w:lang w:eastAsia="zh-CN"/>
        </w:rPr>
        <w:t>日常</w:t>
      </w:r>
      <w:r>
        <w:rPr>
          <w:rFonts w:hint="default" w:ascii="Times New Roman" w:hAnsi="Times New Roman" w:cs="Times New Roman"/>
          <w:color w:val="auto"/>
          <w:kern w:val="0"/>
          <w:sz w:val="32"/>
          <w:szCs w:val="32"/>
          <w:highlight w:val="none"/>
          <w:u w:val="none"/>
          <w:lang w:val="en-US" w:eastAsia="zh-CN"/>
        </w:rPr>
        <w:t>洒水保洁</w:t>
      </w:r>
      <w:r>
        <w:rPr>
          <w:rFonts w:hint="default" w:cs="Times New Roman"/>
          <w:color w:val="auto"/>
          <w:kern w:val="0"/>
          <w:sz w:val="32"/>
          <w:szCs w:val="32"/>
          <w:highlight w:val="none"/>
          <w:u w:val="none"/>
          <w:lang w:eastAsia="zh-CN"/>
        </w:rPr>
        <w:t>工作</w:t>
      </w:r>
      <w:r>
        <w:rPr>
          <w:rFonts w:hint="default" w:ascii="Times New Roman" w:hAnsi="Times New Roman" w:cs="Times New Roman"/>
          <w:color w:val="auto"/>
          <w:kern w:val="0"/>
          <w:sz w:val="32"/>
          <w:szCs w:val="32"/>
          <w:highlight w:val="none"/>
          <w:u w:val="none"/>
          <w:lang w:val="en-US" w:eastAsia="zh-CN"/>
        </w:rPr>
        <w:t>，从严治理扬尘污染源头。（市交通局、</w:t>
      </w:r>
      <w:r>
        <w:rPr>
          <w:rFonts w:hint="eastAsia" w:cs="Times New Roman"/>
          <w:color w:val="auto"/>
          <w:kern w:val="0"/>
          <w:sz w:val="32"/>
          <w:szCs w:val="32"/>
          <w:highlight w:val="none"/>
          <w:u w:val="none"/>
          <w:lang w:val="en-US" w:eastAsia="zh-CN"/>
        </w:rPr>
        <w:t>城管</w:t>
      </w:r>
      <w:r>
        <w:rPr>
          <w:rFonts w:hint="default" w:ascii="Times New Roman" w:hAnsi="Times New Roman" w:cs="Times New Roman"/>
          <w:color w:val="auto"/>
          <w:kern w:val="0"/>
          <w:sz w:val="32"/>
          <w:szCs w:val="32"/>
          <w:highlight w:val="none"/>
          <w:u w:val="none"/>
          <w:lang w:val="en-US" w:eastAsia="zh-CN"/>
        </w:rPr>
        <w:t>局</w:t>
      </w:r>
      <w:r>
        <w:rPr>
          <w:rFonts w:hint="eastAsia" w:cs="Times New Roman"/>
          <w:color w:val="auto"/>
          <w:kern w:val="0"/>
          <w:sz w:val="32"/>
          <w:szCs w:val="32"/>
          <w:highlight w:val="none"/>
          <w:u w:val="none"/>
          <w:lang w:val="en-US" w:eastAsia="zh-CN"/>
        </w:rPr>
        <w:t>、公路事业发展中心</w:t>
      </w:r>
      <w:r>
        <w:rPr>
          <w:rFonts w:hint="default" w:ascii="Times New Roman" w:hAnsi="Times New Roman" w:cs="Times New Roman"/>
          <w:color w:val="auto"/>
          <w:kern w:val="0"/>
          <w:sz w:val="32"/>
          <w:szCs w:val="32"/>
          <w:highlight w:val="none"/>
          <w:u w:val="none"/>
          <w:lang w:val="en-US" w:eastAsia="zh-CN"/>
        </w:rPr>
        <w:t>按职责分工负责）</w:t>
      </w:r>
    </w:p>
    <w:p w14:paraId="4BD4FE4E">
      <w:pPr>
        <w:keepNext w:val="0"/>
        <w:keepLines w:val="0"/>
        <w:pageBreakBefore w:val="0"/>
        <w:widowControl w:val="0"/>
        <w:kinsoku/>
        <w:wordWrap/>
        <w:overflowPunct/>
        <w:topLinePunct/>
        <w:autoSpaceDE/>
        <w:autoSpaceDN/>
        <w:bidi w:val="0"/>
        <w:adjustRightInd/>
        <w:spacing w:line="560" w:lineRule="exact"/>
        <w:ind w:firstLine="643" w:firstLineChars="200"/>
        <w:textAlignment w:val="auto"/>
        <w:outlineLvl w:val="1"/>
        <w:rPr>
          <w:rFonts w:hint="default" w:ascii="Times New Roman" w:hAnsi="Times New Roman" w:eastAsia="仿宋_GB2312" w:cs="Times New Roman"/>
          <w:color w:val="auto"/>
          <w:sz w:val="32"/>
          <w:szCs w:val="32"/>
          <w:highlight w:val="none"/>
        </w:rPr>
      </w:pPr>
      <w:r>
        <w:rPr>
          <w:rFonts w:hint="eastAsia" w:cs="Times New Roman"/>
          <w:b/>
          <w:bCs/>
          <w:color w:val="auto"/>
          <w:kern w:val="0"/>
          <w:sz w:val="32"/>
          <w:szCs w:val="32"/>
          <w:highlight w:val="none"/>
          <w:lang w:val="en-US" w:eastAsia="zh-CN"/>
        </w:rPr>
        <w:t>4</w:t>
      </w:r>
      <w:r>
        <w:rPr>
          <w:rFonts w:hint="default" w:ascii="Times New Roman" w:hAnsi="Times New Roman" w:cs="Times New Roman"/>
          <w:b/>
          <w:bCs/>
          <w:color w:val="auto"/>
          <w:kern w:val="0"/>
          <w:sz w:val="32"/>
          <w:szCs w:val="32"/>
          <w:highlight w:val="none"/>
          <w:lang w:val="en-US" w:eastAsia="zh-CN"/>
        </w:rPr>
        <w:t>. 深化物料堆场扬尘污染综合治理。</w:t>
      </w:r>
      <w:r>
        <w:rPr>
          <w:color w:val="auto"/>
          <w:highlight w:val="none"/>
          <w:lang w:val="en-US" w:eastAsia="zh-CN"/>
        </w:rPr>
        <w:t>到2025年，大型煤炭、矿石等干散货</w:t>
      </w:r>
      <w:r>
        <w:rPr>
          <w:rFonts w:hint="eastAsia"/>
          <w:color w:val="auto"/>
          <w:highlight w:val="none"/>
          <w:lang w:val="en-US" w:eastAsia="zh-CN"/>
        </w:rPr>
        <w:t>码头</w:t>
      </w:r>
      <w:r>
        <w:rPr>
          <w:color w:val="auto"/>
          <w:highlight w:val="none"/>
          <w:lang w:val="en-US" w:eastAsia="zh-CN"/>
        </w:rPr>
        <w:t>物料堆场基本完成抑尘设施建设和物料输送系统封闭改造。</w:t>
      </w:r>
      <w:r>
        <w:rPr>
          <w:rFonts w:hint="default" w:ascii="Times New Roman" w:hAnsi="Times New Roman" w:eastAsia="仿宋_GB2312" w:cs="Times New Roman"/>
          <w:color w:val="auto"/>
          <w:kern w:val="0"/>
          <w:sz w:val="32"/>
          <w:szCs w:val="32"/>
          <w:highlight w:val="none"/>
          <w:u w:val="none"/>
        </w:rPr>
        <w:t>各类露天堆场扬尘污染治理必须符合以下六项基本要求：</w:t>
      </w:r>
      <w:r>
        <w:rPr>
          <w:rFonts w:hint="default" w:ascii="Times New Roman" w:hAnsi="Times New Roman" w:eastAsia="仿宋_GB2312" w:cs="Times New Roman"/>
          <w:bCs/>
          <w:color w:val="auto"/>
          <w:kern w:val="0"/>
          <w:sz w:val="32"/>
          <w:szCs w:val="32"/>
          <w:highlight w:val="none"/>
          <w:u w:val="none"/>
        </w:rPr>
        <w:t>（1）</w:t>
      </w:r>
      <w:r>
        <w:rPr>
          <w:rFonts w:hint="default" w:ascii="Times New Roman" w:hAnsi="Times New Roman" w:eastAsia="仿宋_GB2312" w:cs="Times New Roman"/>
          <w:color w:val="auto"/>
          <w:kern w:val="0"/>
          <w:sz w:val="32"/>
          <w:szCs w:val="32"/>
          <w:highlight w:val="none"/>
          <w:u w:val="none"/>
        </w:rPr>
        <w:t>所有新建各类物料、废渣、垃圾等堆放场所，采用全封闭库房、天棚加围墙围挡储库等方式；（2）所有在用露天堆放场所，必须综合采取围墙</w:t>
      </w:r>
      <w:r>
        <w:rPr>
          <w:rFonts w:hint="default" w:ascii="Times New Roman" w:hAnsi="Times New Roman" w:eastAsia="仿宋_GB2312" w:cs="Times New Roman"/>
          <w:color w:val="auto"/>
          <w:kern w:val="0"/>
          <w:sz w:val="32"/>
          <w:szCs w:val="32"/>
          <w:highlight w:val="none"/>
          <w:u w:val="none"/>
          <w:lang w:eastAsia="zh-CN"/>
        </w:rPr>
        <w:t>围挡</w:t>
      </w:r>
      <w:r>
        <w:rPr>
          <w:rFonts w:hint="default" w:ascii="Times New Roman" w:hAnsi="Times New Roman" w:eastAsia="仿宋_GB2312" w:cs="Times New Roman"/>
          <w:color w:val="auto"/>
          <w:kern w:val="0"/>
          <w:sz w:val="32"/>
          <w:szCs w:val="32"/>
          <w:highlight w:val="none"/>
          <w:u w:val="none"/>
        </w:rPr>
        <w:t>、防风抑尘网、防尘遮盖、自动喷淋装置、洒水车等措施，确保堆放物料不起尘；（3）所有露天堆放场所物料传送部位，必须建立密闭密封系统，确保运输过程无泄漏、无散落、无飞扬；（4）所有露天堆放场所落料卸料部位，必须配备收尘、喷淋等防尘设施，确保生产作业不起尘；（5）所有露天堆放场所地面必须硬化处理，并划分料区和道路界限，配置冲洗、清扫设备，及时清除散落物料、清洗道路，确保堆场和道路整洁干净；（6）所有露天堆放场所进出口，必须设置冲洗池、洗轮机等车辆冲洗设施，确保进出运输车辆除泥、冲洗到位。</w:t>
      </w:r>
      <w:r>
        <w:rPr>
          <w:rFonts w:hint="default" w:ascii="Times New Roman" w:hAnsi="Times New Roman" w:eastAsia="仿宋_GB2312" w:cs="Times New Roman"/>
          <w:color w:val="auto"/>
          <w:kern w:val="0"/>
          <w:sz w:val="32"/>
          <w:szCs w:val="32"/>
          <w:highlight w:val="none"/>
          <w:u w:val="none"/>
          <w:lang w:eastAsia="zh-CN"/>
        </w:rPr>
        <w:t>市生态环境</w:t>
      </w:r>
      <w:r>
        <w:rPr>
          <w:rFonts w:hint="default" w:ascii="Times New Roman" w:hAnsi="Times New Roman" w:eastAsia="仿宋_GB2312" w:cs="Times New Roman"/>
          <w:color w:val="auto"/>
          <w:kern w:val="0"/>
          <w:sz w:val="32"/>
          <w:szCs w:val="32"/>
          <w:highlight w:val="none"/>
          <w:u w:val="none"/>
        </w:rPr>
        <w:t>、</w:t>
      </w:r>
      <w:r>
        <w:rPr>
          <w:rFonts w:hint="eastAsia" w:cs="Times New Roman"/>
          <w:color w:val="auto"/>
          <w:kern w:val="0"/>
          <w:sz w:val="32"/>
          <w:szCs w:val="32"/>
          <w:highlight w:val="none"/>
          <w:u w:val="none"/>
          <w:lang w:eastAsia="zh-CN"/>
        </w:rPr>
        <w:t>工信</w:t>
      </w:r>
      <w:r>
        <w:rPr>
          <w:rFonts w:hint="default" w:ascii="Times New Roman" w:hAnsi="Times New Roman" w:eastAsia="仿宋_GB2312" w:cs="Times New Roman"/>
          <w:color w:val="auto"/>
          <w:kern w:val="0"/>
          <w:sz w:val="32"/>
          <w:szCs w:val="32"/>
          <w:highlight w:val="none"/>
          <w:u w:val="none"/>
        </w:rPr>
        <w:t>、城管等相关部门以及乡镇政府（街道办事处），</w:t>
      </w:r>
      <w:r>
        <w:rPr>
          <w:rFonts w:hint="eastAsia" w:cs="Times New Roman"/>
          <w:color w:val="auto"/>
          <w:kern w:val="0"/>
          <w:sz w:val="32"/>
          <w:szCs w:val="32"/>
          <w:highlight w:val="none"/>
          <w:u w:val="none"/>
          <w:lang w:eastAsia="zh-CN"/>
        </w:rPr>
        <w:t>要</w:t>
      </w:r>
      <w:r>
        <w:rPr>
          <w:rFonts w:hint="default" w:ascii="Times New Roman" w:hAnsi="Times New Roman" w:eastAsia="仿宋_GB2312" w:cs="Times New Roman"/>
          <w:color w:val="auto"/>
          <w:kern w:val="0"/>
          <w:sz w:val="32"/>
          <w:szCs w:val="32"/>
          <w:highlight w:val="none"/>
          <w:u w:val="none"/>
        </w:rPr>
        <w:t>对辖区内所有露天堆场进行彻底排查，逐一登记造册，建立规范台账，并逐个确定监管部门、监管责任人，扎实做好露天堆场扬尘污染治理工作。</w:t>
      </w:r>
      <w:r>
        <w:rPr>
          <w:rFonts w:hint="default" w:ascii="Times New Roman" w:hAnsi="Times New Roman" w:eastAsia="仿宋_GB2312" w:cs="Times New Roman"/>
          <w:color w:val="auto"/>
          <w:kern w:val="0"/>
          <w:sz w:val="32"/>
          <w:szCs w:val="32"/>
          <w:highlight w:val="none"/>
          <w:u w:val="none"/>
          <w:lang w:eastAsia="zh-CN"/>
        </w:rPr>
        <w:t>其中，生态环境</w:t>
      </w:r>
      <w:r>
        <w:rPr>
          <w:rFonts w:hint="default" w:ascii="Times New Roman" w:hAnsi="Times New Roman" w:eastAsia="仿宋_GB2312" w:cs="Times New Roman"/>
          <w:bCs/>
          <w:color w:val="auto"/>
          <w:kern w:val="0"/>
          <w:sz w:val="32"/>
          <w:szCs w:val="32"/>
          <w:highlight w:val="none"/>
          <w:u w:val="none"/>
        </w:rPr>
        <w:t>部门会同</w:t>
      </w:r>
      <w:r>
        <w:rPr>
          <w:rFonts w:hint="eastAsia" w:cs="Times New Roman"/>
          <w:bCs/>
          <w:color w:val="auto"/>
          <w:kern w:val="0"/>
          <w:sz w:val="32"/>
          <w:szCs w:val="32"/>
          <w:highlight w:val="none"/>
          <w:u w:val="none"/>
          <w:lang w:eastAsia="zh-CN"/>
        </w:rPr>
        <w:t>工信</w:t>
      </w:r>
      <w:r>
        <w:rPr>
          <w:rFonts w:hint="default" w:ascii="Times New Roman" w:hAnsi="Times New Roman" w:eastAsia="仿宋_GB2312" w:cs="Times New Roman"/>
          <w:bCs/>
          <w:color w:val="auto"/>
          <w:kern w:val="0"/>
          <w:sz w:val="32"/>
          <w:szCs w:val="32"/>
          <w:highlight w:val="none"/>
          <w:u w:val="none"/>
        </w:rPr>
        <w:t>部门</w:t>
      </w:r>
      <w:r>
        <w:rPr>
          <w:rFonts w:hint="default" w:ascii="Times New Roman" w:hAnsi="Times New Roman" w:eastAsia="仿宋_GB2312" w:cs="Times New Roman"/>
          <w:color w:val="auto"/>
          <w:kern w:val="0"/>
          <w:sz w:val="32"/>
          <w:szCs w:val="32"/>
          <w:highlight w:val="none"/>
          <w:u w:val="none"/>
        </w:rPr>
        <w:t>负责工业</w:t>
      </w:r>
      <w:r>
        <w:rPr>
          <w:rFonts w:hint="default" w:ascii="Times New Roman" w:hAnsi="Times New Roman" w:eastAsia="仿宋_GB2312" w:cs="Times New Roman"/>
          <w:color w:val="auto"/>
          <w:kern w:val="0"/>
          <w:sz w:val="32"/>
          <w:szCs w:val="32"/>
          <w:highlight w:val="none"/>
          <w:u w:val="none"/>
          <w:lang w:eastAsia="zh-CN"/>
        </w:rPr>
        <w:t>企业内部</w:t>
      </w:r>
      <w:r>
        <w:rPr>
          <w:rFonts w:hint="default" w:ascii="Times New Roman" w:hAnsi="Times New Roman" w:eastAsia="仿宋_GB2312" w:cs="Times New Roman"/>
          <w:color w:val="auto"/>
          <w:kern w:val="0"/>
          <w:sz w:val="32"/>
          <w:szCs w:val="32"/>
          <w:highlight w:val="none"/>
          <w:u w:val="none"/>
        </w:rPr>
        <w:t>堆场、料场、渣场等扬尘污染治理；</w:t>
      </w:r>
      <w:r>
        <w:rPr>
          <w:rFonts w:hint="default" w:ascii="Times New Roman" w:hAnsi="Times New Roman" w:eastAsia="仿宋_GB2312" w:cs="Times New Roman"/>
          <w:bCs/>
          <w:color w:val="auto"/>
          <w:kern w:val="0"/>
          <w:sz w:val="32"/>
          <w:szCs w:val="32"/>
          <w:highlight w:val="none"/>
          <w:u w:val="none"/>
        </w:rPr>
        <w:t>城管部门</w:t>
      </w:r>
      <w:r>
        <w:rPr>
          <w:rFonts w:hint="default" w:ascii="Times New Roman" w:hAnsi="Times New Roman" w:eastAsia="仿宋_GB2312" w:cs="Times New Roman"/>
          <w:color w:val="auto"/>
          <w:kern w:val="0"/>
          <w:sz w:val="32"/>
          <w:szCs w:val="32"/>
          <w:highlight w:val="none"/>
          <w:u w:val="none"/>
        </w:rPr>
        <w:t>负责</w:t>
      </w:r>
      <w:r>
        <w:rPr>
          <w:rFonts w:hint="default" w:ascii="Times New Roman" w:hAnsi="Times New Roman" w:eastAsia="仿宋_GB2312" w:cs="Times New Roman"/>
          <w:color w:val="auto"/>
          <w:sz w:val="32"/>
          <w:szCs w:val="32"/>
          <w:highlight w:val="none"/>
          <w:u w:val="none"/>
        </w:rPr>
        <w:t>建筑垃圾消纳场、生活垃圾填埋场及垃圾转运站等场所扬尘污染治理</w:t>
      </w:r>
      <w:r>
        <w:rPr>
          <w:rFonts w:hint="default" w:ascii="Times New Roman" w:hAnsi="Times New Roman" w:eastAsia="仿宋_GB2312" w:cs="Times New Roman"/>
          <w:color w:val="auto"/>
          <w:kern w:val="0"/>
          <w:sz w:val="32"/>
          <w:szCs w:val="32"/>
          <w:highlight w:val="none"/>
          <w:u w:val="none"/>
        </w:rPr>
        <w:t>；</w:t>
      </w:r>
      <w:r>
        <w:rPr>
          <w:rFonts w:hint="default" w:ascii="Times New Roman" w:hAnsi="Times New Roman" w:eastAsia="仿宋_GB2312" w:cs="Times New Roman"/>
          <w:color w:val="auto"/>
          <w:sz w:val="32"/>
          <w:szCs w:val="32"/>
          <w:highlight w:val="none"/>
          <w:u w:val="none"/>
        </w:rPr>
        <w:t>其他露天堆场扬尘污染治理工作由</w:t>
      </w:r>
      <w:r>
        <w:rPr>
          <w:rFonts w:hint="eastAsia" w:cs="Times New Roman"/>
          <w:color w:val="auto"/>
          <w:sz w:val="32"/>
          <w:szCs w:val="32"/>
          <w:highlight w:val="none"/>
          <w:u w:val="none"/>
          <w:lang w:eastAsia="zh-CN"/>
        </w:rPr>
        <w:t>市人民</w:t>
      </w:r>
      <w:r>
        <w:rPr>
          <w:rFonts w:hint="default" w:ascii="Times New Roman" w:hAnsi="Times New Roman" w:eastAsia="仿宋_GB2312" w:cs="Times New Roman"/>
          <w:color w:val="auto"/>
          <w:sz w:val="32"/>
          <w:szCs w:val="32"/>
          <w:highlight w:val="none"/>
          <w:u w:val="none"/>
        </w:rPr>
        <w:t>政府确定的部门或单位负责。</w:t>
      </w:r>
      <w:r>
        <w:rPr>
          <w:rFonts w:hint="default" w:ascii="Times New Roman" w:hAnsi="Times New Roman" w:eastAsia="仿宋_GB2312" w:cs="Times New Roman"/>
          <w:color w:val="auto"/>
          <w:kern w:val="0"/>
          <w:sz w:val="32"/>
          <w:szCs w:val="32"/>
          <w:highlight w:val="none"/>
        </w:rPr>
        <w:t>（市</w:t>
      </w:r>
      <w:r>
        <w:rPr>
          <w:rFonts w:hint="eastAsia" w:cs="Times New Roman"/>
          <w:color w:val="auto"/>
          <w:kern w:val="0"/>
          <w:sz w:val="32"/>
          <w:szCs w:val="32"/>
          <w:highlight w:val="none"/>
          <w:lang w:eastAsia="zh-CN"/>
        </w:rPr>
        <w:t>住建局、</w:t>
      </w:r>
      <w:r>
        <w:rPr>
          <w:rFonts w:hint="eastAsia" w:cs="Times New Roman"/>
          <w:color w:val="auto"/>
          <w:sz w:val="32"/>
          <w:szCs w:val="32"/>
          <w:highlight w:val="none"/>
          <w:lang w:eastAsia="zh-CN"/>
        </w:rPr>
        <w:t>城管</w:t>
      </w:r>
      <w:r>
        <w:rPr>
          <w:rFonts w:hint="default" w:ascii="Times New Roman" w:hAnsi="Times New Roman" w:cs="Times New Roman"/>
          <w:color w:val="auto"/>
          <w:sz w:val="32"/>
          <w:szCs w:val="32"/>
          <w:highlight w:val="none"/>
          <w:lang w:eastAsia="zh-CN"/>
        </w:rPr>
        <w:t>局、</w:t>
      </w:r>
      <w:r>
        <w:rPr>
          <w:rFonts w:hint="eastAsia" w:cs="Times New Roman"/>
          <w:color w:val="auto"/>
          <w:sz w:val="32"/>
          <w:szCs w:val="32"/>
          <w:highlight w:val="none"/>
          <w:lang w:eastAsia="zh-CN"/>
        </w:rPr>
        <w:t>工信</w:t>
      </w:r>
      <w:r>
        <w:rPr>
          <w:rFonts w:hint="default" w:ascii="Times New Roman" w:hAnsi="Times New Roman" w:cs="Times New Roman"/>
          <w:color w:val="auto"/>
          <w:sz w:val="32"/>
          <w:szCs w:val="32"/>
          <w:highlight w:val="none"/>
          <w:lang w:eastAsia="zh-CN"/>
        </w:rPr>
        <w:t>局</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lang w:eastAsia="zh-CN"/>
        </w:rPr>
        <w:t>生态环境局</w:t>
      </w:r>
      <w:r>
        <w:rPr>
          <w:rFonts w:hint="eastAsia" w:cs="Times New Roman"/>
          <w:color w:val="auto"/>
          <w:kern w:val="0"/>
          <w:sz w:val="32"/>
          <w:szCs w:val="32"/>
          <w:highlight w:val="none"/>
          <w:lang w:eastAsia="zh-CN"/>
        </w:rPr>
        <w:t>沁阳分局等</w:t>
      </w:r>
      <w:r>
        <w:rPr>
          <w:rFonts w:hint="default" w:ascii="Times New Roman" w:hAnsi="Times New Roman" w:cs="Times New Roman"/>
          <w:color w:val="auto"/>
          <w:sz w:val="32"/>
          <w:szCs w:val="32"/>
          <w:highlight w:val="none"/>
          <w:lang w:eastAsia="zh-CN"/>
        </w:rPr>
        <w:t>按职责分工负责</w:t>
      </w:r>
      <w:r>
        <w:rPr>
          <w:rFonts w:hint="default" w:ascii="Times New Roman" w:hAnsi="Times New Roman" w:eastAsia="仿宋_GB2312" w:cs="Times New Roman"/>
          <w:color w:val="auto"/>
          <w:sz w:val="32"/>
          <w:szCs w:val="32"/>
          <w:highlight w:val="none"/>
        </w:rPr>
        <w:t>）</w:t>
      </w:r>
    </w:p>
    <w:p w14:paraId="38F95632">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spacing w:val="7"/>
          <w:sz w:val="32"/>
          <w:szCs w:val="32"/>
          <w:highlight w:val="none"/>
        </w:rPr>
      </w:pPr>
      <w:r>
        <w:rPr>
          <w:rFonts w:hint="eastAsia" w:cs="Times New Roman"/>
          <w:b/>
          <w:bCs/>
          <w:color w:val="auto"/>
          <w:sz w:val="32"/>
          <w:szCs w:val="32"/>
          <w:highlight w:val="none"/>
          <w:lang w:val="en-US" w:eastAsia="zh-CN"/>
        </w:rPr>
        <w:t>5</w:t>
      </w:r>
      <w:r>
        <w:rPr>
          <w:rFonts w:hint="default" w:ascii="Times New Roman" w:hAnsi="Times New Roman"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开展国土绿化行动。</w:t>
      </w:r>
      <w:r>
        <w:rPr>
          <w:rFonts w:hint="default" w:ascii="Times New Roman" w:hAnsi="Times New Roman" w:eastAsia="仿宋_GB2312" w:cs="Times New Roman"/>
          <w:color w:val="auto"/>
          <w:sz w:val="32"/>
          <w:szCs w:val="32"/>
          <w:highlight w:val="none"/>
        </w:rPr>
        <w:t>坚持数量、质量并重，逐步实现由大规模造林向森林资源提质增效转变，深入挖掘绿化空间，充分利用山区困难地、乡村四旁隙地、沙化土地等地块精准实施造林。持续推进山区生态林、平原防风固沙林、乡村绿化和农田防护林、退化林修复、森林抚育等生态工程建设。做大做强森林“四库”（水库、钱库、粮库、碳库）巩固提升生态系统碳汇能力。2024年，完成</w:t>
      </w:r>
      <w:r>
        <w:rPr>
          <w:rFonts w:hint="eastAsia" w:cs="Times New Roman"/>
          <w:color w:val="auto"/>
          <w:sz w:val="32"/>
          <w:szCs w:val="32"/>
          <w:highlight w:val="none"/>
          <w:lang w:eastAsia="zh-CN"/>
        </w:rPr>
        <w:t>中央财政补贴</w:t>
      </w:r>
      <w:r>
        <w:rPr>
          <w:rFonts w:hint="default" w:ascii="Times New Roman" w:hAnsi="Times New Roman" w:eastAsia="仿宋_GB2312" w:cs="Times New Roman"/>
          <w:color w:val="auto"/>
          <w:sz w:val="32"/>
          <w:szCs w:val="32"/>
          <w:highlight w:val="none"/>
        </w:rPr>
        <w:t>造林</w:t>
      </w:r>
      <w:r>
        <w:rPr>
          <w:rFonts w:hint="eastAsia"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1000亩、</w:t>
      </w:r>
      <w:r>
        <w:rPr>
          <w:rFonts w:hint="eastAsia" w:cs="Times New Roman"/>
          <w:color w:val="auto"/>
          <w:sz w:val="32"/>
          <w:szCs w:val="32"/>
          <w:highlight w:val="none"/>
          <w:lang w:eastAsia="zh-CN"/>
        </w:rPr>
        <w:t>市县</w:t>
      </w:r>
      <w:r>
        <w:rPr>
          <w:rFonts w:hint="default" w:ascii="Times New Roman" w:hAnsi="Times New Roman" w:eastAsia="仿宋_GB2312" w:cs="Times New Roman"/>
          <w:color w:val="auto"/>
          <w:sz w:val="32"/>
          <w:szCs w:val="32"/>
          <w:highlight w:val="none"/>
        </w:rPr>
        <w:t>森林抚育</w:t>
      </w:r>
      <w:r>
        <w:rPr>
          <w:rFonts w:hint="eastAsia"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1万亩。</w:t>
      </w:r>
      <w:r>
        <w:rPr>
          <w:rFonts w:hint="default" w:ascii="Times New Roman" w:hAnsi="Times New Roman" w:cs="Times New Roman"/>
          <w:color w:val="auto"/>
          <w:sz w:val="32"/>
          <w:szCs w:val="32"/>
          <w:highlight w:val="none"/>
          <w:lang w:eastAsia="zh-CN"/>
        </w:rPr>
        <w:t>（市林业</w:t>
      </w:r>
      <w:r>
        <w:rPr>
          <w:rFonts w:hint="eastAsia" w:ascii="Times New Roman" w:hAnsi="Times New Roman" w:cs="Times New Roman"/>
          <w:color w:val="auto"/>
          <w:sz w:val="32"/>
          <w:szCs w:val="32"/>
          <w:highlight w:val="none"/>
          <w:lang w:eastAsia="zh-CN"/>
        </w:rPr>
        <w:t>发展服务中心</w:t>
      </w:r>
      <w:r>
        <w:rPr>
          <w:rFonts w:hint="default" w:ascii="Times New Roman" w:hAnsi="Times New Roman" w:cs="Times New Roman"/>
          <w:color w:val="auto"/>
          <w:sz w:val="32"/>
          <w:szCs w:val="32"/>
          <w:highlight w:val="none"/>
          <w:lang w:eastAsia="zh-CN"/>
        </w:rPr>
        <w:t>、交通局、农业农村局等部门按职责分工负责</w:t>
      </w:r>
      <w:r>
        <w:rPr>
          <w:rFonts w:hint="default" w:ascii="Times New Roman" w:hAnsi="Times New Roman" w:eastAsia="仿宋_GB2312" w:cs="Times New Roman"/>
          <w:color w:val="auto"/>
          <w:sz w:val="32"/>
          <w:szCs w:val="32"/>
          <w:highlight w:val="none"/>
        </w:rPr>
        <w:t>）</w:t>
      </w:r>
    </w:p>
    <w:p w14:paraId="0F3CED7D">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cs="Times New Roman"/>
          <w:color w:val="auto"/>
          <w:sz w:val="32"/>
          <w:szCs w:val="32"/>
          <w:highlight w:val="none"/>
          <w:lang w:eastAsia="zh-CN"/>
        </w:rPr>
      </w:pPr>
      <w:r>
        <w:rPr>
          <w:rFonts w:hint="eastAsia" w:cs="Times New Roman"/>
          <w:b/>
          <w:bCs/>
          <w:color w:val="auto"/>
          <w:kern w:val="0"/>
          <w:sz w:val="32"/>
          <w:szCs w:val="32"/>
          <w:highlight w:val="none"/>
          <w:lang w:val="en-US" w:eastAsia="zh-CN"/>
        </w:rPr>
        <w:t>6</w:t>
      </w:r>
      <w:r>
        <w:rPr>
          <w:rFonts w:hint="default" w:ascii="Times New Roman" w:hAnsi="Times New Roman" w:cs="Times New Roman"/>
          <w:b/>
          <w:bCs/>
          <w:color w:val="auto"/>
          <w:kern w:val="0"/>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开展历史遗留矿山生态修复治理。</w:t>
      </w:r>
      <w:r>
        <w:rPr>
          <w:rFonts w:hint="default" w:ascii="Times New Roman" w:hAnsi="Times New Roman" w:cs="Times New Roman"/>
          <w:color w:val="auto"/>
          <w:sz w:val="32"/>
          <w:szCs w:val="32"/>
          <w:highlight w:val="none"/>
          <w:lang w:val="en-US" w:eastAsia="zh-CN"/>
        </w:rPr>
        <w:t>2024年、2025年，分别完成</w:t>
      </w:r>
      <w:r>
        <w:rPr>
          <w:rFonts w:hint="eastAsia" w:cs="Times New Roman"/>
          <w:color w:val="auto"/>
          <w:sz w:val="32"/>
          <w:szCs w:val="32"/>
          <w:highlight w:val="none"/>
          <w:lang w:val="en-US" w:eastAsia="zh-CN"/>
        </w:rPr>
        <w:t>上级下达</w:t>
      </w:r>
      <w:r>
        <w:rPr>
          <w:rFonts w:hint="default" w:ascii="Times New Roman" w:hAnsi="Times New Roman" w:cs="Times New Roman"/>
          <w:color w:val="auto"/>
          <w:sz w:val="32"/>
          <w:szCs w:val="32"/>
          <w:highlight w:val="none"/>
          <w:lang w:val="en-US" w:eastAsia="zh-CN"/>
        </w:rPr>
        <w:t>历史遗留矿山图斑</w:t>
      </w:r>
      <w:r>
        <w:rPr>
          <w:rFonts w:hint="eastAsia" w:cs="Times New Roman"/>
          <w:color w:val="auto"/>
          <w:sz w:val="32"/>
          <w:szCs w:val="32"/>
          <w:highlight w:val="none"/>
          <w:lang w:val="en-US" w:eastAsia="zh-CN"/>
        </w:rPr>
        <w:t>年度治理任务</w:t>
      </w:r>
      <w:r>
        <w:rPr>
          <w:rFonts w:hint="default" w:ascii="Times New Roman" w:hAnsi="Times New Roman" w:cs="Times New Roman"/>
          <w:color w:val="auto"/>
          <w:sz w:val="32"/>
          <w:szCs w:val="32"/>
          <w:highlight w:val="none"/>
          <w:lang w:val="en-US" w:eastAsia="zh-CN"/>
        </w:rPr>
        <w:t>。（市自然资源和规划局</w:t>
      </w:r>
      <w:r>
        <w:rPr>
          <w:rFonts w:hint="eastAsia" w:ascii="Times New Roman" w:hAnsi="Times New Roman" w:cs="Times New Roman"/>
          <w:color w:val="auto"/>
          <w:sz w:val="32"/>
          <w:szCs w:val="32"/>
          <w:highlight w:val="none"/>
          <w:lang w:val="en-US" w:eastAsia="zh-CN"/>
        </w:rPr>
        <w:t>负责）</w:t>
      </w:r>
    </w:p>
    <w:bookmarkEnd w:id="5"/>
    <w:p w14:paraId="1CEEAC69">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bookmarkStart w:id="9" w:name="_Toc114408640"/>
      <w:r>
        <w:rPr>
          <w:rFonts w:hint="default" w:ascii="Times New Roman" w:hAnsi="Times New Roman" w:eastAsia="楷体_GB2312" w:cs="Times New Roman"/>
          <w:b w:val="0"/>
          <w:bCs w:val="0"/>
          <w:color w:val="auto"/>
          <w:kern w:val="44"/>
          <w:sz w:val="32"/>
          <w:szCs w:val="32"/>
          <w:highlight w:val="none"/>
          <w:lang w:val="en-US" w:eastAsia="zh-CN" w:bidi="ar-SA"/>
        </w:rPr>
        <w:t>（三）深入打好二氧化硫污染防治攻坚战</w:t>
      </w:r>
    </w:p>
    <w:p w14:paraId="31041A80">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bookmarkStart w:id="10" w:name="_Toc114408648"/>
      <w:r>
        <w:rPr>
          <w:rFonts w:hint="default" w:ascii="Times New Roman" w:hAnsi="Times New Roman" w:eastAsia="仿宋_GB2312" w:cs="Times New Roman"/>
          <w:b/>
          <w:bCs/>
          <w:color w:val="auto"/>
          <w:kern w:val="2"/>
          <w:sz w:val="32"/>
          <w:szCs w:val="32"/>
          <w:highlight w:val="none"/>
          <w:lang w:val="en-US" w:eastAsia="zh-CN" w:bidi="ar-SA"/>
        </w:rPr>
        <w:t>1. 大力发展清洁能源。</w:t>
      </w:r>
      <w:r>
        <w:rPr>
          <w:rFonts w:hint="default" w:ascii="Times New Roman" w:hAnsi="Times New Roman" w:eastAsia="仿宋_GB2312" w:cs="Times New Roman"/>
          <w:b w:val="0"/>
          <w:bCs w:val="0"/>
          <w:color w:val="auto"/>
          <w:kern w:val="2"/>
          <w:sz w:val="32"/>
          <w:szCs w:val="32"/>
          <w:highlight w:val="none"/>
          <w:lang w:val="en-US" w:eastAsia="zh-CN" w:bidi="ar-SA"/>
        </w:rPr>
        <w:t>加快构建多元互补、清洁低碳、安全高效的能源体系，促进传统能源与可再生能源的协同开发利用。加快发展风电、光伏发电、氢能利用、地热等可再生能源，有序推进风电项目建设。加大新能源光伏电站建设力度，鼓励工商业用户采用建筑光伏一体化技术，鼓励推广分布式光伏发电。推进生物质热电联产项目，加大地热资源开发力度。积极推进氢能综合开发利用，培育氢能产储运用全产业链，逐步实现产业化发展、多元化应用。（市发改委</w:t>
      </w:r>
      <w:r>
        <w:rPr>
          <w:rFonts w:hint="eastAsia" w:ascii="Times New Roman" w:hAnsi="Times New Roman" w:eastAsia="仿宋_GB2312" w:cs="Times New Roman"/>
          <w:b w:val="0"/>
          <w:bCs w:val="0"/>
          <w:color w:val="auto"/>
          <w:kern w:val="2"/>
          <w:sz w:val="32"/>
          <w:szCs w:val="32"/>
          <w:highlight w:val="none"/>
          <w:lang w:val="en-US" w:eastAsia="zh-CN" w:bidi="ar-SA"/>
        </w:rPr>
        <w:t>负责</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、国网</w:t>
      </w:r>
      <w:r>
        <w:rPr>
          <w:rFonts w:hint="eastAsia" w:ascii="Times New Roman" w:hAnsi="Times New Roman" w:eastAsia="仿宋_GB2312" w:cs="Times New Roman"/>
          <w:b w:val="0"/>
          <w:bCs w:val="0"/>
          <w:color w:val="auto"/>
          <w:kern w:val="2"/>
          <w:sz w:val="32"/>
          <w:szCs w:val="32"/>
          <w:highlight w:val="none"/>
          <w:lang w:val="en-US" w:eastAsia="zh-CN" w:bidi="ar-SA"/>
        </w:rPr>
        <w:t>沁阳</w:t>
      </w:r>
      <w:r>
        <w:rPr>
          <w:rFonts w:hint="default" w:ascii="Times New Roman" w:hAnsi="Times New Roman" w:eastAsia="仿宋_GB2312" w:cs="Times New Roman"/>
          <w:b w:val="0"/>
          <w:bCs w:val="0"/>
          <w:color w:val="auto"/>
          <w:kern w:val="2"/>
          <w:sz w:val="32"/>
          <w:szCs w:val="32"/>
          <w:highlight w:val="none"/>
          <w:lang w:val="en-US" w:eastAsia="zh-CN" w:bidi="ar-SA"/>
        </w:rPr>
        <w:t>供电公司等</w:t>
      </w:r>
      <w:r>
        <w:rPr>
          <w:rFonts w:hint="eastAsia" w:ascii="Times New Roman" w:hAnsi="Times New Roman" w:eastAsia="仿宋_GB2312" w:cs="Times New Roman"/>
          <w:b w:val="0"/>
          <w:bCs w:val="0"/>
          <w:color w:val="auto"/>
          <w:kern w:val="2"/>
          <w:sz w:val="32"/>
          <w:szCs w:val="32"/>
          <w:highlight w:val="none"/>
          <w:lang w:val="en-US" w:eastAsia="zh-CN" w:bidi="ar-SA"/>
        </w:rPr>
        <w:t>配合</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0DE0A07D">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bookmarkStart w:id="11" w:name="_Toc114408647"/>
      <w:r>
        <w:rPr>
          <w:rFonts w:hint="default" w:ascii="Times New Roman" w:hAnsi="Times New Roman" w:eastAsia="仿宋_GB2312" w:cs="Times New Roman"/>
          <w:b/>
          <w:bCs/>
          <w:color w:val="auto"/>
          <w:kern w:val="2"/>
          <w:sz w:val="32"/>
          <w:szCs w:val="32"/>
          <w:highlight w:val="none"/>
          <w:lang w:val="en-US" w:eastAsia="zh-CN" w:bidi="ar-SA"/>
        </w:rPr>
        <w:t>2. 严格合理控制煤炭消费总量</w:t>
      </w:r>
      <w:bookmarkEnd w:id="11"/>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制定实施煤炭消费总量控制行动计划，重点压减非电行业煤炭消费，确保完成国家</w:t>
      </w:r>
      <w:r>
        <w:rPr>
          <w:rFonts w:hint="eastAsia" w:ascii="Times New Roman" w:hAnsi="Times New Roman" w:eastAsia="仿宋_GB2312" w:cs="Times New Roman"/>
          <w:b w:val="0"/>
          <w:bCs w:val="0"/>
          <w:color w:val="auto"/>
          <w:kern w:val="2"/>
          <w:sz w:val="32"/>
          <w:szCs w:val="32"/>
          <w:highlight w:val="none"/>
          <w:lang w:val="en-US" w:eastAsia="zh-CN" w:bidi="ar-SA"/>
        </w:rPr>
        <w:t>、省</w:t>
      </w:r>
      <w:r>
        <w:rPr>
          <w:rFonts w:hint="default" w:ascii="Times New Roman" w:hAnsi="Times New Roman" w:eastAsia="仿宋_GB2312" w:cs="Times New Roman"/>
          <w:b w:val="0"/>
          <w:bCs w:val="0"/>
          <w:color w:val="auto"/>
          <w:kern w:val="2"/>
          <w:sz w:val="32"/>
          <w:szCs w:val="32"/>
          <w:highlight w:val="none"/>
          <w:lang w:val="en-US" w:eastAsia="zh-CN" w:bidi="ar-SA"/>
        </w:rPr>
        <w:t>下达的“十四五”煤炭消费总量控制任务。（市发改委</w:t>
      </w:r>
      <w:r>
        <w:rPr>
          <w:rFonts w:hint="eastAsia" w:ascii="Times New Roman" w:hAnsi="Times New Roman" w:eastAsia="仿宋_GB2312" w:cs="Times New Roman"/>
          <w:b w:val="0"/>
          <w:bCs w:val="0"/>
          <w:color w:val="auto"/>
          <w:kern w:val="2"/>
          <w:sz w:val="32"/>
          <w:szCs w:val="32"/>
          <w:highlight w:val="none"/>
          <w:lang w:val="en-US" w:eastAsia="zh-CN" w:bidi="ar-SA"/>
        </w:rPr>
        <w:t>负责</w:t>
      </w:r>
      <w:r>
        <w:rPr>
          <w:rFonts w:hint="default" w:ascii="Times New Roman" w:hAnsi="Times New Roman" w:eastAsia="仿宋_GB2312" w:cs="Times New Roman"/>
          <w:b w:val="0"/>
          <w:bCs w:val="0"/>
          <w:color w:val="auto"/>
          <w:kern w:val="2"/>
          <w:sz w:val="32"/>
          <w:szCs w:val="32"/>
          <w:highlight w:val="none"/>
          <w:lang w:val="en-US" w:eastAsia="zh-CN" w:bidi="ar-SA"/>
        </w:rPr>
        <w:t>，市生态环境局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沁阳分局配合</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5F7579F7">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auto"/>
        <w:outlineLvl w:val="1"/>
        <w:rPr>
          <w:rFonts w:hint="default" w:ascii="Times New Roman" w:hAnsi="Times New Roman" w:cs="Times New Roman"/>
          <w:b/>
          <w:bCs/>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 xml:space="preserve">3. </w:t>
      </w:r>
      <w:r>
        <w:rPr>
          <w:rFonts w:hint="default" w:ascii="Times New Roman" w:hAnsi="Times New Roman" w:eastAsia="仿宋_GB2312" w:cs="Times New Roman"/>
          <w:b/>
          <w:bCs/>
          <w:color w:val="auto"/>
          <w:sz w:val="32"/>
          <w:szCs w:val="32"/>
          <w:highlight w:val="none"/>
          <w:lang w:eastAsia="zh-CN"/>
        </w:rPr>
        <w:t>持续推进集中供热与清洁取暖</w:t>
      </w:r>
      <w:bookmarkEnd w:id="10"/>
      <w:r>
        <w:rPr>
          <w:rFonts w:hint="default" w:ascii="Times New Roman" w:hAnsi="Times New Roman" w:cs="Times New Roman"/>
          <w:b/>
          <w:bCs/>
          <w:color w:val="auto"/>
          <w:sz w:val="32"/>
          <w:szCs w:val="32"/>
          <w:highlight w:val="none"/>
          <w:lang w:eastAsia="zh-CN"/>
        </w:rPr>
        <w:t>。</w:t>
      </w:r>
    </w:p>
    <w:p w14:paraId="49C8B87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outlineLvl w:val="1"/>
        <w:rPr>
          <w:rFonts w:hint="default" w:ascii="Times New Roman" w:hAnsi="Times New Roman" w:eastAsia="仿宋_GB2312" w:cs="Times New Roman"/>
          <w:color w:val="auto"/>
          <w:kern w:val="0"/>
          <w:sz w:val="32"/>
          <w:szCs w:val="32"/>
          <w:highlight w:val="none"/>
        </w:rPr>
      </w:pPr>
      <w:bookmarkStart w:id="12" w:name="OLE_LINK1"/>
      <w:r>
        <w:rPr>
          <w:rFonts w:hint="eastAsia" w:cs="Times New Roman"/>
          <w:b w:val="0"/>
          <w:bCs w:val="0"/>
          <w:color w:val="auto"/>
          <w:sz w:val="32"/>
          <w:szCs w:val="32"/>
          <w:highlight w:val="none"/>
          <w:lang w:eastAsia="zh-CN"/>
        </w:rPr>
        <w:t>（</w:t>
      </w:r>
      <w:r>
        <w:rPr>
          <w:rFonts w:hint="eastAsia" w:cs="Times New Roman"/>
          <w:b w:val="0"/>
          <w:bCs w:val="0"/>
          <w:color w:val="auto"/>
          <w:sz w:val="32"/>
          <w:szCs w:val="32"/>
          <w:highlight w:val="none"/>
          <w:lang w:val="en-US" w:eastAsia="zh-CN"/>
        </w:rPr>
        <w:t>1</w:t>
      </w:r>
      <w:r>
        <w:rPr>
          <w:rFonts w:hint="eastAsia" w:cs="Times New Roman"/>
          <w:b w:val="0"/>
          <w:bCs w:val="0"/>
          <w:color w:val="auto"/>
          <w:sz w:val="32"/>
          <w:szCs w:val="32"/>
          <w:highlight w:val="none"/>
          <w:lang w:eastAsia="zh-CN"/>
        </w:rPr>
        <w:t>）</w:t>
      </w:r>
      <w:bookmarkEnd w:id="12"/>
      <w:r>
        <w:rPr>
          <w:rFonts w:hint="default" w:ascii="Times New Roman" w:hAnsi="Times New Roman" w:eastAsia="仿宋_GB2312" w:cs="Times New Roman"/>
          <w:color w:val="auto"/>
          <w:sz w:val="32"/>
          <w:szCs w:val="32"/>
          <w:highlight w:val="none"/>
        </w:rPr>
        <w:t>加快实施“气化乡村”工程，有序推进燃气管网向乡镇和农村拓展延伸</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到2025年，全市平原地区城乡燃气管网</w:t>
      </w:r>
      <w:r>
        <w:rPr>
          <w:rFonts w:hint="default" w:ascii="Times New Roman" w:hAnsi="Times New Roman" w:eastAsia="仿宋_GB2312" w:cs="Times New Roman"/>
          <w:color w:val="auto"/>
          <w:sz w:val="32"/>
          <w:szCs w:val="32"/>
          <w:highlight w:val="none"/>
          <w:lang w:eastAsia="zh-CN"/>
        </w:rPr>
        <w:t>到村</w:t>
      </w:r>
      <w:r>
        <w:rPr>
          <w:rFonts w:hint="default" w:ascii="Times New Roman" w:hAnsi="Times New Roman" w:eastAsia="仿宋_GB2312" w:cs="Times New Roman"/>
          <w:color w:val="auto"/>
          <w:sz w:val="32"/>
          <w:szCs w:val="32"/>
          <w:highlight w:val="none"/>
        </w:rPr>
        <w:t>覆盖率达到</w:t>
      </w:r>
      <w:r>
        <w:rPr>
          <w:rFonts w:hint="eastAsia"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%。创新供暖体制和方式，对集中供热管网覆盖范围外的区域，鼓励各地结合能源状况，采用工业余热、地热能、空气源热泵等清洁能源供暖</w:t>
      </w:r>
      <w:r>
        <w:rPr>
          <w:rFonts w:hint="default" w:ascii="Times New Roman" w:hAnsi="Times New Roman" w:cs="Times New Roman"/>
          <w:color w:val="auto"/>
          <w:sz w:val="32"/>
          <w:szCs w:val="32"/>
          <w:highlight w:val="none"/>
          <w:lang w:eastAsia="zh-CN"/>
        </w:rPr>
        <w:t>。2024年底前，</w:t>
      </w:r>
      <w:r>
        <w:rPr>
          <w:rFonts w:hint="eastAsia" w:ascii="Times New Roman" w:hAnsi="Times New Roman" w:cs="Times New Roman"/>
          <w:color w:val="auto"/>
          <w:sz w:val="32"/>
          <w:szCs w:val="32"/>
          <w:highlight w:val="none"/>
          <w:lang w:eastAsia="zh-CN"/>
        </w:rPr>
        <w:t>城市</w:t>
      </w:r>
      <w:r>
        <w:rPr>
          <w:rFonts w:hint="default" w:ascii="Times New Roman" w:hAnsi="Times New Roman" w:cs="Times New Roman"/>
          <w:color w:val="auto"/>
          <w:sz w:val="32"/>
          <w:szCs w:val="32"/>
          <w:highlight w:val="none"/>
          <w:lang w:eastAsia="zh-CN"/>
        </w:rPr>
        <w:t>建成区集中供热普及率达到</w:t>
      </w:r>
      <w:r>
        <w:rPr>
          <w:rFonts w:hint="default" w:ascii="Times New Roman" w:hAnsi="Times New Roman" w:cs="Times New Roman"/>
          <w:color w:val="auto"/>
          <w:sz w:val="32"/>
          <w:szCs w:val="32"/>
          <w:highlight w:val="none"/>
          <w:lang w:val="en-US" w:eastAsia="zh-CN"/>
        </w:rPr>
        <w:t>32.8</w:t>
      </w:r>
      <w:r>
        <w:rPr>
          <w:rFonts w:hint="default" w:ascii="Times New Roman" w:hAnsi="Times New Roman" w:cs="Times New Roman"/>
          <w:color w:val="auto"/>
          <w:sz w:val="32"/>
          <w:szCs w:val="32"/>
          <w:highlight w:val="none"/>
          <w:lang w:eastAsia="zh-CN"/>
        </w:rPr>
        <w:t>%左右；2025年底前，</w:t>
      </w:r>
      <w:r>
        <w:rPr>
          <w:rFonts w:hint="eastAsia" w:cs="Times New Roman"/>
          <w:color w:val="auto"/>
          <w:sz w:val="32"/>
          <w:szCs w:val="32"/>
          <w:highlight w:val="none"/>
          <w:lang w:eastAsia="zh-CN"/>
        </w:rPr>
        <w:t>城市</w:t>
      </w:r>
      <w:r>
        <w:rPr>
          <w:rFonts w:hint="default" w:ascii="Times New Roman" w:hAnsi="Times New Roman" w:cs="Times New Roman"/>
          <w:color w:val="auto"/>
          <w:sz w:val="32"/>
          <w:szCs w:val="32"/>
          <w:highlight w:val="none"/>
          <w:lang w:eastAsia="zh-CN"/>
        </w:rPr>
        <w:t>建成区集中供热普及率达到</w:t>
      </w:r>
      <w:r>
        <w:rPr>
          <w:rFonts w:hint="default" w:ascii="Times New Roman" w:hAnsi="Times New Roman" w:cs="Times New Roman"/>
          <w:color w:val="auto"/>
          <w:sz w:val="32"/>
          <w:szCs w:val="32"/>
          <w:highlight w:val="none"/>
          <w:lang w:val="en-US" w:eastAsia="zh-CN"/>
        </w:rPr>
        <w:t>34.4</w:t>
      </w:r>
      <w:r>
        <w:rPr>
          <w:rFonts w:hint="default" w:ascii="Times New Roman" w:hAnsi="Times New Roman" w:cs="Times New Roman"/>
          <w:color w:val="auto"/>
          <w:sz w:val="32"/>
          <w:szCs w:val="32"/>
          <w:highlight w:val="none"/>
          <w:lang w:eastAsia="zh-CN"/>
        </w:rPr>
        <w:t>%左右。</w:t>
      </w:r>
      <w:r>
        <w:rPr>
          <w:rFonts w:hint="default" w:ascii="Times New Roman" w:hAnsi="Times New Roman" w:eastAsia="仿宋_GB2312" w:cs="Times New Roman"/>
          <w:color w:val="auto"/>
          <w:kern w:val="0"/>
          <w:sz w:val="32"/>
          <w:szCs w:val="32"/>
          <w:highlight w:val="none"/>
        </w:rPr>
        <w:t>（市</w:t>
      </w:r>
      <w:r>
        <w:rPr>
          <w:rFonts w:hint="eastAsia" w:cs="Times New Roman"/>
          <w:color w:val="auto"/>
          <w:kern w:val="0"/>
          <w:sz w:val="32"/>
          <w:szCs w:val="32"/>
          <w:highlight w:val="none"/>
          <w:lang w:eastAsia="zh-CN"/>
        </w:rPr>
        <w:t>住建</w:t>
      </w:r>
      <w:r>
        <w:rPr>
          <w:rFonts w:hint="default" w:ascii="Times New Roman" w:hAnsi="Times New Roman" w:cs="Times New Roman"/>
          <w:color w:val="auto"/>
          <w:kern w:val="0"/>
          <w:sz w:val="32"/>
          <w:szCs w:val="32"/>
          <w:highlight w:val="none"/>
          <w:lang w:eastAsia="zh-CN"/>
        </w:rPr>
        <w:t>局</w:t>
      </w:r>
      <w:r>
        <w:rPr>
          <w:rFonts w:hint="eastAsia" w:cs="Times New Roman"/>
          <w:color w:val="auto"/>
          <w:kern w:val="0"/>
          <w:sz w:val="32"/>
          <w:szCs w:val="32"/>
          <w:highlight w:val="none"/>
          <w:lang w:eastAsia="zh-CN"/>
        </w:rPr>
        <w:t>负责</w:t>
      </w:r>
      <w:r>
        <w:rPr>
          <w:rFonts w:hint="default" w:ascii="Times New Roman" w:hAnsi="Times New Roman" w:eastAsia="仿宋_GB2312" w:cs="Times New Roman"/>
          <w:color w:val="auto"/>
          <w:kern w:val="0"/>
          <w:sz w:val="32"/>
          <w:szCs w:val="32"/>
          <w:highlight w:val="none"/>
        </w:rPr>
        <w:t>，市发改委</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生态环境局</w:t>
      </w:r>
      <w:r>
        <w:rPr>
          <w:rFonts w:hint="eastAsia" w:cs="Times New Roman"/>
          <w:color w:val="auto"/>
          <w:kern w:val="0"/>
          <w:sz w:val="32"/>
          <w:szCs w:val="32"/>
          <w:highlight w:val="none"/>
          <w:lang w:eastAsia="zh-CN"/>
        </w:rPr>
        <w:t>沁阳分局</w:t>
      </w:r>
      <w:r>
        <w:rPr>
          <w:rFonts w:hint="default" w:ascii="Times New Roman" w:hAnsi="Times New Roman" w:eastAsia="仿宋_GB2312" w:cs="Times New Roman"/>
          <w:color w:val="auto"/>
          <w:kern w:val="0"/>
          <w:sz w:val="32"/>
          <w:szCs w:val="32"/>
          <w:highlight w:val="none"/>
        </w:rPr>
        <w:t>等</w:t>
      </w:r>
      <w:r>
        <w:rPr>
          <w:rFonts w:hint="eastAsia" w:cs="Times New Roman"/>
          <w:color w:val="auto"/>
          <w:kern w:val="0"/>
          <w:sz w:val="32"/>
          <w:szCs w:val="32"/>
          <w:highlight w:val="none"/>
          <w:lang w:eastAsia="zh-CN"/>
        </w:rPr>
        <w:t>配合</w:t>
      </w:r>
      <w:r>
        <w:rPr>
          <w:rFonts w:hint="default" w:ascii="Times New Roman" w:hAnsi="Times New Roman" w:eastAsia="仿宋_GB2312" w:cs="Times New Roman"/>
          <w:color w:val="auto"/>
          <w:kern w:val="0"/>
          <w:sz w:val="32"/>
          <w:szCs w:val="32"/>
          <w:highlight w:val="none"/>
        </w:rPr>
        <w:t>）</w:t>
      </w:r>
    </w:p>
    <w:p w14:paraId="3802DFF7">
      <w:pPr>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2</w:t>
      </w:r>
      <w:r>
        <w:rPr>
          <w:rFonts w:hint="eastAsia"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加大民用、农用散煤替代力度，在已公告划定为</w:t>
      </w:r>
      <w:r>
        <w:rPr>
          <w:rFonts w:hint="default" w:ascii="Times New Roman" w:hAnsi="Times New Roman" w:cs="Times New Roman"/>
          <w:color w:val="auto"/>
          <w:kern w:val="0"/>
          <w:sz w:val="32"/>
          <w:szCs w:val="32"/>
          <w:highlight w:val="none"/>
          <w:lang w:eastAsia="zh-CN"/>
        </w:rPr>
        <w:t>高污染燃料禁燃区</w:t>
      </w:r>
      <w:r>
        <w:rPr>
          <w:rFonts w:hint="default" w:ascii="Times New Roman" w:hAnsi="Times New Roman" w:eastAsia="仿宋_GB2312" w:cs="Times New Roman"/>
          <w:color w:val="auto"/>
          <w:kern w:val="0"/>
          <w:sz w:val="32"/>
          <w:szCs w:val="32"/>
          <w:highlight w:val="none"/>
        </w:rPr>
        <w:t>的地区，开展散煤治理行动，依法查处违规销售、储存、运输、使用洁净型煤和散煤的行为，严防严控散煤复烧，确保全市平原地区散煤清零。逐步推进山区散煤清洁能源替代，对不具备“双替代”改造条件的山区强化商品煤质量监管</w:t>
      </w:r>
      <w:r>
        <w:rPr>
          <w:rFonts w:hint="default" w:ascii="Times New Roman" w:hAnsi="Times New Roman"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（市发改委</w:t>
      </w:r>
      <w:r>
        <w:rPr>
          <w:rFonts w:hint="default" w:ascii="Times New Roman" w:hAnsi="Times New Roman" w:cs="Times New Roman"/>
          <w:color w:val="auto"/>
          <w:kern w:val="0"/>
          <w:sz w:val="32"/>
          <w:szCs w:val="32"/>
          <w:highlight w:val="none"/>
          <w:lang w:eastAsia="zh-CN"/>
        </w:rPr>
        <w:t>、市场监管局、</w:t>
      </w:r>
      <w:r>
        <w:rPr>
          <w:rFonts w:hint="eastAsia" w:cs="Times New Roman"/>
          <w:color w:val="auto"/>
          <w:kern w:val="0"/>
          <w:sz w:val="32"/>
          <w:szCs w:val="32"/>
          <w:highlight w:val="none"/>
          <w:lang w:eastAsia="zh-CN"/>
        </w:rPr>
        <w:t>工信</w:t>
      </w:r>
      <w:r>
        <w:rPr>
          <w:rFonts w:hint="default" w:ascii="Times New Roman" w:hAnsi="Times New Roman" w:eastAsia="仿宋_GB2312" w:cs="Times New Roman"/>
          <w:color w:val="auto"/>
          <w:kern w:val="0"/>
          <w:sz w:val="32"/>
          <w:szCs w:val="32"/>
          <w:highlight w:val="none"/>
        </w:rPr>
        <w:t>局、生态环境局</w:t>
      </w:r>
      <w:r>
        <w:rPr>
          <w:rFonts w:hint="eastAsia" w:cs="Times New Roman"/>
          <w:color w:val="auto"/>
          <w:kern w:val="0"/>
          <w:sz w:val="32"/>
          <w:szCs w:val="32"/>
          <w:highlight w:val="none"/>
          <w:lang w:eastAsia="zh-CN"/>
        </w:rPr>
        <w:t>沁阳分局</w:t>
      </w:r>
      <w:r>
        <w:rPr>
          <w:rFonts w:hint="default" w:ascii="Times New Roman" w:hAnsi="Times New Roman" w:eastAsia="仿宋_GB2312" w:cs="Times New Roman"/>
          <w:color w:val="auto"/>
          <w:kern w:val="0"/>
          <w:sz w:val="32"/>
          <w:szCs w:val="32"/>
          <w:highlight w:val="none"/>
        </w:rPr>
        <w:t>、农业农村局</w:t>
      </w:r>
      <w:r>
        <w:rPr>
          <w:rFonts w:hint="default" w:ascii="Times New Roman" w:hAnsi="Times New Roman" w:cs="Times New Roman"/>
          <w:color w:val="auto"/>
          <w:kern w:val="0"/>
          <w:sz w:val="32"/>
          <w:szCs w:val="32"/>
          <w:highlight w:val="none"/>
          <w:lang w:eastAsia="zh-CN"/>
        </w:rPr>
        <w:t>按职责分工负责</w:t>
      </w:r>
      <w:r>
        <w:rPr>
          <w:rFonts w:hint="default" w:ascii="Times New Roman" w:hAnsi="Times New Roman" w:eastAsia="仿宋_GB2312" w:cs="Times New Roman"/>
          <w:color w:val="auto"/>
          <w:kern w:val="0"/>
          <w:sz w:val="32"/>
          <w:szCs w:val="32"/>
          <w:highlight w:val="none"/>
        </w:rPr>
        <w:t>）</w:t>
      </w:r>
      <w:bookmarkStart w:id="13" w:name="_Toc114408649"/>
    </w:p>
    <w:p w14:paraId="63D77A98">
      <w:pPr>
        <w:keepNext w:val="0"/>
        <w:keepLines w:val="0"/>
        <w:pageBreakBefore w:val="0"/>
        <w:widowControl w:val="0"/>
        <w:numPr>
          <w:ilvl w:val="0"/>
          <w:numId w:val="0"/>
        </w:numPr>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sz w:val="32"/>
          <w:szCs w:val="32"/>
          <w:highlight w:val="none"/>
        </w:rPr>
      </w:pPr>
      <w:r>
        <w:rPr>
          <w:rFonts w:hint="eastAsia" w:cs="Times New Roman"/>
          <w:b/>
          <w:bCs/>
          <w:color w:val="auto"/>
          <w:kern w:val="0"/>
          <w:sz w:val="32"/>
          <w:szCs w:val="32"/>
          <w:highlight w:val="none"/>
          <w:lang w:val="en-US" w:eastAsia="zh-CN"/>
        </w:rPr>
        <w:t>4</w:t>
      </w:r>
      <w:r>
        <w:rPr>
          <w:rFonts w:hint="default" w:ascii="Times New Roman" w:hAnsi="Times New Roman" w:cs="Times New Roman"/>
          <w:b/>
          <w:bCs/>
          <w:color w:val="auto"/>
          <w:kern w:val="0"/>
          <w:sz w:val="32"/>
          <w:szCs w:val="32"/>
          <w:highlight w:val="none"/>
          <w:lang w:val="en-US" w:eastAsia="zh-CN"/>
        </w:rPr>
        <w:t xml:space="preserve">. </w:t>
      </w:r>
      <w:bookmarkEnd w:id="13"/>
      <w:r>
        <w:rPr>
          <w:rFonts w:hint="default" w:ascii="Times New Roman" w:hAnsi="Times New Roman" w:eastAsia="仿宋_GB2312" w:cs="Times New Roman"/>
          <w:b/>
          <w:bCs/>
          <w:color w:val="auto"/>
          <w:sz w:val="32"/>
          <w:szCs w:val="32"/>
          <w:highlight w:val="none"/>
          <w:u w:val="none"/>
        </w:rPr>
        <w:t>加强涉</w:t>
      </w:r>
      <w:r>
        <w:rPr>
          <w:rFonts w:hint="eastAsia" w:cs="Times New Roman"/>
          <w:b/>
          <w:bCs/>
          <w:color w:val="auto"/>
          <w:sz w:val="32"/>
          <w:szCs w:val="32"/>
          <w:highlight w:val="none"/>
          <w:u w:val="none"/>
          <w:lang w:eastAsia="zh-CN"/>
        </w:rPr>
        <w:t>二氧化硫</w:t>
      </w:r>
      <w:r>
        <w:rPr>
          <w:rFonts w:hint="default" w:ascii="Times New Roman" w:hAnsi="Times New Roman" w:eastAsia="仿宋_GB2312" w:cs="Times New Roman"/>
          <w:b/>
          <w:bCs/>
          <w:color w:val="auto"/>
          <w:sz w:val="32"/>
          <w:szCs w:val="32"/>
          <w:highlight w:val="none"/>
          <w:u w:val="none"/>
        </w:rPr>
        <w:t>企业污染治理设施运行管理</w:t>
      </w:r>
      <w:r>
        <w:rPr>
          <w:rFonts w:hint="default" w:ascii="Times New Roman" w:hAnsi="Times New Roman" w:eastAsia="仿宋_GB2312" w:cs="Times New Roman"/>
          <w:b/>
          <w:bCs/>
          <w:color w:val="auto"/>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针对频繁出现的二氧化硫高值热点，加强对</w:t>
      </w:r>
      <w:r>
        <w:rPr>
          <w:rFonts w:hint="default" w:ascii="Times New Roman" w:hAnsi="Times New Roman" w:eastAsia="仿宋_GB2312" w:cs="Times New Roman"/>
          <w:color w:val="auto"/>
          <w:sz w:val="32"/>
          <w:szCs w:val="32"/>
          <w:highlight w:val="none"/>
          <w:u w:val="none"/>
          <w:lang w:val="en-US" w:eastAsia="zh-CN"/>
        </w:rPr>
        <w:t>涉</w:t>
      </w:r>
      <w:r>
        <w:rPr>
          <w:rFonts w:hint="default" w:ascii="Times New Roman" w:hAnsi="Times New Roman" w:eastAsia="仿宋_GB2312" w:cs="Times New Roman"/>
          <w:color w:val="auto"/>
          <w:spacing w:val="0"/>
          <w:w w:val="100"/>
          <w:sz w:val="32"/>
          <w:szCs w:val="32"/>
          <w:highlight w:val="none"/>
          <w:u w:val="none"/>
        </w:rPr>
        <w:t>二氧化硫</w:t>
      </w:r>
      <w:r>
        <w:rPr>
          <w:rFonts w:hint="default" w:ascii="Times New Roman" w:hAnsi="Times New Roman" w:eastAsia="仿宋_GB2312" w:cs="Times New Roman"/>
          <w:color w:val="auto"/>
          <w:sz w:val="32"/>
          <w:szCs w:val="32"/>
          <w:highlight w:val="none"/>
          <w:u w:val="none"/>
          <w:lang w:val="en-US" w:eastAsia="zh-CN"/>
        </w:rPr>
        <w:t>排放的电力、水泥、砖瓦窑、</w:t>
      </w:r>
      <w:r>
        <w:rPr>
          <w:rFonts w:hint="eastAsia" w:cs="Times New Roman"/>
          <w:color w:val="auto"/>
          <w:sz w:val="32"/>
          <w:szCs w:val="32"/>
          <w:highlight w:val="none"/>
          <w:u w:val="none"/>
          <w:lang w:val="en-US" w:eastAsia="zh-CN"/>
        </w:rPr>
        <w:t>炭素</w:t>
      </w:r>
      <w:r>
        <w:rPr>
          <w:rFonts w:hint="default" w:ascii="Times New Roman" w:hAnsi="Times New Roman" w:eastAsia="仿宋_GB2312" w:cs="Times New Roman"/>
          <w:color w:val="auto"/>
          <w:sz w:val="32"/>
          <w:szCs w:val="32"/>
          <w:highlight w:val="none"/>
          <w:u w:val="none"/>
          <w:lang w:val="en-US" w:eastAsia="zh-CN"/>
        </w:rPr>
        <w:t>等行业以及工业窑炉、燃煤锅炉</w:t>
      </w:r>
      <w:r>
        <w:rPr>
          <w:rFonts w:hint="default" w:ascii="Times New Roman" w:hAnsi="Times New Roman" w:eastAsia="仿宋_GB2312" w:cs="Times New Roman"/>
          <w:color w:val="auto"/>
          <w:spacing w:val="0"/>
          <w:w w:val="100"/>
          <w:sz w:val="32"/>
          <w:szCs w:val="32"/>
          <w:highlight w:val="none"/>
          <w:u w:val="none"/>
        </w:rPr>
        <w:t>的日常监管，重点加强重点涉硫企业的无组织排放及脱硫设施运行情况督导检查频次，</w:t>
      </w:r>
      <w:r>
        <w:rPr>
          <w:rFonts w:hint="default" w:ascii="Times New Roman" w:hAnsi="Times New Roman" w:eastAsia="仿宋_GB2312" w:cs="Times New Roman"/>
          <w:color w:val="auto"/>
          <w:sz w:val="32"/>
          <w:szCs w:val="32"/>
          <w:highlight w:val="none"/>
          <w:u w:val="none"/>
        </w:rPr>
        <w:t>加强污染治理设施运行管理，提升设施自动化控制水平，强化设施日常运维检修，确保污染物稳定达标排放</w:t>
      </w:r>
      <w:r>
        <w:rPr>
          <w:rFonts w:hint="default" w:ascii="Times New Roman" w:hAnsi="Times New Roman" w:eastAsia="仿宋_GB2312" w:cs="Times New Roman"/>
          <w:color w:val="auto"/>
          <w:sz w:val="32"/>
          <w:szCs w:val="32"/>
          <w:highlight w:val="none"/>
          <w:u w:val="none"/>
          <w:lang w:eastAsia="zh-CN"/>
        </w:rPr>
        <w:t>，避免出现污染物突升现象，有效减少</w:t>
      </w:r>
      <w:r>
        <w:rPr>
          <w:rFonts w:hint="default" w:ascii="Times New Roman" w:hAnsi="Times New Roman" w:eastAsia="仿宋_GB2312" w:cs="Times New Roman"/>
          <w:color w:val="auto"/>
          <w:spacing w:val="0"/>
          <w:w w:val="100"/>
          <w:sz w:val="32"/>
          <w:szCs w:val="32"/>
          <w:highlight w:val="none"/>
          <w:u w:val="none"/>
        </w:rPr>
        <w:t>站点二氧化硫</w:t>
      </w:r>
      <w:r>
        <w:rPr>
          <w:rFonts w:hint="default" w:ascii="Times New Roman" w:hAnsi="Times New Roman" w:eastAsia="仿宋_GB2312" w:cs="Times New Roman"/>
          <w:color w:val="auto"/>
          <w:spacing w:val="0"/>
          <w:w w:val="100"/>
          <w:sz w:val="32"/>
          <w:szCs w:val="32"/>
          <w:highlight w:val="none"/>
          <w:u w:val="none"/>
          <w:lang w:eastAsia="zh-CN"/>
        </w:rPr>
        <w:t>高值热点</w:t>
      </w:r>
      <w:r>
        <w:rPr>
          <w:rFonts w:hint="default" w:ascii="Times New Roman" w:hAnsi="Times New Roman" w:eastAsia="仿宋_GB2312" w:cs="Times New Roman"/>
          <w:color w:val="auto"/>
          <w:spacing w:val="0"/>
          <w:w w:val="100"/>
          <w:sz w:val="32"/>
          <w:szCs w:val="32"/>
          <w:highlight w:val="none"/>
          <w:u w:val="none"/>
        </w:rPr>
        <w:t>现象。</w:t>
      </w:r>
      <w:r>
        <w:rPr>
          <w:rFonts w:hint="default" w:ascii="Times New Roman" w:hAnsi="Times New Roman" w:eastAsia="仿宋_GB2312" w:cs="Times New Roman"/>
          <w:color w:val="auto"/>
          <w:sz w:val="32"/>
          <w:szCs w:val="32"/>
          <w:highlight w:val="none"/>
        </w:rPr>
        <w:t>（市生态环境局</w:t>
      </w:r>
      <w:r>
        <w:rPr>
          <w:rFonts w:hint="eastAsia" w:cs="Times New Roman"/>
          <w:color w:val="auto"/>
          <w:sz w:val="32"/>
          <w:szCs w:val="32"/>
          <w:highlight w:val="none"/>
          <w:lang w:eastAsia="zh-CN"/>
        </w:rPr>
        <w:t>沁阳分局负责</w:t>
      </w:r>
      <w:r>
        <w:rPr>
          <w:rFonts w:hint="default" w:ascii="Times New Roman" w:hAnsi="Times New Roman" w:eastAsia="仿宋_GB2312" w:cs="Times New Roman"/>
          <w:color w:val="auto"/>
          <w:sz w:val="32"/>
          <w:szCs w:val="32"/>
          <w:highlight w:val="none"/>
        </w:rPr>
        <w:t>）</w:t>
      </w:r>
    </w:p>
    <w:p w14:paraId="203409BD">
      <w:pPr>
        <w:keepNext w:val="0"/>
        <w:keepLines w:val="0"/>
        <w:pageBreakBefore w:val="0"/>
        <w:widowControl w:val="0"/>
        <w:numPr>
          <w:ilvl w:val="0"/>
          <w:numId w:val="0"/>
        </w:numPr>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sz w:val="32"/>
          <w:szCs w:val="32"/>
          <w:highlight w:val="none"/>
          <w:u w:val="none"/>
          <w:lang w:eastAsia="zh-CN"/>
        </w:rPr>
      </w:pPr>
      <w:r>
        <w:rPr>
          <w:rFonts w:hint="eastAsia" w:cs="Times New Roman"/>
          <w:b/>
          <w:bCs/>
          <w:color w:val="auto"/>
          <w:kern w:val="0"/>
          <w:sz w:val="32"/>
          <w:szCs w:val="32"/>
          <w:highlight w:val="none"/>
          <w:lang w:val="en-US" w:eastAsia="zh-CN"/>
        </w:rPr>
        <w:t>5</w:t>
      </w:r>
      <w:r>
        <w:rPr>
          <w:rFonts w:hint="default" w:ascii="Times New Roman" w:hAnsi="Times New Roman" w:cs="Times New Roman"/>
          <w:b/>
          <w:bCs/>
          <w:color w:val="auto"/>
          <w:kern w:val="0"/>
          <w:sz w:val="32"/>
          <w:szCs w:val="32"/>
          <w:highlight w:val="none"/>
          <w:lang w:val="en-US" w:eastAsia="zh-CN"/>
        </w:rPr>
        <w:t xml:space="preserve">. </w:t>
      </w:r>
      <w:r>
        <w:rPr>
          <w:rFonts w:hint="default" w:ascii="Times New Roman" w:hAnsi="Times New Roman" w:cs="Times New Roman"/>
          <w:b/>
          <w:bCs/>
          <w:color w:val="auto"/>
          <w:kern w:val="0"/>
          <w:sz w:val="32"/>
          <w:szCs w:val="32"/>
          <w:highlight w:val="none"/>
          <w:lang w:eastAsia="zh-CN"/>
        </w:rPr>
        <w:t>深入推进农业领域清洁能源替代。</w:t>
      </w:r>
      <w:r>
        <w:rPr>
          <w:rFonts w:hint="default" w:ascii="Times New Roman" w:hAnsi="Times New Roman" w:eastAsia="仿宋_GB2312" w:cs="Times New Roman"/>
          <w:color w:val="auto"/>
          <w:sz w:val="32"/>
          <w:szCs w:val="32"/>
          <w:highlight w:val="none"/>
          <w:u w:val="none"/>
          <w:lang w:eastAsia="zh-CN"/>
        </w:rPr>
        <w:t>巩固全市食用菌企业“双改”工作成效；</w:t>
      </w:r>
      <w:r>
        <w:rPr>
          <w:rFonts w:hint="default" w:ascii="Times New Roman" w:hAnsi="Times New Roman" w:eastAsia="仿宋_GB2312" w:cs="Times New Roman"/>
          <w:color w:val="auto"/>
          <w:sz w:val="32"/>
          <w:szCs w:val="32"/>
          <w:highlight w:val="none"/>
          <w:u w:val="none"/>
          <w:lang w:val="en-US" w:eastAsia="zh-CN"/>
        </w:rPr>
        <w:t>全面排查地黄、山药等产地加工环节，在怀药产区大力宣传推广清洁能源替代相关政策、技术，有序推进中药材烘干环节清洁能源替代或传统火焙的技改工作</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基本</w:t>
      </w:r>
      <w:r>
        <w:rPr>
          <w:rFonts w:hint="default" w:ascii="Times New Roman" w:hAnsi="Times New Roman" w:eastAsia="仿宋_GB2312" w:cs="Times New Roman"/>
          <w:color w:val="auto"/>
          <w:sz w:val="32"/>
          <w:szCs w:val="32"/>
          <w:highlight w:val="none"/>
          <w:u w:val="none"/>
          <w:lang w:eastAsia="zh-CN"/>
        </w:rPr>
        <w:t>淘汰</w:t>
      </w:r>
      <w:r>
        <w:rPr>
          <w:rFonts w:hint="default" w:ascii="Times New Roman" w:hAnsi="Times New Roman" w:eastAsia="仿宋_GB2312" w:cs="Times New Roman"/>
          <w:color w:val="auto"/>
          <w:sz w:val="32"/>
          <w:szCs w:val="32"/>
          <w:highlight w:val="none"/>
          <w:u w:val="none"/>
          <w:lang w:val="en-US" w:eastAsia="zh-CN"/>
        </w:rPr>
        <w:t>储粮烘干、农产品加工等</w:t>
      </w:r>
      <w:r>
        <w:rPr>
          <w:rFonts w:hint="eastAsia" w:ascii="Times New Roman" w:hAnsi="Times New Roman" w:eastAsia="仿宋_GB2312" w:cs="Times New Roman"/>
          <w:color w:val="auto"/>
          <w:sz w:val="32"/>
          <w:szCs w:val="32"/>
          <w:highlight w:val="none"/>
          <w:u w:val="none"/>
          <w:lang w:val="en-US" w:eastAsia="zh-CN"/>
        </w:rPr>
        <w:t>不符合标准的</w:t>
      </w:r>
      <w:r>
        <w:rPr>
          <w:rFonts w:hint="default" w:ascii="Times New Roman" w:hAnsi="Times New Roman" w:eastAsia="仿宋_GB2312" w:cs="Times New Roman"/>
          <w:color w:val="auto"/>
          <w:sz w:val="32"/>
          <w:szCs w:val="32"/>
          <w:highlight w:val="none"/>
          <w:u w:val="none"/>
          <w:lang w:val="en-US" w:eastAsia="zh-CN"/>
        </w:rPr>
        <w:t>设备</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设施。</w:t>
      </w:r>
      <w:r>
        <w:rPr>
          <w:rFonts w:hint="default" w:ascii="Times New Roman" w:hAnsi="Times New Roman" w:eastAsia="仿宋_GB2312" w:cs="Times New Roman"/>
          <w:color w:val="auto"/>
          <w:sz w:val="32"/>
          <w:szCs w:val="32"/>
          <w:highlight w:val="none"/>
          <w:u w:val="none"/>
          <w:lang w:eastAsia="zh-CN"/>
        </w:rPr>
        <w:t>（市农业农村局、</w:t>
      </w:r>
      <w:r>
        <w:rPr>
          <w:rFonts w:hint="eastAsia" w:ascii="Times New Roman" w:hAnsi="Times New Roman" w:eastAsia="仿宋_GB2312" w:cs="Times New Roman"/>
          <w:color w:val="auto"/>
          <w:sz w:val="32"/>
          <w:szCs w:val="32"/>
          <w:highlight w:val="none"/>
          <w:u w:val="none"/>
          <w:lang w:eastAsia="zh-CN"/>
        </w:rPr>
        <w:t>工信</w:t>
      </w:r>
      <w:r>
        <w:rPr>
          <w:rFonts w:hint="default" w:ascii="Times New Roman" w:hAnsi="Times New Roman" w:eastAsia="仿宋_GB2312" w:cs="Times New Roman"/>
          <w:color w:val="auto"/>
          <w:sz w:val="32"/>
          <w:szCs w:val="32"/>
          <w:highlight w:val="none"/>
          <w:u w:val="none"/>
          <w:lang w:eastAsia="zh-CN"/>
        </w:rPr>
        <w:t>局、生态环境局</w:t>
      </w:r>
      <w:r>
        <w:rPr>
          <w:rFonts w:hint="eastAsia" w:ascii="Times New Roman" w:hAnsi="Times New Roman" w:eastAsia="仿宋_GB2312" w:cs="Times New Roman"/>
          <w:color w:val="auto"/>
          <w:sz w:val="32"/>
          <w:szCs w:val="32"/>
          <w:highlight w:val="none"/>
          <w:u w:val="none"/>
          <w:lang w:eastAsia="zh-CN"/>
        </w:rPr>
        <w:t>沁阳分局</w:t>
      </w:r>
      <w:r>
        <w:rPr>
          <w:rFonts w:hint="default" w:ascii="Times New Roman" w:hAnsi="Times New Roman" w:eastAsia="仿宋_GB2312" w:cs="Times New Roman"/>
          <w:color w:val="auto"/>
          <w:sz w:val="32"/>
          <w:szCs w:val="32"/>
          <w:highlight w:val="none"/>
          <w:u w:val="none"/>
          <w:lang w:eastAsia="zh-CN"/>
        </w:rPr>
        <w:t>按职责分工负责）</w:t>
      </w:r>
    </w:p>
    <w:p w14:paraId="53FBA120">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（四）深入打好二氧化氮污染防治攻坚战</w:t>
      </w:r>
    </w:p>
    <w:p w14:paraId="1DAB2402">
      <w:pPr>
        <w:keepNext w:val="0"/>
        <w:keepLines w:val="0"/>
        <w:pageBreakBefore w:val="0"/>
        <w:widowControl w:val="0"/>
        <w:kinsoku/>
        <w:wordWrap/>
        <w:overflowPunct w:val="0"/>
        <w:topLinePunct w:val="0"/>
        <w:autoSpaceDE/>
        <w:autoSpaceDN/>
        <w:bidi w:val="0"/>
        <w:snapToGrid/>
        <w:spacing w:beforeAutospacing="0" w:afterAutospacing="0" w:line="576" w:lineRule="exact"/>
        <w:ind w:left="0" w:leftChars="0" w:firstLine="643" w:firstLineChars="200"/>
        <w:jc w:val="both"/>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bookmarkStart w:id="14" w:name="_Toc114408651"/>
      <w:r>
        <w:rPr>
          <w:rFonts w:hint="default" w:ascii="Times New Roman" w:hAnsi="Times New Roman" w:eastAsia="仿宋_GB2312" w:cs="Times New Roman"/>
          <w:b/>
          <w:bCs/>
          <w:color w:val="auto"/>
          <w:kern w:val="2"/>
          <w:sz w:val="32"/>
          <w:szCs w:val="32"/>
          <w:highlight w:val="none"/>
          <w:lang w:val="en-US" w:eastAsia="zh-CN" w:bidi="ar-SA"/>
        </w:rPr>
        <w:t>1. 持续优化调整货物运输结构</w:t>
      </w:r>
      <w:bookmarkEnd w:id="14"/>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推进大宗货物中长距离运输“公转铁”，发展公铁多式联运，加快构建“外集内配、绿色联运”的公铁联运配送体系。新建及迁建煤炭、矿石、焦炭等大宗货物年运量150万吨以上的工矿企业，原则上接入铁路专用线或管道。到2025年，力争全市公路货物周转量占比较2022年下降10个百分点。2024</w:t>
      </w:r>
      <w:r>
        <w:rPr>
          <w:rFonts w:hint="eastAsia" w:ascii="Times New Roman" w:hAnsi="Times New Roman" w:eastAsia="仿宋_GB2312" w:cs="Times New Roman"/>
          <w:b w:val="0"/>
          <w:bCs w:val="0"/>
          <w:color w:val="auto"/>
          <w:kern w:val="2"/>
          <w:sz w:val="32"/>
          <w:szCs w:val="32"/>
          <w:highlight w:val="none"/>
          <w:lang w:val="en-US" w:eastAsia="zh-CN" w:bidi="ar-SA"/>
        </w:rPr>
        <w:t>年</w:t>
      </w:r>
      <w:r>
        <w:rPr>
          <w:rFonts w:hint="default" w:ascii="Times New Roman" w:hAnsi="Times New Roman" w:eastAsia="仿宋_GB2312" w:cs="Times New Roman"/>
          <w:b w:val="0"/>
          <w:bCs w:val="0"/>
          <w:color w:val="auto"/>
          <w:kern w:val="2"/>
          <w:sz w:val="32"/>
          <w:szCs w:val="32"/>
          <w:highlight w:val="none"/>
          <w:lang w:val="en-US" w:eastAsia="zh-CN" w:bidi="ar-SA"/>
        </w:rPr>
        <w:t>年底前，火电、煤炭等行业大宗货物清洁运输比例力争达到80%。（市交通局、发改委</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自然资源和规划局、生态环境局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局、商务局</w:t>
      </w:r>
      <w:r>
        <w:rPr>
          <w:rFonts w:hint="eastAsia" w:ascii="Times New Roman" w:hAnsi="Times New Roman" w:eastAsia="仿宋_GB2312" w:cs="Times New Roman"/>
          <w:b w:val="0"/>
          <w:bCs w:val="0"/>
          <w:color w:val="auto"/>
          <w:kern w:val="2"/>
          <w:sz w:val="32"/>
          <w:szCs w:val="32"/>
          <w:highlight w:val="none"/>
          <w:lang w:val="en-US" w:eastAsia="zh-CN" w:bidi="ar-SA"/>
        </w:rPr>
        <w:t>按职责分工负责</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4180985F">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bookmarkStart w:id="15" w:name="_Toc114408652"/>
      <w:r>
        <w:rPr>
          <w:rFonts w:hint="default" w:ascii="Times New Roman" w:hAnsi="Times New Roman" w:eastAsia="仿宋_GB2312" w:cs="Times New Roman"/>
          <w:b/>
          <w:bCs/>
          <w:color w:val="auto"/>
          <w:kern w:val="2"/>
          <w:sz w:val="32"/>
          <w:szCs w:val="32"/>
          <w:highlight w:val="none"/>
          <w:lang w:val="en-US" w:eastAsia="zh-CN" w:bidi="ar-SA"/>
        </w:rPr>
        <w:t xml:space="preserve">2. </w:t>
      </w:r>
      <w:bookmarkEnd w:id="15"/>
      <w:r>
        <w:rPr>
          <w:rFonts w:hint="default" w:ascii="Times New Roman" w:hAnsi="Times New Roman" w:eastAsia="仿宋_GB2312" w:cs="Times New Roman"/>
          <w:b/>
          <w:color w:val="auto"/>
          <w:sz w:val="32"/>
          <w:szCs w:val="32"/>
          <w:highlight w:val="none"/>
        </w:rPr>
        <w:t>加快新能源汽车推广应用</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工信部门</w:t>
      </w:r>
      <w:r>
        <w:rPr>
          <w:rFonts w:hint="eastAsia" w:ascii="Times New Roman" w:hAnsi="Times New Roman" w:eastAsia="仿宋_GB2312" w:cs="Times New Roman"/>
          <w:b w:val="0"/>
          <w:bCs w:val="0"/>
          <w:color w:val="auto"/>
          <w:kern w:val="2"/>
          <w:sz w:val="32"/>
          <w:szCs w:val="32"/>
          <w:highlight w:val="none"/>
          <w:lang w:val="en-US" w:eastAsia="zh-CN" w:bidi="ar-SA"/>
        </w:rPr>
        <w:t>牵头</w:t>
      </w:r>
      <w:r>
        <w:rPr>
          <w:rFonts w:hint="default" w:ascii="Times New Roman" w:hAnsi="Times New Roman" w:eastAsia="仿宋_GB2312" w:cs="Times New Roman"/>
          <w:b w:val="0"/>
          <w:bCs w:val="0"/>
          <w:color w:val="auto"/>
          <w:kern w:val="2"/>
          <w:sz w:val="32"/>
          <w:szCs w:val="32"/>
          <w:highlight w:val="none"/>
          <w:lang w:val="en-US" w:eastAsia="zh-CN" w:bidi="ar-SA"/>
        </w:rPr>
        <w:t>做好新能源汽车推广</w:t>
      </w:r>
      <w:r>
        <w:rPr>
          <w:rFonts w:hint="eastAsia" w:ascii="Times New Roman" w:hAnsi="Times New Roman" w:eastAsia="仿宋_GB2312" w:cs="Times New Roman"/>
          <w:b w:val="0"/>
          <w:bCs w:val="0"/>
          <w:color w:val="auto"/>
          <w:kern w:val="2"/>
          <w:sz w:val="32"/>
          <w:szCs w:val="32"/>
          <w:highlight w:val="none"/>
          <w:lang w:val="en-US" w:eastAsia="zh-CN" w:bidi="ar-SA"/>
        </w:rPr>
        <w:t>应用</w:t>
      </w:r>
      <w:r>
        <w:rPr>
          <w:rFonts w:hint="default" w:ascii="Times New Roman" w:hAnsi="Times New Roman" w:eastAsia="仿宋_GB2312" w:cs="Times New Roman"/>
          <w:b w:val="0"/>
          <w:bCs w:val="0"/>
          <w:color w:val="auto"/>
          <w:kern w:val="2"/>
          <w:sz w:val="32"/>
          <w:szCs w:val="32"/>
          <w:highlight w:val="none"/>
          <w:lang w:val="en-US" w:eastAsia="zh-CN" w:bidi="ar-SA"/>
        </w:rPr>
        <w:t>工作。除特殊需求的车辆外，全</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党政机关新购买公务用车基本实现新能源化。2025年年底前，除应急车辆外，全</w:t>
      </w:r>
      <w:r>
        <w:rPr>
          <w:rFonts w:hint="eastAsia" w:ascii="Times New Roman" w:hAnsi="Times New Roman" w:eastAsia="仿宋_GB2312" w:cs="Times New Roman"/>
          <w:b w:val="0"/>
          <w:bCs w:val="0"/>
          <w:color w:val="auto"/>
          <w:kern w:val="2"/>
          <w:sz w:val="32"/>
          <w:szCs w:val="32"/>
          <w:highlight w:val="none"/>
          <w:lang w:val="en-US" w:eastAsia="zh-CN" w:bidi="ar-SA"/>
        </w:rPr>
        <w:t>市</w:t>
      </w:r>
      <w:r>
        <w:rPr>
          <w:rFonts w:hint="default" w:ascii="Times New Roman" w:hAnsi="Times New Roman" w:eastAsia="仿宋_GB2312" w:cs="Times New Roman"/>
          <w:b w:val="0"/>
          <w:bCs w:val="0"/>
          <w:color w:val="auto"/>
          <w:kern w:val="2"/>
          <w:sz w:val="32"/>
          <w:szCs w:val="32"/>
          <w:highlight w:val="none"/>
          <w:lang w:val="en-US" w:eastAsia="zh-CN" w:bidi="ar-SA"/>
        </w:rPr>
        <w:t>公交车、巡游出租车和城市建成区的载货汽车（含渣土运输车、物流车）、邮政用车、市政环卫车、网约出租车基本实现新能源化。2024年至2025年全市公共领域新能源汽车比例分别达到60%、100%。在火电、钢铁、煤炭、有色、水泥等行业和物流园区推广新能源中重型车辆，发展纯电动、氢燃料电池等零排放货运车队。</w:t>
      </w:r>
      <w:r>
        <w:rPr>
          <w:rFonts w:hint="eastAsia" w:ascii="Times New Roman" w:hAnsi="Times New Roman" w:eastAsia="仿宋_GB2312" w:cs="Times New Roman"/>
          <w:b w:val="0"/>
          <w:bCs w:val="0"/>
          <w:color w:val="auto"/>
          <w:kern w:val="2"/>
          <w:sz w:val="32"/>
          <w:szCs w:val="32"/>
          <w:highlight w:val="none"/>
          <w:lang w:val="en-US" w:eastAsia="zh-CN" w:bidi="ar-SA"/>
        </w:rPr>
        <w:t>2025年年底前，</w:t>
      </w:r>
      <w:r>
        <w:rPr>
          <w:rFonts w:hint="default" w:ascii="Times New Roman" w:hAnsi="Times New Roman" w:eastAsia="仿宋_GB2312" w:cs="Times New Roman"/>
          <w:b w:val="0"/>
          <w:bCs w:val="0"/>
          <w:color w:val="auto"/>
          <w:kern w:val="2"/>
          <w:sz w:val="32"/>
          <w:szCs w:val="32"/>
          <w:highlight w:val="none"/>
          <w:lang w:val="en-US" w:eastAsia="zh-CN" w:bidi="ar-SA"/>
        </w:rPr>
        <w:t>国有企业原则上全部采用清洁运输方式，不能使用清洁运输的全部使用新能源车辆运输，场区内全部使用新能源或国三及以上非道路移动机械作业。加快充电设施建设，高速公路服务区快充站实现全覆盖，在交通枢纽、批发市场、物流园区等建设充电基础设施。</w:t>
      </w:r>
      <w:r>
        <w:rPr>
          <w:rFonts w:hint="eastAsia" w:ascii="Times New Roman" w:hAnsi="Times New Roman" w:eastAsia="仿宋_GB2312" w:cs="Times New Roman"/>
          <w:b w:val="0"/>
          <w:bCs w:val="0"/>
          <w:color w:val="auto"/>
          <w:kern w:val="2"/>
          <w:sz w:val="32"/>
          <w:szCs w:val="32"/>
          <w:highlight w:val="none"/>
          <w:lang w:val="en-US" w:eastAsia="zh-CN" w:bidi="ar-SA"/>
        </w:rPr>
        <w:t>（市工信局、发改委、交通局、公安局、住建局、机关事务中心、商务局、市场监管局、城管局、沁阳市邮政公司、财政局</w:t>
      </w:r>
      <w:r>
        <w:rPr>
          <w:rFonts w:hint="eastAsia" w:ascii="楷体_GB2312" w:hAnsi="楷体_GB2312" w:eastAsia="楷体_GB2312" w:cs="楷体_GB2312"/>
          <w:b w:val="0"/>
          <w:bCs w:val="0"/>
          <w:color w:val="auto"/>
          <w:kern w:val="2"/>
          <w:sz w:val="32"/>
          <w:szCs w:val="32"/>
          <w:highlight w:val="none"/>
          <w:lang w:val="en-US" w:eastAsia="zh-CN" w:bidi="ar-SA"/>
        </w:rPr>
        <w:t>〔国资委〕</w:t>
      </w:r>
      <w:r>
        <w:rPr>
          <w:rFonts w:hint="eastAsia" w:ascii="Times New Roman" w:hAnsi="Times New Roman" w:eastAsia="仿宋_GB2312" w:cs="Times New Roman"/>
          <w:b w:val="0"/>
          <w:bCs w:val="0"/>
          <w:color w:val="auto"/>
          <w:kern w:val="2"/>
          <w:sz w:val="32"/>
          <w:szCs w:val="32"/>
          <w:highlight w:val="none"/>
          <w:lang w:val="en-US" w:eastAsia="zh-CN" w:bidi="ar-SA"/>
        </w:rPr>
        <w:t>、国网沁阳供电公司等按职责分工负责）</w:t>
      </w:r>
    </w:p>
    <w:p w14:paraId="4D169065">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 加快提升</w:t>
      </w:r>
      <w:r>
        <w:rPr>
          <w:rFonts w:hint="eastAsia" w:ascii="Times New Roman" w:hAnsi="Times New Roman" w:eastAsia="仿宋_GB2312" w:cs="Times New Roman"/>
          <w:b/>
          <w:bCs/>
          <w:color w:val="auto"/>
          <w:kern w:val="2"/>
          <w:sz w:val="32"/>
          <w:szCs w:val="32"/>
          <w:highlight w:val="none"/>
          <w:lang w:val="en-US" w:eastAsia="zh-CN" w:bidi="ar-SA"/>
        </w:rPr>
        <w:t>重点行业</w:t>
      </w:r>
      <w:r>
        <w:rPr>
          <w:rFonts w:hint="default" w:ascii="Times New Roman" w:hAnsi="Times New Roman" w:eastAsia="仿宋_GB2312" w:cs="Times New Roman"/>
          <w:b/>
          <w:bCs/>
          <w:color w:val="auto"/>
          <w:kern w:val="2"/>
          <w:sz w:val="32"/>
          <w:szCs w:val="32"/>
          <w:highlight w:val="none"/>
          <w:lang w:val="en-US" w:eastAsia="zh-CN" w:bidi="ar-SA"/>
        </w:rPr>
        <w:t>机动车清洁化水平</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2024年，</w:t>
      </w:r>
      <w:r>
        <w:rPr>
          <w:rFonts w:hint="default" w:ascii="Times New Roman" w:hAnsi="Times New Roman" w:eastAsia="仿宋_GB2312" w:cs="Times New Roman"/>
          <w:b w:val="0"/>
          <w:bCs w:val="0"/>
          <w:color w:val="auto"/>
          <w:kern w:val="2"/>
          <w:sz w:val="32"/>
          <w:szCs w:val="32"/>
          <w:highlight w:val="none"/>
          <w:lang w:val="en-US" w:eastAsia="zh-CN" w:bidi="ar-SA"/>
        </w:rPr>
        <w:t>河南晋控天庆煤化工有限责任公司、中电投沁阳发电分公司等使用铁路专用线运输企业，</w:t>
      </w:r>
      <w:r>
        <w:rPr>
          <w:rFonts w:hint="eastAsia" w:ascii="Times New Roman" w:hAnsi="Times New Roman" w:eastAsia="仿宋_GB2312" w:cs="Times New Roman"/>
          <w:b w:val="0"/>
          <w:bCs w:val="0"/>
          <w:color w:val="auto"/>
          <w:kern w:val="2"/>
          <w:sz w:val="32"/>
          <w:szCs w:val="32"/>
          <w:highlight w:val="none"/>
          <w:lang w:val="en-US" w:eastAsia="zh-CN" w:bidi="ar-SA"/>
        </w:rPr>
        <w:t>铁路</w:t>
      </w:r>
      <w:r>
        <w:rPr>
          <w:rFonts w:hint="default" w:ascii="Times New Roman" w:hAnsi="Times New Roman" w:eastAsia="仿宋_GB2312" w:cs="Times New Roman"/>
          <w:b w:val="0"/>
          <w:bCs w:val="0"/>
          <w:color w:val="auto"/>
          <w:kern w:val="2"/>
          <w:sz w:val="32"/>
          <w:szCs w:val="32"/>
          <w:highlight w:val="none"/>
          <w:lang w:val="en-US" w:eastAsia="zh-CN" w:bidi="ar-SA"/>
        </w:rPr>
        <w:t>运输比例</w:t>
      </w:r>
      <w:r>
        <w:rPr>
          <w:rFonts w:hint="default" w:ascii="Times New Roman" w:hAnsi="Times New Roman" w:eastAsia="仿宋_GB2312" w:cs="Times New Roman"/>
          <w:b w:val="0"/>
          <w:bCs w:val="0"/>
          <w:color w:val="auto"/>
          <w:kern w:val="2"/>
          <w:sz w:val="32"/>
          <w:szCs w:val="32"/>
          <w:highlight w:val="none"/>
          <w:lang w:eastAsia="zh-CN" w:bidi="ar-SA"/>
        </w:rPr>
        <w:t>原则上不低于85%，铁路</w:t>
      </w:r>
      <w:r>
        <w:rPr>
          <w:rFonts w:hint="default" w:ascii="Times New Roman" w:hAnsi="Times New Roman" w:eastAsia="仿宋_GB2312" w:cs="Times New Roman"/>
          <w:b w:val="0"/>
          <w:bCs w:val="0"/>
          <w:color w:val="auto"/>
          <w:kern w:val="2"/>
          <w:sz w:val="32"/>
          <w:szCs w:val="32"/>
          <w:highlight w:val="none"/>
          <w:lang w:val="en-US" w:eastAsia="zh-CN" w:bidi="ar-SA"/>
        </w:rPr>
        <w:t>运输</w:t>
      </w:r>
      <w:r>
        <w:rPr>
          <w:rFonts w:hint="default" w:ascii="Times New Roman" w:hAnsi="Times New Roman" w:eastAsia="仿宋_GB2312" w:cs="Times New Roman"/>
          <w:b w:val="0"/>
          <w:bCs w:val="0"/>
          <w:color w:val="auto"/>
          <w:kern w:val="2"/>
          <w:sz w:val="32"/>
          <w:szCs w:val="32"/>
          <w:highlight w:val="none"/>
          <w:lang w:eastAsia="zh-CN" w:bidi="ar-SA"/>
        </w:rPr>
        <w:t>达不到</w:t>
      </w:r>
      <w:r>
        <w:rPr>
          <w:rFonts w:hint="default" w:ascii="Times New Roman" w:hAnsi="Times New Roman" w:eastAsia="仿宋_GB2312" w:cs="Times New Roman"/>
          <w:b w:val="0"/>
          <w:bCs w:val="0"/>
          <w:color w:val="auto"/>
          <w:kern w:val="2"/>
          <w:sz w:val="32"/>
          <w:szCs w:val="32"/>
          <w:highlight w:val="none"/>
          <w:lang w:val="en-US" w:eastAsia="zh-CN" w:bidi="ar-SA"/>
        </w:rPr>
        <w:t>8</w:t>
      </w:r>
      <w:r>
        <w:rPr>
          <w:rFonts w:hint="default" w:ascii="Times New Roman" w:hAnsi="Times New Roman" w:eastAsia="仿宋_GB2312" w:cs="Times New Roman"/>
          <w:b w:val="0"/>
          <w:bCs w:val="0"/>
          <w:color w:val="auto"/>
          <w:kern w:val="2"/>
          <w:sz w:val="32"/>
          <w:szCs w:val="32"/>
          <w:highlight w:val="none"/>
          <w:lang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eastAsia="zh-CN" w:bidi="ar-SA"/>
        </w:rPr>
        <w:t>的部分，</w:t>
      </w:r>
      <w:r>
        <w:rPr>
          <w:rFonts w:hint="eastAsia" w:ascii="Times New Roman" w:hAnsi="Times New Roman" w:eastAsia="仿宋_GB2312" w:cs="Times New Roman"/>
          <w:b w:val="0"/>
          <w:bCs w:val="0"/>
          <w:color w:val="auto"/>
          <w:kern w:val="2"/>
          <w:sz w:val="32"/>
          <w:szCs w:val="32"/>
          <w:highlight w:val="none"/>
          <w:lang w:val="en-US" w:eastAsia="zh-CN" w:bidi="ar-SA"/>
        </w:rPr>
        <w:t>运输需全部采用新能源车辆，</w:t>
      </w:r>
      <w:r>
        <w:rPr>
          <w:rFonts w:hint="default" w:ascii="Times New Roman" w:hAnsi="Times New Roman" w:eastAsia="仿宋_GB2312" w:cs="Times New Roman"/>
          <w:b w:val="0"/>
          <w:bCs w:val="0"/>
          <w:color w:val="auto"/>
          <w:kern w:val="2"/>
          <w:sz w:val="32"/>
          <w:szCs w:val="32"/>
          <w:highlight w:val="none"/>
          <w:lang w:eastAsia="zh-CN" w:bidi="ar-SA"/>
        </w:rPr>
        <w:t>确保清洁运输比例不低于85%，其余</w:t>
      </w:r>
      <w:r>
        <w:rPr>
          <w:rFonts w:hint="eastAsia" w:ascii="Times New Roman" w:hAnsi="Times New Roman" w:eastAsia="仿宋_GB2312" w:cs="Times New Roman"/>
          <w:b w:val="0"/>
          <w:bCs w:val="0"/>
          <w:color w:val="auto"/>
          <w:kern w:val="2"/>
          <w:sz w:val="32"/>
          <w:szCs w:val="32"/>
          <w:highlight w:val="none"/>
          <w:lang w:val="en-US" w:eastAsia="zh-CN" w:bidi="ar-SA"/>
        </w:rPr>
        <w:t>汽车运输部分可选用国六或新能源车辆</w:t>
      </w:r>
      <w:r>
        <w:rPr>
          <w:rFonts w:hint="default" w:ascii="Times New Roman" w:hAnsi="Times New Roman" w:eastAsia="仿宋_GB2312" w:cs="Times New Roman"/>
          <w:b w:val="0"/>
          <w:bCs w:val="0"/>
          <w:color w:val="auto"/>
          <w:kern w:val="2"/>
          <w:sz w:val="32"/>
          <w:szCs w:val="32"/>
          <w:highlight w:val="none"/>
          <w:lang w:eastAsia="zh-CN" w:bidi="ar-SA"/>
        </w:rPr>
        <w:t>运输</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2025年9月底前，钢铁、水泥企业力争完成清洁运输超低排放改造。</w:t>
      </w:r>
      <w:r>
        <w:rPr>
          <w:rFonts w:hint="default" w:ascii="Times New Roman" w:hAnsi="Times New Roman" w:eastAsia="仿宋_GB2312" w:cs="Times New Roman"/>
          <w:b w:val="0"/>
          <w:bCs w:val="0"/>
          <w:color w:val="auto"/>
          <w:kern w:val="2"/>
          <w:sz w:val="32"/>
          <w:szCs w:val="32"/>
          <w:highlight w:val="none"/>
          <w:lang w:eastAsia="zh-CN" w:bidi="ar-SA"/>
        </w:rPr>
        <w:t>钢铁、</w:t>
      </w:r>
      <w:r>
        <w:rPr>
          <w:rFonts w:hint="eastAsia" w:ascii="Times New Roman" w:hAnsi="Times New Roman" w:eastAsia="仿宋_GB2312" w:cs="Times New Roman"/>
          <w:b w:val="0"/>
          <w:bCs w:val="0"/>
          <w:color w:val="auto"/>
          <w:kern w:val="2"/>
          <w:sz w:val="32"/>
          <w:szCs w:val="32"/>
          <w:highlight w:val="none"/>
          <w:lang w:val="en-US" w:eastAsia="zh-CN" w:bidi="ar-SA"/>
        </w:rPr>
        <w:t>水泥行业</w:t>
      </w:r>
      <w:r>
        <w:rPr>
          <w:rFonts w:hint="default" w:ascii="Times New Roman" w:hAnsi="Times New Roman" w:eastAsia="仿宋_GB2312" w:cs="Times New Roman"/>
          <w:b w:val="0"/>
          <w:bCs w:val="0"/>
          <w:color w:val="auto"/>
          <w:kern w:val="2"/>
          <w:sz w:val="32"/>
          <w:szCs w:val="32"/>
          <w:highlight w:val="none"/>
          <w:lang w:val="en-US" w:eastAsia="zh-CN" w:bidi="ar-SA"/>
        </w:rPr>
        <w:t>中长距离运输优先采用铁路；短途运输优先采用封闭式皮带通廊或新能源车辆</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进出企业的原燃料采用铁路、管道、管状带式输送机、皮带通廊等清洁方式运输比例不低于80%，原燃料清洁运输比例达不到80%的部分采用新能源汽车替代（2025年9月底前新能源汽车替代比例不低于60%），其他原燃料运输全部采用新能源或国六排放标准的车辆</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产品运输优先采用清洁运输方式，汽车运输全部采用新能源或国六排放标准的车辆</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厂内物料转运优先采用皮带通廊或封闭式螺旋输送机等密闭设备，减少厂内物料二次倒运及汽车运输量，厂内运输采用新能源车辆（2025年9月底前可采用国六排放标准车辆）</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非道路移动机械原则上采用新能源，无对应产品的满足国四及以上排放标准（2025年9月底前可采用国三排放标准非道路移动机械）</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2024年9月底前，全市年运输量100万吨以上（含运入、运出）重点行业企业厂区内部运输和公路运输300公里以内的新能源车辆替代比例力争达到30%，2024年年底前力争达到60%，2025年年底前力争达到100%；公路运输300公里以上的运输车辆，2024年年底前除使用新能源车辆外，其余车辆力争全部达到国六及以上排放标准要求，2025年年底前新能源车辆替代比例力争达到90%以上（特种车辆除外）。</w:t>
      </w:r>
      <w:r>
        <w:rPr>
          <w:rFonts w:hint="eastAsia" w:ascii="Times New Roman" w:hAnsi="Times New Roman" w:eastAsia="仿宋_GB2312" w:cs="Times New Roman"/>
          <w:b w:val="0"/>
          <w:bCs w:val="0"/>
          <w:color w:val="auto"/>
          <w:kern w:val="2"/>
          <w:sz w:val="32"/>
          <w:szCs w:val="32"/>
          <w:highlight w:val="none"/>
          <w:lang w:val="en-US" w:eastAsia="zh-CN" w:bidi="ar-SA"/>
        </w:rPr>
        <w:t>2024年年底前，商砼车新能源车辆替代比例力争达到60%以上，2025年年底前力争达到100%。</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w:t>
      </w:r>
      <w:r>
        <w:rPr>
          <w:rFonts w:hint="eastAsia" w:ascii="Times New Roman" w:hAnsi="Times New Roman" w:eastAsia="仿宋_GB2312" w:cs="Times New Roman"/>
          <w:b w:val="0"/>
          <w:bCs w:val="0"/>
          <w:color w:val="auto"/>
          <w:kern w:val="2"/>
          <w:sz w:val="32"/>
          <w:szCs w:val="32"/>
          <w:highlight w:val="none"/>
          <w:lang w:val="en-US" w:eastAsia="zh-CN" w:bidi="ar-SA"/>
        </w:rPr>
        <w:t>负责</w:t>
      </w:r>
      <w:r>
        <w:rPr>
          <w:rFonts w:hint="default" w:ascii="Times New Roman" w:hAnsi="Times New Roman" w:eastAsia="仿宋_GB2312" w:cs="Times New Roman"/>
          <w:b w:val="0"/>
          <w:bCs w:val="0"/>
          <w:color w:val="auto"/>
          <w:kern w:val="2"/>
          <w:sz w:val="32"/>
          <w:szCs w:val="32"/>
          <w:highlight w:val="none"/>
          <w:lang w:val="en-US" w:eastAsia="zh-CN" w:bidi="ar-SA"/>
        </w:rPr>
        <w:t>，市发改委、交通局、</w:t>
      </w:r>
      <w:r>
        <w:rPr>
          <w:rFonts w:hint="eastAsia" w:ascii="Times New Roman" w:hAnsi="Times New Roman" w:eastAsia="仿宋_GB2312" w:cs="Times New Roman"/>
          <w:b w:val="0"/>
          <w:bCs w:val="0"/>
          <w:color w:val="auto"/>
          <w:kern w:val="2"/>
          <w:sz w:val="32"/>
          <w:szCs w:val="32"/>
          <w:highlight w:val="none"/>
          <w:lang w:val="en-US" w:eastAsia="zh-CN" w:bidi="ar-SA"/>
        </w:rPr>
        <w:t>公安局、</w:t>
      </w:r>
      <w:r>
        <w:rPr>
          <w:rFonts w:hint="default" w:ascii="Times New Roman" w:hAnsi="Times New Roman" w:eastAsia="仿宋_GB2312" w:cs="Times New Roman"/>
          <w:b w:val="0"/>
          <w:bCs w:val="0"/>
          <w:color w:val="auto"/>
          <w:kern w:val="2"/>
          <w:sz w:val="32"/>
          <w:szCs w:val="32"/>
          <w:highlight w:val="none"/>
          <w:lang w:val="en-US" w:eastAsia="zh-CN" w:bidi="ar-SA"/>
        </w:rPr>
        <w:t>住建局、机关事务中心、商务局、</w:t>
      </w:r>
      <w:r>
        <w:rPr>
          <w:rFonts w:hint="eastAsia" w:ascii="Times New Roman" w:hAnsi="Times New Roman" w:eastAsia="仿宋_GB2312" w:cs="Times New Roman"/>
          <w:b w:val="0"/>
          <w:bCs w:val="0"/>
          <w:color w:val="auto"/>
          <w:kern w:val="2"/>
          <w:sz w:val="32"/>
          <w:szCs w:val="32"/>
          <w:highlight w:val="none"/>
          <w:lang w:val="en-US" w:eastAsia="zh-CN" w:bidi="ar-SA"/>
        </w:rPr>
        <w:t>市场监管局、</w:t>
      </w:r>
      <w:r>
        <w:rPr>
          <w:rFonts w:hint="default" w:ascii="Times New Roman" w:hAnsi="Times New Roman" w:eastAsia="仿宋_GB2312" w:cs="Times New Roman"/>
          <w:b w:val="0"/>
          <w:bCs w:val="0"/>
          <w:color w:val="auto"/>
          <w:kern w:val="2"/>
          <w:sz w:val="32"/>
          <w:szCs w:val="32"/>
          <w:highlight w:val="none"/>
          <w:lang w:val="en-US" w:eastAsia="zh-CN" w:bidi="ar-SA"/>
        </w:rPr>
        <w:t>城管局、</w:t>
      </w:r>
      <w:r>
        <w:rPr>
          <w:rFonts w:hint="eastAsia" w:ascii="Times New Roman" w:hAnsi="Times New Roman" w:eastAsia="仿宋_GB2312" w:cs="Times New Roman"/>
          <w:b w:val="0"/>
          <w:bCs w:val="0"/>
          <w:color w:val="auto"/>
          <w:kern w:val="2"/>
          <w:sz w:val="32"/>
          <w:szCs w:val="32"/>
          <w:highlight w:val="none"/>
          <w:lang w:val="en-US" w:eastAsia="zh-CN" w:bidi="ar-SA"/>
        </w:rPr>
        <w:t>沁阳市</w:t>
      </w:r>
      <w:r>
        <w:rPr>
          <w:rFonts w:hint="default" w:ascii="Times New Roman" w:hAnsi="Times New Roman" w:eastAsia="仿宋_GB2312" w:cs="Times New Roman"/>
          <w:b w:val="0"/>
          <w:bCs w:val="0"/>
          <w:color w:val="auto"/>
          <w:kern w:val="2"/>
          <w:sz w:val="32"/>
          <w:szCs w:val="32"/>
          <w:highlight w:val="none"/>
          <w:lang w:val="en-US" w:eastAsia="zh-CN" w:bidi="ar-SA"/>
        </w:rPr>
        <w:t>邮政</w:t>
      </w:r>
      <w:r>
        <w:rPr>
          <w:rFonts w:hint="eastAsia" w:ascii="Times New Roman" w:hAnsi="Times New Roman" w:eastAsia="仿宋_GB2312" w:cs="Times New Roman"/>
          <w:b w:val="0"/>
          <w:bCs w:val="0"/>
          <w:color w:val="auto"/>
          <w:kern w:val="2"/>
          <w:sz w:val="32"/>
          <w:szCs w:val="32"/>
          <w:highlight w:val="none"/>
          <w:lang w:val="en-US" w:eastAsia="zh-CN" w:bidi="ar-SA"/>
        </w:rPr>
        <w:t>公司</w:t>
      </w:r>
      <w:r>
        <w:rPr>
          <w:rFonts w:hint="default" w:ascii="Times New Roman" w:hAnsi="Times New Roman" w:eastAsia="仿宋_GB2312" w:cs="Times New Roman"/>
          <w:b w:val="0"/>
          <w:bCs w:val="0"/>
          <w:color w:val="auto"/>
          <w:kern w:val="2"/>
          <w:sz w:val="32"/>
          <w:szCs w:val="32"/>
          <w:highlight w:val="none"/>
          <w:lang w:val="en-US" w:eastAsia="zh-CN" w:bidi="ar-SA"/>
        </w:rPr>
        <w:t>、财政局</w:t>
      </w:r>
      <w:r>
        <w:rPr>
          <w:rFonts w:hint="eastAsia" w:ascii="楷体_GB2312" w:hAnsi="楷体_GB2312" w:eastAsia="楷体_GB2312" w:cs="楷体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国资委</w:t>
      </w:r>
      <w:r>
        <w:rPr>
          <w:rFonts w:hint="eastAsia" w:ascii="楷体_GB2312" w:hAnsi="楷体_GB2312" w:eastAsia="楷体_GB2312" w:cs="楷体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等参与）</w:t>
      </w:r>
    </w:p>
    <w:p w14:paraId="6F8F803A">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4</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积极推动老旧车辆淘汰。</w:t>
      </w:r>
      <w:r>
        <w:rPr>
          <w:rFonts w:hint="default" w:ascii="Times New Roman" w:hAnsi="Times New Roman" w:eastAsia="仿宋_GB2312" w:cs="Times New Roman"/>
          <w:b w:val="0"/>
          <w:bCs w:val="0"/>
          <w:color w:val="auto"/>
          <w:kern w:val="2"/>
          <w:sz w:val="32"/>
          <w:szCs w:val="32"/>
          <w:highlight w:val="none"/>
          <w:u w:val="none"/>
          <w:lang w:val="en-US" w:eastAsia="zh-CN" w:bidi="ar-SA"/>
        </w:rPr>
        <w:t>制定老旧车辆淘汰目标及实施计划</w:t>
      </w:r>
      <w:r>
        <w:rPr>
          <w:rFonts w:hint="default"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2025年年底前，</w:t>
      </w:r>
      <w:r>
        <w:rPr>
          <w:rFonts w:hint="default" w:ascii="Times New Roman" w:hAnsi="Times New Roman" w:eastAsia="仿宋_GB2312" w:cs="Times New Roman"/>
          <w:color w:val="auto"/>
          <w:sz w:val="32"/>
          <w:szCs w:val="32"/>
          <w:highlight w:val="none"/>
          <w:lang w:eastAsia="zh-CN"/>
        </w:rPr>
        <w:t>淘汰国三及以下排放标准汽车和国四柴油、燃气汽车</w:t>
      </w:r>
      <w:r>
        <w:rPr>
          <w:rFonts w:hint="default" w:ascii="Times New Roman" w:hAnsi="Times New Roman" w:cs="Times New Roman"/>
          <w:b w:val="0"/>
          <w:bCs w:val="0"/>
          <w:color w:val="auto"/>
          <w:kern w:val="2"/>
          <w:sz w:val="32"/>
          <w:szCs w:val="32"/>
          <w:highlight w:val="none"/>
          <w:lang w:val="en-US" w:eastAsia="zh-CN" w:bidi="ar-SA"/>
        </w:rPr>
        <w:t>。严格执行机动车强制报废标准规定，符合强制报废情形的</w:t>
      </w:r>
      <w:r>
        <w:rPr>
          <w:rFonts w:hint="eastAsia"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交报废机动车回收企业按规定回收拆解。</w:t>
      </w:r>
      <w:r>
        <w:rPr>
          <w:rFonts w:hint="default" w:ascii="Times New Roman" w:hAnsi="Times New Roman" w:eastAsia="仿宋_GB2312" w:cs="Times New Roman"/>
          <w:b w:val="0"/>
          <w:bCs w:val="0"/>
          <w:color w:val="auto"/>
          <w:kern w:val="2"/>
          <w:sz w:val="32"/>
          <w:szCs w:val="32"/>
          <w:highlight w:val="none"/>
          <w:lang w:val="en-US" w:eastAsia="zh-CN" w:bidi="ar-SA"/>
        </w:rPr>
        <w:t>（市公安局、交通局、商务局、</w:t>
      </w:r>
      <w:r>
        <w:rPr>
          <w:rFonts w:hint="eastAsia"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w:t>
      </w:r>
      <w:r>
        <w:rPr>
          <w:rFonts w:hint="eastAsia" w:cs="Times New Roman"/>
          <w:b w:val="0"/>
          <w:bCs w:val="0"/>
          <w:color w:val="auto"/>
          <w:kern w:val="2"/>
          <w:sz w:val="32"/>
          <w:szCs w:val="32"/>
          <w:highlight w:val="none"/>
          <w:lang w:val="en-US" w:eastAsia="zh-CN" w:bidi="ar-SA"/>
        </w:rPr>
        <w:t>财政局</w:t>
      </w:r>
      <w:r>
        <w:rPr>
          <w:rFonts w:hint="eastAsia" w:ascii="楷体_GB2312" w:hAnsi="楷体_GB2312" w:eastAsia="楷体_GB2312" w:cs="楷体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国资委</w:t>
      </w:r>
      <w:r>
        <w:rPr>
          <w:rFonts w:hint="eastAsia" w:ascii="楷体_GB2312" w:hAnsi="楷体_GB2312" w:eastAsia="楷体_GB2312" w:cs="楷体_GB2312"/>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、生态环境局</w:t>
      </w:r>
      <w:r>
        <w:rPr>
          <w:rFonts w:hint="eastAsia"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等按职责分工负责）</w:t>
      </w:r>
    </w:p>
    <w:p w14:paraId="3965D355">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5</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严格机动车环保达标监管</w:t>
      </w:r>
      <w:r>
        <w:rPr>
          <w:rFonts w:hint="default" w:ascii="Times New Roman" w:hAnsi="Times New Roman"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强化新生产货车监督抽查，实现系族全覆盖。加强路检路查执法检查站点建设管理，加大重型货车路检路查以及集中使用和停放地的入户检查力度，严厉打击拆除车辆尾气后处理装置、破坏篡改车载诊断系统（OBD）等违法行为。强化高排放柴油货车禁行区管控，完成“河南电子通行证一体化平台”建设，加强超标排放车辆通行监管。推进大宗物料运输企业门禁系统建设，建立运输车辆、厂内车辆、非道路移动机械电子台账。全面实施汽车排放检验与维护制度和机动车排放召回制度，强化对年检机构的监管执法。鼓励开展燃油蒸发排放控制检测。（市生态环境局</w:t>
      </w:r>
      <w:r>
        <w:rPr>
          <w:rFonts w:hint="eastAsia" w:cs="Times New Roman"/>
          <w:b w:val="0"/>
          <w:bCs w:val="0"/>
          <w:color w:val="auto"/>
          <w:kern w:val="2"/>
          <w:sz w:val="32"/>
          <w:szCs w:val="32"/>
          <w:highlight w:val="none"/>
          <w:lang w:val="en-US" w:eastAsia="zh-CN" w:bidi="ar-SA"/>
        </w:rPr>
        <w:t>沁阳分局负责</w:t>
      </w:r>
      <w:r>
        <w:rPr>
          <w:rFonts w:hint="default" w:ascii="Times New Roman" w:hAnsi="Times New Roman" w:eastAsia="仿宋_GB2312" w:cs="Times New Roman"/>
          <w:b w:val="0"/>
          <w:bCs w:val="0"/>
          <w:color w:val="auto"/>
          <w:kern w:val="2"/>
          <w:sz w:val="32"/>
          <w:szCs w:val="32"/>
          <w:highlight w:val="none"/>
          <w:lang w:val="en-US" w:eastAsia="zh-CN" w:bidi="ar-SA"/>
        </w:rPr>
        <w:t>，市交通局、公安局、市场监管局、</w:t>
      </w:r>
      <w:r>
        <w:rPr>
          <w:rFonts w:hint="eastAsia"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局等参与）</w:t>
      </w:r>
    </w:p>
    <w:p w14:paraId="030496E9">
      <w:pPr>
        <w:keepNext w:val="0"/>
        <w:keepLines w:val="0"/>
        <w:pageBreakBefore w:val="0"/>
        <w:widowControl w:val="0"/>
        <w:suppressLineNumbers w:val="0"/>
        <w:kinsoku/>
        <w:wordWrap/>
        <w:overflowPunct w:val="0"/>
        <w:topLinePunct w:val="0"/>
        <w:autoSpaceDE/>
        <w:autoSpaceDN/>
        <w:bidi w:val="0"/>
        <w:adjustRightInd/>
        <w:snapToGrid/>
        <w:spacing w:line="576" w:lineRule="exact"/>
        <w:ind w:left="0" w:leftChars="0" w:firstLine="643"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CN" w:bidi="ar"/>
        </w:rPr>
      </w:pPr>
      <w:bookmarkStart w:id="16" w:name="_Toc114408653"/>
      <w:r>
        <w:rPr>
          <w:rFonts w:hint="eastAsia" w:cs="Times New Roman"/>
          <w:b/>
          <w:bCs/>
          <w:color w:val="auto"/>
          <w:kern w:val="2"/>
          <w:sz w:val="32"/>
          <w:szCs w:val="32"/>
          <w:highlight w:val="none"/>
          <w:lang w:val="en-US" w:eastAsia="zh-CN" w:bidi="ar-SA"/>
        </w:rPr>
        <w:t>6</w:t>
      </w:r>
      <w:r>
        <w:rPr>
          <w:rFonts w:hint="default" w:ascii="Times New Roman" w:hAnsi="Times New Roman" w:cs="Times New Roman"/>
          <w:b/>
          <w:bCs/>
          <w:color w:val="auto"/>
          <w:kern w:val="2"/>
          <w:sz w:val="32"/>
          <w:szCs w:val="32"/>
          <w:highlight w:val="none"/>
          <w:lang w:val="en-US" w:eastAsia="zh-CN" w:bidi="ar-SA"/>
        </w:rPr>
        <w:t xml:space="preserve">. </w:t>
      </w:r>
      <w:bookmarkEnd w:id="16"/>
      <w:r>
        <w:rPr>
          <w:rFonts w:hint="default" w:ascii="Times New Roman" w:hAnsi="Times New Roman" w:eastAsia="仿宋_GB2312" w:cs="Times New Roman"/>
          <w:b/>
          <w:bCs/>
          <w:color w:val="auto"/>
          <w:kern w:val="0"/>
          <w:sz w:val="32"/>
          <w:szCs w:val="32"/>
          <w:highlight w:val="none"/>
          <w:lang w:val="en-US" w:eastAsia="zh-CN" w:bidi="ar"/>
        </w:rPr>
        <w:t>优化骨干公路网布局。</w:t>
      </w:r>
      <w:r>
        <w:rPr>
          <w:rFonts w:hint="default" w:ascii="Times New Roman" w:hAnsi="Times New Roman" w:eastAsia="仿宋_GB2312" w:cs="Times New Roman"/>
          <w:color w:val="auto"/>
          <w:kern w:val="0"/>
          <w:sz w:val="32"/>
          <w:szCs w:val="32"/>
          <w:highlight w:val="none"/>
          <w:lang w:val="en-US" w:eastAsia="zh-CN" w:bidi="ar"/>
        </w:rPr>
        <w:t>完善全市高速公路外联内通网络，统筹规划国省干线。加快推进绕城公路规划建设，建成干线公路多向绕城通道，实现高速公路、国省道、城市主干道互联互通。科学制定重型车辆绕行方案，优化绕行区域和绕行路线，避免穿城行驶。（市交通局</w:t>
      </w:r>
      <w:r>
        <w:rPr>
          <w:rFonts w:hint="eastAsia" w:ascii="Times New Roman" w:hAnsi="Times New Roman" w:eastAsia="仿宋_GB2312" w:cs="Times New Roman"/>
          <w:color w:val="auto"/>
          <w:kern w:val="0"/>
          <w:sz w:val="32"/>
          <w:szCs w:val="32"/>
          <w:highlight w:val="none"/>
          <w:lang w:val="en-US" w:eastAsia="zh-CN" w:bidi="ar"/>
        </w:rPr>
        <w:t>负责</w:t>
      </w:r>
      <w:r>
        <w:rPr>
          <w:rFonts w:hint="default" w:ascii="Times New Roman" w:hAnsi="Times New Roman" w:eastAsia="仿宋_GB2312" w:cs="Times New Roman"/>
          <w:color w:val="auto"/>
          <w:kern w:val="0"/>
          <w:sz w:val="32"/>
          <w:szCs w:val="32"/>
          <w:highlight w:val="none"/>
          <w:lang w:val="en-US" w:eastAsia="zh-CN" w:bidi="ar"/>
        </w:rPr>
        <w:t>，市公安局、发改委、住建局、自然资源和规划局、生态环境局</w:t>
      </w:r>
      <w:r>
        <w:rPr>
          <w:rFonts w:hint="eastAsia" w:ascii="Times New Roman" w:hAnsi="Times New Roman" w:eastAsia="仿宋_GB2312" w:cs="Times New Roman"/>
          <w:color w:val="auto"/>
          <w:kern w:val="0"/>
          <w:sz w:val="32"/>
          <w:szCs w:val="32"/>
          <w:highlight w:val="none"/>
          <w:lang w:val="en-US" w:eastAsia="zh-CN" w:bidi="ar"/>
        </w:rPr>
        <w:t>沁阳分局</w:t>
      </w:r>
      <w:r>
        <w:rPr>
          <w:rFonts w:hint="eastAsia" w:cs="Times New Roman"/>
          <w:color w:val="auto"/>
          <w:kern w:val="0"/>
          <w:sz w:val="32"/>
          <w:szCs w:val="32"/>
          <w:highlight w:val="none"/>
          <w:lang w:val="en-US" w:eastAsia="zh-CN" w:bidi="ar"/>
        </w:rPr>
        <w:t>配合</w:t>
      </w:r>
      <w:r>
        <w:rPr>
          <w:rFonts w:hint="default" w:ascii="Times New Roman" w:hAnsi="Times New Roman" w:eastAsia="仿宋_GB2312" w:cs="Times New Roman"/>
          <w:color w:val="auto"/>
          <w:kern w:val="0"/>
          <w:sz w:val="32"/>
          <w:szCs w:val="32"/>
          <w:highlight w:val="none"/>
          <w:lang w:val="en-US" w:eastAsia="zh-CN" w:bidi="ar"/>
        </w:rPr>
        <w:t>）</w:t>
      </w:r>
    </w:p>
    <w:p w14:paraId="7DDC9E71">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（五）深入打好臭氧污染防治攻坚战</w:t>
      </w:r>
    </w:p>
    <w:p w14:paraId="693D20B9">
      <w:pPr>
        <w:keepNext w:val="0"/>
        <w:keepLines w:val="0"/>
        <w:pageBreakBefore w:val="0"/>
        <w:widowControl w:val="0"/>
        <w:kinsoku/>
        <w:wordWrap/>
        <w:overflowPunct w:val="0"/>
        <w:topLinePunct w:val="0"/>
        <w:autoSpaceDE/>
        <w:autoSpaceDN/>
        <w:bidi w:val="0"/>
        <w:adjustRightInd w:val="0"/>
        <w:snapToGrid/>
        <w:spacing w:line="576" w:lineRule="exact"/>
        <w:ind w:left="0" w:leftChars="0" w:firstLine="643" w:firstLineChars="200"/>
        <w:jc w:val="both"/>
        <w:textAlignment w:val="auto"/>
        <w:outlineLvl w:val="1"/>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cs="Times New Roman"/>
          <w:b/>
          <w:bCs/>
          <w:color w:val="auto"/>
          <w:kern w:val="0"/>
          <w:sz w:val="32"/>
          <w:szCs w:val="32"/>
          <w:highlight w:val="none"/>
          <w:lang w:val="en-US" w:eastAsia="zh-CN"/>
        </w:rPr>
        <w:t xml:space="preserve">1. </w:t>
      </w:r>
      <w:r>
        <w:rPr>
          <w:rFonts w:hint="default" w:ascii="Times New Roman" w:hAnsi="Times New Roman" w:eastAsia="仿宋_GB2312" w:cs="Times New Roman"/>
          <w:b/>
          <w:bCs/>
          <w:color w:val="auto"/>
          <w:kern w:val="0"/>
          <w:sz w:val="32"/>
          <w:szCs w:val="32"/>
          <w:highlight w:val="none"/>
        </w:rPr>
        <w:t>开展传统产业集群专项整治。</w:t>
      </w:r>
      <w:r>
        <w:rPr>
          <w:rFonts w:hint="default" w:ascii="Times New Roman" w:hAnsi="Times New Roman" w:eastAsia="仿宋_GB2312" w:cs="Times New Roman"/>
          <w:color w:val="auto"/>
          <w:sz w:val="32"/>
          <w:szCs w:val="32"/>
          <w:highlight w:val="none"/>
        </w:rPr>
        <w:t>新建VOCs排放量大于0.1吨/年的工业企业原则上要入园区，实行区域内VOCs排放倍量削减替代，并将替代方案落实到企业排污许可证中，纳入环境执法管理，环评报告中增加挥发性有机物污染治理专项评价内容。原则上</w:t>
      </w:r>
      <w:r>
        <w:rPr>
          <w:rFonts w:hint="default" w:ascii="Times New Roman" w:hAnsi="Times New Roman" w:cs="Times New Roman"/>
          <w:color w:val="auto"/>
          <w:sz w:val="32"/>
          <w:szCs w:val="32"/>
          <w:highlight w:val="none"/>
          <w:lang w:eastAsia="zh-CN"/>
        </w:rPr>
        <w:t>中心城区</w:t>
      </w:r>
      <w:r>
        <w:rPr>
          <w:rFonts w:hint="default" w:ascii="Times New Roman" w:hAnsi="Times New Roman" w:eastAsia="仿宋_GB2312" w:cs="Times New Roman"/>
          <w:color w:val="auto"/>
          <w:sz w:val="32"/>
          <w:szCs w:val="32"/>
          <w:highlight w:val="none"/>
        </w:rPr>
        <w:t>内禁止工业涂装企业、汽修厂喷涂工段项目备案（重大民生保障类除外）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w:t>
      </w:r>
      <w:r>
        <w:rPr>
          <w:rFonts w:hint="default" w:ascii="Times New Roman" w:hAnsi="Times New Roman" w:eastAsia="仿宋_GB2312" w:cs="Times New Roman"/>
          <w:color w:val="auto"/>
          <w:kern w:val="0"/>
          <w:sz w:val="32"/>
          <w:szCs w:val="32"/>
          <w:highlight w:val="none"/>
          <w:lang w:val="en-US" w:eastAsia="zh-CN"/>
        </w:rPr>
        <w:t>进集群综合治理，对不符合产业政策、整改达标无望的企业依法关停取缔。推进化</w:t>
      </w:r>
      <w:r>
        <w:rPr>
          <w:rFonts w:hint="default" w:ascii="Times New Roman" w:hAnsi="Times New Roman" w:eastAsia="仿宋_GB2312" w:cs="Times New Roman"/>
          <w:color w:val="auto"/>
          <w:kern w:val="0"/>
          <w:sz w:val="32"/>
          <w:szCs w:val="32"/>
          <w:highlight w:val="none"/>
          <w:lang w:val="en-US" w:eastAsia="zh-CN" w:bidi="ar-SA"/>
        </w:rPr>
        <w:t>工园区综合整治，</w:t>
      </w:r>
      <w:r>
        <w:rPr>
          <w:rFonts w:hint="default" w:ascii="Times New Roman" w:hAnsi="Times New Roman" w:eastAsia="仿宋_GB2312" w:cs="Times New Roman"/>
          <w:color w:val="auto"/>
          <w:sz w:val="32"/>
          <w:szCs w:val="32"/>
          <w:highlight w:val="none"/>
        </w:rPr>
        <w:t>2024年，完成生产工</w:t>
      </w:r>
      <w:r>
        <w:rPr>
          <w:rFonts w:hint="default" w:ascii="Times New Roman" w:hAnsi="Times New Roman" w:eastAsia="仿宋_GB2312" w:cs="Times New Roman"/>
          <w:color w:val="auto"/>
          <w:kern w:val="0"/>
          <w:sz w:val="32"/>
          <w:szCs w:val="32"/>
          <w:highlight w:val="none"/>
          <w:lang w:val="en-US" w:eastAsia="zh-CN"/>
        </w:rPr>
        <w:t>艺、生产规模、能耗水平、燃料类型、污染治理等方面升级改造任务</w:t>
      </w:r>
      <w:r>
        <w:rPr>
          <w:rFonts w:hint="default" w:ascii="Times New Roman" w:hAnsi="Times New Roman" w:eastAsia="仿宋_GB2312" w:cs="Times New Roman"/>
          <w:color w:val="auto"/>
          <w:kern w:val="0"/>
          <w:sz w:val="32"/>
          <w:szCs w:val="32"/>
          <w:highlight w:val="none"/>
          <w:u w:val="none"/>
          <w:lang w:val="en-US" w:eastAsia="zh-CN"/>
        </w:rPr>
        <w:t>，建立泄漏检测与修复信息管理平台以及挥发性有机物管控平台</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（市生态环境局</w:t>
      </w:r>
      <w:r>
        <w:rPr>
          <w:rFonts w:hint="eastAsia" w:cs="Times New Roman"/>
          <w:color w:val="auto"/>
          <w:kern w:val="0"/>
          <w:sz w:val="32"/>
          <w:szCs w:val="32"/>
          <w:highlight w:val="none"/>
          <w:lang w:val="en-US" w:eastAsia="zh-CN"/>
        </w:rPr>
        <w:t>沁阳分局</w:t>
      </w:r>
      <w:r>
        <w:rPr>
          <w:rFonts w:hint="eastAsia" w:ascii="Times New Roman" w:hAnsi="Times New Roman" w:eastAsia="仿宋_GB2312" w:cs="Times New Roman"/>
          <w:color w:val="auto"/>
          <w:kern w:val="0"/>
          <w:sz w:val="32"/>
          <w:szCs w:val="32"/>
          <w:highlight w:val="none"/>
          <w:lang w:val="en-US" w:eastAsia="zh-CN"/>
        </w:rPr>
        <w:t>、工信局、发改委、交通局按职责分工负责）</w:t>
      </w:r>
    </w:p>
    <w:p w14:paraId="6B89B49D">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sz w:val="32"/>
          <w:szCs w:val="32"/>
          <w:highlight w:val="none"/>
        </w:rPr>
      </w:pPr>
      <w:r>
        <w:rPr>
          <w:rFonts w:hint="eastAsia"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0"/>
          <w:sz w:val="32"/>
          <w:szCs w:val="32"/>
          <w:highlight w:val="none"/>
        </w:rPr>
        <w:t>推动企业VOCs排放高效化末端治理</w:t>
      </w:r>
      <w:r>
        <w:rPr>
          <w:rFonts w:hint="default" w:ascii="Times New Roman" w:hAnsi="Times New Roman" w:cs="Times New Roman"/>
          <w:b/>
          <w:bCs/>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选择适宜高效治理技术，加强运行维护管理，治理设施较生产设备要做到“先启后停”，巩固提升废气收集率、治理设施同步运行率和污染物去除率，确保VOCs稳定达标排放。</w:t>
      </w:r>
      <w:r>
        <w:rPr>
          <w:rFonts w:hint="default" w:ascii="Times New Roman" w:hAnsi="Times New Roman" w:eastAsia="仿宋_GB2312" w:cs="Times New Roman"/>
          <w:color w:val="auto"/>
          <w:kern w:val="0"/>
          <w:sz w:val="32"/>
          <w:szCs w:val="32"/>
          <w:highlight w:val="none"/>
          <w:lang w:val="en-US" w:eastAsia="zh-CN"/>
        </w:rPr>
        <w:t>2024</w:t>
      </w:r>
      <w:r>
        <w:rPr>
          <w:rFonts w:hint="eastAsia" w:cs="Times New Roman"/>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年底前，</w:t>
      </w:r>
      <w:r>
        <w:rPr>
          <w:rFonts w:hint="default" w:ascii="Times New Roman" w:hAnsi="Times New Roman" w:cs="Times New Roman"/>
          <w:color w:val="auto"/>
          <w:kern w:val="0"/>
          <w:sz w:val="32"/>
          <w:szCs w:val="32"/>
          <w:highlight w:val="none"/>
          <w:lang w:val="en-US" w:eastAsia="zh-CN"/>
        </w:rPr>
        <w:t>力争</w:t>
      </w:r>
      <w:r>
        <w:rPr>
          <w:rFonts w:hint="default" w:ascii="Times New Roman" w:hAnsi="Times New Roman" w:eastAsia="仿宋_GB2312" w:cs="Times New Roman"/>
          <w:color w:val="auto"/>
          <w:kern w:val="0"/>
          <w:sz w:val="32"/>
          <w:szCs w:val="32"/>
          <w:highlight w:val="none"/>
          <w:lang w:val="en-US" w:eastAsia="zh-CN"/>
        </w:rPr>
        <w:t>全面完成轮胎行业制胶工段VOCs废气采用燃烧法等高效治理措施深度治理。</w:t>
      </w:r>
      <w:r>
        <w:rPr>
          <w:rFonts w:hint="default" w:ascii="Times New Roman" w:hAnsi="Times New Roman" w:eastAsia="仿宋_GB2312" w:cs="Times New Roman"/>
          <w:color w:val="auto"/>
          <w:sz w:val="32"/>
          <w:szCs w:val="32"/>
          <w:highlight w:val="none"/>
        </w:rPr>
        <w:t>使用脱附治理设施的企业，在确保安全运行的前提下，科学增加活性炭复生频次。（市生态环境局</w:t>
      </w:r>
      <w:r>
        <w:rPr>
          <w:rFonts w:hint="eastAsia" w:cs="Times New Roman"/>
          <w:color w:val="auto"/>
          <w:sz w:val="32"/>
          <w:szCs w:val="32"/>
          <w:highlight w:val="none"/>
          <w:lang w:eastAsia="zh-CN"/>
        </w:rPr>
        <w:t>沁阳分局负责</w:t>
      </w:r>
      <w:r>
        <w:rPr>
          <w:rFonts w:hint="default" w:ascii="Times New Roman" w:hAnsi="Times New Roman" w:eastAsia="仿宋_GB2312" w:cs="Times New Roman"/>
          <w:color w:val="auto"/>
          <w:sz w:val="32"/>
          <w:szCs w:val="32"/>
          <w:highlight w:val="none"/>
          <w:lang w:eastAsia="zh-CN"/>
        </w:rPr>
        <w:t>，市</w:t>
      </w:r>
      <w:r>
        <w:rPr>
          <w:rFonts w:hint="eastAsia" w:cs="Times New Roman"/>
          <w:color w:val="auto"/>
          <w:sz w:val="32"/>
          <w:szCs w:val="32"/>
          <w:highlight w:val="none"/>
          <w:lang w:eastAsia="zh-CN"/>
        </w:rPr>
        <w:t>工信</w:t>
      </w:r>
      <w:r>
        <w:rPr>
          <w:rFonts w:hint="default" w:ascii="Times New Roman" w:hAnsi="Times New Roman" w:eastAsia="仿宋_GB2312" w:cs="Times New Roman"/>
          <w:color w:val="auto"/>
          <w:sz w:val="32"/>
          <w:szCs w:val="32"/>
          <w:highlight w:val="none"/>
        </w:rPr>
        <w:t>局</w:t>
      </w:r>
      <w:r>
        <w:rPr>
          <w:rFonts w:hint="eastAsia" w:cs="Times New Roman"/>
          <w:color w:val="auto"/>
          <w:sz w:val="32"/>
          <w:szCs w:val="32"/>
          <w:highlight w:val="none"/>
          <w:lang w:eastAsia="zh-CN"/>
        </w:rPr>
        <w:t>配合</w:t>
      </w:r>
      <w:r>
        <w:rPr>
          <w:rFonts w:hint="default" w:ascii="Times New Roman" w:hAnsi="Times New Roman" w:eastAsia="仿宋_GB2312" w:cs="Times New Roman"/>
          <w:color w:val="auto"/>
          <w:sz w:val="32"/>
          <w:szCs w:val="32"/>
          <w:highlight w:val="none"/>
        </w:rPr>
        <w:t>）</w:t>
      </w:r>
    </w:p>
    <w:p w14:paraId="44838746">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sz w:val="32"/>
          <w:szCs w:val="32"/>
          <w:highlight w:val="none"/>
        </w:rPr>
      </w:pPr>
      <w:r>
        <w:rPr>
          <w:rFonts w:hint="eastAsia"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加强非正常工况废气排放控制</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u w:val="none"/>
        </w:rPr>
        <w:t>化工、钢铁</w:t>
      </w:r>
      <w:r>
        <w:rPr>
          <w:rFonts w:hint="default" w:ascii="Times New Roman" w:hAnsi="Times New Roman" w:eastAsia="仿宋_GB2312" w:cs="Times New Roman"/>
          <w:color w:val="auto"/>
          <w:sz w:val="32"/>
          <w:szCs w:val="32"/>
          <w:highlight w:val="none"/>
        </w:rPr>
        <w:t>等行业企业提前向</w:t>
      </w:r>
      <w:r>
        <w:rPr>
          <w:rFonts w:hint="default" w:ascii="Times New Roman" w:hAnsi="Times New Roman" w:eastAsia="仿宋_GB2312" w:cs="Times New Roman"/>
          <w:color w:val="auto"/>
          <w:sz w:val="32"/>
          <w:szCs w:val="32"/>
          <w:highlight w:val="none"/>
          <w:lang w:eastAsia="zh-CN"/>
        </w:rPr>
        <w:t>辖区</w:t>
      </w:r>
      <w:r>
        <w:rPr>
          <w:rFonts w:hint="default" w:ascii="Times New Roman" w:hAnsi="Times New Roman" w:eastAsia="仿宋_GB2312" w:cs="Times New Roman"/>
          <w:color w:val="auto"/>
          <w:sz w:val="32"/>
          <w:szCs w:val="32"/>
          <w:highlight w:val="none"/>
        </w:rPr>
        <w:t>生态环境部门报告开停车、检维修计划，制定非正常工况VOCs管控规程，严格按照规程进行操作，火炬、煤气放散管须安装自动引燃设施，配套建设燃烧温度监控、废气流量计、助燃气体流量计等，鼓励安装热值检测仪，排放废气热值达不到要求时及时补充助燃气体，燃烧温度监控、废气流量计、助燃气体流量等相关数据引入DCS系统，数据至少保留1年以上。</w:t>
      </w:r>
      <w:r>
        <w:rPr>
          <w:color w:val="auto"/>
          <w:highlight w:val="none"/>
          <w:lang w:val="en-US" w:eastAsia="zh-CN"/>
        </w:rPr>
        <w:t>原则上不得设置烟气和VOCs废气旁路，因安全生产需要无法取消的应安装烟气自动监控、流量、温度等监控设施</w:t>
      </w:r>
      <w:r>
        <w:rPr>
          <w:rFonts w:hint="default" w:ascii="Times New Roman" w:hAnsi="Times New Roman" w:cs="Times New Roman"/>
          <w:color w:val="auto"/>
          <w:szCs w:val="24"/>
          <w:highlight w:val="none"/>
          <w:lang w:val="en-US" w:eastAsia="zh-CN"/>
        </w:rPr>
        <w:t>或视频监控等其他监控设备</w:t>
      </w:r>
      <w:r>
        <w:rPr>
          <w:color w:val="auto"/>
          <w:highlight w:val="none"/>
          <w:lang w:val="en-US" w:eastAsia="zh-CN"/>
        </w:rPr>
        <w:t>并加强监管，</w:t>
      </w:r>
      <w:r>
        <w:rPr>
          <w:rFonts w:hint="default" w:ascii="Times New Roman" w:hAnsi="Times New Roman" w:cs="Times New Roman"/>
          <w:color w:val="auto"/>
          <w:szCs w:val="24"/>
          <w:highlight w:val="none"/>
          <w:lang w:val="en-US" w:eastAsia="zh-CN"/>
        </w:rPr>
        <w:t>相关监控数据保存1年以上。</w:t>
      </w:r>
      <w:r>
        <w:rPr>
          <w:color w:val="auto"/>
          <w:highlight w:val="none"/>
          <w:lang w:val="en-US" w:eastAsia="zh-CN"/>
        </w:rPr>
        <w:t>重点涉气企业应加装备用处置设施。</w:t>
      </w:r>
      <w:r>
        <w:rPr>
          <w:rFonts w:hint="default" w:ascii="Times New Roman" w:hAnsi="Times New Roman" w:eastAsia="仿宋_GB2312" w:cs="Times New Roman"/>
          <w:color w:val="auto"/>
          <w:sz w:val="32"/>
          <w:szCs w:val="32"/>
          <w:highlight w:val="none"/>
        </w:rPr>
        <w:t>（市生态环境局</w:t>
      </w:r>
      <w:r>
        <w:rPr>
          <w:rFonts w:hint="eastAsia" w:cs="Times New Roman"/>
          <w:color w:val="auto"/>
          <w:sz w:val="32"/>
          <w:szCs w:val="32"/>
          <w:highlight w:val="none"/>
          <w:lang w:eastAsia="zh-CN"/>
        </w:rPr>
        <w:t>沁阳分局负责</w:t>
      </w:r>
      <w:r>
        <w:rPr>
          <w:rFonts w:hint="default" w:ascii="Times New Roman" w:hAnsi="Times New Roman" w:eastAsia="仿宋_GB2312" w:cs="Times New Roman"/>
          <w:color w:val="auto"/>
          <w:sz w:val="32"/>
          <w:szCs w:val="32"/>
          <w:highlight w:val="none"/>
          <w:lang w:eastAsia="zh-CN"/>
        </w:rPr>
        <w:t>，市</w:t>
      </w:r>
      <w:r>
        <w:rPr>
          <w:rFonts w:hint="eastAsia" w:cs="Times New Roman"/>
          <w:color w:val="auto"/>
          <w:sz w:val="32"/>
          <w:szCs w:val="32"/>
          <w:highlight w:val="none"/>
          <w:lang w:eastAsia="zh-CN"/>
        </w:rPr>
        <w:t>工信</w:t>
      </w:r>
      <w:r>
        <w:rPr>
          <w:rFonts w:hint="default" w:ascii="Times New Roman" w:hAnsi="Times New Roman" w:eastAsia="仿宋_GB2312" w:cs="Times New Roman"/>
          <w:color w:val="auto"/>
          <w:sz w:val="32"/>
          <w:szCs w:val="32"/>
          <w:highlight w:val="none"/>
        </w:rPr>
        <w:t>局</w:t>
      </w:r>
      <w:r>
        <w:rPr>
          <w:rFonts w:hint="eastAsia" w:cs="Times New Roman"/>
          <w:color w:val="auto"/>
          <w:sz w:val="32"/>
          <w:szCs w:val="32"/>
          <w:highlight w:val="none"/>
          <w:lang w:eastAsia="zh-CN"/>
        </w:rPr>
        <w:t>配合</w:t>
      </w:r>
      <w:r>
        <w:rPr>
          <w:rFonts w:hint="default" w:ascii="Times New Roman" w:hAnsi="Times New Roman" w:eastAsia="仿宋_GB2312" w:cs="Times New Roman"/>
          <w:color w:val="auto"/>
          <w:sz w:val="32"/>
          <w:szCs w:val="32"/>
          <w:highlight w:val="none"/>
        </w:rPr>
        <w:t>）</w:t>
      </w:r>
    </w:p>
    <w:p w14:paraId="344B9FF3">
      <w:pPr>
        <w:keepNext w:val="0"/>
        <w:keepLines w:val="0"/>
        <w:pageBreakBefore w:val="0"/>
        <w:widowControl w:val="0"/>
        <w:kinsoku/>
        <w:wordWrap/>
        <w:overflowPunct/>
        <w:topLinePunct/>
        <w:autoSpaceDE/>
        <w:autoSpaceDN/>
        <w:bidi w:val="0"/>
        <w:spacing w:line="560" w:lineRule="exact"/>
        <w:ind w:firstLine="643" w:firstLineChars="200"/>
        <w:textAlignment w:val="auto"/>
        <w:outlineLvl w:val="1"/>
        <w:rPr>
          <w:rFonts w:hint="default" w:ascii="Times New Roman" w:hAnsi="Times New Roman" w:eastAsia="方正楷体_GBK" w:cs="Times New Roman"/>
          <w:color w:val="auto"/>
          <w:sz w:val="32"/>
          <w:szCs w:val="32"/>
          <w:highlight w:val="none"/>
        </w:rPr>
      </w:pPr>
      <w:bookmarkStart w:id="17" w:name="_Toc114408654"/>
      <w:r>
        <w:rPr>
          <w:rFonts w:hint="eastAsia"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 实施差异化减排。</w:t>
      </w:r>
      <w:r>
        <w:rPr>
          <w:rFonts w:hint="default" w:ascii="Times New Roman" w:hAnsi="Times New Roman" w:eastAsia="仿宋_GB2312" w:cs="Times New Roman"/>
          <w:color w:val="auto"/>
          <w:sz w:val="32"/>
          <w:szCs w:val="32"/>
          <w:highlight w:val="none"/>
          <w:lang w:val="en-US" w:eastAsia="zh-CN"/>
        </w:rPr>
        <w:t>完</w:t>
      </w:r>
      <w:r>
        <w:rPr>
          <w:rFonts w:hint="default" w:ascii="Times New Roman" w:hAnsi="Times New Roman" w:eastAsia="仿宋_GB2312" w:cs="Times New Roman"/>
          <w:color w:val="auto"/>
          <w:sz w:val="32"/>
          <w:szCs w:val="32"/>
          <w:highlight w:val="none"/>
        </w:rPr>
        <w:t>善季节性VOCs强化减排措施正面清单，加强差异化精细化管理。对全面完成VOCs源头替代的企业，采用蓄热燃烧、催化燃烧、分散式吸附+移动式再生等高效治理技术，符合相关技术规范要求并稳定达标排放的企业或工序，被评为绩效分级A级和绩效引领性的企业，在臭氧污染高峰时段，可不采取生产调控或应急减排措施；对涉VOCs排放量大、</w:t>
      </w:r>
      <w:r>
        <w:rPr>
          <w:rFonts w:hint="default" w:ascii="Times New Roman" w:hAnsi="Times New Roman" w:eastAsia="仿宋_GB2312" w:cs="Times New Roman"/>
          <w:color w:val="auto"/>
          <w:sz w:val="32"/>
          <w:szCs w:val="32"/>
          <w:highlight w:val="none"/>
          <w:lang w:eastAsia="zh-CN"/>
        </w:rPr>
        <w:t>排放浓度高、主要组分臭氧生成潜势</w:t>
      </w:r>
      <w:r>
        <w:rPr>
          <w:rFonts w:hint="default" w:ascii="Times New Roman" w:hAnsi="Times New Roman" w:eastAsia="仿宋_GB2312" w:cs="Times New Roman"/>
          <w:color w:val="auto"/>
          <w:sz w:val="32"/>
          <w:szCs w:val="32"/>
          <w:highlight w:val="none"/>
        </w:rPr>
        <w:t>较高的重点行业，纳入重点治理和臭氧污染天气强化减排名录，结合生产工艺特点和污染排放情况，实施差异化管控措施；对治理设施低效、治理设施不正常运行及无组织排放问题突出的VOCs涉气工序实施生产调控措施。（</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生态环境</w:t>
      </w:r>
      <w:r>
        <w:rPr>
          <w:rFonts w:hint="default" w:ascii="Times New Roman" w:hAnsi="Times New Roman" w:eastAsia="仿宋_GB2312" w:cs="Times New Roman"/>
          <w:color w:val="auto"/>
          <w:sz w:val="32"/>
          <w:szCs w:val="32"/>
          <w:highlight w:val="none"/>
          <w:lang w:eastAsia="zh-CN"/>
        </w:rPr>
        <w:t>局</w:t>
      </w:r>
      <w:r>
        <w:rPr>
          <w:rFonts w:hint="eastAsia" w:cs="Times New Roman"/>
          <w:color w:val="auto"/>
          <w:sz w:val="32"/>
          <w:szCs w:val="32"/>
          <w:highlight w:val="none"/>
          <w:lang w:eastAsia="zh-CN"/>
        </w:rPr>
        <w:t>沁阳分局负责</w:t>
      </w:r>
      <w:r>
        <w:rPr>
          <w:rFonts w:hint="default" w:ascii="Times New Roman" w:hAnsi="Times New Roman" w:eastAsia="仿宋_GB2312" w:cs="Times New Roman"/>
          <w:color w:val="auto"/>
          <w:sz w:val="32"/>
          <w:szCs w:val="32"/>
          <w:highlight w:val="none"/>
        </w:rPr>
        <w:t>）</w:t>
      </w:r>
    </w:p>
    <w:p w14:paraId="7FF5CEEE">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5</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强化油品储运销综合管控。</w:t>
      </w:r>
      <w:r>
        <w:rPr>
          <w:rFonts w:hint="default" w:ascii="Times New Roman" w:hAnsi="Times New Roman" w:eastAsia="仿宋_GB2312" w:cs="Times New Roman"/>
          <w:b w:val="0"/>
          <w:bCs w:val="0"/>
          <w:color w:val="auto"/>
          <w:kern w:val="2"/>
          <w:sz w:val="32"/>
          <w:szCs w:val="32"/>
          <w:highlight w:val="none"/>
          <w:lang w:val="en-US" w:eastAsia="zh-CN" w:bidi="ar-SA"/>
        </w:rPr>
        <w:t>全面保障油品质量</w:t>
      </w:r>
      <w:bookmarkEnd w:id="17"/>
      <w:r>
        <w:rPr>
          <w:rFonts w:hint="default" w:ascii="Times New Roman" w:hAnsi="Times New Roman" w:eastAsia="仿宋_GB2312" w:cs="Times New Roman"/>
          <w:b w:val="0"/>
          <w:bCs w:val="0"/>
          <w:color w:val="auto"/>
          <w:kern w:val="2"/>
          <w:sz w:val="32"/>
          <w:szCs w:val="32"/>
          <w:highlight w:val="none"/>
          <w:lang w:val="en-US" w:eastAsia="zh-CN" w:bidi="ar-SA"/>
        </w:rPr>
        <w:t>。加强油品质量监督检查，对5%以上的在营汽油加油站油品质量进行监督性抽查。坚决打击非标油品，对柴油进口、生产、仓储、销售、运输、使用等全环节加强监管，全面清理整顿无证无照的自建油管、流动加油车和黑加油站。加大柴油使用环节检查力度，对货车、非道路移动机械油箱中的柴油进行直接抽检，对发现的非标油问题线索进行追溯，严厉追究相关生产、销售、运输者主体责任。（市市场监管局、公安局、应急管理局、商务局、交通局、税务局、生态环境局</w:t>
      </w:r>
      <w:r>
        <w:rPr>
          <w:rFonts w:hint="eastAsia"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按职责分工负责）</w:t>
      </w:r>
    </w:p>
    <w:p w14:paraId="499B82DC">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cs="Times New Roman"/>
          <w:b/>
          <w:bCs/>
          <w:color w:val="auto"/>
          <w:kern w:val="2"/>
          <w:sz w:val="32"/>
          <w:szCs w:val="32"/>
          <w:highlight w:val="none"/>
          <w:lang w:val="en-US" w:eastAsia="zh-CN" w:bidi="ar-SA"/>
        </w:rPr>
        <w:t>6</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加强油气回收设施监管。</w:t>
      </w:r>
      <w:r>
        <w:rPr>
          <w:rFonts w:hint="default" w:ascii="Times New Roman" w:hAnsi="Times New Roman" w:eastAsia="仿宋_GB2312" w:cs="Times New Roman"/>
          <w:b w:val="0"/>
          <w:bCs w:val="0"/>
          <w:color w:val="auto"/>
          <w:kern w:val="2"/>
          <w:sz w:val="32"/>
          <w:szCs w:val="32"/>
          <w:highlight w:val="none"/>
          <w:lang w:val="en-US" w:eastAsia="zh-CN" w:bidi="ar-SA"/>
        </w:rPr>
        <w:t>每年5月底前开展一次储运销环节油气回收系统全覆盖专项检查工作，7月底前对所有汽油储油库、50%以上的汽油加油站和油罐车开展监督性检测，确保达标排放。对汽车罐车密封性能定期检测，严厉查处在卸油、发油、运输、停泊过程中破坏汽车罐车密闭性的行为。实施分时段精准调控汽油（含乙醇汽油）夏季蒸气压指标。</w:t>
      </w:r>
      <w:r>
        <w:rPr>
          <w:rFonts w:hint="default" w:ascii="Times New Roman" w:hAnsi="Times New Roman" w:cs="Times New Roman"/>
          <w:b w:val="0"/>
          <w:bCs w:val="0"/>
          <w:color w:val="auto"/>
          <w:kern w:val="2"/>
          <w:sz w:val="32"/>
          <w:szCs w:val="32"/>
          <w:highlight w:val="none"/>
          <w:lang w:val="en-US" w:eastAsia="zh-CN" w:bidi="ar-SA"/>
        </w:rPr>
        <w:t>每</w:t>
      </w:r>
      <w:r>
        <w:rPr>
          <w:rFonts w:hint="default" w:ascii="Times New Roman" w:hAnsi="Times New Roman" w:eastAsia="仿宋_GB2312" w:cs="Times New Roman"/>
          <w:b w:val="0"/>
          <w:bCs w:val="0"/>
          <w:color w:val="auto"/>
          <w:kern w:val="2"/>
          <w:sz w:val="32"/>
          <w:szCs w:val="32"/>
          <w:highlight w:val="none"/>
          <w:lang w:val="en-US" w:eastAsia="zh-CN" w:bidi="ar-SA"/>
        </w:rPr>
        <w:t>年5月至9月，研究出台鼓励夜间加油等相关政策，通过宣传倡导、价格优惠等措施，组织实施夏秋季错时装卸油，倡导错峰加油，加强油品储运销环节VOCs排放控制。（市生态环境局</w:t>
      </w:r>
      <w:r>
        <w:rPr>
          <w:rFonts w:hint="eastAsia"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、商务局牵头，市交通局、应急管理局参与）</w:t>
      </w:r>
    </w:p>
    <w:p w14:paraId="08DF5EFE">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（六）深入打好一氧化碳污染防治攻坚战</w:t>
      </w:r>
    </w:p>
    <w:p w14:paraId="0E857B05">
      <w:pPr>
        <w:keepNext w:val="0"/>
        <w:keepLines w:val="0"/>
        <w:pageBreakBefore w:val="0"/>
        <w:widowControl w:val="0"/>
        <w:kinsoku/>
        <w:wordWrap/>
        <w:overflowPunct/>
        <w:topLinePunct/>
        <w:autoSpaceDE/>
        <w:autoSpaceDN/>
        <w:bidi w:val="0"/>
        <w:snapToGrid/>
        <w:spacing w:line="560" w:lineRule="exact"/>
        <w:ind w:firstLine="643" w:firstLineChars="200"/>
        <w:jc w:val="both"/>
        <w:textAlignment w:val="auto"/>
        <w:outlineLvl w:val="1"/>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val="0"/>
          <w:color w:val="auto"/>
          <w:sz w:val="32"/>
          <w:szCs w:val="32"/>
          <w:highlight w:val="none"/>
          <w:u w:val="none"/>
        </w:rPr>
        <w:t>强化</w:t>
      </w:r>
      <w:r>
        <w:rPr>
          <w:rFonts w:hint="eastAsia" w:cs="Times New Roman"/>
          <w:b/>
          <w:bCs w:val="0"/>
          <w:color w:val="auto"/>
          <w:sz w:val="32"/>
          <w:szCs w:val="32"/>
          <w:highlight w:val="none"/>
          <w:u w:val="none"/>
          <w:lang w:val="en-US" w:eastAsia="zh-CN"/>
        </w:rPr>
        <w:t>一氧化碳</w:t>
      </w:r>
      <w:r>
        <w:rPr>
          <w:rFonts w:hint="default" w:ascii="Times New Roman" w:hAnsi="Times New Roman" w:eastAsia="仿宋_GB2312" w:cs="Times New Roman"/>
          <w:b/>
          <w:bCs w:val="0"/>
          <w:color w:val="auto"/>
          <w:sz w:val="32"/>
          <w:szCs w:val="32"/>
          <w:highlight w:val="none"/>
          <w:u w:val="none"/>
        </w:rPr>
        <w:t>重点</w:t>
      </w:r>
      <w:r>
        <w:rPr>
          <w:rFonts w:hint="default" w:ascii="Times New Roman" w:hAnsi="Times New Roman" w:eastAsia="仿宋_GB2312" w:cs="Times New Roman"/>
          <w:b/>
          <w:bCs w:val="0"/>
          <w:color w:val="auto"/>
          <w:sz w:val="32"/>
          <w:szCs w:val="32"/>
          <w:highlight w:val="none"/>
          <w:u w:val="none"/>
          <w:lang w:eastAsia="zh-CN"/>
        </w:rPr>
        <w:t>排放</w:t>
      </w:r>
      <w:r>
        <w:rPr>
          <w:rFonts w:hint="default" w:ascii="Times New Roman" w:hAnsi="Times New Roman" w:eastAsia="仿宋_GB2312" w:cs="Times New Roman"/>
          <w:b/>
          <w:bCs w:val="0"/>
          <w:color w:val="auto"/>
          <w:sz w:val="32"/>
          <w:szCs w:val="32"/>
          <w:highlight w:val="none"/>
          <w:u w:val="none"/>
        </w:rPr>
        <w:t>企业</w:t>
      </w:r>
      <w:r>
        <w:rPr>
          <w:rFonts w:hint="default" w:ascii="Times New Roman" w:hAnsi="Times New Roman" w:eastAsia="仿宋_GB2312" w:cs="Times New Roman"/>
          <w:b/>
          <w:bCs w:val="0"/>
          <w:color w:val="auto"/>
          <w:sz w:val="32"/>
          <w:szCs w:val="32"/>
          <w:highlight w:val="none"/>
          <w:u w:val="none"/>
          <w:lang w:eastAsia="zh-CN"/>
        </w:rPr>
        <w:t>监管</w:t>
      </w:r>
      <w:r>
        <w:rPr>
          <w:rFonts w:hint="default" w:ascii="Times New Roman" w:hAnsi="Times New Roman" w:eastAsia="仿宋_GB2312" w:cs="Times New Roman"/>
          <w:b/>
          <w:bCs w:val="0"/>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bidi="ar-SA"/>
        </w:rPr>
        <w:t>根据空气质量情况及风向等情况</w:t>
      </w:r>
      <w:r>
        <w:rPr>
          <w:rFonts w:hint="default" w:ascii="Times New Roman" w:hAnsi="Times New Roman" w:eastAsia="仿宋_GB2312" w:cs="Times New Roman"/>
          <w:color w:val="auto"/>
          <w:sz w:val="32"/>
          <w:szCs w:val="32"/>
          <w:highlight w:val="none"/>
          <w:u w:val="none"/>
          <w:lang w:eastAsia="zh-CN" w:bidi="ar-SA"/>
        </w:rPr>
        <w:t>，</w:t>
      </w:r>
      <w:r>
        <w:rPr>
          <w:rFonts w:hint="default" w:ascii="Times New Roman" w:hAnsi="Times New Roman" w:eastAsia="仿宋_GB2312" w:cs="Times New Roman"/>
          <w:color w:val="auto"/>
          <w:sz w:val="32"/>
          <w:szCs w:val="32"/>
          <w:highlight w:val="none"/>
          <w:u w:val="none"/>
          <w:lang w:val="en-US" w:eastAsia="zh-CN" w:bidi="ar-SA"/>
        </w:rPr>
        <w:t>适时对全市重点</w:t>
      </w:r>
      <w:r>
        <w:rPr>
          <w:rFonts w:hint="eastAsia" w:cs="Times New Roman"/>
          <w:color w:val="auto"/>
          <w:sz w:val="32"/>
          <w:szCs w:val="32"/>
          <w:highlight w:val="none"/>
          <w:u w:val="none"/>
          <w:lang w:val="en-US" w:eastAsia="zh-CN" w:bidi="ar-SA"/>
        </w:rPr>
        <w:t>一氧化碳</w:t>
      </w:r>
      <w:r>
        <w:rPr>
          <w:rFonts w:hint="default" w:ascii="Times New Roman" w:hAnsi="Times New Roman" w:eastAsia="仿宋_GB2312" w:cs="Times New Roman"/>
          <w:color w:val="auto"/>
          <w:sz w:val="32"/>
          <w:szCs w:val="32"/>
          <w:highlight w:val="none"/>
          <w:u w:val="none"/>
          <w:lang w:val="en-US" w:eastAsia="zh-CN" w:bidi="ar-SA"/>
        </w:rPr>
        <w:t>排放企业以及使用生物质锅炉企业</w:t>
      </w:r>
      <w:r>
        <w:rPr>
          <w:rFonts w:hint="default" w:ascii="Times New Roman" w:hAnsi="Times New Roman" w:eastAsia="仿宋_GB2312" w:cs="Times New Roman"/>
          <w:color w:val="auto"/>
          <w:sz w:val="32"/>
          <w:szCs w:val="32"/>
          <w:highlight w:val="none"/>
          <w:u w:val="none"/>
          <w:lang w:eastAsia="zh-CN" w:bidi="ar-SA"/>
        </w:rPr>
        <w:t>实施</w:t>
      </w:r>
      <w:r>
        <w:rPr>
          <w:rFonts w:hint="default" w:ascii="Times New Roman" w:hAnsi="Times New Roman" w:eastAsia="仿宋_GB2312" w:cs="Times New Roman"/>
          <w:color w:val="auto"/>
          <w:sz w:val="32"/>
          <w:szCs w:val="32"/>
          <w:highlight w:val="none"/>
          <w:u w:val="none"/>
          <w:lang w:val="en-US" w:eastAsia="zh-CN" w:bidi="ar-SA"/>
        </w:rPr>
        <w:t>精准化管理，通过调整生产工况减少</w:t>
      </w:r>
      <w:r>
        <w:rPr>
          <w:rFonts w:hint="eastAsia" w:cs="Times New Roman"/>
          <w:color w:val="auto"/>
          <w:sz w:val="32"/>
          <w:szCs w:val="32"/>
          <w:highlight w:val="none"/>
          <w:u w:val="none"/>
          <w:lang w:val="en-US" w:eastAsia="zh-CN" w:bidi="ar-SA"/>
        </w:rPr>
        <w:t>一氧化碳</w:t>
      </w:r>
      <w:r>
        <w:rPr>
          <w:rFonts w:hint="default" w:ascii="Times New Roman" w:hAnsi="Times New Roman" w:eastAsia="仿宋_GB2312" w:cs="Times New Roman"/>
          <w:color w:val="auto"/>
          <w:sz w:val="32"/>
          <w:szCs w:val="32"/>
          <w:highlight w:val="none"/>
          <w:u w:val="none"/>
          <w:lang w:val="en-US" w:eastAsia="zh-CN" w:bidi="ar-SA"/>
        </w:rPr>
        <w:t>排放浓度及排放量。</w:t>
      </w:r>
      <w:r>
        <w:rPr>
          <w:rFonts w:hint="default" w:ascii="Times New Roman" w:hAnsi="Times New Roman" w:eastAsia="仿宋_GB2312" w:cs="Times New Roman"/>
          <w:b w:val="0"/>
          <w:bCs w:val="0"/>
          <w:color w:val="auto"/>
          <w:kern w:val="2"/>
          <w:sz w:val="32"/>
          <w:szCs w:val="32"/>
          <w:highlight w:val="none"/>
          <w:lang w:val="en-US" w:eastAsia="zh-CN" w:bidi="ar-SA"/>
        </w:rPr>
        <w:t>（市生态环境局</w:t>
      </w:r>
      <w:r>
        <w:rPr>
          <w:rFonts w:hint="eastAsia"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牵头）</w:t>
      </w:r>
    </w:p>
    <w:p w14:paraId="0EDB370F">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（七）深入打好无组织排放整治攻坚战</w:t>
      </w:r>
    </w:p>
    <w:p w14:paraId="21826BEE">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b w:val="0"/>
          <w:bCs w:val="0"/>
          <w:color w:val="auto"/>
          <w:sz w:val="32"/>
          <w:szCs w:val="32"/>
          <w:highlight w:val="none"/>
        </w:rPr>
      </w:pPr>
      <w:bookmarkStart w:id="18" w:name="_Toc114408643"/>
      <w:r>
        <w:rPr>
          <w:rFonts w:hint="default" w:ascii="Times New Roman" w:hAnsi="Times New Roman"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lang w:val="en-US" w:eastAsia="zh-CN"/>
        </w:rPr>
        <w:t>. 加强工业园区无组织排放管控</w:t>
      </w:r>
      <w:r>
        <w:rPr>
          <w:rFonts w:hint="default" w:ascii="Times New Roman" w:hAnsi="Times New Roman" w:cs="Times New Roman"/>
          <w:b/>
          <w:bCs/>
          <w:color w:val="auto"/>
          <w:kern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经济技术开发区</w:t>
      </w:r>
      <w:r>
        <w:rPr>
          <w:rFonts w:hint="default" w:ascii="Times New Roman" w:hAnsi="Times New Roman" w:cs="Times New Roman"/>
          <w:b w:val="0"/>
          <w:bCs w:val="0"/>
          <w:color w:val="auto"/>
          <w:sz w:val="32"/>
          <w:szCs w:val="32"/>
          <w:highlight w:val="none"/>
          <w:lang w:eastAsia="zh-CN"/>
        </w:rPr>
        <w:t>制定并严格落实</w:t>
      </w:r>
      <w:r>
        <w:rPr>
          <w:rFonts w:hint="default" w:ascii="Times New Roman" w:hAnsi="Times New Roman" w:eastAsia="仿宋_GB2312" w:cs="Times New Roman"/>
          <w:b w:val="0"/>
          <w:bCs w:val="0"/>
          <w:color w:val="auto"/>
          <w:sz w:val="32"/>
          <w:szCs w:val="32"/>
          <w:highlight w:val="none"/>
        </w:rPr>
        <w:t>工业园区无组织排放整治方案，对园区内电力、化工、</w:t>
      </w:r>
      <w:r>
        <w:rPr>
          <w:rFonts w:hint="eastAsia" w:cs="Times New Roman"/>
          <w:b w:val="0"/>
          <w:bCs w:val="0"/>
          <w:color w:val="auto"/>
          <w:sz w:val="32"/>
          <w:szCs w:val="32"/>
          <w:highlight w:val="none"/>
          <w:lang w:eastAsia="zh-CN"/>
        </w:rPr>
        <w:t>炭素</w:t>
      </w:r>
      <w:r>
        <w:rPr>
          <w:rFonts w:hint="default" w:ascii="Times New Roman" w:hAnsi="Times New Roman" w:eastAsia="仿宋_GB2312" w:cs="Times New Roman"/>
          <w:b w:val="0"/>
          <w:bCs w:val="0"/>
          <w:color w:val="auto"/>
          <w:sz w:val="32"/>
          <w:szCs w:val="32"/>
          <w:highlight w:val="none"/>
        </w:rPr>
        <w:t>、水泥、建材等重点行业，按要求开展无组织排放治理，切实把无组织排放污染管控工作精准落实到各个环节，有效减少污染物排放量，精准防治高值热点。（</w:t>
      </w:r>
      <w:r>
        <w:rPr>
          <w:rFonts w:hint="default" w:ascii="Times New Roman" w:hAnsi="Times New Roman" w:eastAsia="仿宋_GB2312" w:cs="Times New Roman"/>
          <w:b w:val="0"/>
          <w:bCs w:val="0"/>
          <w:color w:val="auto"/>
          <w:sz w:val="32"/>
          <w:szCs w:val="32"/>
          <w:highlight w:val="none"/>
          <w:lang w:val="en-US" w:eastAsia="zh-CN"/>
        </w:rPr>
        <w:t>市</w:t>
      </w:r>
      <w:r>
        <w:rPr>
          <w:rFonts w:hint="eastAsia" w:cs="Times New Roman"/>
          <w:b w:val="0"/>
          <w:bCs w:val="0"/>
          <w:color w:val="auto"/>
          <w:sz w:val="32"/>
          <w:szCs w:val="32"/>
          <w:highlight w:val="none"/>
          <w:lang w:val="en-US" w:eastAsia="zh-CN"/>
        </w:rPr>
        <w:t>经开区、工信</w:t>
      </w:r>
      <w:r>
        <w:rPr>
          <w:rFonts w:hint="default" w:ascii="Times New Roman" w:hAnsi="Times New Roman" w:eastAsia="仿宋_GB2312" w:cs="Times New Roman"/>
          <w:b w:val="0"/>
          <w:bCs w:val="0"/>
          <w:color w:val="auto"/>
          <w:sz w:val="32"/>
          <w:szCs w:val="32"/>
          <w:highlight w:val="none"/>
          <w:lang w:val="en-US" w:eastAsia="zh-CN"/>
        </w:rPr>
        <w:t>局</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生态环境局</w:t>
      </w:r>
      <w:r>
        <w:rPr>
          <w:rFonts w:hint="eastAsia" w:cs="Times New Roman"/>
          <w:b w:val="0"/>
          <w:bCs w:val="0"/>
          <w:color w:val="auto"/>
          <w:sz w:val="32"/>
          <w:szCs w:val="32"/>
          <w:highlight w:val="none"/>
          <w:lang w:eastAsia="zh-CN"/>
        </w:rPr>
        <w:t>沁阳分局</w:t>
      </w:r>
      <w:r>
        <w:rPr>
          <w:rFonts w:hint="default" w:ascii="Times New Roman" w:hAnsi="Times New Roman" w:cs="Times New Roman"/>
          <w:b w:val="0"/>
          <w:bCs w:val="0"/>
          <w:color w:val="auto"/>
          <w:sz w:val="32"/>
          <w:szCs w:val="32"/>
          <w:highlight w:val="none"/>
          <w:lang w:val="en-US" w:eastAsia="zh-CN"/>
        </w:rPr>
        <w:t>按职责分工负责</w:t>
      </w:r>
      <w:r>
        <w:rPr>
          <w:rFonts w:hint="default" w:ascii="Times New Roman" w:hAnsi="Times New Roman" w:eastAsia="仿宋_GB2312" w:cs="Times New Roman"/>
          <w:b w:val="0"/>
          <w:bCs w:val="0"/>
          <w:color w:val="auto"/>
          <w:sz w:val="32"/>
          <w:szCs w:val="32"/>
          <w:highlight w:val="none"/>
          <w:lang w:val="en-US" w:eastAsia="zh-CN"/>
        </w:rPr>
        <w:t>）</w:t>
      </w:r>
    </w:p>
    <w:p w14:paraId="437CC051">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cs="Times New Roman"/>
          <w:b w:val="0"/>
          <w:bCs w:val="0"/>
          <w:color w:val="auto"/>
          <w:kern w:val="0"/>
          <w:sz w:val="32"/>
          <w:szCs w:val="32"/>
          <w:highlight w:val="none"/>
          <w:lang w:val="en-US" w:eastAsia="zh-CN"/>
        </w:rPr>
      </w:pPr>
      <w:r>
        <w:rPr>
          <w:rFonts w:hint="default" w:ascii="Times New Roman" w:hAnsi="Times New Roman"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lang w:val="en-US" w:eastAsia="zh-CN"/>
        </w:rPr>
        <w:t>. 加强</w:t>
      </w:r>
      <w:r>
        <w:rPr>
          <w:rFonts w:hint="default" w:ascii="Times New Roman" w:hAnsi="Times New Roman" w:cs="Times New Roman"/>
          <w:b/>
          <w:bCs/>
          <w:color w:val="auto"/>
          <w:kern w:val="0"/>
          <w:sz w:val="32"/>
          <w:szCs w:val="32"/>
          <w:highlight w:val="none"/>
          <w:lang w:val="en-US" w:eastAsia="zh-CN"/>
        </w:rPr>
        <w:t>砂石骨料行业</w:t>
      </w:r>
      <w:r>
        <w:rPr>
          <w:rFonts w:hint="default" w:ascii="Times New Roman" w:hAnsi="Times New Roman" w:eastAsia="仿宋_GB2312" w:cs="Times New Roman"/>
          <w:b/>
          <w:bCs/>
          <w:color w:val="auto"/>
          <w:kern w:val="0"/>
          <w:sz w:val="32"/>
          <w:szCs w:val="32"/>
          <w:highlight w:val="none"/>
          <w:lang w:val="en-US" w:eastAsia="zh-CN"/>
        </w:rPr>
        <w:t>无组织排放管控</w:t>
      </w:r>
      <w:r>
        <w:rPr>
          <w:rFonts w:hint="default" w:ascii="Times New Roman" w:hAnsi="Times New Roman" w:cs="Times New Roman"/>
          <w:b/>
          <w:bCs/>
          <w:color w:val="auto"/>
          <w:kern w:val="0"/>
          <w:sz w:val="32"/>
          <w:szCs w:val="32"/>
          <w:highlight w:val="none"/>
          <w:lang w:val="en-US" w:eastAsia="zh-CN"/>
        </w:rPr>
        <w:t>。</w:t>
      </w:r>
      <w:r>
        <w:rPr>
          <w:rFonts w:hint="default" w:ascii="Times New Roman" w:hAnsi="Times New Roman" w:cs="Times New Roman"/>
          <w:b w:val="0"/>
          <w:bCs w:val="0"/>
          <w:color w:val="auto"/>
          <w:kern w:val="0"/>
          <w:sz w:val="32"/>
          <w:szCs w:val="32"/>
          <w:highlight w:val="none"/>
          <w:lang w:val="en-US" w:eastAsia="zh-CN"/>
        </w:rPr>
        <w:t>按照《焦作市人民政府办公室关于促进砂石行业健康有序发展的实施意见》（焦政办〔2021〕6号）文件要求，推进砂石骨料行业健康有序发展。推动砂石骨料行业开展装备升级及深度治理，严格落实矿石运输和加工过程防尘、除尘措施。物料棚仓配装雾炮，射程可覆盖全仓。棚仓内物料不得进行露天转运。在物料棚出入口建设自动轮胎冲洗台，不具备建设条件的，可在厂区出入口建设，并保持正常运行。（市生态环境局</w:t>
      </w:r>
      <w:r>
        <w:rPr>
          <w:rFonts w:hint="eastAsia" w:cs="Times New Roman"/>
          <w:b w:val="0"/>
          <w:bCs w:val="0"/>
          <w:color w:val="auto"/>
          <w:kern w:val="0"/>
          <w:sz w:val="32"/>
          <w:szCs w:val="32"/>
          <w:highlight w:val="none"/>
          <w:lang w:val="en-US" w:eastAsia="zh-CN"/>
        </w:rPr>
        <w:t>沁阳分局</w:t>
      </w:r>
      <w:r>
        <w:rPr>
          <w:rFonts w:hint="default" w:ascii="Times New Roman" w:hAnsi="Times New Roman" w:cs="Times New Roman"/>
          <w:b w:val="0"/>
          <w:bCs w:val="0"/>
          <w:color w:val="auto"/>
          <w:kern w:val="0"/>
          <w:sz w:val="32"/>
          <w:szCs w:val="32"/>
          <w:highlight w:val="none"/>
          <w:lang w:val="en-US" w:eastAsia="zh-CN"/>
        </w:rPr>
        <w:t>、发改委按照职责分工负责）</w:t>
      </w:r>
    </w:p>
    <w:p w14:paraId="1B09726E">
      <w:pPr>
        <w:keepNext w:val="0"/>
        <w:keepLines w:val="0"/>
        <w:pageBreakBefore w:val="0"/>
        <w:widowControl w:val="0"/>
        <w:kinsoku/>
        <w:wordWrap/>
        <w:overflowPunct/>
        <w:topLinePunct/>
        <w:autoSpaceDE/>
        <w:autoSpaceDN/>
        <w:bidi w:val="0"/>
        <w:adjustRightInd w:val="0"/>
        <w:snapToGrid/>
        <w:spacing w:line="560" w:lineRule="exact"/>
        <w:ind w:firstLine="643" w:firstLineChars="200"/>
        <w:jc w:val="both"/>
        <w:textAlignment w:val="auto"/>
        <w:outlineLvl w:val="1"/>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cs="Times New Roman"/>
          <w:b/>
          <w:bCs/>
          <w:color w:val="auto"/>
          <w:kern w:val="0"/>
          <w:sz w:val="32"/>
          <w:szCs w:val="32"/>
          <w:highlight w:val="none"/>
          <w:lang w:val="en-US" w:eastAsia="zh-CN"/>
        </w:rPr>
        <w:t>3</w:t>
      </w:r>
      <w:r>
        <w:rPr>
          <w:rFonts w:hint="default" w:ascii="Times New Roman" w:hAnsi="Times New Roman" w:eastAsia="仿宋_GB2312" w:cs="Times New Roman"/>
          <w:b/>
          <w:bCs/>
          <w:color w:val="auto"/>
          <w:kern w:val="0"/>
          <w:sz w:val="32"/>
          <w:szCs w:val="32"/>
          <w:highlight w:val="none"/>
          <w:lang w:val="en-US" w:eastAsia="zh-CN"/>
        </w:rPr>
        <w:t>. 加强</w:t>
      </w:r>
      <w:r>
        <w:rPr>
          <w:rFonts w:hint="default" w:ascii="Times New Roman" w:hAnsi="Times New Roman" w:cs="Times New Roman"/>
          <w:b/>
          <w:bCs/>
          <w:color w:val="auto"/>
          <w:kern w:val="0"/>
          <w:sz w:val="32"/>
          <w:szCs w:val="32"/>
          <w:highlight w:val="none"/>
          <w:lang w:val="en-US" w:eastAsia="zh-CN"/>
        </w:rPr>
        <w:t>重点行业</w:t>
      </w:r>
      <w:r>
        <w:rPr>
          <w:rFonts w:hint="default" w:ascii="Times New Roman" w:hAnsi="Times New Roman" w:eastAsia="仿宋_GB2312" w:cs="Times New Roman"/>
          <w:b/>
          <w:bCs/>
          <w:color w:val="auto"/>
          <w:kern w:val="0"/>
          <w:sz w:val="32"/>
          <w:szCs w:val="32"/>
          <w:highlight w:val="none"/>
          <w:lang w:val="en-US" w:eastAsia="zh-CN"/>
        </w:rPr>
        <w:t>无组织排放管控</w:t>
      </w:r>
      <w:r>
        <w:rPr>
          <w:rFonts w:hint="default" w:ascii="Times New Roman" w:hAnsi="Times New Roman" w:cs="Times New Roman"/>
          <w:b/>
          <w:bCs/>
          <w:color w:val="auto"/>
          <w:kern w:val="0"/>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全市重点工业企业完成物料运输、生产工艺、堆场环节的无组织排放深度治理，全面实现“五到位、一密闭”</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生产过程收尘到位</w:t>
      </w:r>
      <w:r>
        <w:rPr>
          <w:rFonts w:hint="eastAsia" w:ascii="Times New Roman" w:hAnsi="Times New Roman" w:eastAsia="仿宋_GB2312" w:cs="Times New Roman"/>
          <w:color w:val="auto"/>
          <w:sz w:val="32"/>
          <w:szCs w:val="32"/>
          <w:highlight w:val="none"/>
          <w:lang w:val="en-US" w:eastAsia="zh-CN"/>
        </w:rPr>
        <w:t>，物料运输抑尘到位，厂区道路除尘到位，裸露土地绿化到位，无组织排放监控到位；厂区内贮存的各类易产生粉尘的物料及燃料全部密闭</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（市生态环境局</w:t>
      </w:r>
      <w:r>
        <w:rPr>
          <w:rFonts w:hint="eastAsia" w:cs="Times New Roman"/>
          <w:color w:val="auto"/>
          <w:kern w:val="0"/>
          <w:sz w:val="32"/>
          <w:szCs w:val="32"/>
          <w:highlight w:val="none"/>
          <w:lang w:val="en-US" w:eastAsia="zh-CN"/>
        </w:rPr>
        <w:t>沁阳分局负责</w:t>
      </w:r>
      <w:r>
        <w:rPr>
          <w:rFonts w:hint="default" w:ascii="Times New Roman" w:hAnsi="Times New Roman" w:eastAsia="仿宋_GB2312" w:cs="Times New Roman"/>
          <w:color w:val="auto"/>
          <w:kern w:val="0"/>
          <w:sz w:val="32"/>
          <w:szCs w:val="32"/>
          <w:highlight w:val="none"/>
          <w:lang w:val="en-US" w:eastAsia="zh-CN"/>
        </w:rPr>
        <w:t>，市</w:t>
      </w:r>
      <w:r>
        <w:rPr>
          <w:rFonts w:hint="eastAsia" w:cs="Times New Roman"/>
          <w:color w:val="auto"/>
          <w:kern w:val="0"/>
          <w:sz w:val="32"/>
          <w:szCs w:val="32"/>
          <w:highlight w:val="none"/>
          <w:lang w:val="en-US" w:eastAsia="zh-CN"/>
        </w:rPr>
        <w:t>工信局</w:t>
      </w:r>
      <w:r>
        <w:rPr>
          <w:rFonts w:hint="default" w:ascii="Times New Roman" w:hAnsi="Times New Roman" w:eastAsia="仿宋_GB2312" w:cs="Times New Roman"/>
          <w:color w:val="auto"/>
          <w:kern w:val="0"/>
          <w:sz w:val="32"/>
          <w:szCs w:val="32"/>
          <w:highlight w:val="none"/>
          <w:lang w:val="en-US" w:eastAsia="zh-CN"/>
        </w:rPr>
        <w:t>等</w:t>
      </w:r>
      <w:r>
        <w:rPr>
          <w:rFonts w:hint="eastAsia" w:cs="Times New Roman"/>
          <w:color w:val="auto"/>
          <w:kern w:val="0"/>
          <w:sz w:val="32"/>
          <w:szCs w:val="32"/>
          <w:highlight w:val="none"/>
          <w:lang w:val="en-US" w:eastAsia="zh-CN"/>
        </w:rPr>
        <w:t>配合</w:t>
      </w:r>
      <w:r>
        <w:rPr>
          <w:rFonts w:hint="default" w:ascii="Times New Roman" w:hAnsi="Times New Roman" w:eastAsia="仿宋_GB2312" w:cs="Times New Roman"/>
          <w:color w:val="auto"/>
          <w:kern w:val="0"/>
          <w:sz w:val="32"/>
          <w:szCs w:val="32"/>
          <w:highlight w:val="none"/>
          <w:lang w:val="en-US" w:eastAsia="zh-CN"/>
        </w:rPr>
        <w:t>）</w:t>
      </w:r>
    </w:p>
    <w:bookmarkEnd w:id="18"/>
    <w:p w14:paraId="527A14AC">
      <w:pPr>
        <w:keepNext w:val="0"/>
        <w:keepLines w:val="0"/>
        <w:pageBreakBefore w:val="0"/>
        <w:widowControl w:val="0"/>
        <w:kinsoku/>
        <w:wordWrap/>
        <w:overflowPunct/>
        <w:topLinePunct/>
        <w:autoSpaceDE/>
        <w:autoSpaceDN/>
        <w:bidi w:val="0"/>
        <w:snapToGrid/>
        <w:spacing w:line="560" w:lineRule="exact"/>
        <w:ind w:firstLine="640" w:firstLineChars="200"/>
        <w:jc w:val="both"/>
        <w:textAlignment w:val="auto"/>
        <w:outlineLvl w:val="0"/>
        <w:rPr>
          <w:rFonts w:hint="default" w:ascii="Times New Roman" w:hAnsi="Times New Roman" w:eastAsia="楷体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kern w:val="44"/>
          <w:sz w:val="32"/>
          <w:szCs w:val="32"/>
          <w:highlight w:val="none"/>
          <w:lang w:val="en-US" w:eastAsia="zh-CN" w:bidi="ar-SA"/>
        </w:rPr>
        <w:t>（八）深入打好重污染天气应急应对攻坚战</w:t>
      </w:r>
    </w:p>
    <w:p w14:paraId="3294EE8E">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bookmarkStart w:id="19" w:name="_Toc114408666"/>
      <w:bookmarkStart w:id="20" w:name="_Toc114408661"/>
      <w:r>
        <w:rPr>
          <w:rFonts w:hint="default" w:ascii="Times New Roman" w:hAnsi="Times New Roman" w:eastAsia="仿宋_GB2312" w:cs="Times New Roman"/>
          <w:b/>
          <w:bCs/>
          <w:color w:val="auto"/>
          <w:kern w:val="2"/>
          <w:sz w:val="32"/>
          <w:szCs w:val="32"/>
          <w:highlight w:val="none"/>
          <w:lang w:val="en-US" w:eastAsia="zh-CN" w:bidi="ar-SA"/>
        </w:rPr>
        <w:t xml:space="preserve">1. </w:t>
      </w:r>
      <w:bookmarkEnd w:id="19"/>
      <w:bookmarkStart w:id="21" w:name="_Toc114408667"/>
      <w:r>
        <w:rPr>
          <w:rFonts w:hint="default" w:ascii="Times New Roman" w:hAnsi="Times New Roman" w:eastAsia="仿宋_GB2312" w:cs="Times New Roman"/>
          <w:b/>
          <w:bCs/>
          <w:color w:val="auto"/>
          <w:kern w:val="2"/>
          <w:sz w:val="32"/>
          <w:szCs w:val="32"/>
          <w:highlight w:val="none"/>
          <w:lang w:val="en-US" w:eastAsia="zh-CN" w:bidi="ar-SA"/>
        </w:rPr>
        <w:t>开展环境绩效等级提升行动。</w:t>
      </w:r>
      <w:r>
        <w:rPr>
          <w:rFonts w:hint="default" w:ascii="Times New Roman" w:hAnsi="Times New Roman" w:eastAsia="仿宋_GB2312" w:cs="Times New Roman"/>
          <w:b w:val="0"/>
          <w:bCs w:val="0"/>
          <w:color w:val="auto"/>
          <w:kern w:val="2"/>
          <w:sz w:val="32"/>
          <w:szCs w:val="32"/>
          <w:highlight w:val="none"/>
          <w:lang w:val="en-US" w:eastAsia="zh-CN" w:bidi="ar-SA"/>
        </w:rPr>
        <w:t>到2025年，全市涉气企业新增绩效A级、B级以及绩效引领性企业数量</w:t>
      </w:r>
      <w:r>
        <w:rPr>
          <w:rFonts w:hint="eastAsia" w:ascii="Times New Roman" w:hAnsi="Times New Roman" w:eastAsia="仿宋_GB2312" w:cs="Times New Roman"/>
          <w:b w:val="0"/>
          <w:bCs w:val="0"/>
          <w:color w:val="auto"/>
          <w:kern w:val="2"/>
          <w:sz w:val="32"/>
          <w:szCs w:val="32"/>
          <w:highlight w:val="none"/>
          <w:lang w:val="en-US" w:eastAsia="zh-CN" w:bidi="ar-SA"/>
        </w:rPr>
        <w:t>进一步增加</w:t>
      </w:r>
      <w:r>
        <w:rPr>
          <w:rFonts w:hint="default" w:ascii="Times New Roman" w:hAnsi="Times New Roman" w:eastAsia="仿宋_GB2312" w:cs="Times New Roman"/>
          <w:b w:val="0"/>
          <w:bCs w:val="0"/>
          <w:color w:val="auto"/>
          <w:kern w:val="2"/>
          <w:sz w:val="32"/>
          <w:szCs w:val="32"/>
          <w:highlight w:val="none"/>
          <w:lang w:val="en-US" w:eastAsia="zh-CN" w:bidi="ar-SA"/>
        </w:rPr>
        <w:t>，其中，2024、2025年分别创建</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b w:val="0"/>
          <w:bCs w:val="0"/>
          <w:color w:val="auto"/>
          <w:kern w:val="2"/>
          <w:sz w:val="32"/>
          <w:szCs w:val="32"/>
          <w:highlight w:val="none"/>
          <w:lang w:val="en-US" w:eastAsia="zh-CN" w:bidi="ar-SA"/>
        </w:rPr>
        <w:t>家。（市生态环境局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沁阳分局负责</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w:t>
      </w:r>
      <w:r>
        <w:rPr>
          <w:rFonts w:hint="eastAsia" w:ascii="Times New Roman" w:hAnsi="Times New Roman" w:eastAsia="仿宋_GB2312" w:cs="Times New Roman"/>
          <w:b w:val="0"/>
          <w:bCs w:val="0"/>
          <w:color w:val="auto"/>
          <w:kern w:val="2"/>
          <w:sz w:val="32"/>
          <w:szCs w:val="32"/>
          <w:highlight w:val="none"/>
          <w:lang w:val="en-US" w:eastAsia="zh-CN" w:bidi="ar-SA"/>
        </w:rPr>
        <w:t>配合</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754A21BE">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val="en-US" w:eastAsia="zh-CN" w:bidi="ar-SA"/>
        </w:rPr>
        <w:t xml:space="preserve">. </w:t>
      </w:r>
      <w:bookmarkEnd w:id="21"/>
      <w:r>
        <w:rPr>
          <w:rFonts w:hint="default" w:ascii="Times New Roman" w:hAnsi="Times New Roman" w:eastAsia="仿宋_GB2312" w:cs="Times New Roman"/>
          <w:b/>
          <w:bCs/>
          <w:color w:val="auto"/>
          <w:kern w:val="2"/>
          <w:sz w:val="32"/>
          <w:szCs w:val="32"/>
          <w:highlight w:val="none"/>
          <w:lang w:val="en-US" w:eastAsia="zh-CN" w:bidi="ar-SA"/>
        </w:rPr>
        <w:t>全面推行差异化管控。</w:t>
      </w:r>
      <w:r>
        <w:rPr>
          <w:rFonts w:hint="default" w:ascii="Times New Roman" w:hAnsi="Times New Roman" w:eastAsia="仿宋_GB2312" w:cs="Times New Roman"/>
          <w:b w:val="0"/>
          <w:bCs w:val="0"/>
          <w:color w:val="auto"/>
          <w:kern w:val="2"/>
          <w:sz w:val="32"/>
          <w:szCs w:val="32"/>
          <w:highlight w:val="none"/>
          <w:lang w:val="en-US" w:eastAsia="zh-CN" w:bidi="ar-SA"/>
        </w:rPr>
        <w:t>实施应急减排清单动态更新和绩效等级动态调整机制，应急减排措施落实到具体生产线、生产环节、生产设施，做到可操作、可监测、可核查，将特殊时段禁止或限制污染物排放要求依法纳入排污许可证。对工业余热供暖和协同处置企业，严格执行“以热定产”、“以量定产”。对绩效分级A级企业和绩效引领性企业实行自主减排。对符合生态环境要素保障白名单准入条件的重大项目单位和项目保障单位，在满足环保要求的前提下，在重污染天气应急管控期间实施应急管控豁免。（市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沁阳分局负责</w:t>
      </w:r>
      <w:r>
        <w:rPr>
          <w:rFonts w:hint="default" w:ascii="Times New Roman" w:hAnsi="Times New Roman" w:eastAsia="仿宋_GB2312" w:cs="Times New Roman"/>
          <w:b w:val="0"/>
          <w:bCs w:val="0"/>
          <w:color w:val="auto"/>
          <w:kern w:val="2"/>
          <w:sz w:val="32"/>
          <w:szCs w:val="32"/>
          <w:highlight w:val="none"/>
          <w:lang w:val="en-US" w:eastAsia="zh-CN" w:bidi="ar-SA"/>
        </w:rPr>
        <w:t>，市</w:t>
      </w:r>
      <w:r>
        <w:rPr>
          <w:rFonts w:hint="eastAsia" w:ascii="Times New Roman" w:hAnsi="Times New Roman" w:eastAsia="仿宋_GB2312"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局、住建局、城管局、交通局</w:t>
      </w:r>
      <w:r>
        <w:rPr>
          <w:rFonts w:hint="eastAsia" w:ascii="Times New Roman" w:hAnsi="Times New Roman" w:eastAsia="仿宋_GB2312" w:cs="Times New Roman"/>
          <w:b w:val="0"/>
          <w:bCs w:val="0"/>
          <w:color w:val="auto"/>
          <w:kern w:val="2"/>
          <w:sz w:val="32"/>
          <w:szCs w:val="32"/>
          <w:highlight w:val="none"/>
          <w:lang w:val="en-US" w:eastAsia="zh-CN" w:bidi="ar-SA"/>
        </w:rPr>
        <w:t>配合</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2C1ED59E">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 加强应急运输响应。</w:t>
      </w:r>
      <w:r>
        <w:rPr>
          <w:rFonts w:hint="default" w:ascii="Times New Roman" w:hAnsi="Times New Roman" w:eastAsia="仿宋_GB2312" w:cs="Times New Roman"/>
          <w:b w:val="0"/>
          <w:bCs w:val="0"/>
          <w:color w:val="auto"/>
          <w:kern w:val="2"/>
          <w:sz w:val="32"/>
          <w:szCs w:val="32"/>
          <w:highlight w:val="none"/>
          <w:lang w:val="en-US" w:eastAsia="zh-CN" w:bidi="ar-SA"/>
        </w:rPr>
        <w:t>强化重污染天气运输环节源头管控，督促指导</w:t>
      </w:r>
      <w:r>
        <w:rPr>
          <w:rFonts w:hint="default" w:ascii="Times New Roman" w:hAnsi="Times New Roman" w:eastAsia="仿宋_GB2312" w:cs="Times New Roman"/>
          <w:b w:val="0"/>
          <w:bCs w:val="0"/>
          <w:color w:val="auto"/>
          <w:kern w:val="2"/>
          <w:sz w:val="32"/>
          <w:szCs w:val="32"/>
          <w:highlight w:val="none"/>
          <w:u w:val="none"/>
          <w:lang w:val="en-US" w:eastAsia="zh-CN" w:bidi="ar-SA"/>
        </w:rPr>
        <w:t>钢铁、建材、煤炭、化工、砂石骨料</w:t>
      </w:r>
      <w:r>
        <w:rPr>
          <w:rFonts w:hint="default" w:ascii="Times New Roman" w:hAnsi="Times New Roman" w:eastAsia="仿宋_GB2312" w:cs="Times New Roman"/>
          <w:b w:val="0"/>
          <w:bCs w:val="0"/>
          <w:color w:val="auto"/>
          <w:kern w:val="2"/>
          <w:sz w:val="32"/>
          <w:szCs w:val="32"/>
          <w:highlight w:val="none"/>
          <w:lang w:val="en-US" w:eastAsia="zh-CN" w:bidi="ar-SA"/>
        </w:rPr>
        <w:t>等涉及大宗物料运输的重点用车企业实施应急运输响应，制定应急运输响应方案，合理安排运力，提前做好生产物资储备，重污染天气橙色及以上预警期间，减少或停止货物公路运输及非道路移动机械使用。相关部门通过厂区门禁系统数据和视频监控等方式，监督重点企业应急运输响应执行情况。（市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沁阳分局负责</w:t>
      </w:r>
      <w:r>
        <w:rPr>
          <w:rFonts w:hint="default" w:ascii="Times New Roman" w:hAnsi="Times New Roman" w:eastAsia="仿宋_GB2312" w:cs="Times New Roman"/>
          <w:b w:val="0"/>
          <w:bCs w:val="0"/>
          <w:color w:val="auto"/>
          <w:kern w:val="2"/>
          <w:sz w:val="32"/>
          <w:szCs w:val="32"/>
          <w:highlight w:val="none"/>
          <w:lang w:val="en-US" w:eastAsia="zh-CN" w:bidi="ar-SA"/>
        </w:rPr>
        <w:t>，市交通局等</w:t>
      </w:r>
      <w:r>
        <w:rPr>
          <w:rFonts w:hint="eastAsia" w:ascii="Times New Roman" w:hAnsi="Times New Roman" w:eastAsia="仿宋_GB2312" w:cs="Times New Roman"/>
          <w:b w:val="0"/>
          <w:bCs w:val="0"/>
          <w:color w:val="auto"/>
          <w:kern w:val="2"/>
          <w:sz w:val="32"/>
          <w:szCs w:val="32"/>
          <w:highlight w:val="none"/>
          <w:lang w:val="en-US" w:eastAsia="zh-CN" w:bidi="ar-SA"/>
        </w:rPr>
        <w:t>配合</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123039BF">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color w:val="auto"/>
          <w:highlight w:val="none"/>
          <w:lang w:val="en-US" w:eastAsia="zh-CN"/>
        </w:rPr>
      </w:pPr>
      <w:r>
        <w:rPr>
          <w:rFonts w:hint="eastAsia" w:ascii="Times New Roman" w:hAnsi="Times New Roman" w:eastAsia="仿宋_GB2312" w:cs="Times New Roman"/>
          <w:b/>
          <w:bCs/>
          <w:color w:val="auto"/>
          <w:kern w:val="2"/>
          <w:sz w:val="32"/>
          <w:szCs w:val="32"/>
          <w:highlight w:val="none"/>
          <w:lang w:val="en-US" w:eastAsia="zh-CN" w:bidi="ar-SA"/>
        </w:rPr>
        <w:t>4</w:t>
      </w:r>
      <w:r>
        <w:rPr>
          <w:rFonts w:hint="default" w:ascii="Times New Roman" w:hAnsi="Times New Roman" w:eastAsia="仿宋_GB2312" w:cs="Times New Roman"/>
          <w:b/>
          <w:bCs/>
          <w:color w:val="auto"/>
          <w:kern w:val="2"/>
          <w:sz w:val="32"/>
          <w:szCs w:val="32"/>
          <w:highlight w:val="none"/>
          <w:lang w:val="en-US" w:eastAsia="zh-CN" w:bidi="ar-SA"/>
        </w:rPr>
        <w:t>. 加强秸秆综合利用和禁烧</w:t>
      </w:r>
      <w:bookmarkEnd w:id="20"/>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2024、2025年，全市秸秆综合利用率达到95%以上完善网格化监管体系，综合运用视频监控等技术手段强化日常监管，落实秸秆禁烧目标责任考核和奖惩制度，严格执行问责约谈、经济处罚、行政处罚等措施。（市农业农村局</w:t>
      </w:r>
      <w:r>
        <w:rPr>
          <w:rFonts w:hint="eastAsia" w:ascii="Times New Roman" w:hAnsi="Times New Roman" w:eastAsia="仿宋_GB2312" w:cs="Times New Roman"/>
          <w:b w:val="0"/>
          <w:bCs w:val="0"/>
          <w:color w:val="auto"/>
          <w:kern w:val="2"/>
          <w:sz w:val="32"/>
          <w:szCs w:val="32"/>
          <w:highlight w:val="none"/>
          <w:lang w:val="en-US" w:eastAsia="zh-CN" w:bidi="ar-SA"/>
        </w:rPr>
        <w:t>负责</w:t>
      </w:r>
      <w:r>
        <w:rPr>
          <w:rFonts w:hint="default" w:ascii="Times New Roman" w:hAnsi="Times New Roman" w:eastAsia="仿宋_GB2312" w:cs="Times New Roman"/>
          <w:b w:val="0"/>
          <w:bCs w:val="0"/>
          <w:color w:val="auto"/>
          <w:kern w:val="2"/>
          <w:sz w:val="32"/>
          <w:szCs w:val="32"/>
          <w:highlight w:val="none"/>
          <w:lang w:val="en-US" w:eastAsia="zh-CN" w:bidi="ar-SA"/>
        </w:rPr>
        <w:t>，市财政局〔国资委〕、自然资源</w:t>
      </w:r>
      <w:r>
        <w:rPr>
          <w:rFonts w:hint="eastAsia" w:ascii="Times New Roman" w:hAnsi="Times New Roman" w:eastAsia="仿宋_GB2312" w:cs="Times New Roman"/>
          <w:b w:val="0"/>
          <w:bCs w:val="0"/>
          <w:color w:val="auto"/>
          <w:kern w:val="2"/>
          <w:sz w:val="32"/>
          <w:szCs w:val="32"/>
          <w:highlight w:val="none"/>
          <w:lang w:val="en-US" w:eastAsia="zh-CN" w:bidi="ar-SA"/>
        </w:rPr>
        <w:t>和规划局、</w:t>
      </w:r>
      <w:r>
        <w:rPr>
          <w:rFonts w:hint="default" w:ascii="Times New Roman" w:hAnsi="Times New Roman" w:eastAsia="仿宋_GB2312" w:cs="Times New Roman"/>
          <w:b w:val="0"/>
          <w:bCs w:val="0"/>
          <w:color w:val="auto"/>
          <w:kern w:val="2"/>
          <w:sz w:val="32"/>
          <w:szCs w:val="32"/>
          <w:highlight w:val="none"/>
          <w:lang w:val="en-US" w:eastAsia="zh-CN" w:bidi="ar-SA"/>
        </w:rPr>
        <w:t>生态环境局</w:t>
      </w:r>
      <w:r>
        <w:rPr>
          <w:rFonts w:hint="eastAsia" w:ascii="Times New Roman" w:hAnsi="Times New Roman" w:eastAsia="仿宋_GB2312" w:cs="Times New Roman"/>
          <w:b w:val="0"/>
          <w:bCs w:val="0"/>
          <w:color w:val="auto"/>
          <w:kern w:val="2"/>
          <w:sz w:val="32"/>
          <w:szCs w:val="32"/>
          <w:highlight w:val="none"/>
          <w:lang w:val="en-US" w:eastAsia="zh-CN" w:bidi="ar-SA"/>
        </w:rPr>
        <w:t>沁阳分局</w:t>
      </w:r>
      <w:r>
        <w:rPr>
          <w:rFonts w:hint="default" w:ascii="Times New Roman" w:hAnsi="Times New Roman" w:eastAsia="仿宋_GB2312" w:cs="Times New Roman"/>
          <w:b w:val="0"/>
          <w:bCs w:val="0"/>
          <w:color w:val="auto"/>
          <w:kern w:val="2"/>
          <w:sz w:val="32"/>
          <w:szCs w:val="32"/>
          <w:highlight w:val="none"/>
          <w:lang w:val="en-US" w:eastAsia="zh-CN" w:bidi="ar-SA"/>
        </w:rPr>
        <w:t>参与）</w:t>
      </w:r>
    </w:p>
    <w:p w14:paraId="08016A91">
      <w:pPr>
        <w:pStyle w:val="2"/>
        <w:keepNext w:val="0"/>
        <w:keepLines w:val="0"/>
        <w:pageBreakBefore w:val="0"/>
        <w:widowControl w:val="0"/>
        <w:kinsoku/>
        <w:wordWrap/>
        <w:overflowPunct/>
        <w:topLinePunct/>
        <w:autoSpaceDE/>
        <w:autoSpaceDN/>
        <w:bidi w:val="0"/>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FFFFFF"/>
        </w:rPr>
      </w:pPr>
      <w:bookmarkStart w:id="22" w:name="_Toc114408662"/>
      <w:r>
        <w:rPr>
          <w:rFonts w:hint="eastAsia" w:ascii="Times New Roman" w:hAnsi="Times New Roman" w:eastAsia="仿宋_GB2312" w:cs="Times New Roman"/>
          <w:b/>
          <w:bCs/>
          <w:color w:val="auto"/>
          <w:kern w:val="2"/>
          <w:sz w:val="32"/>
          <w:szCs w:val="32"/>
          <w:highlight w:val="none"/>
          <w:lang w:val="en-US" w:eastAsia="zh-CN" w:bidi="ar-SA"/>
        </w:rPr>
        <w:t>5</w:t>
      </w:r>
      <w:r>
        <w:rPr>
          <w:rFonts w:hint="default" w:ascii="Times New Roman" w:hAnsi="Times New Roman" w:eastAsia="仿宋_GB2312" w:cs="Times New Roman"/>
          <w:b/>
          <w:bCs/>
          <w:color w:val="auto"/>
          <w:kern w:val="2"/>
          <w:sz w:val="32"/>
          <w:szCs w:val="32"/>
          <w:highlight w:val="none"/>
          <w:lang w:val="en-US" w:eastAsia="zh-CN" w:bidi="ar-SA"/>
        </w:rPr>
        <w:t xml:space="preserve">. </w:t>
      </w:r>
      <w:bookmarkEnd w:id="22"/>
      <w:bookmarkStart w:id="23" w:name="_Toc114408674"/>
      <w:r>
        <w:rPr>
          <w:rFonts w:hint="default" w:ascii="Times New Roman" w:hAnsi="Times New Roman" w:eastAsia="仿宋_GB2312" w:cs="Times New Roman"/>
          <w:b/>
          <w:bCs/>
          <w:color w:val="auto"/>
          <w:sz w:val="32"/>
          <w:szCs w:val="32"/>
          <w:highlight w:val="none"/>
          <w:shd w:val="clear" w:color="auto" w:fill="FFFFFF"/>
        </w:rPr>
        <w:t>加强高值热点管理</w:t>
      </w:r>
      <w:r>
        <w:rPr>
          <w:rFonts w:hint="default" w:ascii="Times New Roman" w:hAnsi="Times New Roman" w:cs="Times New Roman"/>
          <w:b/>
          <w:bCs/>
          <w:color w:val="auto"/>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shd w:val="clear" w:color="auto" w:fill="FFFFFF"/>
        </w:rPr>
        <w:t>严格落实空气质量监测数据高值热点管理机制，建立高值热点管理清单，实行分级精细化管理，构建全链条“发现交办、整改反馈、复核督办、约谈问责”的闭环管理体系。加强无人机等多种技术手段应用，提升高值热点预报预警和污染溯源能力。（</w:t>
      </w:r>
      <w:r>
        <w:rPr>
          <w:rFonts w:hint="default" w:ascii="Times New Roman" w:hAnsi="Times New Roman" w:eastAsia="仿宋_GB2312" w:cs="Times New Roman"/>
          <w:b w:val="0"/>
          <w:bCs w:val="0"/>
          <w:color w:val="auto"/>
          <w:sz w:val="32"/>
          <w:szCs w:val="32"/>
          <w:highlight w:val="none"/>
          <w:shd w:val="clear" w:color="auto" w:fill="FFFFFF"/>
          <w:lang w:eastAsia="zh-CN"/>
        </w:rPr>
        <w:t>市</w:t>
      </w:r>
      <w:r>
        <w:rPr>
          <w:rFonts w:hint="default" w:ascii="Times New Roman" w:hAnsi="Times New Roman" w:eastAsia="仿宋_GB2312" w:cs="Times New Roman"/>
          <w:b w:val="0"/>
          <w:bCs w:val="0"/>
          <w:color w:val="auto"/>
          <w:sz w:val="32"/>
          <w:szCs w:val="32"/>
          <w:highlight w:val="none"/>
          <w:shd w:val="clear" w:color="auto" w:fill="FFFFFF"/>
        </w:rPr>
        <w:t>生态环境</w:t>
      </w:r>
      <w:r>
        <w:rPr>
          <w:rFonts w:hint="default" w:ascii="Times New Roman" w:hAnsi="Times New Roman" w:eastAsia="仿宋_GB2312" w:cs="Times New Roman"/>
          <w:b w:val="0"/>
          <w:bCs w:val="0"/>
          <w:color w:val="auto"/>
          <w:sz w:val="32"/>
          <w:szCs w:val="32"/>
          <w:highlight w:val="none"/>
          <w:shd w:val="clear" w:color="auto" w:fill="FFFFFF"/>
          <w:lang w:eastAsia="zh-CN"/>
        </w:rPr>
        <w:t>局</w:t>
      </w:r>
      <w:r>
        <w:rPr>
          <w:rFonts w:hint="eastAsia" w:ascii="Times New Roman" w:hAnsi="Times New Roman" w:eastAsia="仿宋_GB2312" w:cs="Times New Roman"/>
          <w:b w:val="0"/>
          <w:bCs w:val="0"/>
          <w:color w:val="auto"/>
          <w:sz w:val="32"/>
          <w:szCs w:val="32"/>
          <w:highlight w:val="none"/>
          <w:shd w:val="clear" w:color="auto" w:fill="FFFFFF"/>
          <w:lang w:eastAsia="zh-CN"/>
        </w:rPr>
        <w:t>沁阳分局负责</w:t>
      </w:r>
      <w:r>
        <w:rPr>
          <w:rFonts w:hint="default" w:ascii="Times New Roman" w:hAnsi="Times New Roman" w:eastAsia="仿宋_GB2312" w:cs="Times New Roman"/>
          <w:b w:val="0"/>
          <w:bCs w:val="0"/>
          <w:color w:val="auto"/>
          <w:sz w:val="32"/>
          <w:szCs w:val="32"/>
          <w:highlight w:val="none"/>
          <w:shd w:val="clear" w:color="auto" w:fill="FFFFFF"/>
        </w:rPr>
        <w:t>）</w:t>
      </w:r>
    </w:p>
    <w:bookmarkEnd w:id="9"/>
    <w:bookmarkEnd w:id="23"/>
    <w:p w14:paraId="1124BB64">
      <w:pPr>
        <w:pStyle w:val="3"/>
        <w:keepNext w:val="0"/>
        <w:keepLines w:val="0"/>
        <w:pageBreakBefore w:val="0"/>
        <w:widowControl w:val="0"/>
        <w:kinsoku/>
        <w:wordWrap/>
        <w:overflowPunct/>
        <w:topLinePunct/>
        <w:autoSpaceDE/>
        <w:autoSpaceDN/>
        <w:bidi w:val="0"/>
        <w:snapToGrid/>
        <w:spacing w:before="0" w:after="0" w:line="560" w:lineRule="exact"/>
        <w:ind w:firstLine="640" w:firstLineChars="200"/>
        <w:jc w:val="both"/>
        <w:textAlignment w:val="auto"/>
        <w:outlineLvl w:val="0"/>
        <w:rPr>
          <w:rFonts w:hint="default" w:ascii="Times New Roman" w:hAnsi="Times New Roman" w:eastAsia="黑体" w:cs="Times New Roman"/>
          <w:b w:val="0"/>
          <w:bCs w:val="0"/>
          <w:color w:val="auto"/>
          <w:sz w:val="32"/>
          <w:szCs w:val="32"/>
          <w:highlight w:val="none"/>
        </w:rPr>
      </w:pPr>
      <w:bookmarkStart w:id="24" w:name="_Toc114408675"/>
      <w:r>
        <w:rPr>
          <w:rFonts w:hint="default"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rPr>
        <w:t>保障措施</w:t>
      </w:r>
      <w:bookmarkEnd w:id="24"/>
      <w:bookmarkStart w:id="25" w:name="_Toc114408676"/>
    </w:p>
    <w:p w14:paraId="6A77B5F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0"/>
        <w:rPr>
          <w:rFonts w:hint="default" w:ascii="Times New Roman" w:hAnsi="Times New Roman"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（一）加强组织领导。</w:t>
      </w:r>
      <w:r>
        <w:rPr>
          <w:rFonts w:hint="default" w:ascii="Times New Roman" w:hAnsi="Times New Roman" w:eastAsia="仿宋_GB2312" w:cs="Times New Roman"/>
          <w:b w:val="0"/>
          <w:bCs w:val="0"/>
          <w:color w:val="auto"/>
          <w:kern w:val="2"/>
          <w:sz w:val="32"/>
          <w:szCs w:val="32"/>
          <w:highlight w:val="none"/>
          <w:lang w:val="en-US" w:eastAsia="zh-CN" w:bidi="ar-SA"/>
        </w:rPr>
        <w:t>各</w:t>
      </w:r>
      <w:r>
        <w:rPr>
          <w:rFonts w:hint="eastAsia" w:cs="Times New Roman"/>
          <w:b w:val="0"/>
          <w:bCs w:val="0"/>
          <w:color w:val="auto"/>
          <w:kern w:val="2"/>
          <w:sz w:val="32"/>
          <w:szCs w:val="32"/>
          <w:highlight w:val="none"/>
          <w:lang w:val="en-US" w:eastAsia="zh-CN" w:bidi="ar-SA"/>
        </w:rPr>
        <w:t>乡（镇）街道办</w:t>
      </w:r>
      <w:r>
        <w:rPr>
          <w:rFonts w:hint="default" w:ascii="Times New Roman" w:hAnsi="Times New Roman" w:eastAsia="仿宋_GB2312" w:cs="Times New Roman"/>
          <w:b w:val="0"/>
          <w:bCs w:val="0"/>
          <w:color w:val="auto"/>
          <w:kern w:val="2"/>
          <w:sz w:val="32"/>
          <w:szCs w:val="32"/>
          <w:highlight w:val="none"/>
          <w:lang w:val="en-US" w:eastAsia="zh-CN" w:bidi="ar-SA"/>
        </w:rPr>
        <w:t>、市直有关部门要依据职责分工，制定符合实际、详尽具体的实施方案</w:t>
      </w:r>
      <w:r>
        <w:rPr>
          <w:rFonts w:hint="default" w:ascii="Times New Roman" w:hAnsi="Times New Roman" w:eastAsia="仿宋_GB2312" w:cs="Times New Roman"/>
          <w:color w:val="auto"/>
          <w:kern w:val="2"/>
          <w:sz w:val="32"/>
          <w:szCs w:val="32"/>
          <w:highlight w:val="none"/>
        </w:rPr>
        <w:t>，确保各项任务和措施落到实处。</w:t>
      </w:r>
      <w:r>
        <w:rPr>
          <w:rFonts w:hint="default" w:ascii="Times New Roman" w:hAnsi="Times New Roman" w:eastAsia="仿宋_GB2312" w:cs="Times New Roman"/>
          <w:b w:val="0"/>
          <w:bCs w:val="0"/>
          <w:color w:val="auto"/>
          <w:kern w:val="2"/>
          <w:sz w:val="32"/>
          <w:szCs w:val="32"/>
          <w:highlight w:val="none"/>
          <w:lang w:val="en-US" w:eastAsia="zh-CN" w:bidi="ar-SA"/>
        </w:rPr>
        <w:t>各</w:t>
      </w:r>
      <w:r>
        <w:rPr>
          <w:rFonts w:hint="eastAsia" w:cs="Times New Roman"/>
          <w:b w:val="0"/>
          <w:bCs w:val="0"/>
          <w:color w:val="auto"/>
          <w:kern w:val="2"/>
          <w:sz w:val="32"/>
          <w:szCs w:val="32"/>
          <w:highlight w:val="none"/>
          <w:lang w:val="en-US" w:eastAsia="zh-CN" w:bidi="ar-SA"/>
        </w:rPr>
        <w:t>乡（镇）街道办</w:t>
      </w:r>
      <w:r>
        <w:rPr>
          <w:rFonts w:hint="default" w:ascii="Times New Roman" w:hAnsi="Times New Roman" w:eastAsia="仿宋_GB2312" w:cs="Times New Roman"/>
          <w:b w:val="0"/>
          <w:bCs w:val="0"/>
          <w:color w:val="auto"/>
          <w:kern w:val="2"/>
          <w:sz w:val="32"/>
          <w:szCs w:val="32"/>
          <w:highlight w:val="none"/>
          <w:lang w:val="en-US" w:eastAsia="zh-CN" w:bidi="ar-SA"/>
        </w:rPr>
        <w:t>要对本</w:t>
      </w:r>
      <w:r>
        <w:rPr>
          <w:rFonts w:hint="eastAsia" w:cs="Times New Roman"/>
          <w:b w:val="0"/>
          <w:bCs w:val="0"/>
          <w:color w:val="auto"/>
          <w:kern w:val="2"/>
          <w:sz w:val="32"/>
          <w:szCs w:val="32"/>
          <w:highlight w:val="none"/>
          <w:lang w:val="en-US" w:eastAsia="zh-CN" w:bidi="ar-SA"/>
        </w:rPr>
        <w:t>辖区</w:t>
      </w:r>
      <w:r>
        <w:rPr>
          <w:rFonts w:hint="default" w:ascii="Times New Roman" w:hAnsi="Times New Roman" w:eastAsia="仿宋_GB2312" w:cs="Times New Roman"/>
          <w:b w:val="0"/>
          <w:bCs w:val="0"/>
          <w:color w:val="auto"/>
          <w:kern w:val="2"/>
          <w:sz w:val="32"/>
          <w:szCs w:val="32"/>
          <w:highlight w:val="none"/>
          <w:lang w:val="en-US" w:eastAsia="zh-CN" w:bidi="ar-SA"/>
        </w:rPr>
        <w:t>空气质量负总责；各有关部门要认真履行监管责任，及时出台相关政策，加强统筹协调，发改部门负责实施煤炭消费总量控制行动，</w:t>
      </w:r>
      <w:r>
        <w:rPr>
          <w:rFonts w:hint="eastAsia" w:cs="Times New Roman"/>
          <w:b w:val="0"/>
          <w:bCs w:val="0"/>
          <w:color w:val="auto"/>
          <w:kern w:val="2"/>
          <w:sz w:val="32"/>
          <w:szCs w:val="32"/>
          <w:highlight w:val="none"/>
          <w:lang w:val="en-US" w:eastAsia="zh-CN" w:bidi="ar-SA"/>
        </w:rPr>
        <w:t>工信</w:t>
      </w:r>
      <w:r>
        <w:rPr>
          <w:rFonts w:hint="default" w:ascii="Times New Roman" w:hAnsi="Times New Roman" w:eastAsia="仿宋_GB2312" w:cs="Times New Roman"/>
          <w:b w:val="0"/>
          <w:bCs w:val="0"/>
          <w:color w:val="auto"/>
          <w:kern w:val="2"/>
          <w:sz w:val="32"/>
          <w:szCs w:val="32"/>
          <w:highlight w:val="none"/>
          <w:lang w:val="en-US" w:eastAsia="zh-CN" w:bidi="ar-SA"/>
        </w:rPr>
        <w:t>部门负责实施落后产能淘汰退出行动，交通部门负责实施交通运输清洁行动，生态环境部门负责实施重点行业超低排放改造行动，住建</w:t>
      </w:r>
      <w:r>
        <w:rPr>
          <w:rFonts w:hint="eastAsia" w:cs="Times New Roman"/>
          <w:b w:val="0"/>
          <w:bCs w:val="0"/>
          <w:color w:val="auto"/>
          <w:kern w:val="2"/>
          <w:sz w:val="32"/>
          <w:szCs w:val="32"/>
          <w:highlight w:val="none"/>
          <w:lang w:val="en-US" w:eastAsia="zh-CN" w:bidi="ar-SA"/>
        </w:rPr>
        <w:t>、城管等</w:t>
      </w:r>
      <w:r>
        <w:rPr>
          <w:rFonts w:hint="default" w:ascii="Times New Roman" w:hAnsi="Times New Roman" w:eastAsia="仿宋_GB2312" w:cs="Times New Roman"/>
          <w:b w:val="0"/>
          <w:bCs w:val="0"/>
          <w:color w:val="auto"/>
          <w:kern w:val="2"/>
          <w:sz w:val="32"/>
          <w:szCs w:val="32"/>
          <w:highlight w:val="none"/>
          <w:lang w:val="en-US" w:eastAsia="zh-CN" w:bidi="ar-SA"/>
        </w:rPr>
        <w:t>部门负责实施扬尘面源污染综合防治行动，推动各项措施落地见效。各有关企业、单位要抢抓机遇、积极主动，依法履行治污主体责任，</w:t>
      </w:r>
      <w:r>
        <w:rPr>
          <w:rFonts w:hint="default" w:ascii="Times New Roman" w:hAnsi="Times New Roman" w:cs="Times New Roman"/>
          <w:b w:val="0"/>
          <w:bCs w:val="0"/>
          <w:color w:val="auto"/>
          <w:kern w:val="2"/>
          <w:sz w:val="32"/>
          <w:szCs w:val="32"/>
          <w:highlight w:val="none"/>
          <w:lang w:val="en-US" w:eastAsia="zh-CN" w:bidi="ar-SA"/>
        </w:rPr>
        <w:t>强化建设项目安全评估、培训，在确保安全生产的前提下，高标准、高要求推进各项环保设施项目建设，</w:t>
      </w:r>
      <w:r>
        <w:rPr>
          <w:rFonts w:hint="default" w:ascii="Times New Roman" w:hAnsi="Times New Roman" w:eastAsia="仿宋_GB2312" w:cs="Times New Roman"/>
          <w:b w:val="0"/>
          <w:bCs w:val="0"/>
          <w:color w:val="auto"/>
          <w:kern w:val="2"/>
          <w:sz w:val="32"/>
          <w:szCs w:val="32"/>
          <w:highlight w:val="none"/>
          <w:lang w:val="en-US" w:eastAsia="zh-CN" w:bidi="ar-SA"/>
        </w:rPr>
        <w:t>确保治理到位、排放达标、管控及时。</w:t>
      </w:r>
      <w:r>
        <w:rPr>
          <w:rFonts w:hint="default" w:ascii="Times New Roman" w:hAnsi="Times New Roman" w:cs="Times New Roman"/>
          <w:b w:val="0"/>
          <w:bCs w:val="0"/>
          <w:color w:val="auto"/>
          <w:kern w:val="2"/>
          <w:sz w:val="32"/>
          <w:szCs w:val="32"/>
          <w:highlight w:val="none"/>
          <w:lang w:val="en-US" w:eastAsia="zh-CN" w:bidi="ar-SA"/>
        </w:rPr>
        <w:t>各</w:t>
      </w:r>
      <w:r>
        <w:rPr>
          <w:rFonts w:hint="eastAsia" w:ascii="Times New Roman" w:hAnsi="Times New Roman" w:cs="Times New Roman"/>
          <w:b w:val="0"/>
          <w:bCs w:val="0"/>
          <w:color w:val="auto"/>
          <w:kern w:val="2"/>
          <w:sz w:val="32"/>
          <w:szCs w:val="32"/>
          <w:highlight w:val="none"/>
          <w:lang w:val="en-US" w:eastAsia="zh-CN" w:bidi="ar-SA"/>
        </w:rPr>
        <w:t>乡（镇）街道办</w:t>
      </w:r>
      <w:r>
        <w:rPr>
          <w:rFonts w:hint="default" w:ascii="Times New Roman" w:hAnsi="Times New Roman" w:cs="Times New Roman"/>
          <w:b w:val="0"/>
          <w:bCs w:val="0"/>
          <w:color w:val="auto"/>
          <w:kern w:val="2"/>
          <w:sz w:val="32"/>
          <w:szCs w:val="32"/>
          <w:highlight w:val="none"/>
          <w:lang w:val="en-US" w:eastAsia="zh-CN" w:bidi="ar-SA"/>
        </w:rPr>
        <w:t>、各成员单位要于202</w:t>
      </w:r>
      <w:r>
        <w:rPr>
          <w:rFonts w:hint="eastAsia" w:ascii="Times New Roman" w:hAnsi="Times New Roman" w:cs="Times New Roman"/>
          <w:b w:val="0"/>
          <w:bCs w:val="0"/>
          <w:color w:val="auto"/>
          <w:kern w:val="2"/>
          <w:sz w:val="32"/>
          <w:szCs w:val="32"/>
          <w:highlight w:val="none"/>
          <w:lang w:val="en-US" w:eastAsia="zh-CN" w:bidi="ar-SA"/>
        </w:rPr>
        <w:t>4</w:t>
      </w:r>
      <w:r>
        <w:rPr>
          <w:rFonts w:hint="default" w:ascii="Times New Roman" w:hAnsi="Times New Roman" w:cs="Times New Roman"/>
          <w:b w:val="0"/>
          <w:bCs w:val="0"/>
          <w:color w:val="auto"/>
          <w:kern w:val="2"/>
          <w:sz w:val="32"/>
          <w:szCs w:val="32"/>
          <w:highlight w:val="none"/>
          <w:lang w:val="en-US" w:eastAsia="zh-CN" w:bidi="ar-SA"/>
        </w:rPr>
        <w:t>年</w:t>
      </w:r>
      <w:r>
        <w:rPr>
          <w:rFonts w:hint="eastAsia" w:ascii="Times New Roman" w:hAnsi="Times New Roman" w:cs="Times New Roman"/>
          <w:b w:val="0"/>
          <w:bCs w:val="0"/>
          <w:color w:val="auto"/>
          <w:kern w:val="2"/>
          <w:sz w:val="32"/>
          <w:szCs w:val="32"/>
          <w:highlight w:val="none"/>
          <w:lang w:val="en-US" w:eastAsia="zh-CN" w:bidi="ar-SA"/>
        </w:rPr>
        <w:t>9</w:t>
      </w:r>
      <w:r>
        <w:rPr>
          <w:rFonts w:hint="default" w:ascii="Times New Roman" w:hAnsi="Times New Roman" w:cs="Times New Roman"/>
          <w:b w:val="0"/>
          <w:bCs w:val="0"/>
          <w:color w:val="auto"/>
          <w:kern w:val="2"/>
          <w:sz w:val="32"/>
          <w:szCs w:val="32"/>
          <w:highlight w:val="none"/>
          <w:lang w:val="en-US" w:eastAsia="zh-CN" w:bidi="ar-SA"/>
        </w:rPr>
        <w:t>月</w:t>
      </w:r>
      <w:r>
        <w:rPr>
          <w:rFonts w:hint="eastAsia" w:ascii="Times New Roman" w:hAnsi="Times New Roman" w:cs="Times New Roman"/>
          <w:b w:val="0"/>
          <w:bCs w:val="0"/>
          <w:color w:val="auto"/>
          <w:kern w:val="2"/>
          <w:sz w:val="32"/>
          <w:szCs w:val="32"/>
          <w:highlight w:val="none"/>
          <w:lang w:val="en-US" w:eastAsia="zh-CN" w:bidi="ar-SA"/>
        </w:rPr>
        <w:t>底</w:t>
      </w:r>
      <w:r>
        <w:rPr>
          <w:rFonts w:hint="default" w:ascii="Times New Roman" w:hAnsi="Times New Roman" w:cs="Times New Roman"/>
          <w:b w:val="0"/>
          <w:bCs w:val="0"/>
          <w:color w:val="auto"/>
          <w:kern w:val="2"/>
          <w:sz w:val="32"/>
          <w:szCs w:val="32"/>
          <w:highlight w:val="none"/>
          <w:lang w:val="en-US" w:eastAsia="zh-CN" w:bidi="ar-SA"/>
        </w:rPr>
        <w:t>前将具体实施方案报市</w:t>
      </w:r>
      <w:r>
        <w:rPr>
          <w:rFonts w:hint="eastAsia" w:ascii="Times New Roman" w:hAnsi="Times New Roman" w:cs="Times New Roman"/>
          <w:b w:val="0"/>
          <w:bCs w:val="0"/>
          <w:color w:val="auto"/>
          <w:kern w:val="2"/>
          <w:sz w:val="32"/>
          <w:szCs w:val="32"/>
          <w:highlight w:val="none"/>
          <w:lang w:val="en-US" w:eastAsia="zh-CN" w:bidi="ar-SA"/>
        </w:rPr>
        <w:t>环境</w:t>
      </w:r>
      <w:r>
        <w:rPr>
          <w:rFonts w:hint="default" w:ascii="Times New Roman" w:hAnsi="Times New Roman" w:cs="Times New Roman"/>
          <w:b w:val="0"/>
          <w:bCs w:val="0"/>
          <w:color w:val="auto"/>
          <w:kern w:val="2"/>
          <w:sz w:val="32"/>
          <w:szCs w:val="32"/>
          <w:highlight w:val="none"/>
          <w:lang w:val="en-US" w:eastAsia="zh-CN" w:bidi="ar-SA"/>
        </w:rPr>
        <w:t>攻坚办备案。</w:t>
      </w:r>
    </w:p>
    <w:p w14:paraId="761C585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（二）</w:t>
      </w:r>
      <w:r>
        <w:rPr>
          <w:rFonts w:hint="default" w:ascii="Times New Roman" w:hAnsi="Times New Roman" w:eastAsia="楷体_GB2312" w:cs="Times New Roman"/>
          <w:color w:val="auto"/>
          <w:kern w:val="2"/>
          <w:sz w:val="32"/>
          <w:szCs w:val="32"/>
          <w:highlight w:val="none"/>
          <w:lang w:val="en-US" w:eastAsia="zh-CN" w:bidi="ar-SA"/>
        </w:rPr>
        <w:t>强化政策激励。</w:t>
      </w:r>
      <w:r>
        <w:rPr>
          <w:rFonts w:hint="default" w:ascii="Times New Roman" w:hAnsi="Times New Roman" w:eastAsia="仿宋_GB2312" w:cs="Times New Roman"/>
          <w:color w:val="auto"/>
          <w:kern w:val="2"/>
          <w:sz w:val="32"/>
          <w:szCs w:val="32"/>
          <w:highlight w:val="none"/>
          <w:lang w:val="en-US" w:eastAsia="zh-CN" w:bidi="ar-SA"/>
        </w:rPr>
        <w:t>综合运用调度通报、经济奖罚、公开约谈、联合执法、追责问责等多种手段，督促各级各部门落实属地责任。持续推进差别化电价水价、环保信用评价、绿色金融信贷支持等制度，激励企业践行绿色低碳发展。</w:t>
      </w:r>
      <w:r>
        <w:rPr>
          <w:rFonts w:hint="default" w:ascii="Times New Roman" w:hAnsi="Times New Roman" w:cs="Times New Roman"/>
          <w:color w:val="auto"/>
          <w:kern w:val="2"/>
          <w:sz w:val="32"/>
          <w:szCs w:val="32"/>
          <w:highlight w:val="none"/>
          <w:lang w:val="en-US" w:eastAsia="zh-CN" w:bidi="ar-SA"/>
        </w:rPr>
        <w:t>统筹</w:t>
      </w:r>
      <w:r>
        <w:rPr>
          <w:rFonts w:hint="default" w:ascii="Times New Roman" w:hAnsi="Times New Roman" w:eastAsia="仿宋_GB2312" w:cs="Times New Roman"/>
          <w:color w:val="auto"/>
          <w:kern w:val="2"/>
          <w:sz w:val="32"/>
          <w:szCs w:val="32"/>
          <w:highlight w:val="none"/>
          <w:lang w:val="en-US" w:eastAsia="zh-CN" w:bidi="ar-SA"/>
        </w:rPr>
        <w:t>财政资金，重点支持工业企业深度治理、限制类装备退出、散煤清洁替代、移动源污染治理、VOCs治理以及执法监察、监测监控等基础能力建设提升。</w:t>
      </w:r>
    </w:p>
    <w:p w14:paraId="60D498CB">
      <w:pPr>
        <w:pStyle w:val="3"/>
        <w:keepNext w:val="0"/>
        <w:keepLines w:val="0"/>
        <w:pageBreakBefore w:val="0"/>
        <w:widowControl w:val="0"/>
        <w:kinsoku/>
        <w:wordWrap/>
        <w:overflowPunct/>
        <w:topLinePunct/>
        <w:autoSpaceDE/>
        <w:autoSpaceDN/>
        <w:bidi w:val="0"/>
        <w:snapToGrid/>
        <w:spacing w:before="0" w:beforeAutospacing="0" w:after="0" w:afterAutospacing="0" w:line="560" w:lineRule="exact"/>
        <w:ind w:firstLine="640"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u w:val="none"/>
        </w:rPr>
      </w:pPr>
      <w:r>
        <w:rPr>
          <w:rFonts w:hint="default" w:ascii="Times New Roman" w:hAnsi="Times New Roman" w:eastAsia="楷体_GB2312" w:cs="Times New Roman"/>
          <w:b w:val="0"/>
          <w:bCs w:val="0"/>
          <w:color w:val="auto"/>
          <w:kern w:val="2"/>
          <w:sz w:val="32"/>
          <w:szCs w:val="32"/>
          <w:highlight w:val="none"/>
          <w:lang w:val="en-US" w:eastAsia="zh-CN" w:bidi="ar-SA"/>
        </w:rPr>
        <w:t>（三）严格督导考核。</w:t>
      </w:r>
      <w:r>
        <w:rPr>
          <w:rFonts w:hint="default" w:ascii="Times New Roman" w:hAnsi="Times New Roman" w:eastAsia="仿宋_GB2312" w:cs="Times New Roman"/>
          <w:b w:val="0"/>
          <w:bCs w:val="0"/>
          <w:snapToGrid w:val="0"/>
          <w:color w:val="auto"/>
          <w:sz w:val="32"/>
          <w:szCs w:val="32"/>
          <w:highlight w:val="none"/>
          <w:u w:val="none"/>
        </w:rPr>
        <w:t>建立例会制度，定期召开工作例会，研究解决工作中存在的问题。建立通报制度，</w:t>
      </w:r>
      <w:r>
        <w:rPr>
          <w:rFonts w:hint="default" w:ascii="Times New Roman" w:hAnsi="Times New Roman" w:eastAsia="仿宋_GB2312" w:cs="Times New Roman"/>
          <w:b w:val="0"/>
          <w:bCs w:val="0"/>
          <w:snapToGrid w:val="0"/>
          <w:color w:val="auto"/>
          <w:sz w:val="32"/>
          <w:szCs w:val="32"/>
          <w:highlight w:val="none"/>
          <w:u w:val="none"/>
          <w:lang w:eastAsia="zh-CN"/>
        </w:rPr>
        <w:t>实行“</w:t>
      </w:r>
      <w:r>
        <w:rPr>
          <w:rFonts w:hint="eastAsia" w:eastAsia="仿宋_GB2312" w:cs="Times New Roman"/>
          <w:b w:val="0"/>
          <w:bCs w:val="0"/>
          <w:snapToGrid w:val="0"/>
          <w:color w:val="auto"/>
          <w:sz w:val="32"/>
          <w:szCs w:val="32"/>
          <w:highlight w:val="none"/>
          <w:u w:val="none"/>
          <w:lang w:eastAsia="zh-CN"/>
        </w:rPr>
        <w:t>一</w:t>
      </w:r>
      <w:r>
        <w:rPr>
          <w:rFonts w:hint="default" w:ascii="Times New Roman" w:hAnsi="Times New Roman" w:eastAsia="仿宋_GB2312" w:cs="Times New Roman"/>
          <w:b w:val="0"/>
          <w:bCs w:val="0"/>
          <w:snapToGrid w:val="0"/>
          <w:color w:val="auto"/>
          <w:sz w:val="32"/>
          <w:szCs w:val="32"/>
          <w:highlight w:val="none"/>
          <w:u w:val="none"/>
          <w:lang w:eastAsia="zh-CN"/>
        </w:rPr>
        <w:t>周一调度、一</w:t>
      </w:r>
      <w:r>
        <w:rPr>
          <w:rFonts w:hint="eastAsia" w:eastAsia="仿宋_GB2312" w:cs="Times New Roman"/>
          <w:b w:val="0"/>
          <w:bCs w:val="0"/>
          <w:snapToGrid w:val="0"/>
          <w:color w:val="auto"/>
          <w:sz w:val="32"/>
          <w:szCs w:val="32"/>
          <w:highlight w:val="none"/>
          <w:u w:val="none"/>
          <w:lang w:eastAsia="zh-CN"/>
        </w:rPr>
        <w:t>周</w:t>
      </w:r>
      <w:r>
        <w:rPr>
          <w:rFonts w:hint="default" w:ascii="Times New Roman" w:hAnsi="Times New Roman" w:eastAsia="仿宋_GB2312" w:cs="Times New Roman"/>
          <w:b w:val="0"/>
          <w:bCs w:val="0"/>
          <w:snapToGrid w:val="0"/>
          <w:color w:val="auto"/>
          <w:sz w:val="32"/>
          <w:szCs w:val="32"/>
          <w:highlight w:val="none"/>
          <w:u w:val="none"/>
          <w:lang w:eastAsia="zh-CN"/>
        </w:rPr>
        <w:t>一通报”，</w:t>
      </w:r>
      <w:r>
        <w:rPr>
          <w:rFonts w:hint="default" w:ascii="Times New Roman" w:hAnsi="Times New Roman" w:eastAsia="仿宋_GB2312" w:cs="Times New Roman"/>
          <w:b w:val="0"/>
          <w:bCs w:val="0"/>
          <w:color w:val="auto"/>
          <w:kern w:val="2"/>
          <w:sz w:val="32"/>
          <w:szCs w:val="32"/>
          <w:highlight w:val="none"/>
          <w:lang w:val="en-US" w:eastAsia="zh-CN" w:bidi="ar-SA"/>
        </w:rPr>
        <w:t>各</w:t>
      </w:r>
      <w:r>
        <w:rPr>
          <w:rFonts w:hint="eastAsia" w:ascii="Times New Roman" w:hAnsi="Times New Roman" w:eastAsia="仿宋_GB2312" w:cs="Times New Roman"/>
          <w:b w:val="0"/>
          <w:bCs w:val="0"/>
          <w:snapToGrid w:val="0"/>
          <w:color w:val="auto"/>
          <w:sz w:val="32"/>
          <w:szCs w:val="32"/>
          <w:highlight w:val="none"/>
          <w:u w:val="none"/>
          <w:lang w:val="en-US" w:eastAsia="zh-CN"/>
        </w:rPr>
        <w:t>乡（镇）街道办</w:t>
      </w:r>
      <w:r>
        <w:rPr>
          <w:rFonts w:hint="default" w:ascii="Times New Roman" w:hAnsi="Times New Roman" w:eastAsia="仿宋_GB2312" w:cs="Times New Roman"/>
          <w:b w:val="0"/>
          <w:bCs w:val="0"/>
          <w:snapToGrid w:val="0"/>
          <w:color w:val="auto"/>
          <w:sz w:val="32"/>
          <w:szCs w:val="32"/>
          <w:highlight w:val="none"/>
          <w:u w:val="none"/>
          <w:lang w:eastAsia="zh-CN"/>
        </w:rPr>
        <w:t>、各有关部门</w:t>
      </w:r>
      <w:r>
        <w:rPr>
          <w:rFonts w:hint="default" w:ascii="Times New Roman" w:hAnsi="Times New Roman" w:eastAsia="仿宋_GB2312" w:cs="Times New Roman"/>
          <w:b w:val="0"/>
          <w:bCs w:val="0"/>
          <w:snapToGrid w:val="0"/>
          <w:color w:val="auto"/>
          <w:sz w:val="32"/>
          <w:szCs w:val="32"/>
          <w:highlight w:val="none"/>
          <w:u w:val="none"/>
        </w:rPr>
        <w:t>定期向市</w:t>
      </w:r>
      <w:r>
        <w:rPr>
          <w:rFonts w:hint="eastAsia" w:eastAsia="仿宋_GB2312" w:cs="Times New Roman"/>
          <w:b w:val="0"/>
          <w:bCs w:val="0"/>
          <w:snapToGrid w:val="0"/>
          <w:color w:val="auto"/>
          <w:sz w:val="32"/>
          <w:szCs w:val="32"/>
          <w:highlight w:val="none"/>
          <w:u w:val="none"/>
          <w:lang w:eastAsia="zh-CN"/>
        </w:rPr>
        <w:t>环境</w:t>
      </w:r>
      <w:r>
        <w:rPr>
          <w:rFonts w:hint="default" w:ascii="Times New Roman" w:hAnsi="Times New Roman" w:eastAsia="仿宋_GB2312" w:cs="Times New Roman"/>
          <w:b w:val="0"/>
          <w:bCs w:val="0"/>
          <w:snapToGrid w:val="0"/>
          <w:color w:val="auto"/>
          <w:sz w:val="32"/>
          <w:szCs w:val="32"/>
          <w:highlight w:val="none"/>
          <w:u w:val="none"/>
          <w:lang w:eastAsia="zh-CN"/>
        </w:rPr>
        <w:t>攻坚办</w:t>
      </w:r>
      <w:r>
        <w:rPr>
          <w:rFonts w:hint="default" w:ascii="Times New Roman" w:hAnsi="Times New Roman" w:eastAsia="仿宋_GB2312" w:cs="Times New Roman"/>
          <w:b w:val="0"/>
          <w:bCs w:val="0"/>
          <w:snapToGrid w:val="0"/>
          <w:color w:val="auto"/>
          <w:sz w:val="32"/>
          <w:szCs w:val="32"/>
          <w:highlight w:val="none"/>
          <w:u w:val="none"/>
        </w:rPr>
        <w:t>报送工作开展情况，市</w:t>
      </w:r>
      <w:r>
        <w:rPr>
          <w:rFonts w:hint="eastAsia" w:eastAsia="仿宋_GB2312" w:cs="Times New Roman"/>
          <w:b w:val="0"/>
          <w:bCs w:val="0"/>
          <w:snapToGrid w:val="0"/>
          <w:color w:val="auto"/>
          <w:sz w:val="32"/>
          <w:szCs w:val="32"/>
          <w:highlight w:val="none"/>
          <w:u w:val="none"/>
          <w:lang w:eastAsia="zh-CN"/>
        </w:rPr>
        <w:t>环境</w:t>
      </w:r>
      <w:r>
        <w:rPr>
          <w:rFonts w:hint="default" w:ascii="Times New Roman" w:hAnsi="Times New Roman" w:eastAsia="仿宋_GB2312" w:cs="Times New Roman"/>
          <w:b w:val="0"/>
          <w:bCs w:val="0"/>
          <w:snapToGrid w:val="0"/>
          <w:color w:val="auto"/>
          <w:sz w:val="32"/>
          <w:szCs w:val="32"/>
          <w:highlight w:val="none"/>
          <w:u w:val="none"/>
          <w:lang w:eastAsia="zh-CN"/>
        </w:rPr>
        <w:t>攻坚办</w:t>
      </w:r>
      <w:r>
        <w:rPr>
          <w:rFonts w:hint="default" w:ascii="Times New Roman" w:hAnsi="Times New Roman" w:eastAsia="仿宋_GB2312" w:cs="Times New Roman"/>
          <w:b w:val="0"/>
          <w:bCs w:val="0"/>
          <w:snapToGrid w:val="0"/>
          <w:color w:val="auto"/>
          <w:sz w:val="32"/>
          <w:szCs w:val="32"/>
          <w:highlight w:val="none"/>
          <w:u w:val="none"/>
        </w:rPr>
        <w:t>定期通报各单位工作情况。建立考核制度，市</w:t>
      </w:r>
      <w:r>
        <w:rPr>
          <w:rFonts w:hint="eastAsia" w:eastAsia="仿宋_GB2312" w:cs="Times New Roman"/>
          <w:b w:val="0"/>
          <w:bCs w:val="0"/>
          <w:snapToGrid w:val="0"/>
          <w:color w:val="auto"/>
          <w:sz w:val="32"/>
          <w:szCs w:val="32"/>
          <w:highlight w:val="none"/>
          <w:u w:val="none"/>
          <w:lang w:eastAsia="zh-CN"/>
        </w:rPr>
        <w:t>环境</w:t>
      </w:r>
      <w:r>
        <w:rPr>
          <w:rFonts w:hint="default" w:ascii="Times New Roman" w:hAnsi="Times New Roman" w:eastAsia="仿宋_GB2312" w:cs="Times New Roman"/>
          <w:b w:val="0"/>
          <w:bCs w:val="0"/>
          <w:snapToGrid w:val="0"/>
          <w:color w:val="auto"/>
          <w:sz w:val="32"/>
          <w:szCs w:val="32"/>
          <w:highlight w:val="none"/>
          <w:u w:val="none"/>
          <w:lang w:eastAsia="zh-CN"/>
        </w:rPr>
        <w:t>攻坚办修订完善年度考核办法，</w:t>
      </w:r>
      <w:r>
        <w:rPr>
          <w:rFonts w:hint="default" w:ascii="Times New Roman" w:hAnsi="Times New Roman" w:eastAsia="仿宋_GB2312" w:cs="Times New Roman"/>
          <w:b w:val="0"/>
          <w:bCs w:val="0"/>
          <w:snapToGrid w:val="0"/>
          <w:color w:val="auto"/>
          <w:sz w:val="32"/>
          <w:szCs w:val="32"/>
          <w:highlight w:val="none"/>
          <w:u w:val="none"/>
          <w:lang w:val="en-US" w:eastAsia="zh-CN"/>
        </w:rPr>
        <w:t>对工作成绩突出、成效显著，完成目标任务的单位和个人按照国家有关规定给予表彰；对工作落实不力、环境问题突出、空气质量未得到有效改善的予以通报批评、公开约谈。各</w:t>
      </w:r>
      <w:r>
        <w:rPr>
          <w:rFonts w:hint="eastAsia" w:ascii="Times New Roman" w:hAnsi="Times New Roman" w:eastAsia="仿宋_GB2312" w:cs="Times New Roman"/>
          <w:b w:val="0"/>
          <w:bCs w:val="0"/>
          <w:snapToGrid w:val="0"/>
          <w:color w:val="auto"/>
          <w:sz w:val="32"/>
          <w:szCs w:val="32"/>
          <w:highlight w:val="none"/>
          <w:u w:val="none"/>
          <w:lang w:val="en-US" w:eastAsia="zh-CN"/>
        </w:rPr>
        <w:t>乡（镇）街道办</w:t>
      </w:r>
      <w:r>
        <w:rPr>
          <w:rFonts w:hint="default" w:ascii="Times New Roman" w:hAnsi="Times New Roman" w:eastAsia="仿宋_GB2312" w:cs="Times New Roman"/>
          <w:b w:val="0"/>
          <w:bCs w:val="0"/>
          <w:snapToGrid w:val="0"/>
          <w:color w:val="auto"/>
          <w:sz w:val="32"/>
          <w:szCs w:val="32"/>
          <w:highlight w:val="none"/>
          <w:u w:val="none"/>
          <w:lang w:val="en-US" w:eastAsia="zh-CN"/>
        </w:rPr>
        <w:t>、各有关部门要加强研究、总结经验，建立健全</w:t>
      </w:r>
      <w:r>
        <w:rPr>
          <w:rFonts w:hint="default" w:ascii="Times New Roman" w:hAnsi="Times New Roman" w:eastAsia="仿宋_GB2312" w:cs="Times New Roman"/>
          <w:b w:val="0"/>
          <w:bCs w:val="0"/>
          <w:snapToGrid w:val="0"/>
          <w:color w:val="auto"/>
          <w:sz w:val="32"/>
          <w:szCs w:val="32"/>
          <w:highlight w:val="none"/>
          <w:u w:val="none"/>
        </w:rPr>
        <w:t>长效管理机制，进一步提高管理水平。</w:t>
      </w:r>
    </w:p>
    <w:p w14:paraId="506197D6">
      <w:pPr>
        <w:keepNext w:val="0"/>
        <w:keepLines w:val="0"/>
        <w:pageBreakBefore w:val="0"/>
        <w:widowControl w:val="0"/>
        <w:kinsoku/>
        <w:wordWrap/>
        <w:overflowPunct/>
        <w:topLinePunct/>
        <w:autoSpaceDE/>
        <w:autoSpaceDN/>
        <w:bidi w:val="0"/>
        <w:snapToGrid/>
        <w:spacing w:beforeAutospacing="0" w:afterAutospacing="0" w:line="560" w:lineRule="exact"/>
        <w:ind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对国家、省、市环保督导组发现的环境问题，</w:t>
      </w:r>
      <w:r>
        <w:rPr>
          <w:rFonts w:hint="eastAsia" w:cs="Times New Roman"/>
          <w:b w:val="0"/>
          <w:bCs w:val="0"/>
          <w:color w:val="auto"/>
          <w:kern w:val="2"/>
          <w:sz w:val="32"/>
          <w:szCs w:val="32"/>
          <w:highlight w:val="none"/>
          <w:lang w:val="en-US" w:eastAsia="zh-CN" w:bidi="ar-SA"/>
        </w:rPr>
        <w:t>焦作市将</w:t>
      </w:r>
      <w:r>
        <w:rPr>
          <w:rFonts w:hint="default" w:ascii="Times New Roman" w:hAnsi="Times New Roman" w:eastAsia="仿宋_GB2312" w:cs="Times New Roman"/>
          <w:b w:val="0"/>
          <w:bCs w:val="0"/>
          <w:color w:val="auto"/>
          <w:kern w:val="2"/>
          <w:sz w:val="32"/>
          <w:szCs w:val="32"/>
          <w:highlight w:val="none"/>
          <w:lang w:val="en-US" w:eastAsia="zh-CN" w:bidi="ar-SA"/>
        </w:rPr>
        <w:t>实施财力扣缴</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其中，对10吨及以下燃煤锅炉，发现一起扣缴当地财政10万元；对建筑、拆迁、市政等施工工地未落实“六个百分之百”扬尘污染防治措施的，发现一起扣缴当地财政10万元（对同一工地检查发现多项控尘措施不到位的予以叠加扣缴）；对应停产或限产但未落实停产措施或限产不到位的工业企业，发现一起扣缴当地财政10万元；辖区内使用无资质建筑垃圾运输车辆（黑渣土车）进行建筑垃圾运输的，发现一起扣缴当地财政10万元；发现露天焚烧生活垃圾、枯枝落叶和杂草等行为的，发现一起扣缴当地财政5万元；禁燃禁放范围内发现烟花爆竹销售、燃放行为的，发现一起扣缴当地财政5万元；工业企业堆场未采取防扬尘措施的，发现一起扣缴当地财政1万元；对高污染燃料禁燃区内发现露天烧烤、使用高污染燃料、销售散煤的，发现一起扣缴当地财政1万元；城市建成区范围内餐饮门店未完成清洁能源改造或油烟净化器未正常运行的，发现一起扣缴当地财政1万元；对其他未列入上述问题的大气环境问题，发现一起扣缴当地财政1万元</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以上被扣缴金额由相关责任单位承担。</w:t>
      </w:r>
    </w:p>
    <w:p w14:paraId="6B4076D4">
      <w:pPr>
        <w:pStyle w:val="16"/>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（四）</w:t>
      </w:r>
      <w:r>
        <w:rPr>
          <w:rFonts w:hint="default" w:ascii="Times New Roman" w:hAnsi="Times New Roman" w:eastAsia="楷体_GB2312" w:cs="Times New Roman"/>
          <w:color w:val="auto"/>
          <w:kern w:val="2"/>
          <w:sz w:val="32"/>
          <w:szCs w:val="32"/>
          <w:highlight w:val="none"/>
          <w:lang w:val="en-US" w:eastAsia="zh-CN" w:bidi="ar-SA"/>
        </w:rPr>
        <w:t>加强执法帮扶。</w:t>
      </w:r>
      <w:r>
        <w:rPr>
          <w:rFonts w:hint="default" w:ascii="Times New Roman" w:hAnsi="Times New Roman" w:eastAsia="仿宋_GB2312" w:cs="Times New Roman"/>
          <w:color w:val="auto"/>
          <w:kern w:val="2"/>
          <w:sz w:val="32"/>
          <w:szCs w:val="32"/>
          <w:highlight w:val="none"/>
          <w:lang w:val="en-US" w:eastAsia="zh-CN" w:bidi="ar-SA"/>
        </w:rPr>
        <w:t>围绕目标、任务和措施，开展环境监督执法，在锅炉和炉窑综合治理、煤炭质量、柴油车（机）、油品质量、含VOCs产品质量等领域实施多部门联合执法，严厉打击环境违法行为。开展专项执法行动，加大VOCs原辅材料质量达标监管力度，曝光不合格产品并追溯其生产、销售、进口、使用企业，依法追究责任；完善移动源多部门联合路检路查监管模式和工作机制，将移动源纳入地方污染源日常监督执法内容，依法依规查处机动车超标上路行驶、冒黑烟等行为。开展精准监督帮扶，定期组织开展技术帮扶和政策解读培训，指导解决工作中的具体困难和实际问题，帮助企业纾困解难。</w:t>
      </w:r>
    </w:p>
    <w:p w14:paraId="1CA90E5C">
      <w:pPr>
        <w:pStyle w:val="16"/>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（五）</w:t>
      </w:r>
      <w:r>
        <w:rPr>
          <w:rFonts w:hint="default" w:ascii="Times New Roman" w:hAnsi="Times New Roman" w:eastAsia="楷体_GB2312" w:cs="Times New Roman"/>
          <w:color w:val="auto"/>
          <w:kern w:val="2"/>
          <w:sz w:val="32"/>
          <w:szCs w:val="32"/>
          <w:highlight w:val="none"/>
          <w:lang w:val="en-US" w:eastAsia="zh-CN" w:bidi="ar-SA"/>
        </w:rPr>
        <w:t>加强宣传引导。</w:t>
      </w:r>
      <w:r>
        <w:rPr>
          <w:rFonts w:hint="default" w:ascii="Times New Roman" w:hAnsi="Times New Roman" w:eastAsia="仿宋_GB2312" w:cs="Times New Roman"/>
          <w:color w:val="auto"/>
          <w:kern w:val="2"/>
          <w:sz w:val="32"/>
          <w:szCs w:val="32"/>
          <w:highlight w:val="none"/>
          <w:lang w:val="en-US" w:eastAsia="zh-CN" w:bidi="ar-SA"/>
        </w:rPr>
        <w:t>加强与中央、省、市内主要媒体及新媒体的联系沟通，健全生态环境新闻发布机制，及时公布环境执法、重污染天气应急等信息，倡导全社会“同呼吸共奋斗”。健全公众监督、举报奖励及处理反馈机制，保护举报人的合法权益，大力激发公众参与大气环境保护的积极性主动性，凝聚深入打好秋冬季重污染天气消除、夏季臭氧污染防治和柴油货车污染治理攻坚战的合力。</w:t>
      </w:r>
    </w:p>
    <w:bookmarkEnd w:id="25"/>
    <w:p w14:paraId="3CFA4524">
      <w:pPr>
        <w:keepNext w:val="0"/>
        <w:keepLines w:val="0"/>
        <w:pageBreakBefore w:val="0"/>
        <w:kinsoku/>
        <w:wordWrap/>
        <w:overflowPunct/>
        <w:autoSpaceDE/>
        <w:autoSpaceDN/>
        <w:bidi w:val="0"/>
        <w:spacing w:line="560" w:lineRule="exact"/>
        <w:rPr>
          <w:rFonts w:hint="default" w:ascii="Times New Roman" w:hAnsi="Times New Roman" w:eastAsia="黑体" w:cs="Times New Roman"/>
          <w:color w:val="auto"/>
          <w:highlight w:val="none"/>
          <w:lang w:eastAsia="zh-CN"/>
        </w:rPr>
      </w:pPr>
    </w:p>
    <w:p w14:paraId="17BAF1CA">
      <w:pPr>
        <w:keepNext w:val="0"/>
        <w:keepLines w:val="0"/>
        <w:pageBreakBefore w:val="0"/>
        <w:kinsoku/>
        <w:wordWrap/>
        <w:overflowPunct/>
        <w:autoSpaceDE/>
        <w:autoSpaceDN/>
        <w:bidi w:val="0"/>
        <w:spacing w:line="560" w:lineRule="exact"/>
        <w:ind w:left="1600" w:leftChars="200" w:hanging="960" w:hangingChars="3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附件：1.沁阳</w:t>
      </w:r>
      <w:r>
        <w:rPr>
          <w:rFonts w:hint="default" w:ascii="Times New Roman" w:hAnsi="Times New Roman" w:eastAsia="仿宋_GB2312" w:cs="Times New Roman"/>
          <w:color w:val="auto"/>
          <w:kern w:val="2"/>
          <w:sz w:val="32"/>
          <w:szCs w:val="32"/>
          <w:highlight w:val="none"/>
          <w:lang w:val="en-US" w:eastAsia="zh-CN" w:bidi="ar-SA"/>
        </w:rPr>
        <w:t>市202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—2025年平原地区城乡燃气管网铺设任务表</w:t>
      </w:r>
    </w:p>
    <w:p w14:paraId="5A16F252">
      <w:pPr>
        <w:keepNext w:val="0"/>
        <w:keepLines w:val="0"/>
        <w:pageBreakBefore w:val="0"/>
        <w:numPr>
          <w:ilvl w:val="0"/>
          <w:numId w:val="0"/>
        </w:numPr>
        <w:kinsoku/>
        <w:wordWrap/>
        <w:overflowPunct/>
        <w:autoSpaceDE/>
        <w:autoSpaceDN/>
        <w:bidi w:val="0"/>
        <w:spacing w:line="560" w:lineRule="exact"/>
        <w:ind w:left="1600" w:leftChars="500" w:firstLine="0" w:firstLineChars="0"/>
        <w:rPr>
          <w:rFonts w:hint="default" w:ascii="Times New Roman" w:hAnsi="Times New Roman" w:eastAsia="仿宋_GB2312"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沁阳</w:t>
      </w:r>
      <w:r>
        <w:rPr>
          <w:rFonts w:hint="default" w:ascii="Times New Roman" w:hAnsi="Times New Roman" w:eastAsia="仿宋_GB2312" w:cs="Times New Roman"/>
          <w:color w:val="auto"/>
          <w:kern w:val="2"/>
          <w:sz w:val="32"/>
          <w:szCs w:val="32"/>
          <w:highlight w:val="none"/>
          <w:lang w:val="en-US" w:eastAsia="zh-CN" w:bidi="ar-SA"/>
        </w:rPr>
        <w:t>市202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—2025年平原地区城乡燃气入户任务表</w:t>
      </w:r>
    </w:p>
    <w:p w14:paraId="55AB3483">
      <w:pPr>
        <w:keepNext w:val="0"/>
        <w:keepLines w:val="0"/>
        <w:pageBreakBefore w:val="0"/>
        <w:numPr>
          <w:ilvl w:val="0"/>
          <w:numId w:val="0"/>
        </w:numPr>
        <w:kinsoku/>
        <w:wordWrap/>
        <w:overflowPunct/>
        <w:autoSpaceDE/>
        <w:autoSpaceDN/>
        <w:bidi w:val="0"/>
        <w:spacing w:line="560" w:lineRule="exact"/>
        <w:ind w:leftChars="-100" w:firstLine="1920" w:firstLineChars="600"/>
        <w:rPr>
          <w:rFonts w:hint="default" w:ascii="Times New Roman" w:hAnsi="Times New Roman" w:eastAsia="黑体" w:cs="Times New Roman"/>
          <w:color w:val="auto"/>
          <w:highlight w:val="none"/>
          <w:lang w:eastAsia="zh-CN"/>
        </w:rPr>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eastAsia="仿宋_GB2312" w:cs="Times New Roman"/>
          <w:color w:val="auto"/>
          <w:kern w:val="2"/>
          <w:sz w:val="32"/>
          <w:szCs w:val="32"/>
          <w:highlight w:val="none"/>
          <w:lang w:val="en-US" w:eastAsia="zh-CN" w:bidi="ar-SA"/>
        </w:rPr>
        <w:t>3.沁阳</w:t>
      </w:r>
      <w:r>
        <w:rPr>
          <w:rFonts w:hint="default" w:ascii="Times New Roman" w:hAnsi="Times New Roman" w:eastAsia="仿宋_GB2312" w:cs="Times New Roman"/>
          <w:color w:val="auto"/>
          <w:kern w:val="2"/>
          <w:sz w:val="32"/>
          <w:szCs w:val="32"/>
          <w:highlight w:val="none"/>
          <w:lang w:val="en-US" w:eastAsia="zh-CN" w:bidi="ar-SA"/>
        </w:rPr>
        <w:t>市2023—2025年集中供热覆盖率任务表</w:t>
      </w:r>
      <w:r>
        <w:rPr>
          <w:rFonts w:hint="default" w:ascii="Times New Roman" w:hAnsi="Times New Roman" w:eastAsia="黑体" w:cs="Times New Roman"/>
          <w:color w:val="auto"/>
          <w:highlight w:val="none"/>
          <w:lang w:eastAsia="zh-CN"/>
        </w:rPr>
        <w:br w:type="page"/>
      </w:r>
    </w:p>
    <w:p w14:paraId="12CDD3F1">
      <w:pPr>
        <w:pStyle w:val="5"/>
        <w:keepNext w:val="0"/>
        <w:keepLines w:val="0"/>
        <w:pageBreakBefore w:val="0"/>
        <w:kinsoku/>
        <w:wordWrap/>
        <w:overflowPunct/>
        <w:autoSpaceDE/>
        <w:autoSpaceDN/>
        <w:bidi w:val="0"/>
        <w:spacing w:line="560" w:lineRule="exact"/>
        <w:ind w:left="0" w:leftChars="0" w:firstLine="0" w:firstLineChars="0"/>
        <w:outlineLvl w:val="0"/>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eastAsia="zh-CN"/>
        </w:rPr>
        <w:t>附件</w:t>
      </w:r>
      <w:r>
        <w:rPr>
          <w:rFonts w:hint="default" w:ascii="Times New Roman" w:hAnsi="Times New Roman" w:eastAsia="黑体" w:cs="Times New Roman"/>
          <w:color w:val="auto"/>
          <w:highlight w:val="none"/>
          <w:lang w:val="en-US" w:eastAsia="zh-CN"/>
        </w:rPr>
        <w:t>1</w:t>
      </w:r>
    </w:p>
    <w:p w14:paraId="0CDE905A">
      <w:pPr>
        <w:pStyle w:val="5"/>
        <w:keepNext w:val="0"/>
        <w:keepLines w:val="0"/>
        <w:pageBreakBefore w:val="0"/>
        <w:kinsoku/>
        <w:wordWrap/>
        <w:overflowPunct/>
        <w:autoSpaceDE/>
        <w:autoSpaceDN/>
        <w:bidi w:val="0"/>
        <w:spacing w:line="560" w:lineRule="exact"/>
        <w:ind w:left="0" w:leftChars="0" w:firstLine="0" w:firstLineChars="0"/>
        <w:outlineLvl w:val="0"/>
        <w:rPr>
          <w:rFonts w:hint="default" w:ascii="Times New Roman" w:hAnsi="Times New Roman" w:eastAsia="黑体" w:cs="Times New Roman"/>
          <w:color w:val="auto"/>
          <w:sz w:val="32"/>
          <w:szCs w:val="32"/>
          <w:highlight w:val="none"/>
          <w:lang w:val="en-US" w:eastAsia="zh-CN"/>
        </w:rPr>
      </w:pPr>
    </w:p>
    <w:p w14:paraId="48A8883E">
      <w:pPr>
        <w:pStyle w:val="5"/>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bookmarkStart w:id="26" w:name="OLE_LINK2"/>
      <w:r>
        <w:rPr>
          <w:rFonts w:hint="eastAsia" w:eastAsia="方正小标宋简体" w:cs="Times New Roman"/>
          <w:color w:val="auto"/>
          <w:kern w:val="2"/>
          <w:sz w:val="44"/>
          <w:szCs w:val="44"/>
          <w:highlight w:val="none"/>
          <w:lang w:eastAsia="zh-CN"/>
        </w:rPr>
        <w:t>沁阳</w:t>
      </w:r>
      <w:r>
        <w:rPr>
          <w:rFonts w:hint="default" w:ascii="Times New Roman" w:hAnsi="Times New Roman" w:eastAsia="方正小标宋简体" w:cs="Times New Roman"/>
          <w:color w:val="auto"/>
          <w:kern w:val="2"/>
          <w:sz w:val="44"/>
          <w:szCs w:val="44"/>
          <w:highlight w:val="none"/>
          <w:lang w:eastAsia="zh-CN"/>
        </w:rPr>
        <w:t>市202</w:t>
      </w:r>
      <w:r>
        <w:rPr>
          <w:rFonts w:hint="eastAsia" w:eastAsia="方正小标宋简体" w:cs="Times New Roman"/>
          <w:color w:val="auto"/>
          <w:kern w:val="2"/>
          <w:sz w:val="44"/>
          <w:szCs w:val="44"/>
          <w:highlight w:val="none"/>
          <w:lang w:val="en-US" w:eastAsia="zh-CN"/>
        </w:rPr>
        <w:t>4</w:t>
      </w:r>
      <w:r>
        <w:rPr>
          <w:rFonts w:hint="default" w:ascii="Times New Roman" w:hAnsi="Times New Roman" w:eastAsia="方正小标宋简体" w:cs="Times New Roman"/>
          <w:color w:val="auto"/>
          <w:kern w:val="2"/>
          <w:sz w:val="44"/>
          <w:szCs w:val="44"/>
          <w:highlight w:val="none"/>
          <w:lang w:eastAsia="zh-CN"/>
        </w:rPr>
        <w:t>—2025年平原地区城乡燃气管网铺设任务表</w:t>
      </w:r>
      <w:bookmarkEnd w:id="26"/>
    </w:p>
    <w:tbl>
      <w:tblPr>
        <w:tblStyle w:val="19"/>
        <w:tblW w:w="11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40"/>
        <w:gridCol w:w="1425"/>
        <w:gridCol w:w="1335"/>
        <w:gridCol w:w="1455"/>
        <w:gridCol w:w="1245"/>
        <w:gridCol w:w="1350"/>
        <w:gridCol w:w="1155"/>
        <w:gridCol w:w="1537"/>
      </w:tblGrid>
      <w:tr w14:paraId="16ED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6" w:type="dxa"/>
            <w:vMerge w:val="restart"/>
            <w:noWrap w:val="0"/>
            <w:vAlign w:val="center"/>
          </w:tcPr>
          <w:p w14:paraId="38DE6D43">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eastAsia="zh-CN"/>
              </w:rPr>
              <w:t>序号</w:t>
            </w:r>
          </w:p>
        </w:tc>
        <w:tc>
          <w:tcPr>
            <w:tcW w:w="1440" w:type="dxa"/>
            <w:vMerge w:val="restart"/>
            <w:noWrap w:val="0"/>
            <w:vAlign w:val="center"/>
          </w:tcPr>
          <w:p w14:paraId="7FBB3AED">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eastAsia="zh-CN"/>
              </w:rPr>
              <w:t>县（市、区）</w:t>
            </w:r>
          </w:p>
        </w:tc>
        <w:tc>
          <w:tcPr>
            <w:tcW w:w="1425" w:type="dxa"/>
            <w:vMerge w:val="restart"/>
            <w:noWrap w:val="0"/>
            <w:vAlign w:val="center"/>
          </w:tcPr>
          <w:p w14:paraId="0BD0459B">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总村庄数（不含山区、岭区）</w:t>
            </w:r>
          </w:p>
        </w:tc>
        <w:tc>
          <w:tcPr>
            <w:tcW w:w="1335" w:type="dxa"/>
            <w:vMerge w:val="restart"/>
            <w:noWrap w:val="0"/>
            <w:vAlign w:val="center"/>
          </w:tcPr>
          <w:p w14:paraId="7DAFADD5">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平原地区燃气管网覆盖村庄数</w:t>
            </w:r>
          </w:p>
        </w:tc>
        <w:tc>
          <w:tcPr>
            <w:tcW w:w="2700" w:type="dxa"/>
            <w:gridSpan w:val="2"/>
            <w:noWrap w:val="0"/>
            <w:vAlign w:val="center"/>
          </w:tcPr>
          <w:p w14:paraId="1301F130">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val="en-US" w:eastAsia="zh-CN"/>
              </w:rPr>
              <w:t>2024年目标</w:t>
            </w:r>
          </w:p>
        </w:tc>
        <w:tc>
          <w:tcPr>
            <w:tcW w:w="4042" w:type="dxa"/>
            <w:gridSpan w:val="3"/>
            <w:noWrap w:val="0"/>
            <w:vAlign w:val="center"/>
          </w:tcPr>
          <w:p w14:paraId="1C8407E2">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val="en-US" w:eastAsia="zh-CN"/>
              </w:rPr>
              <w:t>2025年目标</w:t>
            </w:r>
          </w:p>
        </w:tc>
      </w:tr>
      <w:tr w14:paraId="6446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Merge w:val="continue"/>
            <w:noWrap w:val="0"/>
            <w:vAlign w:val="center"/>
          </w:tcPr>
          <w:p w14:paraId="65E120AE">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p>
        </w:tc>
        <w:tc>
          <w:tcPr>
            <w:tcW w:w="1440" w:type="dxa"/>
            <w:vMerge w:val="continue"/>
            <w:noWrap w:val="0"/>
            <w:vAlign w:val="center"/>
          </w:tcPr>
          <w:p w14:paraId="10534836">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p>
        </w:tc>
        <w:tc>
          <w:tcPr>
            <w:tcW w:w="1425" w:type="dxa"/>
            <w:vMerge w:val="continue"/>
            <w:noWrap w:val="0"/>
            <w:vAlign w:val="center"/>
          </w:tcPr>
          <w:p w14:paraId="2A90AE08">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eastAsia="zh-CN"/>
              </w:rPr>
            </w:pPr>
          </w:p>
        </w:tc>
        <w:tc>
          <w:tcPr>
            <w:tcW w:w="1335" w:type="dxa"/>
            <w:vMerge w:val="continue"/>
            <w:noWrap w:val="0"/>
            <w:vAlign w:val="center"/>
          </w:tcPr>
          <w:p w14:paraId="1488CAAF">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eastAsia="zh-CN"/>
              </w:rPr>
            </w:pPr>
          </w:p>
        </w:tc>
        <w:tc>
          <w:tcPr>
            <w:tcW w:w="1455" w:type="dxa"/>
            <w:noWrap w:val="0"/>
            <w:vAlign w:val="center"/>
          </w:tcPr>
          <w:p w14:paraId="404715C9">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val="en-US" w:eastAsia="zh-CN"/>
              </w:rPr>
              <w:t>新增管网覆盖村庄数</w:t>
            </w:r>
          </w:p>
        </w:tc>
        <w:tc>
          <w:tcPr>
            <w:tcW w:w="1245" w:type="dxa"/>
            <w:noWrap w:val="0"/>
            <w:vAlign w:val="center"/>
          </w:tcPr>
          <w:p w14:paraId="6F308A04">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val="en-US" w:eastAsia="zh-CN"/>
              </w:rPr>
              <w:t>新增燃气入户数</w:t>
            </w:r>
          </w:p>
        </w:tc>
        <w:tc>
          <w:tcPr>
            <w:tcW w:w="1350" w:type="dxa"/>
            <w:noWrap w:val="0"/>
            <w:vAlign w:val="center"/>
          </w:tcPr>
          <w:p w14:paraId="01A73B02">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val="en-US" w:eastAsia="zh-CN"/>
              </w:rPr>
              <w:t>新增管网覆盖村庄数</w:t>
            </w:r>
          </w:p>
        </w:tc>
        <w:tc>
          <w:tcPr>
            <w:tcW w:w="1155" w:type="dxa"/>
            <w:noWrap w:val="0"/>
            <w:vAlign w:val="center"/>
          </w:tcPr>
          <w:p w14:paraId="355E7871">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val="en-US" w:eastAsia="zh-CN"/>
              </w:rPr>
            </w:pPr>
            <w:r>
              <w:rPr>
                <w:rFonts w:hint="default" w:ascii="Times New Roman" w:hAnsi="Times New Roman" w:eastAsia="宋体" w:cs="Times New Roman"/>
                <w:b/>
                <w:bCs/>
                <w:color w:val="auto"/>
                <w:sz w:val="22"/>
                <w:szCs w:val="22"/>
                <w:highlight w:val="none"/>
                <w:vertAlign w:val="baseline"/>
                <w:lang w:val="en-US" w:eastAsia="zh-CN"/>
              </w:rPr>
              <w:t>新增燃气入户数</w:t>
            </w:r>
          </w:p>
        </w:tc>
        <w:tc>
          <w:tcPr>
            <w:tcW w:w="1537" w:type="dxa"/>
            <w:noWrap w:val="0"/>
            <w:vAlign w:val="center"/>
          </w:tcPr>
          <w:p w14:paraId="42748BFC">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宋体" w:cs="Times New Roman"/>
                <w:b/>
                <w:bCs/>
                <w:color w:val="auto"/>
                <w:sz w:val="22"/>
                <w:szCs w:val="22"/>
                <w:highlight w:val="none"/>
                <w:vertAlign w:val="baseline"/>
                <w:lang w:eastAsia="zh-CN"/>
              </w:rPr>
            </w:pPr>
            <w:r>
              <w:rPr>
                <w:rFonts w:hint="default" w:ascii="Times New Roman" w:hAnsi="Times New Roman" w:eastAsia="宋体" w:cs="Times New Roman"/>
                <w:b/>
                <w:bCs/>
                <w:color w:val="auto"/>
                <w:sz w:val="22"/>
                <w:szCs w:val="22"/>
                <w:highlight w:val="none"/>
                <w:vertAlign w:val="baseline"/>
                <w:lang w:eastAsia="zh-CN"/>
              </w:rPr>
              <w:t>平原地区城乡燃气管网到村覆盖率</w:t>
            </w:r>
          </w:p>
        </w:tc>
      </w:tr>
      <w:tr w14:paraId="224E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6" w:type="dxa"/>
            <w:noWrap w:val="0"/>
            <w:vAlign w:val="center"/>
          </w:tcPr>
          <w:p w14:paraId="5706A60C">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eastAsia" w:cs="Times New Roman"/>
                <w:color w:val="auto"/>
                <w:sz w:val="22"/>
                <w:szCs w:val="22"/>
                <w:highlight w:val="none"/>
                <w:lang w:val="en-US" w:eastAsia="zh-CN" w:bidi="ar"/>
              </w:rPr>
              <w:t>1</w:t>
            </w:r>
          </w:p>
        </w:tc>
        <w:tc>
          <w:tcPr>
            <w:tcW w:w="1440" w:type="dxa"/>
            <w:noWrap w:val="0"/>
            <w:vAlign w:val="center"/>
          </w:tcPr>
          <w:p w14:paraId="053DBA98">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eastAsia="宋体" w:cs="Times New Roman"/>
                <w:color w:val="auto"/>
                <w:sz w:val="22"/>
                <w:szCs w:val="22"/>
                <w:highlight w:val="none"/>
                <w:lang w:val="en-US" w:eastAsia="zh-CN" w:bidi="ar"/>
              </w:rPr>
            </w:pPr>
            <w:r>
              <w:rPr>
                <w:rStyle w:val="60"/>
                <w:rFonts w:hint="default" w:ascii="Times New Roman" w:hAnsi="Times New Roman" w:eastAsia="宋体" w:cs="Times New Roman"/>
                <w:color w:val="auto"/>
                <w:sz w:val="22"/>
                <w:szCs w:val="22"/>
                <w:highlight w:val="none"/>
                <w:lang w:val="en-US" w:eastAsia="zh-CN" w:bidi="ar"/>
              </w:rPr>
              <w:t>沁阳市</w:t>
            </w:r>
          </w:p>
        </w:tc>
        <w:tc>
          <w:tcPr>
            <w:tcW w:w="1425" w:type="dxa"/>
            <w:noWrap w:val="0"/>
            <w:vAlign w:val="center"/>
          </w:tcPr>
          <w:p w14:paraId="7704AC15">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default" w:ascii="Times New Roman" w:hAnsi="Times New Roman" w:cs="Times New Roman"/>
                <w:color w:val="auto"/>
                <w:sz w:val="22"/>
                <w:szCs w:val="22"/>
                <w:highlight w:val="none"/>
                <w:lang w:val="en-US" w:eastAsia="zh-CN" w:bidi="ar"/>
              </w:rPr>
              <w:t>255</w:t>
            </w:r>
          </w:p>
        </w:tc>
        <w:tc>
          <w:tcPr>
            <w:tcW w:w="1335" w:type="dxa"/>
            <w:noWrap w:val="0"/>
            <w:vAlign w:val="center"/>
          </w:tcPr>
          <w:p w14:paraId="719E54A1">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eastAsia" w:ascii="Times New Roman" w:hAnsi="Times New Roman" w:cs="Times New Roman"/>
                <w:color w:val="auto"/>
                <w:sz w:val="22"/>
                <w:szCs w:val="22"/>
                <w:highlight w:val="none"/>
                <w:lang w:val="en-US" w:eastAsia="zh-CN" w:bidi="ar"/>
              </w:rPr>
              <w:t>170</w:t>
            </w:r>
          </w:p>
        </w:tc>
        <w:tc>
          <w:tcPr>
            <w:tcW w:w="1455" w:type="dxa"/>
            <w:noWrap w:val="0"/>
            <w:vAlign w:val="center"/>
          </w:tcPr>
          <w:p w14:paraId="2DC10DF6">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eastAsia" w:ascii="Times New Roman" w:hAnsi="Times New Roman" w:cs="Times New Roman"/>
                <w:color w:val="auto"/>
                <w:sz w:val="22"/>
                <w:szCs w:val="22"/>
                <w:highlight w:val="none"/>
                <w:lang w:val="en-US" w:eastAsia="zh-CN" w:bidi="ar"/>
              </w:rPr>
              <w:t>75</w:t>
            </w:r>
          </w:p>
        </w:tc>
        <w:tc>
          <w:tcPr>
            <w:tcW w:w="1245" w:type="dxa"/>
            <w:noWrap w:val="0"/>
            <w:vAlign w:val="center"/>
          </w:tcPr>
          <w:p w14:paraId="19571D6E">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eastAsia" w:ascii="Times New Roman" w:hAnsi="Times New Roman" w:cs="Times New Roman"/>
                <w:color w:val="auto"/>
                <w:sz w:val="22"/>
                <w:szCs w:val="22"/>
                <w:highlight w:val="none"/>
                <w:lang w:val="en-US" w:eastAsia="zh-CN" w:bidi="ar"/>
              </w:rPr>
              <w:t>2000</w:t>
            </w:r>
          </w:p>
        </w:tc>
        <w:tc>
          <w:tcPr>
            <w:tcW w:w="1350" w:type="dxa"/>
            <w:noWrap w:val="0"/>
            <w:vAlign w:val="center"/>
          </w:tcPr>
          <w:p w14:paraId="22697E1D">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eastAsia" w:ascii="Times New Roman" w:hAnsi="Times New Roman" w:cs="Times New Roman"/>
                <w:color w:val="auto"/>
                <w:sz w:val="22"/>
                <w:szCs w:val="22"/>
                <w:highlight w:val="none"/>
                <w:lang w:val="en-US" w:eastAsia="zh-CN" w:bidi="ar"/>
              </w:rPr>
              <w:t>10</w:t>
            </w:r>
          </w:p>
        </w:tc>
        <w:tc>
          <w:tcPr>
            <w:tcW w:w="1155" w:type="dxa"/>
            <w:noWrap w:val="0"/>
            <w:vAlign w:val="center"/>
          </w:tcPr>
          <w:p w14:paraId="3E3CA62A">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eastAsia" w:ascii="Times New Roman" w:hAnsi="Times New Roman" w:cs="Times New Roman"/>
                <w:color w:val="auto"/>
                <w:sz w:val="22"/>
                <w:szCs w:val="22"/>
                <w:highlight w:val="none"/>
                <w:lang w:val="en-US" w:eastAsia="zh-CN" w:bidi="ar"/>
              </w:rPr>
              <w:t>1500</w:t>
            </w:r>
          </w:p>
        </w:tc>
        <w:tc>
          <w:tcPr>
            <w:tcW w:w="1537" w:type="dxa"/>
            <w:noWrap w:val="0"/>
            <w:vAlign w:val="center"/>
          </w:tcPr>
          <w:p w14:paraId="1FBDC84E">
            <w:pPr>
              <w:keepNext w:val="0"/>
              <w:keepLines w:val="0"/>
              <w:pageBreakBefore w:val="0"/>
              <w:widowControl/>
              <w:suppressLineNumbers w:val="0"/>
              <w:kinsoku/>
              <w:wordWrap/>
              <w:overflowPunct/>
              <w:autoSpaceDE/>
              <w:autoSpaceDN/>
              <w:bidi w:val="0"/>
              <w:spacing w:line="560" w:lineRule="exact"/>
              <w:jc w:val="center"/>
              <w:textAlignment w:val="center"/>
              <w:rPr>
                <w:rStyle w:val="60"/>
                <w:rFonts w:hint="default" w:ascii="Times New Roman" w:hAnsi="Times New Roman" w:cs="Times New Roman"/>
                <w:color w:val="auto"/>
                <w:sz w:val="22"/>
                <w:szCs w:val="22"/>
                <w:highlight w:val="none"/>
                <w:lang w:val="en-US" w:eastAsia="zh-CN" w:bidi="ar"/>
              </w:rPr>
            </w:pPr>
            <w:r>
              <w:rPr>
                <w:rStyle w:val="60"/>
                <w:rFonts w:hint="default" w:ascii="Times New Roman" w:hAnsi="Times New Roman" w:cs="Times New Roman"/>
                <w:color w:val="auto"/>
                <w:sz w:val="22"/>
                <w:szCs w:val="22"/>
                <w:highlight w:val="none"/>
                <w:lang w:val="en-US" w:eastAsia="zh-CN" w:bidi="ar"/>
              </w:rPr>
              <w:t>100%</w:t>
            </w:r>
          </w:p>
        </w:tc>
      </w:tr>
    </w:tbl>
    <w:p w14:paraId="518730D3">
      <w:pPr>
        <w:pStyle w:val="5"/>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rPr>
          <w:rFonts w:hint="default" w:ascii="Times New Roman" w:hAnsi="Times New Roman" w:cs="Times New Roman"/>
          <w:color w:val="auto"/>
          <w:highlight w:val="none"/>
        </w:rPr>
      </w:pPr>
    </w:p>
    <w:p w14:paraId="581741DB">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auto"/>
          <w:highlight w:val="none"/>
          <w:lang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22FEF53C">
      <w:pPr>
        <w:pStyle w:val="5"/>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eastAsia="黑体" w:cs="Times New Roman"/>
          <w:color w:val="auto"/>
          <w:sz w:val="32"/>
          <w:szCs w:val="32"/>
          <w:highlight w:val="none"/>
          <w:lang w:val="en-US" w:eastAsia="zh-CN"/>
        </w:rPr>
        <w:t>2</w:t>
      </w:r>
    </w:p>
    <w:p w14:paraId="6D8B2B87">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eastAsia="方正小标宋简体" w:cs="Times New Roman"/>
          <w:color w:val="auto"/>
          <w:sz w:val="44"/>
          <w:szCs w:val="44"/>
          <w:highlight w:val="none"/>
          <w:lang w:val="en-US" w:eastAsia="zh-CN"/>
        </w:rPr>
      </w:pPr>
      <w:bookmarkStart w:id="27" w:name="OLE_LINK3"/>
    </w:p>
    <w:p w14:paraId="0B1518FC">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eastAsia="zh-CN"/>
        </w:rPr>
      </w:pPr>
      <w:r>
        <w:rPr>
          <w:rFonts w:hint="eastAsia" w:eastAsia="方正小标宋简体" w:cs="Times New Roman"/>
          <w:color w:val="auto"/>
          <w:sz w:val="44"/>
          <w:szCs w:val="44"/>
          <w:highlight w:val="none"/>
          <w:lang w:val="en-US" w:eastAsia="zh-CN"/>
        </w:rPr>
        <w:t>沁阳</w:t>
      </w:r>
      <w:r>
        <w:rPr>
          <w:rFonts w:hint="default" w:ascii="Times New Roman" w:hAnsi="Times New Roman" w:eastAsia="方正小标宋简体" w:cs="Times New Roman"/>
          <w:color w:val="auto"/>
          <w:sz w:val="44"/>
          <w:szCs w:val="44"/>
          <w:highlight w:val="none"/>
          <w:lang w:val="en-US" w:eastAsia="zh-CN"/>
        </w:rPr>
        <w:t>市202</w:t>
      </w:r>
      <w:r>
        <w:rPr>
          <w:rFonts w:hint="eastAsia"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lang w:val="en-US" w:eastAsia="zh-CN"/>
        </w:rPr>
        <w:t>—2025年平原地区城乡燃气入户任务表</w:t>
      </w:r>
      <w:bookmarkEnd w:id="27"/>
    </w:p>
    <w:tbl>
      <w:tblPr>
        <w:tblStyle w:val="18"/>
        <w:tblW w:w="13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
        <w:gridCol w:w="1296"/>
        <w:gridCol w:w="1434"/>
        <w:gridCol w:w="1633"/>
        <w:gridCol w:w="1800"/>
        <w:gridCol w:w="1267"/>
        <w:gridCol w:w="1216"/>
        <w:gridCol w:w="1134"/>
        <w:gridCol w:w="1316"/>
        <w:gridCol w:w="1108"/>
      </w:tblGrid>
      <w:tr w14:paraId="3A49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noWrap/>
            <w:vAlign w:val="center"/>
          </w:tcPr>
          <w:p w14:paraId="20616325">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noWrap/>
            <w:vAlign w:val="center"/>
          </w:tcPr>
          <w:p w14:paraId="5B6B0755">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县（市、区）</w:t>
            </w: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16FADF">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村庄总户数</w:t>
            </w:r>
          </w:p>
        </w:tc>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14:paraId="4C23E05A">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kern w:val="0"/>
                <w:sz w:val="22"/>
                <w:szCs w:val="22"/>
                <w:highlight w:val="none"/>
                <w:u w:val="none"/>
                <w:lang w:val="en-US" w:eastAsia="zh-CN" w:bidi="ar"/>
              </w:rPr>
            </w:pPr>
            <w:r>
              <w:rPr>
                <w:rFonts w:hint="default" w:ascii="Times New Roman" w:hAnsi="Times New Roman" w:eastAsia="宋体" w:cs="Times New Roman"/>
                <w:b/>
                <w:i w:val="0"/>
                <w:color w:val="auto"/>
                <w:kern w:val="0"/>
                <w:sz w:val="22"/>
                <w:szCs w:val="22"/>
                <w:highlight w:val="none"/>
                <w:u w:val="none"/>
                <w:lang w:val="en-US" w:eastAsia="zh-CN" w:bidi="ar"/>
              </w:rPr>
              <w:t>已通燃气管网</w:t>
            </w:r>
          </w:p>
          <w:p w14:paraId="788BA03D">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村庄户数</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CADAE9">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未通燃气管网村庄户数</w:t>
            </w: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14:paraId="75BC24A5">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2024年入户情况</w:t>
            </w:r>
          </w:p>
        </w:tc>
        <w:tc>
          <w:tcPr>
            <w:tcW w:w="2424" w:type="dxa"/>
            <w:gridSpan w:val="2"/>
            <w:tcBorders>
              <w:top w:val="single" w:color="000000" w:sz="4" w:space="0"/>
              <w:left w:val="single" w:color="000000" w:sz="4" w:space="0"/>
              <w:bottom w:val="single" w:color="000000" w:sz="4" w:space="0"/>
              <w:right w:val="single" w:color="000000" w:sz="4" w:space="0"/>
            </w:tcBorders>
            <w:noWrap w:val="0"/>
            <w:vAlign w:val="center"/>
          </w:tcPr>
          <w:p w14:paraId="2054B4B5">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2025年入户情况</w:t>
            </w:r>
          </w:p>
        </w:tc>
      </w:tr>
      <w:tr w14:paraId="5819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noWrap/>
            <w:vAlign w:val="center"/>
          </w:tcPr>
          <w:p w14:paraId="4CCB2714">
            <w:pPr>
              <w:keepNext w:val="0"/>
              <w:keepLines w:val="0"/>
              <w:pageBreakBefore w:val="0"/>
              <w:kinsoku/>
              <w:wordWrap/>
              <w:overflowPunct/>
              <w:autoSpaceDE/>
              <w:autoSpaceDN/>
              <w:bidi w:val="0"/>
              <w:spacing w:line="560" w:lineRule="exact"/>
              <w:jc w:val="center"/>
              <w:rPr>
                <w:rFonts w:hint="default" w:ascii="Times New Roman" w:hAnsi="Times New Roman" w:eastAsia="宋体" w:cs="Times New Roman"/>
                <w:b/>
                <w:i w:val="0"/>
                <w:color w:val="auto"/>
                <w:sz w:val="22"/>
                <w:szCs w:val="22"/>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noWrap/>
            <w:vAlign w:val="center"/>
          </w:tcPr>
          <w:p w14:paraId="1E2EDFBD">
            <w:pPr>
              <w:keepNext w:val="0"/>
              <w:keepLines w:val="0"/>
              <w:pageBreakBefore w:val="0"/>
              <w:kinsoku/>
              <w:wordWrap/>
              <w:overflowPunct/>
              <w:autoSpaceDE/>
              <w:autoSpaceDN/>
              <w:bidi w:val="0"/>
              <w:spacing w:line="560" w:lineRule="exact"/>
              <w:jc w:val="center"/>
              <w:rPr>
                <w:rFonts w:hint="default" w:ascii="Times New Roman" w:hAnsi="Times New Roman" w:eastAsia="宋体" w:cs="Times New Roman"/>
                <w:b/>
                <w:i w:val="0"/>
                <w:color w:val="auto"/>
                <w:sz w:val="22"/>
                <w:szCs w:val="22"/>
                <w:highlight w:val="none"/>
                <w:u w:val="none"/>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547AD">
            <w:pPr>
              <w:keepNext w:val="0"/>
              <w:keepLines w:val="0"/>
              <w:pageBreakBefore w:val="0"/>
              <w:kinsoku/>
              <w:wordWrap/>
              <w:overflowPunct/>
              <w:autoSpaceDE/>
              <w:autoSpaceDN/>
              <w:bidi w:val="0"/>
              <w:spacing w:line="560" w:lineRule="exact"/>
              <w:jc w:val="center"/>
              <w:rPr>
                <w:rFonts w:hint="default" w:ascii="Times New Roman" w:hAnsi="Times New Roman" w:eastAsia="宋体" w:cs="Times New Roman"/>
                <w:b/>
                <w:i w:val="0"/>
                <w:color w:val="auto"/>
                <w:sz w:val="22"/>
                <w:szCs w:val="22"/>
                <w:highlight w:val="none"/>
                <w:u w:val="none"/>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CFC904B">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燃气入户户数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9CB832D">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燃气未入户户数</w:t>
            </w: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77A8E">
            <w:pPr>
              <w:keepNext w:val="0"/>
              <w:keepLines w:val="0"/>
              <w:pageBreakBefore w:val="0"/>
              <w:kinsoku/>
              <w:wordWrap/>
              <w:overflowPunct/>
              <w:autoSpaceDE/>
              <w:autoSpaceDN/>
              <w:bidi w:val="0"/>
              <w:spacing w:line="560" w:lineRule="exact"/>
              <w:jc w:val="center"/>
              <w:rPr>
                <w:rFonts w:hint="default" w:ascii="Times New Roman" w:hAnsi="Times New Roman" w:eastAsia="宋体" w:cs="Times New Roman"/>
                <w:b/>
                <w:i w:val="0"/>
                <w:color w:val="auto"/>
                <w:sz w:val="22"/>
                <w:szCs w:val="22"/>
                <w:highlight w:val="none"/>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719E1E0">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新增入户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6D6819">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入户率</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721CF6F">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新增入户</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14:paraId="34566420">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i w:val="0"/>
                <w:color w:val="auto"/>
                <w:sz w:val="22"/>
                <w:szCs w:val="22"/>
                <w:highlight w:val="none"/>
                <w:u w:val="none"/>
              </w:rPr>
            </w:pPr>
            <w:r>
              <w:rPr>
                <w:rFonts w:hint="default" w:ascii="Times New Roman" w:hAnsi="Times New Roman" w:eastAsia="宋体" w:cs="Times New Roman"/>
                <w:b/>
                <w:i w:val="0"/>
                <w:color w:val="auto"/>
                <w:kern w:val="0"/>
                <w:sz w:val="22"/>
                <w:szCs w:val="22"/>
                <w:highlight w:val="none"/>
                <w:u w:val="none"/>
                <w:lang w:val="en-US" w:eastAsia="zh-CN" w:bidi="ar"/>
              </w:rPr>
              <w:t>入户率</w:t>
            </w:r>
          </w:p>
        </w:tc>
      </w:tr>
      <w:tr w14:paraId="207C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07BA9B88">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sz w:val="22"/>
                <w:szCs w:val="22"/>
                <w:highlight w:val="none"/>
                <w:u w:val="none"/>
              </w:rPr>
            </w:pPr>
            <w:r>
              <w:rPr>
                <w:rFonts w:hint="eastAsia" w:eastAsia="宋体" w:cs="Times New Roman"/>
                <w:b w:val="0"/>
                <w:bCs w:val="0"/>
                <w:i w:val="0"/>
                <w:color w:val="auto"/>
                <w:kern w:val="0"/>
                <w:sz w:val="22"/>
                <w:szCs w:val="22"/>
                <w:highlight w:val="none"/>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FCB12E6">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sz w:val="22"/>
                <w:szCs w:val="22"/>
                <w:highlight w:val="none"/>
                <w:u w:val="none"/>
              </w:rPr>
            </w:pPr>
            <w:r>
              <w:rPr>
                <w:rFonts w:hint="default" w:ascii="Times New Roman" w:hAnsi="Times New Roman" w:eastAsia="宋体" w:cs="Times New Roman"/>
                <w:b w:val="0"/>
                <w:bCs w:val="0"/>
                <w:i w:val="0"/>
                <w:color w:val="auto"/>
                <w:kern w:val="0"/>
                <w:sz w:val="22"/>
                <w:szCs w:val="22"/>
                <w:highlight w:val="none"/>
                <w:u w:val="none"/>
                <w:lang w:val="en-US" w:eastAsia="zh-CN" w:bidi="ar"/>
              </w:rPr>
              <w:t>沁阳市</w:t>
            </w:r>
          </w:p>
        </w:tc>
        <w:tc>
          <w:tcPr>
            <w:tcW w:w="1434" w:type="dxa"/>
            <w:tcBorders>
              <w:top w:val="single" w:color="000000" w:sz="4" w:space="0"/>
              <w:left w:val="single" w:color="000000" w:sz="4" w:space="0"/>
              <w:bottom w:val="single" w:color="000000" w:sz="4" w:space="0"/>
              <w:right w:val="single" w:color="000000" w:sz="4" w:space="0"/>
            </w:tcBorders>
            <w:noWrap/>
            <w:vAlign w:val="center"/>
          </w:tcPr>
          <w:p w14:paraId="3519E4E3">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eastAsia" w:ascii="Times New Roman" w:hAnsi="Times New Roman" w:eastAsia="宋体" w:cs="Times New Roman"/>
                <w:b w:val="0"/>
                <w:bCs w:val="0"/>
                <w:i w:val="0"/>
                <w:color w:val="auto"/>
                <w:kern w:val="0"/>
                <w:sz w:val="22"/>
                <w:szCs w:val="22"/>
                <w:highlight w:val="none"/>
                <w:u w:val="none"/>
                <w:lang w:val="en-US" w:eastAsia="zh-CN" w:bidi="ar"/>
              </w:rPr>
              <w:t>80638</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AABB24E">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eastAsia" w:ascii="Times New Roman" w:hAnsi="Times New Roman" w:eastAsia="宋体" w:cs="Times New Roman"/>
                <w:b w:val="0"/>
                <w:bCs w:val="0"/>
                <w:i w:val="0"/>
                <w:color w:val="auto"/>
                <w:kern w:val="0"/>
                <w:sz w:val="22"/>
                <w:szCs w:val="22"/>
                <w:highlight w:val="none"/>
                <w:u w:val="none"/>
                <w:lang w:val="en-US" w:eastAsia="zh-CN" w:bidi="ar"/>
              </w:rPr>
              <w:t>50883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BC4C7DC">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eastAsia" w:ascii="Times New Roman" w:hAnsi="Times New Roman" w:eastAsia="宋体" w:cs="Times New Roman"/>
                <w:b w:val="0"/>
                <w:bCs w:val="0"/>
                <w:i w:val="0"/>
                <w:color w:val="auto"/>
                <w:kern w:val="0"/>
                <w:sz w:val="22"/>
                <w:szCs w:val="22"/>
                <w:highlight w:val="none"/>
                <w:u w:val="none"/>
                <w:lang w:val="en-US" w:eastAsia="zh-CN" w:bidi="ar"/>
              </w:rPr>
              <w:t>10841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B83C076">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eastAsia" w:ascii="Times New Roman" w:hAnsi="Times New Roman" w:eastAsia="宋体" w:cs="Times New Roman"/>
                <w:b w:val="0"/>
                <w:bCs w:val="0"/>
                <w:i w:val="0"/>
                <w:color w:val="auto"/>
                <w:kern w:val="0"/>
                <w:sz w:val="22"/>
                <w:szCs w:val="22"/>
                <w:highlight w:val="none"/>
                <w:u w:val="none"/>
                <w:lang w:val="en-US" w:eastAsia="zh-CN" w:bidi="ar"/>
              </w:rPr>
              <w:t>18914</w:t>
            </w: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CA243AA">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default" w:ascii="Times New Roman" w:hAnsi="Times New Roman" w:eastAsia="宋体" w:cs="Times New Roman"/>
                <w:b w:val="0"/>
                <w:bCs w:val="0"/>
                <w:i w:val="0"/>
                <w:color w:val="auto"/>
                <w:kern w:val="0"/>
                <w:sz w:val="22"/>
                <w:szCs w:val="22"/>
                <w:highlight w:val="none"/>
                <w:u w:val="none"/>
                <w:lang w:val="en-US" w:eastAsia="zh-CN" w:bidi="ar"/>
              </w:rPr>
              <w:t>2000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D07DDAF">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default" w:ascii="Times New Roman" w:hAnsi="Times New Roman" w:eastAsia="宋体" w:cs="Times New Roman"/>
                <w:b w:val="0"/>
                <w:bCs w:val="0"/>
                <w:i w:val="0"/>
                <w:color w:val="auto"/>
                <w:kern w:val="0"/>
                <w:sz w:val="22"/>
                <w:szCs w:val="22"/>
                <w:highlight w:val="none"/>
                <w:u w:val="none"/>
                <w:lang w:val="en-US" w:eastAsia="zh-CN" w:bidi="ar"/>
              </w:rPr>
              <w:t>65.6%</w:t>
            </w:r>
          </w:p>
        </w:tc>
        <w:tc>
          <w:tcPr>
            <w:tcW w:w="1316" w:type="dxa"/>
            <w:tcBorders>
              <w:top w:val="single" w:color="000000" w:sz="4" w:space="0"/>
              <w:left w:val="single" w:color="000000" w:sz="4" w:space="0"/>
              <w:bottom w:val="single" w:color="000000" w:sz="4" w:space="0"/>
              <w:right w:val="single" w:color="000000" w:sz="4" w:space="0"/>
            </w:tcBorders>
            <w:noWrap/>
            <w:vAlign w:val="center"/>
          </w:tcPr>
          <w:p w14:paraId="43EE4462">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default" w:ascii="Times New Roman" w:hAnsi="Times New Roman" w:eastAsia="宋体" w:cs="Times New Roman"/>
                <w:b w:val="0"/>
                <w:bCs w:val="0"/>
                <w:i w:val="0"/>
                <w:color w:val="auto"/>
                <w:kern w:val="0"/>
                <w:sz w:val="22"/>
                <w:szCs w:val="22"/>
                <w:highlight w:val="none"/>
                <w:u w:val="none"/>
                <w:lang w:val="en-US" w:eastAsia="zh-CN" w:bidi="ar"/>
              </w:rPr>
              <w:t>1500</w:t>
            </w:r>
          </w:p>
        </w:tc>
        <w:tc>
          <w:tcPr>
            <w:tcW w:w="1108" w:type="dxa"/>
            <w:tcBorders>
              <w:top w:val="single" w:color="000000" w:sz="4" w:space="0"/>
              <w:left w:val="single" w:color="000000" w:sz="4" w:space="0"/>
              <w:bottom w:val="single" w:color="000000" w:sz="4" w:space="0"/>
              <w:right w:val="single" w:color="000000" w:sz="4" w:space="0"/>
            </w:tcBorders>
            <w:noWrap/>
            <w:vAlign w:val="center"/>
          </w:tcPr>
          <w:p w14:paraId="509B4755">
            <w:pPr>
              <w:keepNext w:val="0"/>
              <w:keepLines w:val="0"/>
              <w:pageBreakBefore w:val="0"/>
              <w:widowControl/>
              <w:suppressLineNumbers w:val="0"/>
              <w:kinsoku/>
              <w:wordWrap/>
              <w:overflowPunct/>
              <w:autoSpaceDE/>
              <w:autoSpaceDN/>
              <w:bidi w:val="0"/>
              <w:spacing w:line="560" w:lineRule="exact"/>
              <w:jc w:val="center"/>
              <w:textAlignment w:val="center"/>
              <w:rPr>
                <w:rFonts w:hint="default" w:ascii="Times New Roman" w:hAnsi="Times New Roman" w:eastAsia="宋体" w:cs="Times New Roman"/>
                <w:b w:val="0"/>
                <w:bCs w:val="0"/>
                <w:i w:val="0"/>
                <w:color w:val="auto"/>
                <w:kern w:val="0"/>
                <w:sz w:val="22"/>
                <w:szCs w:val="22"/>
                <w:highlight w:val="none"/>
                <w:u w:val="none"/>
                <w:lang w:val="en-US" w:eastAsia="zh-CN" w:bidi="ar"/>
              </w:rPr>
            </w:pPr>
            <w:r>
              <w:rPr>
                <w:rFonts w:hint="default" w:ascii="Times New Roman" w:hAnsi="Times New Roman" w:eastAsia="宋体" w:cs="Times New Roman"/>
                <w:b w:val="0"/>
                <w:bCs w:val="0"/>
                <w:i w:val="0"/>
                <w:color w:val="auto"/>
                <w:kern w:val="0"/>
                <w:sz w:val="22"/>
                <w:szCs w:val="22"/>
                <w:highlight w:val="none"/>
                <w:u w:val="none"/>
                <w:lang w:val="en-US" w:eastAsia="zh-CN" w:bidi="ar"/>
              </w:rPr>
              <w:t>67.4%</w:t>
            </w:r>
          </w:p>
        </w:tc>
      </w:tr>
    </w:tbl>
    <w:p w14:paraId="6D8C5E45">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pPr>
    </w:p>
    <w:p w14:paraId="04CC1B7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rtlGutter w:val="0"/>
          <w:docGrid w:type="lines" w:linePitch="312" w:charSpace="0"/>
        </w:sectPr>
      </w:pPr>
    </w:p>
    <w:p w14:paraId="42CE0C89">
      <w:pPr>
        <w:pStyle w:val="5"/>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eastAsia="黑体" w:cs="Times New Roman"/>
          <w:color w:val="auto"/>
          <w:sz w:val="32"/>
          <w:szCs w:val="32"/>
          <w:highlight w:val="none"/>
          <w:lang w:val="en-US" w:eastAsia="zh-CN"/>
        </w:rPr>
        <w:t>3</w:t>
      </w:r>
    </w:p>
    <w:p w14:paraId="357995BF">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eastAsia="方正小标宋简体" w:cs="Times New Roman"/>
          <w:color w:val="auto"/>
          <w:sz w:val="44"/>
          <w:szCs w:val="44"/>
          <w:highlight w:val="none"/>
          <w:lang w:val="en-US" w:eastAsia="zh-CN"/>
        </w:rPr>
      </w:pPr>
      <w:bookmarkStart w:id="28" w:name="OLE_LINK4"/>
    </w:p>
    <w:p w14:paraId="182D0595">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eastAsia="方正小标宋简体" w:cs="Times New Roman"/>
          <w:color w:val="auto"/>
          <w:sz w:val="44"/>
          <w:szCs w:val="44"/>
          <w:highlight w:val="none"/>
          <w:lang w:val="en-US" w:eastAsia="zh-CN"/>
        </w:rPr>
        <w:t>沁阳</w:t>
      </w:r>
      <w:r>
        <w:rPr>
          <w:rFonts w:hint="default" w:ascii="Times New Roman" w:hAnsi="Times New Roman" w:eastAsia="方正小标宋简体" w:cs="Times New Roman"/>
          <w:color w:val="auto"/>
          <w:sz w:val="44"/>
          <w:szCs w:val="44"/>
          <w:highlight w:val="none"/>
          <w:lang w:val="en-US" w:eastAsia="zh-CN"/>
        </w:rPr>
        <w:t>市2023—2025年集中供热覆盖率任务表</w:t>
      </w:r>
      <w:bookmarkEnd w:id="28"/>
    </w:p>
    <w:tbl>
      <w:tblPr>
        <w:tblStyle w:val="18"/>
        <w:tblW w:w="13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900"/>
        <w:gridCol w:w="930"/>
        <w:gridCol w:w="885"/>
        <w:gridCol w:w="960"/>
        <w:gridCol w:w="1065"/>
        <w:gridCol w:w="1080"/>
        <w:gridCol w:w="982"/>
        <w:gridCol w:w="915"/>
        <w:gridCol w:w="1013"/>
        <w:gridCol w:w="1035"/>
        <w:gridCol w:w="915"/>
        <w:gridCol w:w="960"/>
        <w:gridCol w:w="960"/>
        <w:gridCol w:w="873"/>
      </w:tblGrid>
      <w:tr w14:paraId="6A60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E55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eastAsia" w:ascii="楷体_GB2312" w:hAnsi="楷体_GB2312" w:eastAsia="楷体_GB2312" w:cs="楷体_GB2312"/>
                <w:color w:val="auto"/>
                <w:sz w:val="32"/>
                <w:szCs w:val="32"/>
                <w:highlight w:val="none"/>
                <w:lang w:val="en-US" w:eastAsia="zh-CN"/>
              </w:rPr>
              <w:t xml:space="preserve"> </w:t>
            </w:r>
            <w:r>
              <w:rPr>
                <w:rFonts w:hint="default" w:ascii="Times New Roman" w:hAnsi="Times New Roman" w:eastAsia="宋体" w:cs="Times New Roman"/>
                <w:b/>
                <w:i w:val="0"/>
                <w:color w:val="auto"/>
                <w:kern w:val="0"/>
                <w:sz w:val="21"/>
                <w:szCs w:val="21"/>
                <w:highlight w:val="none"/>
                <w:u w:val="none"/>
                <w:lang w:val="en-US" w:eastAsia="zh-CN" w:bidi="ar"/>
              </w:rPr>
              <w:t>序号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400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县（市、区）</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FA5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应实施集中供热面积（</w:t>
            </w:r>
            <w:r>
              <w:rPr>
                <w:rFonts w:hint="default" w:ascii="Times New Roman" w:hAnsi="Times New Roman" w:eastAsia="微软雅黑" w:cs="Times New Roman"/>
                <w:i w:val="0"/>
                <w:color w:val="auto"/>
                <w:kern w:val="0"/>
                <w:sz w:val="21"/>
                <w:szCs w:val="21"/>
                <w:highlight w:val="none"/>
                <w:u w:val="none"/>
                <w:lang w:val="en-US" w:eastAsia="zh-CN" w:bidi="ar"/>
              </w:rPr>
              <w:t>万㎡</w:t>
            </w:r>
            <w:r>
              <w:rPr>
                <w:rStyle w:val="61"/>
                <w:rFonts w:hint="default" w:ascii="Times New Roman" w:hAnsi="Times New Roman" w:cs="Times New Roman"/>
                <w:color w:val="auto"/>
                <w:highlight w:val="none"/>
                <w:lang w:val="en-US" w:eastAsia="zh-CN" w:bidi="ar"/>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0CB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已实施集中供热面积（</w:t>
            </w:r>
            <w:r>
              <w:rPr>
                <w:rFonts w:hint="default" w:ascii="Times New Roman" w:hAnsi="Times New Roman" w:eastAsia="微软雅黑" w:cs="Times New Roman"/>
                <w:i w:val="0"/>
                <w:color w:val="auto"/>
                <w:kern w:val="0"/>
                <w:sz w:val="21"/>
                <w:szCs w:val="21"/>
                <w:highlight w:val="none"/>
                <w:u w:val="none"/>
                <w:lang w:val="en-US" w:eastAsia="zh-CN" w:bidi="ar"/>
              </w:rPr>
              <w:t>万㎡</w:t>
            </w:r>
            <w:r>
              <w:rPr>
                <w:rStyle w:val="61"/>
                <w:rFonts w:hint="default" w:ascii="Times New Roman" w:hAnsi="Times New Roman" w:cs="Times New Roman"/>
                <w:color w:val="auto"/>
                <w:highlight w:val="none"/>
                <w:lang w:val="en-US" w:eastAsia="zh-CN" w:bidi="ar"/>
              </w:rPr>
              <w:t>）</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1C9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应实施集中供热户数（万户）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021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已实施集中供热户数（万户）</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F79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2023</w:t>
            </w:r>
            <w:r>
              <w:rPr>
                <w:rStyle w:val="61"/>
                <w:rFonts w:hint="default" w:ascii="Times New Roman" w:hAnsi="Times New Roman" w:cs="Times New Roman"/>
                <w:color w:val="auto"/>
                <w:highlight w:val="none"/>
                <w:lang w:val="en-US" w:eastAsia="zh-CN" w:bidi="ar"/>
              </w:rPr>
              <w:t>年目标</w:t>
            </w:r>
          </w:p>
        </w:tc>
        <w:tc>
          <w:tcPr>
            <w:tcW w:w="29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E74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2024</w:t>
            </w:r>
            <w:r>
              <w:rPr>
                <w:rStyle w:val="61"/>
                <w:rFonts w:hint="default" w:ascii="Times New Roman" w:hAnsi="Times New Roman" w:cs="Times New Roman"/>
                <w:color w:val="auto"/>
                <w:highlight w:val="none"/>
                <w:lang w:val="en-US" w:eastAsia="zh-CN" w:bidi="ar"/>
              </w:rPr>
              <w:t>年目标</w:t>
            </w:r>
          </w:p>
        </w:tc>
        <w:tc>
          <w:tcPr>
            <w:tcW w:w="2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911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2025</w:t>
            </w:r>
            <w:r>
              <w:rPr>
                <w:rStyle w:val="61"/>
                <w:rFonts w:hint="default" w:ascii="Times New Roman" w:hAnsi="Times New Roman" w:cs="Times New Roman"/>
                <w:color w:val="auto"/>
                <w:highlight w:val="none"/>
                <w:lang w:val="en-US" w:eastAsia="zh-CN" w:bidi="ar"/>
              </w:rPr>
              <w:t>年目标</w:t>
            </w:r>
          </w:p>
        </w:tc>
      </w:tr>
      <w:tr w14:paraId="5347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16EB9">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b/>
                <w:i w:val="0"/>
                <w:color w:val="auto"/>
                <w:sz w:val="21"/>
                <w:szCs w:val="21"/>
                <w:highlight w:val="none"/>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FB0E">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b/>
                <w:i w:val="0"/>
                <w:color w:val="auto"/>
                <w:sz w:val="21"/>
                <w:szCs w:val="21"/>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07C0C">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b/>
                <w:i w:val="0"/>
                <w:color w:val="auto"/>
                <w:sz w:val="21"/>
                <w:szCs w:val="21"/>
                <w:highlight w:val="none"/>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0151">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b/>
                <w:i w:val="0"/>
                <w:color w:val="auto"/>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12A48">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b/>
                <w:i w:val="0"/>
                <w:color w:val="auto"/>
                <w:sz w:val="21"/>
                <w:szCs w:val="21"/>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9781">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宋体" w:cs="Times New Roman"/>
                <w:b/>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1B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新增供热面积（</w:t>
            </w:r>
            <w:r>
              <w:rPr>
                <w:rFonts w:hint="default" w:ascii="Times New Roman" w:hAnsi="Times New Roman" w:eastAsia="微软雅黑" w:cs="Times New Roman"/>
                <w:i w:val="0"/>
                <w:color w:val="auto"/>
                <w:kern w:val="0"/>
                <w:sz w:val="21"/>
                <w:szCs w:val="21"/>
                <w:highlight w:val="none"/>
                <w:u w:val="none"/>
                <w:lang w:val="en-US" w:eastAsia="zh-CN" w:bidi="ar"/>
              </w:rPr>
              <w:t>万㎡</w:t>
            </w:r>
            <w:r>
              <w:rPr>
                <w:rStyle w:val="61"/>
                <w:rFonts w:hint="default" w:ascii="Times New Roman" w:hAnsi="Times New Roman" w:cs="Times New Roman"/>
                <w:color w:val="auto"/>
                <w:highlight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1D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新增供热户数（万户）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04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集中供热覆盖率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8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新增供热面积（</w:t>
            </w:r>
            <w:r>
              <w:rPr>
                <w:rFonts w:hint="default" w:ascii="Times New Roman" w:hAnsi="Times New Roman" w:eastAsia="微软雅黑" w:cs="Times New Roman"/>
                <w:i w:val="0"/>
                <w:color w:val="auto"/>
                <w:kern w:val="0"/>
                <w:sz w:val="21"/>
                <w:szCs w:val="21"/>
                <w:highlight w:val="none"/>
                <w:u w:val="none"/>
                <w:lang w:val="en-US" w:eastAsia="zh-CN" w:bidi="ar"/>
              </w:rPr>
              <w:t>万㎡</w:t>
            </w:r>
            <w:r>
              <w:rPr>
                <w:rStyle w:val="61"/>
                <w:rFonts w:hint="default" w:ascii="Times New Roman" w:hAnsi="Times New Roman" w:cs="Times New Roman"/>
                <w:color w:val="auto"/>
                <w:highlight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70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新增供热户数（万户）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F7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集中供热覆盖率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5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新增供热面积（</w:t>
            </w:r>
            <w:r>
              <w:rPr>
                <w:rFonts w:hint="default" w:ascii="Times New Roman" w:hAnsi="Times New Roman" w:eastAsia="微软雅黑" w:cs="Times New Roman"/>
                <w:i w:val="0"/>
                <w:color w:val="auto"/>
                <w:kern w:val="0"/>
                <w:sz w:val="21"/>
                <w:szCs w:val="21"/>
                <w:highlight w:val="none"/>
                <w:u w:val="none"/>
                <w:lang w:val="en-US" w:eastAsia="zh-CN" w:bidi="ar"/>
              </w:rPr>
              <w:t>万㎡</w:t>
            </w:r>
            <w:r>
              <w:rPr>
                <w:rStyle w:val="61"/>
                <w:rFonts w:hint="default" w:ascii="Times New Roman" w:hAnsi="Times New Roman" w:cs="Times New Roman"/>
                <w:color w:val="auto"/>
                <w:highlight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98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新增供热户数（万户）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34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集中供热覆盖率</w:t>
            </w:r>
          </w:p>
        </w:tc>
      </w:tr>
      <w:tr w14:paraId="3F70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06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eastAsia" w:eastAsia="Times-Roman" w:cs="Times New Roman"/>
                <w:i w:val="0"/>
                <w:color w:val="auto"/>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C7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沁阳市</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40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463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C1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95.5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DD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2.8571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AA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0.6034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25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51.5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6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0.39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5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31.70%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DC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95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0.04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1E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32.80%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9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3D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0.055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7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Times-Roman" w:cs="Times New Roman"/>
                <w:i w:val="0"/>
                <w:color w:val="auto"/>
                <w:sz w:val="21"/>
                <w:szCs w:val="21"/>
                <w:highlight w:val="none"/>
                <w:u w:val="none"/>
              </w:rPr>
            </w:pPr>
            <w:r>
              <w:rPr>
                <w:rFonts w:hint="default" w:ascii="Times New Roman" w:hAnsi="Times New Roman" w:eastAsia="Times-Roman" w:cs="Times New Roman"/>
                <w:i w:val="0"/>
                <w:color w:val="auto"/>
                <w:kern w:val="0"/>
                <w:sz w:val="21"/>
                <w:szCs w:val="21"/>
                <w:highlight w:val="none"/>
                <w:u w:val="none"/>
                <w:lang w:val="en-US" w:eastAsia="zh-CN" w:bidi="ar"/>
              </w:rPr>
              <w:t>34.40%</w:t>
            </w:r>
          </w:p>
        </w:tc>
      </w:tr>
    </w:tbl>
    <w:p w14:paraId="342E69F6">
      <w:pPr>
        <w:pStyle w:val="5"/>
        <w:keepNext w:val="0"/>
        <w:keepLines w:val="0"/>
        <w:pageBreakBefore w:val="0"/>
        <w:widowControl w:val="0"/>
        <w:kinsoku/>
        <w:wordWrap/>
        <w:overflowPunct/>
        <w:topLinePunct/>
        <w:autoSpaceDE/>
        <w:autoSpaceDN/>
        <w:bidi w:val="0"/>
        <w:adjustRightInd/>
        <w:snapToGrid/>
        <w:spacing w:line="560" w:lineRule="exact"/>
        <w:ind w:left="0" w:leftChars="0" w:firstLine="0" w:firstLineChars="0"/>
        <w:textAlignment w:val="auto"/>
        <w:outlineLvl w:val="0"/>
        <w:rPr>
          <w:rFonts w:hint="default" w:ascii="Times New Roman" w:hAnsi="Times New Roman" w:eastAsia="黑体" w:cs="Times New Roman"/>
          <w:color w:val="auto"/>
          <w:sz w:val="32"/>
          <w:szCs w:val="32"/>
          <w:highlight w:val="none"/>
          <w:lang w:val="en-US" w:eastAsia="zh-CN"/>
        </w:rPr>
      </w:pP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黑体....">
    <w:altName w:val="黑体"/>
    <w:panose1 w:val="00000000000000000000"/>
    <w:charset w:val="86"/>
    <w:family w:val="swiss"/>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黑简">
    <w:panose1 w:val="02010600000101010101"/>
    <w:charset w:val="86"/>
    <w:family w:val="auto"/>
    <w:pitch w:val="default"/>
    <w:sig w:usb0="00000001" w:usb1="080E0800" w:usb2="00000002"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0A71">
    <w:pPr>
      <w:pStyle w:val="11"/>
      <w:ind w:firstLine="48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B049B">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CB049B">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C0A9">
    <w:pPr>
      <w:pStyle w:val="11"/>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F36C0">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4F36C0">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0D2F973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57E39"/>
    <w:multiLevelType w:val="multilevel"/>
    <w:tmpl w:val="E5C57E39"/>
    <w:lvl w:ilvl="0" w:tentative="0">
      <w:start w:val="1"/>
      <w:numFmt w:val="decimal"/>
      <w:pStyle w:val="49"/>
      <w:lvlText w:val="第%1章"/>
      <w:lvlJc w:val="left"/>
      <w:pPr>
        <w:tabs>
          <w:tab w:val="left" w:pos="1985"/>
        </w:tabs>
        <w:ind w:left="0" w:firstLine="0"/>
      </w:pPr>
      <w:rPr>
        <w:rFonts w:hint="default" w:ascii="Times New Roman" w:hAnsi="Times New Roman" w:eastAsia="宋体" w:cs="Times New Roman"/>
        <w:sz w:val="32"/>
        <w:lang w:val="en-US"/>
      </w:rPr>
    </w:lvl>
    <w:lvl w:ilvl="1" w:tentative="0">
      <w:start w:val="1"/>
      <w:numFmt w:val="decimal"/>
      <w:pStyle w:val="48"/>
      <w:suff w:val="space"/>
      <w:lvlText w:val="%1.%2"/>
      <w:lvlJc w:val="left"/>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50"/>
      <w:suff w:val="space"/>
      <w:lvlText w:val="%1.%2.%3"/>
      <w:lvlJc w:val="left"/>
      <w:pPr>
        <w:ind w:left="0" w:firstLine="0"/>
      </w:pPr>
      <w:rPr>
        <w:rFonts w:hint="default" w:ascii="Times New Roman" w:hAnsi="Times New Roman" w:cs="Times New Roman"/>
        <w:b/>
      </w:rPr>
    </w:lvl>
    <w:lvl w:ilvl="3" w:tentative="0">
      <w:start w:val="1"/>
      <w:numFmt w:val="decimal"/>
      <w:pStyle w:val="51"/>
      <w:lvlText w:val="%1.%2.%3.%4"/>
      <w:lvlJc w:val="left"/>
      <w:pPr>
        <w:tabs>
          <w:tab w:val="left" w:pos="1135"/>
        </w:tabs>
        <w:ind w:left="1135"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lvlText w:val="%1.%2.%3.%4.%5."/>
      <w:lvlJc w:val="left"/>
      <w:pPr>
        <w:tabs>
          <w:tab w:val="left" w:pos="1901"/>
        </w:tabs>
        <w:ind w:left="1901" w:hanging="992"/>
      </w:pPr>
      <w:rPr>
        <w:rFonts w:hint="eastAsia"/>
      </w:rPr>
    </w:lvl>
    <w:lvl w:ilvl="5" w:tentative="0">
      <w:start w:val="1"/>
      <w:numFmt w:val="decimal"/>
      <w:lvlText w:val="%1.%2.%3.%4.%5.%6."/>
      <w:lvlJc w:val="left"/>
      <w:pPr>
        <w:tabs>
          <w:tab w:val="left" w:pos="2043"/>
        </w:tabs>
        <w:ind w:left="2043" w:hanging="1134"/>
      </w:pPr>
      <w:rPr>
        <w:rFonts w:hint="eastAsia"/>
      </w:rPr>
    </w:lvl>
    <w:lvl w:ilvl="6" w:tentative="0">
      <w:start w:val="1"/>
      <w:numFmt w:val="decimal"/>
      <w:lvlText w:val="%1.%2.%3.%4.%5.%6.%7."/>
      <w:lvlJc w:val="left"/>
      <w:pPr>
        <w:tabs>
          <w:tab w:val="left" w:pos="2185"/>
        </w:tabs>
        <w:ind w:left="2185" w:hanging="1276"/>
      </w:pPr>
      <w:rPr>
        <w:rFonts w:hint="eastAsia"/>
      </w:rPr>
    </w:lvl>
    <w:lvl w:ilvl="7" w:tentative="0">
      <w:start w:val="1"/>
      <w:numFmt w:val="decimal"/>
      <w:lvlText w:val="%1.%2.%3.%4.%5.%6.%7.%8."/>
      <w:lvlJc w:val="left"/>
      <w:pPr>
        <w:tabs>
          <w:tab w:val="left" w:pos="2327"/>
        </w:tabs>
        <w:ind w:left="2327" w:hanging="1418"/>
      </w:pPr>
      <w:rPr>
        <w:rFonts w:hint="eastAsia"/>
      </w:rPr>
    </w:lvl>
    <w:lvl w:ilvl="8" w:tentative="0">
      <w:start w:val="1"/>
      <w:numFmt w:val="decimal"/>
      <w:lvlText w:val="%1.%2.%3.%4.%5.%6.%7.%8.%9."/>
      <w:lvlJc w:val="left"/>
      <w:pPr>
        <w:tabs>
          <w:tab w:val="left" w:pos="2468"/>
        </w:tabs>
        <w:ind w:left="2468"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evenAndOddHeaders w:val="1"/>
  <w:drawingGridHorizontalSpacing w:val="156"/>
  <w:drawingGridVerticalSpacing w:val="29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DhiNzk2NTg4NWE1MGMyZmIxNTA3YzhlMjJmN2QifQ=="/>
  </w:docVars>
  <w:rsids>
    <w:rsidRoot w:val="05666D75"/>
    <w:rsid w:val="0000052E"/>
    <w:rsid w:val="00000B1A"/>
    <w:rsid w:val="000041C3"/>
    <w:rsid w:val="00004F33"/>
    <w:rsid w:val="00006501"/>
    <w:rsid w:val="000133CA"/>
    <w:rsid w:val="00014164"/>
    <w:rsid w:val="000141B5"/>
    <w:rsid w:val="000143BF"/>
    <w:rsid w:val="00014692"/>
    <w:rsid w:val="00014958"/>
    <w:rsid w:val="000149B1"/>
    <w:rsid w:val="00014A1E"/>
    <w:rsid w:val="00014DBE"/>
    <w:rsid w:val="0001525F"/>
    <w:rsid w:val="00015477"/>
    <w:rsid w:val="0001707E"/>
    <w:rsid w:val="00017357"/>
    <w:rsid w:val="00020C1E"/>
    <w:rsid w:val="00021007"/>
    <w:rsid w:val="000246E9"/>
    <w:rsid w:val="0002742E"/>
    <w:rsid w:val="00027720"/>
    <w:rsid w:val="00030100"/>
    <w:rsid w:val="000301E0"/>
    <w:rsid w:val="000304EA"/>
    <w:rsid w:val="00031231"/>
    <w:rsid w:val="0003140E"/>
    <w:rsid w:val="000316E5"/>
    <w:rsid w:val="00033706"/>
    <w:rsid w:val="00033C0E"/>
    <w:rsid w:val="00033D95"/>
    <w:rsid w:val="00033FD7"/>
    <w:rsid w:val="00035E4E"/>
    <w:rsid w:val="00036969"/>
    <w:rsid w:val="00036998"/>
    <w:rsid w:val="000376C3"/>
    <w:rsid w:val="000378CF"/>
    <w:rsid w:val="00040D2D"/>
    <w:rsid w:val="0004105C"/>
    <w:rsid w:val="00043AB6"/>
    <w:rsid w:val="0004449E"/>
    <w:rsid w:val="00044EFE"/>
    <w:rsid w:val="00044F4E"/>
    <w:rsid w:val="00046109"/>
    <w:rsid w:val="00046F00"/>
    <w:rsid w:val="00051623"/>
    <w:rsid w:val="00051891"/>
    <w:rsid w:val="00051D50"/>
    <w:rsid w:val="00053236"/>
    <w:rsid w:val="00054112"/>
    <w:rsid w:val="0005447B"/>
    <w:rsid w:val="00054DA8"/>
    <w:rsid w:val="0005514D"/>
    <w:rsid w:val="00056BAA"/>
    <w:rsid w:val="0006216D"/>
    <w:rsid w:val="000633DC"/>
    <w:rsid w:val="00065167"/>
    <w:rsid w:val="00065332"/>
    <w:rsid w:val="000712D9"/>
    <w:rsid w:val="00071316"/>
    <w:rsid w:val="00071F65"/>
    <w:rsid w:val="00074AB5"/>
    <w:rsid w:val="000804B2"/>
    <w:rsid w:val="0008388C"/>
    <w:rsid w:val="00083AC4"/>
    <w:rsid w:val="00083E22"/>
    <w:rsid w:val="00085617"/>
    <w:rsid w:val="00086906"/>
    <w:rsid w:val="00090041"/>
    <w:rsid w:val="00090BBD"/>
    <w:rsid w:val="0009121A"/>
    <w:rsid w:val="00091D1D"/>
    <w:rsid w:val="000958C8"/>
    <w:rsid w:val="00095998"/>
    <w:rsid w:val="00095C16"/>
    <w:rsid w:val="00096240"/>
    <w:rsid w:val="000A1D1D"/>
    <w:rsid w:val="000A2650"/>
    <w:rsid w:val="000A26DF"/>
    <w:rsid w:val="000A3B54"/>
    <w:rsid w:val="000A6054"/>
    <w:rsid w:val="000A617C"/>
    <w:rsid w:val="000A7EFF"/>
    <w:rsid w:val="000B00F2"/>
    <w:rsid w:val="000B2192"/>
    <w:rsid w:val="000B3B71"/>
    <w:rsid w:val="000B3E68"/>
    <w:rsid w:val="000B4D4F"/>
    <w:rsid w:val="000B5166"/>
    <w:rsid w:val="000B5D3B"/>
    <w:rsid w:val="000B61EB"/>
    <w:rsid w:val="000B6CC2"/>
    <w:rsid w:val="000C252D"/>
    <w:rsid w:val="000C2F9F"/>
    <w:rsid w:val="000C3E32"/>
    <w:rsid w:val="000C5868"/>
    <w:rsid w:val="000D03FC"/>
    <w:rsid w:val="000D0BE3"/>
    <w:rsid w:val="000D15B2"/>
    <w:rsid w:val="000D2F11"/>
    <w:rsid w:val="000D5553"/>
    <w:rsid w:val="000D5D1A"/>
    <w:rsid w:val="000D6624"/>
    <w:rsid w:val="000D731C"/>
    <w:rsid w:val="000D731D"/>
    <w:rsid w:val="000E094F"/>
    <w:rsid w:val="000E12D9"/>
    <w:rsid w:val="000E155E"/>
    <w:rsid w:val="000E2685"/>
    <w:rsid w:val="000E27A5"/>
    <w:rsid w:val="000E53B1"/>
    <w:rsid w:val="000E63F8"/>
    <w:rsid w:val="000E67D1"/>
    <w:rsid w:val="000E71E3"/>
    <w:rsid w:val="000E7DEB"/>
    <w:rsid w:val="000F0C24"/>
    <w:rsid w:val="000F171E"/>
    <w:rsid w:val="000F284B"/>
    <w:rsid w:val="000F28ED"/>
    <w:rsid w:val="000F6115"/>
    <w:rsid w:val="000F61C7"/>
    <w:rsid w:val="000F66DF"/>
    <w:rsid w:val="000F6911"/>
    <w:rsid w:val="000F7425"/>
    <w:rsid w:val="000F7848"/>
    <w:rsid w:val="00100C43"/>
    <w:rsid w:val="001010C0"/>
    <w:rsid w:val="00101265"/>
    <w:rsid w:val="0010347F"/>
    <w:rsid w:val="00106D50"/>
    <w:rsid w:val="00106FE4"/>
    <w:rsid w:val="0010702C"/>
    <w:rsid w:val="00110CD6"/>
    <w:rsid w:val="0011191F"/>
    <w:rsid w:val="00111ABD"/>
    <w:rsid w:val="00111FDF"/>
    <w:rsid w:val="00115214"/>
    <w:rsid w:val="00115F1C"/>
    <w:rsid w:val="00121373"/>
    <w:rsid w:val="001213D7"/>
    <w:rsid w:val="001216F9"/>
    <w:rsid w:val="00123894"/>
    <w:rsid w:val="001261A2"/>
    <w:rsid w:val="00130A77"/>
    <w:rsid w:val="00130D37"/>
    <w:rsid w:val="00130FEC"/>
    <w:rsid w:val="00131C53"/>
    <w:rsid w:val="0013227A"/>
    <w:rsid w:val="001322A2"/>
    <w:rsid w:val="001323D8"/>
    <w:rsid w:val="001326CB"/>
    <w:rsid w:val="001327F7"/>
    <w:rsid w:val="00133192"/>
    <w:rsid w:val="00133766"/>
    <w:rsid w:val="00134C77"/>
    <w:rsid w:val="001360B4"/>
    <w:rsid w:val="001374D0"/>
    <w:rsid w:val="00137787"/>
    <w:rsid w:val="00137CC5"/>
    <w:rsid w:val="00141422"/>
    <w:rsid w:val="00141C5C"/>
    <w:rsid w:val="00143387"/>
    <w:rsid w:val="00143BB7"/>
    <w:rsid w:val="00144C78"/>
    <w:rsid w:val="0014546B"/>
    <w:rsid w:val="001474D6"/>
    <w:rsid w:val="00150A75"/>
    <w:rsid w:val="00153E3B"/>
    <w:rsid w:val="00155EA5"/>
    <w:rsid w:val="0015600A"/>
    <w:rsid w:val="00156C73"/>
    <w:rsid w:val="0016352E"/>
    <w:rsid w:val="0016618B"/>
    <w:rsid w:val="001721CA"/>
    <w:rsid w:val="00172472"/>
    <w:rsid w:val="00172573"/>
    <w:rsid w:val="001736A1"/>
    <w:rsid w:val="00173C93"/>
    <w:rsid w:val="0017478D"/>
    <w:rsid w:val="00174E10"/>
    <w:rsid w:val="00176D73"/>
    <w:rsid w:val="0017706E"/>
    <w:rsid w:val="00177200"/>
    <w:rsid w:val="00177491"/>
    <w:rsid w:val="00180194"/>
    <w:rsid w:val="00180B6A"/>
    <w:rsid w:val="00183D40"/>
    <w:rsid w:val="00185306"/>
    <w:rsid w:val="00187DB6"/>
    <w:rsid w:val="00190CDF"/>
    <w:rsid w:val="001921B8"/>
    <w:rsid w:val="00195102"/>
    <w:rsid w:val="0019589B"/>
    <w:rsid w:val="00196028"/>
    <w:rsid w:val="00196158"/>
    <w:rsid w:val="00196E8F"/>
    <w:rsid w:val="00197DA1"/>
    <w:rsid w:val="001A0BDF"/>
    <w:rsid w:val="001A1C3D"/>
    <w:rsid w:val="001A1E3C"/>
    <w:rsid w:val="001A2415"/>
    <w:rsid w:val="001A2D0D"/>
    <w:rsid w:val="001A3FFD"/>
    <w:rsid w:val="001A410A"/>
    <w:rsid w:val="001A7160"/>
    <w:rsid w:val="001B2D8A"/>
    <w:rsid w:val="001B346E"/>
    <w:rsid w:val="001B3FF6"/>
    <w:rsid w:val="001B5976"/>
    <w:rsid w:val="001C018C"/>
    <w:rsid w:val="001C232B"/>
    <w:rsid w:val="001C3BF8"/>
    <w:rsid w:val="001C450D"/>
    <w:rsid w:val="001C50B5"/>
    <w:rsid w:val="001C532F"/>
    <w:rsid w:val="001C5899"/>
    <w:rsid w:val="001C5FAB"/>
    <w:rsid w:val="001C6357"/>
    <w:rsid w:val="001D0456"/>
    <w:rsid w:val="001D0976"/>
    <w:rsid w:val="001D147E"/>
    <w:rsid w:val="001D3F11"/>
    <w:rsid w:val="001D41DE"/>
    <w:rsid w:val="001D452D"/>
    <w:rsid w:val="001D53A0"/>
    <w:rsid w:val="001D55C5"/>
    <w:rsid w:val="001D5ED5"/>
    <w:rsid w:val="001D75AE"/>
    <w:rsid w:val="001E23DD"/>
    <w:rsid w:val="001E25A6"/>
    <w:rsid w:val="001E36D2"/>
    <w:rsid w:val="001E3970"/>
    <w:rsid w:val="001E478E"/>
    <w:rsid w:val="001E48F2"/>
    <w:rsid w:val="001E62A5"/>
    <w:rsid w:val="001E6600"/>
    <w:rsid w:val="001E6C1D"/>
    <w:rsid w:val="001E78D2"/>
    <w:rsid w:val="001F08C1"/>
    <w:rsid w:val="001F095C"/>
    <w:rsid w:val="001F1B5C"/>
    <w:rsid w:val="001F2103"/>
    <w:rsid w:val="001F2555"/>
    <w:rsid w:val="001F2F46"/>
    <w:rsid w:val="001F38B1"/>
    <w:rsid w:val="001F482E"/>
    <w:rsid w:val="001F51C6"/>
    <w:rsid w:val="001F6123"/>
    <w:rsid w:val="001F7641"/>
    <w:rsid w:val="001F7794"/>
    <w:rsid w:val="00201A0D"/>
    <w:rsid w:val="00201CC9"/>
    <w:rsid w:val="00201F79"/>
    <w:rsid w:val="0020240A"/>
    <w:rsid w:val="002033F4"/>
    <w:rsid w:val="00203B9D"/>
    <w:rsid w:val="0020409A"/>
    <w:rsid w:val="002043AF"/>
    <w:rsid w:val="00204A04"/>
    <w:rsid w:val="00204B5A"/>
    <w:rsid w:val="00205F49"/>
    <w:rsid w:val="002108B2"/>
    <w:rsid w:val="00211C3D"/>
    <w:rsid w:val="002158F8"/>
    <w:rsid w:val="00216381"/>
    <w:rsid w:val="00216847"/>
    <w:rsid w:val="002169D6"/>
    <w:rsid w:val="00220AA0"/>
    <w:rsid w:val="00220CF0"/>
    <w:rsid w:val="002212B6"/>
    <w:rsid w:val="00222171"/>
    <w:rsid w:val="00222CA0"/>
    <w:rsid w:val="0022329D"/>
    <w:rsid w:val="00227F8B"/>
    <w:rsid w:val="00230CFD"/>
    <w:rsid w:val="00231391"/>
    <w:rsid w:val="002314F3"/>
    <w:rsid w:val="00232741"/>
    <w:rsid w:val="0023285C"/>
    <w:rsid w:val="00233088"/>
    <w:rsid w:val="002340B1"/>
    <w:rsid w:val="00235F82"/>
    <w:rsid w:val="00240B43"/>
    <w:rsid w:val="002412F3"/>
    <w:rsid w:val="00241D67"/>
    <w:rsid w:val="002426CF"/>
    <w:rsid w:val="002455EA"/>
    <w:rsid w:val="0024623C"/>
    <w:rsid w:val="0024666E"/>
    <w:rsid w:val="00246B4A"/>
    <w:rsid w:val="00246FCD"/>
    <w:rsid w:val="00247EAB"/>
    <w:rsid w:val="00250650"/>
    <w:rsid w:val="00250685"/>
    <w:rsid w:val="0025126D"/>
    <w:rsid w:val="0025294D"/>
    <w:rsid w:val="00254ACE"/>
    <w:rsid w:val="00254F0E"/>
    <w:rsid w:val="0025545E"/>
    <w:rsid w:val="00255928"/>
    <w:rsid w:val="00256246"/>
    <w:rsid w:val="002567E8"/>
    <w:rsid w:val="00257485"/>
    <w:rsid w:val="00260055"/>
    <w:rsid w:val="00261189"/>
    <w:rsid w:val="00262183"/>
    <w:rsid w:val="002625C9"/>
    <w:rsid w:val="002637DC"/>
    <w:rsid w:val="00263B67"/>
    <w:rsid w:val="00264D0D"/>
    <w:rsid w:val="00265F95"/>
    <w:rsid w:val="002667BD"/>
    <w:rsid w:val="002671BA"/>
    <w:rsid w:val="00271223"/>
    <w:rsid w:val="002713C6"/>
    <w:rsid w:val="002719D8"/>
    <w:rsid w:val="00271B37"/>
    <w:rsid w:val="00271C09"/>
    <w:rsid w:val="0027330F"/>
    <w:rsid w:val="00273375"/>
    <w:rsid w:val="0027382C"/>
    <w:rsid w:val="00276530"/>
    <w:rsid w:val="00280754"/>
    <w:rsid w:val="002810D7"/>
    <w:rsid w:val="002825B6"/>
    <w:rsid w:val="0028372B"/>
    <w:rsid w:val="00284DC2"/>
    <w:rsid w:val="00284F53"/>
    <w:rsid w:val="002871BF"/>
    <w:rsid w:val="002879D6"/>
    <w:rsid w:val="00290BA5"/>
    <w:rsid w:val="0029162C"/>
    <w:rsid w:val="00293AB6"/>
    <w:rsid w:val="00294168"/>
    <w:rsid w:val="00294A8C"/>
    <w:rsid w:val="00294D2F"/>
    <w:rsid w:val="00295275"/>
    <w:rsid w:val="002965FB"/>
    <w:rsid w:val="00296B67"/>
    <w:rsid w:val="00297D20"/>
    <w:rsid w:val="002A026A"/>
    <w:rsid w:val="002A1A28"/>
    <w:rsid w:val="002A203B"/>
    <w:rsid w:val="002A2190"/>
    <w:rsid w:val="002A2AD9"/>
    <w:rsid w:val="002A2C4C"/>
    <w:rsid w:val="002A433C"/>
    <w:rsid w:val="002A4E0F"/>
    <w:rsid w:val="002A691A"/>
    <w:rsid w:val="002B12BD"/>
    <w:rsid w:val="002B32C0"/>
    <w:rsid w:val="002B5602"/>
    <w:rsid w:val="002B67EC"/>
    <w:rsid w:val="002B73CB"/>
    <w:rsid w:val="002B7D34"/>
    <w:rsid w:val="002C020A"/>
    <w:rsid w:val="002C033D"/>
    <w:rsid w:val="002C0381"/>
    <w:rsid w:val="002C0BBE"/>
    <w:rsid w:val="002C1149"/>
    <w:rsid w:val="002C18C9"/>
    <w:rsid w:val="002C2459"/>
    <w:rsid w:val="002C2DAB"/>
    <w:rsid w:val="002C2EBA"/>
    <w:rsid w:val="002C3F7E"/>
    <w:rsid w:val="002C5780"/>
    <w:rsid w:val="002C6D19"/>
    <w:rsid w:val="002C7B2E"/>
    <w:rsid w:val="002D2DE1"/>
    <w:rsid w:val="002D51B0"/>
    <w:rsid w:val="002D6071"/>
    <w:rsid w:val="002D64F2"/>
    <w:rsid w:val="002D6C27"/>
    <w:rsid w:val="002E0EDC"/>
    <w:rsid w:val="002E319C"/>
    <w:rsid w:val="002E4B3A"/>
    <w:rsid w:val="002E733C"/>
    <w:rsid w:val="002E7605"/>
    <w:rsid w:val="002F2F6B"/>
    <w:rsid w:val="002F3A30"/>
    <w:rsid w:val="002F47C7"/>
    <w:rsid w:val="002F72CF"/>
    <w:rsid w:val="0030062C"/>
    <w:rsid w:val="00300D2F"/>
    <w:rsid w:val="003018F0"/>
    <w:rsid w:val="00301AA5"/>
    <w:rsid w:val="00305552"/>
    <w:rsid w:val="00306D81"/>
    <w:rsid w:val="003103F4"/>
    <w:rsid w:val="00312501"/>
    <w:rsid w:val="003150CB"/>
    <w:rsid w:val="003157D2"/>
    <w:rsid w:val="00315A93"/>
    <w:rsid w:val="00316BC2"/>
    <w:rsid w:val="00316DC5"/>
    <w:rsid w:val="00316F5C"/>
    <w:rsid w:val="00317BBD"/>
    <w:rsid w:val="00320094"/>
    <w:rsid w:val="00320EEB"/>
    <w:rsid w:val="003217F3"/>
    <w:rsid w:val="00321BF3"/>
    <w:rsid w:val="0032381F"/>
    <w:rsid w:val="00323D4A"/>
    <w:rsid w:val="0032698C"/>
    <w:rsid w:val="00330C7C"/>
    <w:rsid w:val="003363B2"/>
    <w:rsid w:val="003378BA"/>
    <w:rsid w:val="0034000B"/>
    <w:rsid w:val="00340D25"/>
    <w:rsid w:val="0034228C"/>
    <w:rsid w:val="003427B2"/>
    <w:rsid w:val="00344E0E"/>
    <w:rsid w:val="003458FE"/>
    <w:rsid w:val="0034598D"/>
    <w:rsid w:val="003459DF"/>
    <w:rsid w:val="00346498"/>
    <w:rsid w:val="00350F19"/>
    <w:rsid w:val="0035148A"/>
    <w:rsid w:val="00351E0C"/>
    <w:rsid w:val="00352922"/>
    <w:rsid w:val="00352D08"/>
    <w:rsid w:val="00353817"/>
    <w:rsid w:val="00353D42"/>
    <w:rsid w:val="00355522"/>
    <w:rsid w:val="00356120"/>
    <w:rsid w:val="00356B1A"/>
    <w:rsid w:val="0036250E"/>
    <w:rsid w:val="0036495F"/>
    <w:rsid w:val="00364CEE"/>
    <w:rsid w:val="00365824"/>
    <w:rsid w:val="00366215"/>
    <w:rsid w:val="0036684A"/>
    <w:rsid w:val="00371230"/>
    <w:rsid w:val="0037141B"/>
    <w:rsid w:val="00371D43"/>
    <w:rsid w:val="00371E87"/>
    <w:rsid w:val="00372369"/>
    <w:rsid w:val="00373030"/>
    <w:rsid w:val="0037386F"/>
    <w:rsid w:val="00373930"/>
    <w:rsid w:val="00373C8A"/>
    <w:rsid w:val="00374F04"/>
    <w:rsid w:val="003808D6"/>
    <w:rsid w:val="00380FC6"/>
    <w:rsid w:val="0038282A"/>
    <w:rsid w:val="00382969"/>
    <w:rsid w:val="0038473B"/>
    <w:rsid w:val="00386365"/>
    <w:rsid w:val="00386806"/>
    <w:rsid w:val="00390247"/>
    <w:rsid w:val="00390885"/>
    <w:rsid w:val="00390CFA"/>
    <w:rsid w:val="00391628"/>
    <w:rsid w:val="003920CE"/>
    <w:rsid w:val="0039236B"/>
    <w:rsid w:val="003932E1"/>
    <w:rsid w:val="003933C8"/>
    <w:rsid w:val="0039427F"/>
    <w:rsid w:val="0039478A"/>
    <w:rsid w:val="00395B76"/>
    <w:rsid w:val="0039634A"/>
    <w:rsid w:val="003968FB"/>
    <w:rsid w:val="0039737C"/>
    <w:rsid w:val="003A0162"/>
    <w:rsid w:val="003A1CA3"/>
    <w:rsid w:val="003A32AC"/>
    <w:rsid w:val="003A4502"/>
    <w:rsid w:val="003A4BE4"/>
    <w:rsid w:val="003A4CBD"/>
    <w:rsid w:val="003B2878"/>
    <w:rsid w:val="003B3360"/>
    <w:rsid w:val="003B3911"/>
    <w:rsid w:val="003B6387"/>
    <w:rsid w:val="003C0D95"/>
    <w:rsid w:val="003C1788"/>
    <w:rsid w:val="003C2360"/>
    <w:rsid w:val="003C680C"/>
    <w:rsid w:val="003C6D90"/>
    <w:rsid w:val="003D0E24"/>
    <w:rsid w:val="003D1D75"/>
    <w:rsid w:val="003D2353"/>
    <w:rsid w:val="003D4D12"/>
    <w:rsid w:val="003D59B6"/>
    <w:rsid w:val="003D6458"/>
    <w:rsid w:val="003D6D85"/>
    <w:rsid w:val="003D78CD"/>
    <w:rsid w:val="003D7A4D"/>
    <w:rsid w:val="003E0074"/>
    <w:rsid w:val="003E029B"/>
    <w:rsid w:val="003E04A1"/>
    <w:rsid w:val="003E5270"/>
    <w:rsid w:val="003E6DD8"/>
    <w:rsid w:val="003E7E46"/>
    <w:rsid w:val="003F0985"/>
    <w:rsid w:val="003F09BF"/>
    <w:rsid w:val="003F1D9B"/>
    <w:rsid w:val="003F235B"/>
    <w:rsid w:val="003F3480"/>
    <w:rsid w:val="003F3811"/>
    <w:rsid w:val="003F5277"/>
    <w:rsid w:val="003F6E98"/>
    <w:rsid w:val="00400422"/>
    <w:rsid w:val="00400E88"/>
    <w:rsid w:val="004027D9"/>
    <w:rsid w:val="00402EE2"/>
    <w:rsid w:val="00405AAA"/>
    <w:rsid w:val="0040613A"/>
    <w:rsid w:val="0040683B"/>
    <w:rsid w:val="00407318"/>
    <w:rsid w:val="00410AD1"/>
    <w:rsid w:val="004118FF"/>
    <w:rsid w:val="00411E44"/>
    <w:rsid w:val="00412FC2"/>
    <w:rsid w:val="00416C04"/>
    <w:rsid w:val="00416D54"/>
    <w:rsid w:val="0041757A"/>
    <w:rsid w:val="004201F1"/>
    <w:rsid w:val="00420875"/>
    <w:rsid w:val="00421A26"/>
    <w:rsid w:val="00423598"/>
    <w:rsid w:val="0042476E"/>
    <w:rsid w:val="004248D0"/>
    <w:rsid w:val="00425029"/>
    <w:rsid w:val="00425361"/>
    <w:rsid w:val="004268B5"/>
    <w:rsid w:val="0043038C"/>
    <w:rsid w:val="00430400"/>
    <w:rsid w:val="00430751"/>
    <w:rsid w:val="00431022"/>
    <w:rsid w:val="00433385"/>
    <w:rsid w:val="00433464"/>
    <w:rsid w:val="0043357C"/>
    <w:rsid w:val="004341D9"/>
    <w:rsid w:val="00436CE7"/>
    <w:rsid w:val="00437A92"/>
    <w:rsid w:val="00437B0A"/>
    <w:rsid w:val="00437E81"/>
    <w:rsid w:val="00440FA5"/>
    <w:rsid w:val="004410A2"/>
    <w:rsid w:val="0044157F"/>
    <w:rsid w:val="00444717"/>
    <w:rsid w:val="004464EE"/>
    <w:rsid w:val="0044727C"/>
    <w:rsid w:val="00447793"/>
    <w:rsid w:val="00447DD8"/>
    <w:rsid w:val="00450FB6"/>
    <w:rsid w:val="00455FE7"/>
    <w:rsid w:val="004562AD"/>
    <w:rsid w:val="00457E06"/>
    <w:rsid w:val="00462C6F"/>
    <w:rsid w:val="00473037"/>
    <w:rsid w:val="0047364D"/>
    <w:rsid w:val="00476740"/>
    <w:rsid w:val="004804BE"/>
    <w:rsid w:val="0048220D"/>
    <w:rsid w:val="00482AD1"/>
    <w:rsid w:val="00482F31"/>
    <w:rsid w:val="00483049"/>
    <w:rsid w:val="00483F1D"/>
    <w:rsid w:val="004847B6"/>
    <w:rsid w:val="0048575B"/>
    <w:rsid w:val="00485CBF"/>
    <w:rsid w:val="00486103"/>
    <w:rsid w:val="00486131"/>
    <w:rsid w:val="00487534"/>
    <w:rsid w:val="00487796"/>
    <w:rsid w:val="00490D82"/>
    <w:rsid w:val="00492998"/>
    <w:rsid w:val="00493268"/>
    <w:rsid w:val="00494BBC"/>
    <w:rsid w:val="00495382"/>
    <w:rsid w:val="00495BA7"/>
    <w:rsid w:val="004962F2"/>
    <w:rsid w:val="00496562"/>
    <w:rsid w:val="00496EE5"/>
    <w:rsid w:val="0049754F"/>
    <w:rsid w:val="004979FA"/>
    <w:rsid w:val="004A0926"/>
    <w:rsid w:val="004A1BC3"/>
    <w:rsid w:val="004A1BD1"/>
    <w:rsid w:val="004A3829"/>
    <w:rsid w:val="004A57FE"/>
    <w:rsid w:val="004A61D9"/>
    <w:rsid w:val="004A62C9"/>
    <w:rsid w:val="004A7008"/>
    <w:rsid w:val="004B05CD"/>
    <w:rsid w:val="004B1519"/>
    <w:rsid w:val="004B1CBF"/>
    <w:rsid w:val="004B1D90"/>
    <w:rsid w:val="004B2B3E"/>
    <w:rsid w:val="004B5074"/>
    <w:rsid w:val="004B679D"/>
    <w:rsid w:val="004B685A"/>
    <w:rsid w:val="004B745B"/>
    <w:rsid w:val="004C0024"/>
    <w:rsid w:val="004C0371"/>
    <w:rsid w:val="004C15B4"/>
    <w:rsid w:val="004C2A52"/>
    <w:rsid w:val="004C33DF"/>
    <w:rsid w:val="004C4BD4"/>
    <w:rsid w:val="004C74B4"/>
    <w:rsid w:val="004C76EE"/>
    <w:rsid w:val="004D2B39"/>
    <w:rsid w:val="004D3C41"/>
    <w:rsid w:val="004D41C0"/>
    <w:rsid w:val="004D4D05"/>
    <w:rsid w:val="004D72AB"/>
    <w:rsid w:val="004E0A64"/>
    <w:rsid w:val="004E27B2"/>
    <w:rsid w:val="004E3C0A"/>
    <w:rsid w:val="004E3DC8"/>
    <w:rsid w:val="004E4BC2"/>
    <w:rsid w:val="004E4D17"/>
    <w:rsid w:val="004E4E94"/>
    <w:rsid w:val="004E5380"/>
    <w:rsid w:val="004E538F"/>
    <w:rsid w:val="004E57D8"/>
    <w:rsid w:val="004E6F44"/>
    <w:rsid w:val="004F137C"/>
    <w:rsid w:val="004F30AC"/>
    <w:rsid w:val="004F471D"/>
    <w:rsid w:val="004F6AD0"/>
    <w:rsid w:val="004F6B13"/>
    <w:rsid w:val="005014BA"/>
    <w:rsid w:val="00501BE7"/>
    <w:rsid w:val="00502162"/>
    <w:rsid w:val="00503B0A"/>
    <w:rsid w:val="0050506B"/>
    <w:rsid w:val="00505A7C"/>
    <w:rsid w:val="00505EFD"/>
    <w:rsid w:val="0051181A"/>
    <w:rsid w:val="00512B11"/>
    <w:rsid w:val="00513D99"/>
    <w:rsid w:val="0051441D"/>
    <w:rsid w:val="00515187"/>
    <w:rsid w:val="0051563F"/>
    <w:rsid w:val="0051636C"/>
    <w:rsid w:val="005202B0"/>
    <w:rsid w:val="00523201"/>
    <w:rsid w:val="00526013"/>
    <w:rsid w:val="0052676D"/>
    <w:rsid w:val="00527322"/>
    <w:rsid w:val="005305DF"/>
    <w:rsid w:val="00532CA8"/>
    <w:rsid w:val="00533085"/>
    <w:rsid w:val="0053333B"/>
    <w:rsid w:val="00533CD9"/>
    <w:rsid w:val="00534391"/>
    <w:rsid w:val="0053518A"/>
    <w:rsid w:val="00535226"/>
    <w:rsid w:val="00541A96"/>
    <w:rsid w:val="005421B8"/>
    <w:rsid w:val="0054297E"/>
    <w:rsid w:val="00544437"/>
    <w:rsid w:val="00544B19"/>
    <w:rsid w:val="00545327"/>
    <w:rsid w:val="00545AB2"/>
    <w:rsid w:val="005461E7"/>
    <w:rsid w:val="00550434"/>
    <w:rsid w:val="0055113B"/>
    <w:rsid w:val="005516B8"/>
    <w:rsid w:val="00552D04"/>
    <w:rsid w:val="00555025"/>
    <w:rsid w:val="00556655"/>
    <w:rsid w:val="00557A6E"/>
    <w:rsid w:val="00560406"/>
    <w:rsid w:val="00561004"/>
    <w:rsid w:val="00561578"/>
    <w:rsid w:val="00561D45"/>
    <w:rsid w:val="005628B3"/>
    <w:rsid w:val="00562F45"/>
    <w:rsid w:val="00564461"/>
    <w:rsid w:val="00564C24"/>
    <w:rsid w:val="00564EDD"/>
    <w:rsid w:val="00564F9E"/>
    <w:rsid w:val="00565C60"/>
    <w:rsid w:val="00565D3F"/>
    <w:rsid w:val="005662A8"/>
    <w:rsid w:val="00567560"/>
    <w:rsid w:val="005709D0"/>
    <w:rsid w:val="00572218"/>
    <w:rsid w:val="005726B1"/>
    <w:rsid w:val="005734BE"/>
    <w:rsid w:val="00573D35"/>
    <w:rsid w:val="00573E5C"/>
    <w:rsid w:val="00577186"/>
    <w:rsid w:val="00580391"/>
    <w:rsid w:val="005807DD"/>
    <w:rsid w:val="00580B0A"/>
    <w:rsid w:val="0058132E"/>
    <w:rsid w:val="00582371"/>
    <w:rsid w:val="005840E4"/>
    <w:rsid w:val="00585549"/>
    <w:rsid w:val="0058696E"/>
    <w:rsid w:val="00590867"/>
    <w:rsid w:val="00591AFA"/>
    <w:rsid w:val="005926E7"/>
    <w:rsid w:val="00594586"/>
    <w:rsid w:val="00594EEC"/>
    <w:rsid w:val="005967BA"/>
    <w:rsid w:val="00597D31"/>
    <w:rsid w:val="00597D62"/>
    <w:rsid w:val="005A15E5"/>
    <w:rsid w:val="005A1BE0"/>
    <w:rsid w:val="005A2207"/>
    <w:rsid w:val="005A4488"/>
    <w:rsid w:val="005A4991"/>
    <w:rsid w:val="005A4B5F"/>
    <w:rsid w:val="005A5E94"/>
    <w:rsid w:val="005B0C9F"/>
    <w:rsid w:val="005B1135"/>
    <w:rsid w:val="005B2EFE"/>
    <w:rsid w:val="005B3E85"/>
    <w:rsid w:val="005B6687"/>
    <w:rsid w:val="005C03FC"/>
    <w:rsid w:val="005C06F5"/>
    <w:rsid w:val="005C0772"/>
    <w:rsid w:val="005C102C"/>
    <w:rsid w:val="005C2A1C"/>
    <w:rsid w:val="005C5D9F"/>
    <w:rsid w:val="005C5F1C"/>
    <w:rsid w:val="005C725A"/>
    <w:rsid w:val="005D0252"/>
    <w:rsid w:val="005D0893"/>
    <w:rsid w:val="005D2D81"/>
    <w:rsid w:val="005D36B3"/>
    <w:rsid w:val="005D49F3"/>
    <w:rsid w:val="005D6224"/>
    <w:rsid w:val="005D74B0"/>
    <w:rsid w:val="005D74B1"/>
    <w:rsid w:val="005D75BA"/>
    <w:rsid w:val="005E0471"/>
    <w:rsid w:val="005E1F67"/>
    <w:rsid w:val="005E2643"/>
    <w:rsid w:val="005E286B"/>
    <w:rsid w:val="005E2F36"/>
    <w:rsid w:val="005E3929"/>
    <w:rsid w:val="005E5CD5"/>
    <w:rsid w:val="005E6A05"/>
    <w:rsid w:val="005E7419"/>
    <w:rsid w:val="005E7D3F"/>
    <w:rsid w:val="005F11E2"/>
    <w:rsid w:val="005F1588"/>
    <w:rsid w:val="005F1889"/>
    <w:rsid w:val="005F2AB1"/>
    <w:rsid w:val="005F37D0"/>
    <w:rsid w:val="005F52CE"/>
    <w:rsid w:val="005F65B0"/>
    <w:rsid w:val="005F6867"/>
    <w:rsid w:val="005F77AA"/>
    <w:rsid w:val="005F784E"/>
    <w:rsid w:val="005F7926"/>
    <w:rsid w:val="00601A89"/>
    <w:rsid w:val="006034BE"/>
    <w:rsid w:val="006040FC"/>
    <w:rsid w:val="00604614"/>
    <w:rsid w:val="00605250"/>
    <w:rsid w:val="00605E73"/>
    <w:rsid w:val="006065D8"/>
    <w:rsid w:val="00610337"/>
    <w:rsid w:val="00610639"/>
    <w:rsid w:val="00610A06"/>
    <w:rsid w:val="00611F29"/>
    <w:rsid w:val="00612F47"/>
    <w:rsid w:val="00613828"/>
    <w:rsid w:val="00613ED2"/>
    <w:rsid w:val="00614A0C"/>
    <w:rsid w:val="0061647E"/>
    <w:rsid w:val="0061785A"/>
    <w:rsid w:val="00617B49"/>
    <w:rsid w:val="00620FD5"/>
    <w:rsid w:val="00621CB6"/>
    <w:rsid w:val="006221C7"/>
    <w:rsid w:val="00622C92"/>
    <w:rsid w:val="00623586"/>
    <w:rsid w:val="0062396A"/>
    <w:rsid w:val="006242D8"/>
    <w:rsid w:val="00624B6C"/>
    <w:rsid w:val="0062624E"/>
    <w:rsid w:val="00626A0F"/>
    <w:rsid w:val="006272FD"/>
    <w:rsid w:val="006274C9"/>
    <w:rsid w:val="00631286"/>
    <w:rsid w:val="0063264F"/>
    <w:rsid w:val="00632E37"/>
    <w:rsid w:val="00632FAE"/>
    <w:rsid w:val="006330B3"/>
    <w:rsid w:val="006341E8"/>
    <w:rsid w:val="00637320"/>
    <w:rsid w:val="0063775D"/>
    <w:rsid w:val="00640EC4"/>
    <w:rsid w:val="00641A3E"/>
    <w:rsid w:val="00641F3D"/>
    <w:rsid w:val="006422DF"/>
    <w:rsid w:val="0064479B"/>
    <w:rsid w:val="00646201"/>
    <w:rsid w:val="00646B13"/>
    <w:rsid w:val="0064781A"/>
    <w:rsid w:val="006503DE"/>
    <w:rsid w:val="00651415"/>
    <w:rsid w:val="0065148F"/>
    <w:rsid w:val="00651CAB"/>
    <w:rsid w:val="00652E5A"/>
    <w:rsid w:val="0065372C"/>
    <w:rsid w:val="00654190"/>
    <w:rsid w:val="00654D87"/>
    <w:rsid w:val="00655003"/>
    <w:rsid w:val="00655752"/>
    <w:rsid w:val="00657185"/>
    <w:rsid w:val="0066057D"/>
    <w:rsid w:val="006609E5"/>
    <w:rsid w:val="00660CBC"/>
    <w:rsid w:val="00660D7D"/>
    <w:rsid w:val="00662655"/>
    <w:rsid w:val="00662BD7"/>
    <w:rsid w:val="006639A4"/>
    <w:rsid w:val="00663B1C"/>
    <w:rsid w:val="00663D97"/>
    <w:rsid w:val="0066419A"/>
    <w:rsid w:val="00664DE3"/>
    <w:rsid w:val="0066785C"/>
    <w:rsid w:val="0067027E"/>
    <w:rsid w:val="00670B09"/>
    <w:rsid w:val="00670DED"/>
    <w:rsid w:val="00671400"/>
    <w:rsid w:val="00671BA0"/>
    <w:rsid w:val="00671E06"/>
    <w:rsid w:val="00674D44"/>
    <w:rsid w:val="00675495"/>
    <w:rsid w:val="006766F6"/>
    <w:rsid w:val="00677126"/>
    <w:rsid w:val="0067761A"/>
    <w:rsid w:val="00677925"/>
    <w:rsid w:val="00677B20"/>
    <w:rsid w:val="00677D60"/>
    <w:rsid w:val="00681169"/>
    <w:rsid w:val="00682C50"/>
    <w:rsid w:val="00683D36"/>
    <w:rsid w:val="00684858"/>
    <w:rsid w:val="006865E3"/>
    <w:rsid w:val="00686720"/>
    <w:rsid w:val="00687CB0"/>
    <w:rsid w:val="006900C3"/>
    <w:rsid w:val="006907AA"/>
    <w:rsid w:val="0069129E"/>
    <w:rsid w:val="006916BD"/>
    <w:rsid w:val="0069281E"/>
    <w:rsid w:val="00692D19"/>
    <w:rsid w:val="00693CC0"/>
    <w:rsid w:val="00694923"/>
    <w:rsid w:val="00696EA1"/>
    <w:rsid w:val="006979DB"/>
    <w:rsid w:val="00697E1C"/>
    <w:rsid w:val="006A16A9"/>
    <w:rsid w:val="006A1AC3"/>
    <w:rsid w:val="006A1F95"/>
    <w:rsid w:val="006A2792"/>
    <w:rsid w:val="006A3BE7"/>
    <w:rsid w:val="006A5028"/>
    <w:rsid w:val="006A5829"/>
    <w:rsid w:val="006A62BC"/>
    <w:rsid w:val="006A6582"/>
    <w:rsid w:val="006B18D1"/>
    <w:rsid w:val="006B1F9E"/>
    <w:rsid w:val="006B231B"/>
    <w:rsid w:val="006B6A62"/>
    <w:rsid w:val="006C05ED"/>
    <w:rsid w:val="006C07DE"/>
    <w:rsid w:val="006C0919"/>
    <w:rsid w:val="006C1CE2"/>
    <w:rsid w:val="006C2847"/>
    <w:rsid w:val="006C3EAD"/>
    <w:rsid w:val="006C4472"/>
    <w:rsid w:val="006C4D40"/>
    <w:rsid w:val="006C5376"/>
    <w:rsid w:val="006C5678"/>
    <w:rsid w:val="006C6298"/>
    <w:rsid w:val="006C6C0B"/>
    <w:rsid w:val="006C7627"/>
    <w:rsid w:val="006D01D6"/>
    <w:rsid w:val="006D1D7A"/>
    <w:rsid w:val="006D278D"/>
    <w:rsid w:val="006D394D"/>
    <w:rsid w:val="006D3C0D"/>
    <w:rsid w:val="006D494A"/>
    <w:rsid w:val="006D4F82"/>
    <w:rsid w:val="006D7B92"/>
    <w:rsid w:val="006D7C5C"/>
    <w:rsid w:val="006E020F"/>
    <w:rsid w:val="006E0541"/>
    <w:rsid w:val="006E0705"/>
    <w:rsid w:val="006E1EDF"/>
    <w:rsid w:val="006E5985"/>
    <w:rsid w:val="006E6215"/>
    <w:rsid w:val="006E628E"/>
    <w:rsid w:val="006F0360"/>
    <w:rsid w:val="006F0FE9"/>
    <w:rsid w:val="006F255C"/>
    <w:rsid w:val="006F2C4D"/>
    <w:rsid w:val="006F2F98"/>
    <w:rsid w:val="006F3E13"/>
    <w:rsid w:val="006F4BD3"/>
    <w:rsid w:val="006F51A5"/>
    <w:rsid w:val="007002DA"/>
    <w:rsid w:val="00703BFD"/>
    <w:rsid w:val="007051F3"/>
    <w:rsid w:val="00705FC2"/>
    <w:rsid w:val="0070724B"/>
    <w:rsid w:val="0070788F"/>
    <w:rsid w:val="00707D8E"/>
    <w:rsid w:val="00707FE4"/>
    <w:rsid w:val="007115A1"/>
    <w:rsid w:val="00711D11"/>
    <w:rsid w:val="00713355"/>
    <w:rsid w:val="00713712"/>
    <w:rsid w:val="00716D58"/>
    <w:rsid w:val="00717590"/>
    <w:rsid w:val="00717798"/>
    <w:rsid w:val="00717F12"/>
    <w:rsid w:val="0072088F"/>
    <w:rsid w:val="00721B3F"/>
    <w:rsid w:val="00722401"/>
    <w:rsid w:val="00722BED"/>
    <w:rsid w:val="00726A6A"/>
    <w:rsid w:val="0073012D"/>
    <w:rsid w:val="0073022B"/>
    <w:rsid w:val="00730EC1"/>
    <w:rsid w:val="00731C4F"/>
    <w:rsid w:val="00731E86"/>
    <w:rsid w:val="00732796"/>
    <w:rsid w:val="007329A0"/>
    <w:rsid w:val="0073436E"/>
    <w:rsid w:val="00735D0C"/>
    <w:rsid w:val="00736F19"/>
    <w:rsid w:val="0073786D"/>
    <w:rsid w:val="00742A3A"/>
    <w:rsid w:val="00743384"/>
    <w:rsid w:val="007435BF"/>
    <w:rsid w:val="0074384A"/>
    <w:rsid w:val="00745AD6"/>
    <w:rsid w:val="00746B3A"/>
    <w:rsid w:val="00746DA7"/>
    <w:rsid w:val="00746EA7"/>
    <w:rsid w:val="0074796C"/>
    <w:rsid w:val="00747AB1"/>
    <w:rsid w:val="007500FE"/>
    <w:rsid w:val="0075024C"/>
    <w:rsid w:val="007504FB"/>
    <w:rsid w:val="00752FA3"/>
    <w:rsid w:val="00753E91"/>
    <w:rsid w:val="00753EDD"/>
    <w:rsid w:val="0075467F"/>
    <w:rsid w:val="00755C97"/>
    <w:rsid w:val="00755E0E"/>
    <w:rsid w:val="00755E15"/>
    <w:rsid w:val="00756979"/>
    <w:rsid w:val="00761E41"/>
    <w:rsid w:val="00762500"/>
    <w:rsid w:val="0076271A"/>
    <w:rsid w:val="0076536C"/>
    <w:rsid w:val="00765FB7"/>
    <w:rsid w:val="00766586"/>
    <w:rsid w:val="007670DF"/>
    <w:rsid w:val="007674D2"/>
    <w:rsid w:val="0077029C"/>
    <w:rsid w:val="00771755"/>
    <w:rsid w:val="00772D22"/>
    <w:rsid w:val="00772D79"/>
    <w:rsid w:val="00773608"/>
    <w:rsid w:val="00775B96"/>
    <w:rsid w:val="00776242"/>
    <w:rsid w:val="00776AD1"/>
    <w:rsid w:val="00777D0D"/>
    <w:rsid w:val="00780459"/>
    <w:rsid w:val="0078103C"/>
    <w:rsid w:val="00782BFF"/>
    <w:rsid w:val="007843EC"/>
    <w:rsid w:val="007846AF"/>
    <w:rsid w:val="007855A9"/>
    <w:rsid w:val="0078742B"/>
    <w:rsid w:val="00790CDC"/>
    <w:rsid w:val="0079110C"/>
    <w:rsid w:val="007919CD"/>
    <w:rsid w:val="0079346F"/>
    <w:rsid w:val="007949D9"/>
    <w:rsid w:val="00794E28"/>
    <w:rsid w:val="007959D9"/>
    <w:rsid w:val="00797A19"/>
    <w:rsid w:val="007A1AE1"/>
    <w:rsid w:val="007A2873"/>
    <w:rsid w:val="007A3937"/>
    <w:rsid w:val="007A48AD"/>
    <w:rsid w:val="007A4AA6"/>
    <w:rsid w:val="007A6A16"/>
    <w:rsid w:val="007A6B38"/>
    <w:rsid w:val="007A73E2"/>
    <w:rsid w:val="007B0CD4"/>
    <w:rsid w:val="007B1805"/>
    <w:rsid w:val="007B229F"/>
    <w:rsid w:val="007B3673"/>
    <w:rsid w:val="007B3B16"/>
    <w:rsid w:val="007B754B"/>
    <w:rsid w:val="007C00FD"/>
    <w:rsid w:val="007C049E"/>
    <w:rsid w:val="007C1972"/>
    <w:rsid w:val="007C24A6"/>
    <w:rsid w:val="007C25A9"/>
    <w:rsid w:val="007C3BFD"/>
    <w:rsid w:val="007C4373"/>
    <w:rsid w:val="007C4EA8"/>
    <w:rsid w:val="007C528F"/>
    <w:rsid w:val="007C7643"/>
    <w:rsid w:val="007D230C"/>
    <w:rsid w:val="007D2DD2"/>
    <w:rsid w:val="007D36DE"/>
    <w:rsid w:val="007D4028"/>
    <w:rsid w:val="007D5A25"/>
    <w:rsid w:val="007D67DF"/>
    <w:rsid w:val="007E4033"/>
    <w:rsid w:val="007E4EBF"/>
    <w:rsid w:val="007E5A4E"/>
    <w:rsid w:val="007E7124"/>
    <w:rsid w:val="007F1400"/>
    <w:rsid w:val="007F2C4B"/>
    <w:rsid w:val="007F4193"/>
    <w:rsid w:val="007F7238"/>
    <w:rsid w:val="0080012B"/>
    <w:rsid w:val="008016ED"/>
    <w:rsid w:val="00801B25"/>
    <w:rsid w:val="00802412"/>
    <w:rsid w:val="00807284"/>
    <w:rsid w:val="0081140D"/>
    <w:rsid w:val="00811DD1"/>
    <w:rsid w:val="00812700"/>
    <w:rsid w:val="00812706"/>
    <w:rsid w:val="0081426C"/>
    <w:rsid w:val="00814E3C"/>
    <w:rsid w:val="0081667A"/>
    <w:rsid w:val="0081747B"/>
    <w:rsid w:val="00817A57"/>
    <w:rsid w:val="00820739"/>
    <w:rsid w:val="00821809"/>
    <w:rsid w:val="008241C2"/>
    <w:rsid w:val="00825288"/>
    <w:rsid w:val="0083060A"/>
    <w:rsid w:val="008307E2"/>
    <w:rsid w:val="00832849"/>
    <w:rsid w:val="00834A8E"/>
    <w:rsid w:val="008357AA"/>
    <w:rsid w:val="00837C25"/>
    <w:rsid w:val="00837DBB"/>
    <w:rsid w:val="00837F60"/>
    <w:rsid w:val="008402D9"/>
    <w:rsid w:val="00840CE9"/>
    <w:rsid w:val="0084115D"/>
    <w:rsid w:val="008411CB"/>
    <w:rsid w:val="008431DE"/>
    <w:rsid w:val="00843860"/>
    <w:rsid w:val="00845766"/>
    <w:rsid w:val="00846277"/>
    <w:rsid w:val="00846BC0"/>
    <w:rsid w:val="008474AA"/>
    <w:rsid w:val="00851075"/>
    <w:rsid w:val="0085269A"/>
    <w:rsid w:val="00852EF8"/>
    <w:rsid w:val="00857109"/>
    <w:rsid w:val="0085776E"/>
    <w:rsid w:val="00857AC0"/>
    <w:rsid w:val="00861C69"/>
    <w:rsid w:val="00861CE2"/>
    <w:rsid w:val="0086400A"/>
    <w:rsid w:val="00864721"/>
    <w:rsid w:val="00864815"/>
    <w:rsid w:val="00867DEB"/>
    <w:rsid w:val="008703A5"/>
    <w:rsid w:val="00871892"/>
    <w:rsid w:val="00871EA9"/>
    <w:rsid w:val="00873F1B"/>
    <w:rsid w:val="00874E8F"/>
    <w:rsid w:val="00875C21"/>
    <w:rsid w:val="00876CB9"/>
    <w:rsid w:val="00876FAD"/>
    <w:rsid w:val="00880E1A"/>
    <w:rsid w:val="00882B09"/>
    <w:rsid w:val="00882E00"/>
    <w:rsid w:val="00884017"/>
    <w:rsid w:val="0088587D"/>
    <w:rsid w:val="00890413"/>
    <w:rsid w:val="00890416"/>
    <w:rsid w:val="008907EE"/>
    <w:rsid w:val="008909F9"/>
    <w:rsid w:val="00890F8A"/>
    <w:rsid w:val="00892C4B"/>
    <w:rsid w:val="00894275"/>
    <w:rsid w:val="008959F3"/>
    <w:rsid w:val="00896626"/>
    <w:rsid w:val="00896658"/>
    <w:rsid w:val="008A0092"/>
    <w:rsid w:val="008A12AC"/>
    <w:rsid w:val="008A6237"/>
    <w:rsid w:val="008A6D7E"/>
    <w:rsid w:val="008A7D54"/>
    <w:rsid w:val="008B0F10"/>
    <w:rsid w:val="008B20A2"/>
    <w:rsid w:val="008B24F0"/>
    <w:rsid w:val="008B2C9F"/>
    <w:rsid w:val="008B3B1A"/>
    <w:rsid w:val="008B4FBD"/>
    <w:rsid w:val="008B4FEF"/>
    <w:rsid w:val="008B526D"/>
    <w:rsid w:val="008B5AA3"/>
    <w:rsid w:val="008B7218"/>
    <w:rsid w:val="008B7B9B"/>
    <w:rsid w:val="008C079D"/>
    <w:rsid w:val="008C115A"/>
    <w:rsid w:val="008C1643"/>
    <w:rsid w:val="008C190E"/>
    <w:rsid w:val="008C1D83"/>
    <w:rsid w:val="008C236E"/>
    <w:rsid w:val="008C3157"/>
    <w:rsid w:val="008C3FE2"/>
    <w:rsid w:val="008C520F"/>
    <w:rsid w:val="008C65CE"/>
    <w:rsid w:val="008D1486"/>
    <w:rsid w:val="008D177B"/>
    <w:rsid w:val="008D43A0"/>
    <w:rsid w:val="008D4425"/>
    <w:rsid w:val="008D5079"/>
    <w:rsid w:val="008D6850"/>
    <w:rsid w:val="008D76E7"/>
    <w:rsid w:val="008D778A"/>
    <w:rsid w:val="008E033F"/>
    <w:rsid w:val="008E141E"/>
    <w:rsid w:val="008E1B2C"/>
    <w:rsid w:val="008E26E8"/>
    <w:rsid w:val="008E4743"/>
    <w:rsid w:val="008E496E"/>
    <w:rsid w:val="008E4A76"/>
    <w:rsid w:val="008E5037"/>
    <w:rsid w:val="008E5078"/>
    <w:rsid w:val="008E663B"/>
    <w:rsid w:val="008E7148"/>
    <w:rsid w:val="008E794A"/>
    <w:rsid w:val="008F2ECE"/>
    <w:rsid w:val="008F3C6D"/>
    <w:rsid w:val="008F5465"/>
    <w:rsid w:val="008F79E3"/>
    <w:rsid w:val="008F7E50"/>
    <w:rsid w:val="009001D8"/>
    <w:rsid w:val="009006B1"/>
    <w:rsid w:val="00900D5D"/>
    <w:rsid w:val="00900E24"/>
    <w:rsid w:val="00901649"/>
    <w:rsid w:val="00903029"/>
    <w:rsid w:val="00904924"/>
    <w:rsid w:val="00905EBB"/>
    <w:rsid w:val="00910CD3"/>
    <w:rsid w:val="00911469"/>
    <w:rsid w:val="00911B10"/>
    <w:rsid w:val="00911C3A"/>
    <w:rsid w:val="0091422F"/>
    <w:rsid w:val="00914AE6"/>
    <w:rsid w:val="00914FF1"/>
    <w:rsid w:val="009150E9"/>
    <w:rsid w:val="009155D8"/>
    <w:rsid w:val="0091598B"/>
    <w:rsid w:val="00917724"/>
    <w:rsid w:val="00917FB7"/>
    <w:rsid w:val="00920060"/>
    <w:rsid w:val="00922049"/>
    <w:rsid w:val="0092373B"/>
    <w:rsid w:val="00924B34"/>
    <w:rsid w:val="00926AB3"/>
    <w:rsid w:val="00927136"/>
    <w:rsid w:val="009301DE"/>
    <w:rsid w:val="00930F96"/>
    <w:rsid w:val="009318B7"/>
    <w:rsid w:val="0093213A"/>
    <w:rsid w:val="00932EB6"/>
    <w:rsid w:val="00933827"/>
    <w:rsid w:val="00933F8E"/>
    <w:rsid w:val="00935693"/>
    <w:rsid w:val="0093708D"/>
    <w:rsid w:val="00940464"/>
    <w:rsid w:val="009413BE"/>
    <w:rsid w:val="00942412"/>
    <w:rsid w:val="0094508F"/>
    <w:rsid w:val="00950840"/>
    <w:rsid w:val="00950ECD"/>
    <w:rsid w:val="00951F90"/>
    <w:rsid w:val="00952177"/>
    <w:rsid w:val="0095411E"/>
    <w:rsid w:val="00954E13"/>
    <w:rsid w:val="009552A7"/>
    <w:rsid w:val="00955854"/>
    <w:rsid w:val="009568E2"/>
    <w:rsid w:val="00957422"/>
    <w:rsid w:val="00960DC4"/>
    <w:rsid w:val="00961472"/>
    <w:rsid w:val="009621D6"/>
    <w:rsid w:val="009623F3"/>
    <w:rsid w:val="00962F84"/>
    <w:rsid w:val="009630B1"/>
    <w:rsid w:val="00963D90"/>
    <w:rsid w:val="009661E3"/>
    <w:rsid w:val="0096652F"/>
    <w:rsid w:val="00966C92"/>
    <w:rsid w:val="00973ECC"/>
    <w:rsid w:val="0098086A"/>
    <w:rsid w:val="00980BF2"/>
    <w:rsid w:val="00981A61"/>
    <w:rsid w:val="00982218"/>
    <w:rsid w:val="0098290B"/>
    <w:rsid w:val="00985126"/>
    <w:rsid w:val="00986219"/>
    <w:rsid w:val="009879B1"/>
    <w:rsid w:val="00990A09"/>
    <w:rsid w:val="00990BE8"/>
    <w:rsid w:val="00991CCB"/>
    <w:rsid w:val="009934CD"/>
    <w:rsid w:val="0099390A"/>
    <w:rsid w:val="00994252"/>
    <w:rsid w:val="009962FA"/>
    <w:rsid w:val="009971FE"/>
    <w:rsid w:val="00997BB5"/>
    <w:rsid w:val="009A08D3"/>
    <w:rsid w:val="009A0BAE"/>
    <w:rsid w:val="009A10D4"/>
    <w:rsid w:val="009A113B"/>
    <w:rsid w:val="009A25A7"/>
    <w:rsid w:val="009A4A86"/>
    <w:rsid w:val="009A61F9"/>
    <w:rsid w:val="009A6AD2"/>
    <w:rsid w:val="009A7B08"/>
    <w:rsid w:val="009B0D04"/>
    <w:rsid w:val="009B2168"/>
    <w:rsid w:val="009B21AB"/>
    <w:rsid w:val="009B2816"/>
    <w:rsid w:val="009B2D09"/>
    <w:rsid w:val="009B32F8"/>
    <w:rsid w:val="009B3567"/>
    <w:rsid w:val="009B3C42"/>
    <w:rsid w:val="009B4245"/>
    <w:rsid w:val="009B60A9"/>
    <w:rsid w:val="009C03E5"/>
    <w:rsid w:val="009C0A9F"/>
    <w:rsid w:val="009C1A6A"/>
    <w:rsid w:val="009C3AA1"/>
    <w:rsid w:val="009C3F1A"/>
    <w:rsid w:val="009C498E"/>
    <w:rsid w:val="009D0940"/>
    <w:rsid w:val="009D0B98"/>
    <w:rsid w:val="009D186E"/>
    <w:rsid w:val="009D1C11"/>
    <w:rsid w:val="009D2AA5"/>
    <w:rsid w:val="009D2BF1"/>
    <w:rsid w:val="009D37DA"/>
    <w:rsid w:val="009D740F"/>
    <w:rsid w:val="009E0447"/>
    <w:rsid w:val="009E3244"/>
    <w:rsid w:val="009E4C8C"/>
    <w:rsid w:val="009E5476"/>
    <w:rsid w:val="009E5844"/>
    <w:rsid w:val="009E5AF6"/>
    <w:rsid w:val="009E6C58"/>
    <w:rsid w:val="009E702C"/>
    <w:rsid w:val="009F41FC"/>
    <w:rsid w:val="009F457A"/>
    <w:rsid w:val="009F526E"/>
    <w:rsid w:val="009F56E7"/>
    <w:rsid w:val="009F62D4"/>
    <w:rsid w:val="009F7F53"/>
    <w:rsid w:val="00A00ACC"/>
    <w:rsid w:val="00A01E71"/>
    <w:rsid w:val="00A031BD"/>
    <w:rsid w:val="00A03DF0"/>
    <w:rsid w:val="00A0439B"/>
    <w:rsid w:val="00A045FF"/>
    <w:rsid w:val="00A0490D"/>
    <w:rsid w:val="00A05C14"/>
    <w:rsid w:val="00A05F4C"/>
    <w:rsid w:val="00A07070"/>
    <w:rsid w:val="00A07B16"/>
    <w:rsid w:val="00A106AB"/>
    <w:rsid w:val="00A11496"/>
    <w:rsid w:val="00A13718"/>
    <w:rsid w:val="00A13EAC"/>
    <w:rsid w:val="00A14804"/>
    <w:rsid w:val="00A1537D"/>
    <w:rsid w:val="00A153E5"/>
    <w:rsid w:val="00A157E3"/>
    <w:rsid w:val="00A17E84"/>
    <w:rsid w:val="00A20457"/>
    <w:rsid w:val="00A2181D"/>
    <w:rsid w:val="00A220CA"/>
    <w:rsid w:val="00A24ED9"/>
    <w:rsid w:val="00A25CD9"/>
    <w:rsid w:val="00A27070"/>
    <w:rsid w:val="00A275EA"/>
    <w:rsid w:val="00A30BAB"/>
    <w:rsid w:val="00A30CC1"/>
    <w:rsid w:val="00A31D96"/>
    <w:rsid w:val="00A333AD"/>
    <w:rsid w:val="00A33CD4"/>
    <w:rsid w:val="00A358CD"/>
    <w:rsid w:val="00A3625B"/>
    <w:rsid w:val="00A40CE3"/>
    <w:rsid w:val="00A41C0B"/>
    <w:rsid w:val="00A41CE7"/>
    <w:rsid w:val="00A41FDC"/>
    <w:rsid w:val="00A42E3E"/>
    <w:rsid w:val="00A42F9E"/>
    <w:rsid w:val="00A432C6"/>
    <w:rsid w:val="00A433B9"/>
    <w:rsid w:val="00A44694"/>
    <w:rsid w:val="00A449AF"/>
    <w:rsid w:val="00A44FAF"/>
    <w:rsid w:val="00A4529F"/>
    <w:rsid w:val="00A45311"/>
    <w:rsid w:val="00A50013"/>
    <w:rsid w:val="00A51BF5"/>
    <w:rsid w:val="00A523D5"/>
    <w:rsid w:val="00A52E66"/>
    <w:rsid w:val="00A55341"/>
    <w:rsid w:val="00A56C10"/>
    <w:rsid w:val="00A60260"/>
    <w:rsid w:val="00A6118A"/>
    <w:rsid w:val="00A6276B"/>
    <w:rsid w:val="00A62FA1"/>
    <w:rsid w:val="00A645DB"/>
    <w:rsid w:val="00A64F93"/>
    <w:rsid w:val="00A660B2"/>
    <w:rsid w:val="00A70356"/>
    <w:rsid w:val="00A71E58"/>
    <w:rsid w:val="00A72276"/>
    <w:rsid w:val="00A734AF"/>
    <w:rsid w:val="00A769F0"/>
    <w:rsid w:val="00A77121"/>
    <w:rsid w:val="00A8020B"/>
    <w:rsid w:val="00A80892"/>
    <w:rsid w:val="00A81B1E"/>
    <w:rsid w:val="00A82976"/>
    <w:rsid w:val="00A84F5A"/>
    <w:rsid w:val="00A86754"/>
    <w:rsid w:val="00A86824"/>
    <w:rsid w:val="00A90D7D"/>
    <w:rsid w:val="00A90FB0"/>
    <w:rsid w:val="00A9129C"/>
    <w:rsid w:val="00A918E3"/>
    <w:rsid w:val="00A92DEF"/>
    <w:rsid w:val="00A93B57"/>
    <w:rsid w:val="00A93F11"/>
    <w:rsid w:val="00A95012"/>
    <w:rsid w:val="00A955FC"/>
    <w:rsid w:val="00A965EB"/>
    <w:rsid w:val="00A97EDE"/>
    <w:rsid w:val="00AA31F1"/>
    <w:rsid w:val="00AA35C1"/>
    <w:rsid w:val="00AA3DF1"/>
    <w:rsid w:val="00AA475F"/>
    <w:rsid w:val="00AA6CB6"/>
    <w:rsid w:val="00AA6E0D"/>
    <w:rsid w:val="00AA6E63"/>
    <w:rsid w:val="00AB0B63"/>
    <w:rsid w:val="00AB1E34"/>
    <w:rsid w:val="00AB2DDB"/>
    <w:rsid w:val="00AB4AD5"/>
    <w:rsid w:val="00AB7C43"/>
    <w:rsid w:val="00AB7DFE"/>
    <w:rsid w:val="00AB7F28"/>
    <w:rsid w:val="00AC0D56"/>
    <w:rsid w:val="00AC146C"/>
    <w:rsid w:val="00AC1C9B"/>
    <w:rsid w:val="00AC1D85"/>
    <w:rsid w:val="00AC21A7"/>
    <w:rsid w:val="00AC25AD"/>
    <w:rsid w:val="00AC3D48"/>
    <w:rsid w:val="00AC57B4"/>
    <w:rsid w:val="00AC57BB"/>
    <w:rsid w:val="00AD0A6E"/>
    <w:rsid w:val="00AD45EB"/>
    <w:rsid w:val="00AD46C2"/>
    <w:rsid w:val="00AD46EE"/>
    <w:rsid w:val="00AD6809"/>
    <w:rsid w:val="00AE3A3C"/>
    <w:rsid w:val="00AE3B9A"/>
    <w:rsid w:val="00AE4433"/>
    <w:rsid w:val="00AE5635"/>
    <w:rsid w:val="00AE652B"/>
    <w:rsid w:val="00AE7A33"/>
    <w:rsid w:val="00AF1284"/>
    <w:rsid w:val="00AF12DA"/>
    <w:rsid w:val="00AF13E7"/>
    <w:rsid w:val="00AF179F"/>
    <w:rsid w:val="00AF2114"/>
    <w:rsid w:val="00AF2577"/>
    <w:rsid w:val="00AF3122"/>
    <w:rsid w:val="00AF330B"/>
    <w:rsid w:val="00AF335B"/>
    <w:rsid w:val="00AF3A81"/>
    <w:rsid w:val="00AF3CDC"/>
    <w:rsid w:val="00AF4DD4"/>
    <w:rsid w:val="00AF5874"/>
    <w:rsid w:val="00B00DC3"/>
    <w:rsid w:val="00B013B4"/>
    <w:rsid w:val="00B01AE0"/>
    <w:rsid w:val="00B01CD4"/>
    <w:rsid w:val="00B01F63"/>
    <w:rsid w:val="00B024C5"/>
    <w:rsid w:val="00B02F17"/>
    <w:rsid w:val="00B0398B"/>
    <w:rsid w:val="00B05A1C"/>
    <w:rsid w:val="00B1010F"/>
    <w:rsid w:val="00B10923"/>
    <w:rsid w:val="00B1191E"/>
    <w:rsid w:val="00B124E2"/>
    <w:rsid w:val="00B12C1B"/>
    <w:rsid w:val="00B13BBC"/>
    <w:rsid w:val="00B13E97"/>
    <w:rsid w:val="00B14AA4"/>
    <w:rsid w:val="00B15430"/>
    <w:rsid w:val="00B15448"/>
    <w:rsid w:val="00B1550D"/>
    <w:rsid w:val="00B15E57"/>
    <w:rsid w:val="00B16F33"/>
    <w:rsid w:val="00B1739D"/>
    <w:rsid w:val="00B218CE"/>
    <w:rsid w:val="00B21B25"/>
    <w:rsid w:val="00B2590E"/>
    <w:rsid w:val="00B25C47"/>
    <w:rsid w:val="00B27282"/>
    <w:rsid w:val="00B2732B"/>
    <w:rsid w:val="00B30F02"/>
    <w:rsid w:val="00B31920"/>
    <w:rsid w:val="00B31B15"/>
    <w:rsid w:val="00B3425D"/>
    <w:rsid w:val="00B35CA9"/>
    <w:rsid w:val="00B36E14"/>
    <w:rsid w:val="00B36F1A"/>
    <w:rsid w:val="00B37102"/>
    <w:rsid w:val="00B40A87"/>
    <w:rsid w:val="00B41B3F"/>
    <w:rsid w:val="00B425CB"/>
    <w:rsid w:val="00B43B4F"/>
    <w:rsid w:val="00B471B5"/>
    <w:rsid w:val="00B476C4"/>
    <w:rsid w:val="00B514B5"/>
    <w:rsid w:val="00B522F5"/>
    <w:rsid w:val="00B5373D"/>
    <w:rsid w:val="00B53754"/>
    <w:rsid w:val="00B56079"/>
    <w:rsid w:val="00B573A0"/>
    <w:rsid w:val="00B57778"/>
    <w:rsid w:val="00B601EF"/>
    <w:rsid w:val="00B6056F"/>
    <w:rsid w:val="00B60824"/>
    <w:rsid w:val="00B60941"/>
    <w:rsid w:val="00B60AD9"/>
    <w:rsid w:val="00B61C69"/>
    <w:rsid w:val="00B640C5"/>
    <w:rsid w:val="00B64DB1"/>
    <w:rsid w:val="00B65788"/>
    <w:rsid w:val="00B6727E"/>
    <w:rsid w:val="00B712E6"/>
    <w:rsid w:val="00B731C5"/>
    <w:rsid w:val="00B7474F"/>
    <w:rsid w:val="00B74E7B"/>
    <w:rsid w:val="00B75B70"/>
    <w:rsid w:val="00B7619E"/>
    <w:rsid w:val="00B76288"/>
    <w:rsid w:val="00B762F4"/>
    <w:rsid w:val="00B77259"/>
    <w:rsid w:val="00B80FD7"/>
    <w:rsid w:val="00B82829"/>
    <w:rsid w:val="00B82942"/>
    <w:rsid w:val="00B84572"/>
    <w:rsid w:val="00B86238"/>
    <w:rsid w:val="00B863D8"/>
    <w:rsid w:val="00B86AD2"/>
    <w:rsid w:val="00B906A9"/>
    <w:rsid w:val="00B90D60"/>
    <w:rsid w:val="00B91203"/>
    <w:rsid w:val="00B91E64"/>
    <w:rsid w:val="00B9236D"/>
    <w:rsid w:val="00B94572"/>
    <w:rsid w:val="00B94667"/>
    <w:rsid w:val="00B9539C"/>
    <w:rsid w:val="00B954D2"/>
    <w:rsid w:val="00BA19DC"/>
    <w:rsid w:val="00BA2551"/>
    <w:rsid w:val="00BA408E"/>
    <w:rsid w:val="00BA4FA8"/>
    <w:rsid w:val="00BA5169"/>
    <w:rsid w:val="00BA5C8A"/>
    <w:rsid w:val="00BA67E1"/>
    <w:rsid w:val="00BB1156"/>
    <w:rsid w:val="00BB1B2D"/>
    <w:rsid w:val="00BB23D0"/>
    <w:rsid w:val="00BB2ED5"/>
    <w:rsid w:val="00BB611A"/>
    <w:rsid w:val="00BB6F64"/>
    <w:rsid w:val="00BC02F3"/>
    <w:rsid w:val="00BC0736"/>
    <w:rsid w:val="00BC2599"/>
    <w:rsid w:val="00BC35F5"/>
    <w:rsid w:val="00BC4516"/>
    <w:rsid w:val="00BC5548"/>
    <w:rsid w:val="00BC7F85"/>
    <w:rsid w:val="00BD0F75"/>
    <w:rsid w:val="00BD2382"/>
    <w:rsid w:val="00BD2818"/>
    <w:rsid w:val="00BD34BC"/>
    <w:rsid w:val="00BD45A5"/>
    <w:rsid w:val="00BD5C99"/>
    <w:rsid w:val="00BD657A"/>
    <w:rsid w:val="00BD6620"/>
    <w:rsid w:val="00BD721D"/>
    <w:rsid w:val="00BD73A5"/>
    <w:rsid w:val="00BE1AA1"/>
    <w:rsid w:val="00BE1C5B"/>
    <w:rsid w:val="00BE2BFE"/>
    <w:rsid w:val="00BE2C21"/>
    <w:rsid w:val="00BE4596"/>
    <w:rsid w:val="00BE477C"/>
    <w:rsid w:val="00BF0824"/>
    <w:rsid w:val="00BF40BA"/>
    <w:rsid w:val="00BF4795"/>
    <w:rsid w:val="00BF49F5"/>
    <w:rsid w:val="00BF5628"/>
    <w:rsid w:val="00BF588F"/>
    <w:rsid w:val="00BF5F51"/>
    <w:rsid w:val="00C01174"/>
    <w:rsid w:val="00C01A60"/>
    <w:rsid w:val="00C01ACC"/>
    <w:rsid w:val="00C01C44"/>
    <w:rsid w:val="00C0340B"/>
    <w:rsid w:val="00C04073"/>
    <w:rsid w:val="00C04E31"/>
    <w:rsid w:val="00C06E46"/>
    <w:rsid w:val="00C10AB9"/>
    <w:rsid w:val="00C11742"/>
    <w:rsid w:val="00C126E8"/>
    <w:rsid w:val="00C12EC6"/>
    <w:rsid w:val="00C140AB"/>
    <w:rsid w:val="00C14753"/>
    <w:rsid w:val="00C147EE"/>
    <w:rsid w:val="00C16166"/>
    <w:rsid w:val="00C17F0B"/>
    <w:rsid w:val="00C2089D"/>
    <w:rsid w:val="00C20FA9"/>
    <w:rsid w:val="00C228EA"/>
    <w:rsid w:val="00C24417"/>
    <w:rsid w:val="00C30868"/>
    <w:rsid w:val="00C32C7E"/>
    <w:rsid w:val="00C32D19"/>
    <w:rsid w:val="00C337F1"/>
    <w:rsid w:val="00C35EF5"/>
    <w:rsid w:val="00C36FAC"/>
    <w:rsid w:val="00C408EA"/>
    <w:rsid w:val="00C40D16"/>
    <w:rsid w:val="00C43948"/>
    <w:rsid w:val="00C439E8"/>
    <w:rsid w:val="00C45762"/>
    <w:rsid w:val="00C45FB5"/>
    <w:rsid w:val="00C52145"/>
    <w:rsid w:val="00C559C4"/>
    <w:rsid w:val="00C55B39"/>
    <w:rsid w:val="00C5681E"/>
    <w:rsid w:val="00C579A7"/>
    <w:rsid w:val="00C602D8"/>
    <w:rsid w:val="00C604D4"/>
    <w:rsid w:val="00C61610"/>
    <w:rsid w:val="00C61664"/>
    <w:rsid w:val="00C6180E"/>
    <w:rsid w:val="00C6458A"/>
    <w:rsid w:val="00C64F10"/>
    <w:rsid w:val="00C6523D"/>
    <w:rsid w:val="00C65A88"/>
    <w:rsid w:val="00C65C8D"/>
    <w:rsid w:val="00C65E32"/>
    <w:rsid w:val="00C66702"/>
    <w:rsid w:val="00C66937"/>
    <w:rsid w:val="00C66CB5"/>
    <w:rsid w:val="00C70FE4"/>
    <w:rsid w:val="00C71C60"/>
    <w:rsid w:val="00C71FD6"/>
    <w:rsid w:val="00C72E81"/>
    <w:rsid w:val="00C745D3"/>
    <w:rsid w:val="00C749BD"/>
    <w:rsid w:val="00C778FD"/>
    <w:rsid w:val="00C80D15"/>
    <w:rsid w:val="00C82974"/>
    <w:rsid w:val="00C84250"/>
    <w:rsid w:val="00C84C0A"/>
    <w:rsid w:val="00C8539C"/>
    <w:rsid w:val="00C85B27"/>
    <w:rsid w:val="00C8698A"/>
    <w:rsid w:val="00C869C2"/>
    <w:rsid w:val="00C86E72"/>
    <w:rsid w:val="00C8708C"/>
    <w:rsid w:val="00C87288"/>
    <w:rsid w:val="00C93404"/>
    <w:rsid w:val="00C94A6E"/>
    <w:rsid w:val="00C952DA"/>
    <w:rsid w:val="00C956A6"/>
    <w:rsid w:val="00C95BA6"/>
    <w:rsid w:val="00CA0A40"/>
    <w:rsid w:val="00CA147D"/>
    <w:rsid w:val="00CA21A4"/>
    <w:rsid w:val="00CA2ED7"/>
    <w:rsid w:val="00CA3CBD"/>
    <w:rsid w:val="00CA3FE6"/>
    <w:rsid w:val="00CA4A86"/>
    <w:rsid w:val="00CA4D1C"/>
    <w:rsid w:val="00CA729D"/>
    <w:rsid w:val="00CB0671"/>
    <w:rsid w:val="00CB111B"/>
    <w:rsid w:val="00CB2DA6"/>
    <w:rsid w:val="00CB3F3E"/>
    <w:rsid w:val="00CB4B93"/>
    <w:rsid w:val="00CB72A3"/>
    <w:rsid w:val="00CC0DCD"/>
    <w:rsid w:val="00CC156B"/>
    <w:rsid w:val="00CC31D6"/>
    <w:rsid w:val="00CC37FB"/>
    <w:rsid w:val="00CC4012"/>
    <w:rsid w:val="00CC4050"/>
    <w:rsid w:val="00CC407E"/>
    <w:rsid w:val="00CC60CC"/>
    <w:rsid w:val="00CC6104"/>
    <w:rsid w:val="00CC6DD8"/>
    <w:rsid w:val="00CC726C"/>
    <w:rsid w:val="00CD1006"/>
    <w:rsid w:val="00CD1F43"/>
    <w:rsid w:val="00CD1F68"/>
    <w:rsid w:val="00CD2057"/>
    <w:rsid w:val="00CD2E5B"/>
    <w:rsid w:val="00CD389D"/>
    <w:rsid w:val="00CD39F0"/>
    <w:rsid w:val="00CD516C"/>
    <w:rsid w:val="00CE2214"/>
    <w:rsid w:val="00CE4C27"/>
    <w:rsid w:val="00CE78FF"/>
    <w:rsid w:val="00CE7B81"/>
    <w:rsid w:val="00CE7E1A"/>
    <w:rsid w:val="00CF015C"/>
    <w:rsid w:val="00CF154C"/>
    <w:rsid w:val="00CF5FA2"/>
    <w:rsid w:val="00CF7A6E"/>
    <w:rsid w:val="00D01794"/>
    <w:rsid w:val="00D0211B"/>
    <w:rsid w:val="00D02A8D"/>
    <w:rsid w:val="00D04CAB"/>
    <w:rsid w:val="00D10238"/>
    <w:rsid w:val="00D10968"/>
    <w:rsid w:val="00D1202D"/>
    <w:rsid w:val="00D133BB"/>
    <w:rsid w:val="00D13592"/>
    <w:rsid w:val="00D149D0"/>
    <w:rsid w:val="00D14A9D"/>
    <w:rsid w:val="00D1616A"/>
    <w:rsid w:val="00D17599"/>
    <w:rsid w:val="00D17E08"/>
    <w:rsid w:val="00D20826"/>
    <w:rsid w:val="00D2332D"/>
    <w:rsid w:val="00D234B0"/>
    <w:rsid w:val="00D255BD"/>
    <w:rsid w:val="00D255D6"/>
    <w:rsid w:val="00D25BC7"/>
    <w:rsid w:val="00D25FFB"/>
    <w:rsid w:val="00D27709"/>
    <w:rsid w:val="00D30157"/>
    <w:rsid w:val="00D307B6"/>
    <w:rsid w:val="00D31D94"/>
    <w:rsid w:val="00D353B1"/>
    <w:rsid w:val="00D355E2"/>
    <w:rsid w:val="00D37208"/>
    <w:rsid w:val="00D376E3"/>
    <w:rsid w:val="00D42834"/>
    <w:rsid w:val="00D44EDE"/>
    <w:rsid w:val="00D4506A"/>
    <w:rsid w:val="00D4579C"/>
    <w:rsid w:val="00D459A8"/>
    <w:rsid w:val="00D4663E"/>
    <w:rsid w:val="00D501F8"/>
    <w:rsid w:val="00D50235"/>
    <w:rsid w:val="00D52C56"/>
    <w:rsid w:val="00D53233"/>
    <w:rsid w:val="00D534EC"/>
    <w:rsid w:val="00D53C8D"/>
    <w:rsid w:val="00D53FAF"/>
    <w:rsid w:val="00D5487D"/>
    <w:rsid w:val="00D54A2D"/>
    <w:rsid w:val="00D560D8"/>
    <w:rsid w:val="00D564FA"/>
    <w:rsid w:val="00D56A31"/>
    <w:rsid w:val="00D6093D"/>
    <w:rsid w:val="00D63071"/>
    <w:rsid w:val="00D635BD"/>
    <w:rsid w:val="00D63B96"/>
    <w:rsid w:val="00D65A84"/>
    <w:rsid w:val="00D65E05"/>
    <w:rsid w:val="00D70E08"/>
    <w:rsid w:val="00D721C7"/>
    <w:rsid w:val="00D72958"/>
    <w:rsid w:val="00D734D4"/>
    <w:rsid w:val="00D7372B"/>
    <w:rsid w:val="00D76C09"/>
    <w:rsid w:val="00D77B8F"/>
    <w:rsid w:val="00D8111E"/>
    <w:rsid w:val="00D820A0"/>
    <w:rsid w:val="00D82CA7"/>
    <w:rsid w:val="00D83D96"/>
    <w:rsid w:val="00D84109"/>
    <w:rsid w:val="00D843D6"/>
    <w:rsid w:val="00D85A2A"/>
    <w:rsid w:val="00D8630E"/>
    <w:rsid w:val="00D9217B"/>
    <w:rsid w:val="00D9377C"/>
    <w:rsid w:val="00D94008"/>
    <w:rsid w:val="00D945D3"/>
    <w:rsid w:val="00D946DE"/>
    <w:rsid w:val="00D96816"/>
    <w:rsid w:val="00D96C60"/>
    <w:rsid w:val="00D970AA"/>
    <w:rsid w:val="00D975D3"/>
    <w:rsid w:val="00DA0640"/>
    <w:rsid w:val="00DA159D"/>
    <w:rsid w:val="00DA3F2B"/>
    <w:rsid w:val="00DA4F94"/>
    <w:rsid w:val="00DA6590"/>
    <w:rsid w:val="00DB2A92"/>
    <w:rsid w:val="00DB414E"/>
    <w:rsid w:val="00DB43BE"/>
    <w:rsid w:val="00DB5492"/>
    <w:rsid w:val="00DB5E03"/>
    <w:rsid w:val="00DB6AE1"/>
    <w:rsid w:val="00DB7DEB"/>
    <w:rsid w:val="00DC0246"/>
    <w:rsid w:val="00DC1461"/>
    <w:rsid w:val="00DC1793"/>
    <w:rsid w:val="00DC27E7"/>
    <w:rsid w:val="00DC3CE1"/>
    <w:rsid w:val="00DC40B1"/>
    <w:rsid w:val="00DC4535"/>
    <w:rsid w:val="00DC677C"/>
    <w:rsid w:val="00DD055D"/>
    <w:rsid w:val="00DD1157"/>
    <w:rsid w:val="00DD1E6E"/>
    <w:rsid w:val="00DD27AB"/>
    <w:rsid w:val="00DD305B"/>
    <w:rsid w:val="00DD4192"/>
    <w:rsid w:val="00DD5C87"/>
    <w:rsid w:val="00DE08B8"/>
    <w:rsid w:val="00DE2CA2"/>
    <w:rsid w:val="00DE597C"/>
    <w:rsid w:val="00DE6410"/>
    <w:rsid w:val="00DE6C32"/>
    <w:rsid w:val="00DE6E1F"/>
    <w:rsid w:val="00DE7B51"/>
    <w:rsid w:val="00DF33F2"/>
    <w:rsid w:val="00DF471D"/>
    <w:rsid w:val="00DF47EA"/>
    <w:rsid w:val="00DF60DF"/>
    <w:rsid w:val="00DF72F8"/>
    <w:rsid w:val="00DF765D"/>
    <w:rsid w:val="00E01395"/>
    <w:rsid w:val="00E01F6C"/>
    <w:rsid w:val="00E025DA"/>
    <w:rsid w:val="00E02EE8"/>
    <w:rsid w:val="00E031D9"/>
    <w:rsid w:val="00E050EC"/>
    <w:rsid w:val="00E054E7"/>
    <w:rsid w:val="00E05542"/>
    <w:rsid w:val="00E062B7"/>
    <w:rsid w:val="00E103E1"/>
    <w:rsid w:val="00E10591"/>
    <w:rsid w:val="00E110EF"/>
    <w:rsid w:val="00E114E4"/>
    <w:rsid w:val="00E129A7"/>
    <w:rsid w:val="00E14C79"/>
    <w:rsid w:val="00E15712"/>
    <w:rsid w:val="00E15CE7"/>
    <w:rsid w:val="00E15E9E"/>
    <w:rsid w:val="00E230F3"/>
    <w:rsid w:val="00E24673"/>
    <w:rsid w:val="00E2483E"/>
    <w:rsid w:val="00E262B7"/>
    <w:rsid w:val="00E263D6"/>
    <w:rsid w:val="00E270ED"/>
    <w:rsid w:val="00E3250F"/>
    <w:rsid w:val="00E3291F"/>
    <w:rsid w:val="00E32EC7"/>
    <w:rsid w:val="00E339BC"/>
    <w:rsid w:val="00E378D9"/>
    <w:rsid w:val="00E37DBB"/>
    <w:rsid w:val="00E37F3C"/>
    <w:rsid w:val="00E415EF"/>
    <w:rsid w:val="00E41E4E"/>
    <w:rsid w:val="00E4212F"/>
    <w:rsid w:val="00E428F7"/>
    <w:rsid w:val="00E4352E"/>
    <w:rsid w:val="00E4366D"/>
    <w:rsid w:val="00E43E52"/>
    <w:rsid w:val="00E4404F"/>
    <w:rsid w:val="00E465FB"/>
    <w:rsid w:val="00E47D85"/>
    <w:rsid w:val="00E510D4"/>
    <w:rsid w:val="00E51136"/>
    <w:rsid w:val="00E521F8"/>
    <w:rsid w:val="00E5256F"/>
    <w:rsid w:val="00E540AA"/>
    <w:rsid w:val="00E54863"/>
    <w:rsid w:val="00E55981"/>
    <w:rsid w:val="00E55FB5"/>
    <w:rsid w:val="00E57664"/>
    <w:rsid w:val="00E6006B"/>
    <w:rsid w:val="00E60238"/>
    <w:rsid w:val="00E605E0"/>
    <w:rsid w:val="00E60981"/>
    <w:rsid w:val="00E62CF0"/>
    <w:rsid w:val="00E6327B"/>
    <w:rsid w:val="00E63589"/>
    <w:rsid w:val="00E63A23"/>
    <w:rsid w:val="00E63C23"/>
    <w:rsid w:val="00E64B4F"/>
    <w:rsid w:val="00E64BDB"/>
    <w:rsid w:val="00E67FB5"/>
    <w:rsid w:val="00E67FFA"/>
    <w:rsid w:val="00E71416"/>
    <w:rsid w:val="00E722C8"/>
    <w:rsid w:val="00E72BF9"/>
    <w:rsid w:val="00E73951"/>
    <w:rsid w:val="00E756A4"/>
    <w:rsid w:val="00E7594D"/>
    <w:rsid w:val="00E75E5A"/>
    <w:rsid w:val="00E811D4"/>
    <w:rsid w:val="00E81BAF"/>
    <w:rsid w:val="00E81DE8"/>
    <w:rsid w:val="00E83F91"/>
    <w:rsid w:val="00E84761"/>
    <w:rsid w:val="00E84DE6"/>
    <w:rsid w:val="00E856E1"/>
    <w:rsid w:val="00E85929"/>
    <w:rsid w:val="00E85C12"/>
    <w:rsid w:val="00E85E5B"/>
    <w:rsid w:val="00E87706"/>
    <w:rsid w:val="00E90A35"/>
    <w:rsid w:val="00E91B2A"/>
    <w:rsid w:val="00E91EE3"/>
    <w:rsid w:val="00E95320"/>
    <w:rsid w:val="00E976AB"/>
    <w:rsid w:val="00E97B11"/>
    <w:rsid w:val="00E97FF6"/>
    <w:rsid w:val="00EA01DA"/>
    <w:rsid w:val="00EA0824"/>
    <w:rsid w:val="00EA1F7E"/>
    <w:rsid w:val="00EA2131"/>
    <w:rsid w:val="00EA4A3B"/>
    <w:rsid w:val="00EA509C"/>
    <w:rsid w:val="00EA52E6"/>
    <w:rsid w:val="00EA5301"/>
    <w:rsid w:val="00EA5C45"/>
    <w:rsid w:val="00EA62CB"/>
    <w:rsid w:val="00EA7C9C"/>
    <w:rsid w:val="00EB1776"/>
    <w:rsid w:val="00EB1C86"/>
    <w:rsid w:val="00EB1F09"/>
    <w:rsid w:val="00EB2214"/>
    <w:rsid w:val="00EB25DA"/>
    <w:rsid w:val="00EB2613"/>
    <w:rsid w:val="00EB413C"/>
    <w:rsid w:val="00EB493E"/>
    <w:rsid w:val="00EB49C6"/>
    <w:rsid w:val="00EB518F"/>
    <w:rsid w:val="00EB567E"/>
    <w:rsid w:val="00EB6953"/>
    <w:rsid w:val="00EB7524"/>
    <w:rsid w:val="00EC0D5B"/>
    <w:rsid w:val="00EC1641"/>
    <w:rsid w:val="00EC3EBA"/>
    <w:rsid w:val="00EC42F6"/>
    <w:rsid w:val="00EC5A76"/>
    <w:rsid w:val="00EC6C67"/>
    <w:rsid w:val="00EC77F6"/>
    <w:rsid w:val="00EC7836"/>
    <w:rsid w:val="00ED1854"/>
    <w:rsid w:val="00ED4927"/>
    <w:rsid w:val="00ED4A49"/>
    <w:rsid w:val="00ED520C"/>
    <w:rsid w:val="00ED52CE"/>
    <w:rsid w:val="00ED5495"/>
    <w:rsid w:val="00ED6FDF"/>
    <w:rsid w:val="00EE080A"/>
    <w:rsid w:val="00EE18A8"/>
    <w:rsid w:val="00EE2066"/>
    <w:rsid w:val="00EE2EAF"/>
    <w:rsid w:val="00EE3025"/>
    <w:rsid w:val="00EE4268"/>
    <w:rsid w:val="00EE474B"/>
    <w:rsid w:val="00EE6756"/>
    <w:rsid w:val="00EE6F3F"/>
    <w:rsid w:val="00EF0CBB"/>
    <w:rsid w:val="00EF0CD5"/>
    <w:rsid w:val="00EF25D7"/>
    <w:rsid w:val="00EF3B01"/>
    <w:rsid w:val="00EF4C74"/>
    <w:rsid w:val="00EF69D5"/>
    <w:rsid w:val="00EF78C7"/>
    <w:rsid w:val="00F00389"/>
    <w:rsid w:val="00F0064A"/>
    <w:rsid w:val="00F007BB"/>
    <w:rsid w:val="00F01E5E"/>
    <w:rsid w:val="00F01E7E"/>
    <w:rsid w:val="00F0542A"/>
    <w:rsid w:val="00F0580C"/>
    <w:rsid w:val="00F06003"/>
    <w:rsid w:val="00F06ACA"/>
    <w:rsid w:val="00F06F59"/>
    <w:rsid w:val="00F07B31"/>
    <w:rsid w:val="00F11980"/>
    <w:rsid w:val="00F1230C"/>
    <w:rsid w:val="00F12BD4"/>
    <w:rsid w:val="00F13647"/>
    <w:rsid w:val="00F158EB"/>
    <w:rsid w:val="00F15C34"/>
    <w:rsid w:val="00F166F3"/>
    <w:rsid w:val="00F175BE"/>
    <w:rsid w:val="00F17784"/>
    <w:rsid w:val="00F2173D"/>
    <w:rsid w:val="00F23EE9"/>
    <w:rsid w:val="00F26043"/>
    <w:rsid w:val="00F31DF0"/>
    <w:rsid w:val="00F347ED"/>
    <w:rsid w:val="00F34A85"/>
    <w:rsid w:val="00F35DDC"/>
    <w:rsid w:val="00F375DC"/>
    <w:rsid w:val="00F37AF5"/>
    <w:rsid w:val="00F407CE"/>
    <w:rsid w:val="00F40C65"/>
    <w:rsid w:val="00F411C8"/>
    <w:rsid w:val="00F41ADC"/>
    <w:rsid w:val="00F4419B"/>
    <w:rsid w:val="00F44893"/>
    <w:rsid w:val="00F45E20"/>
    <w:rsid w:val="00F46031"/>
    <w:rsid w:val="00F50EC8"/>
    <w:rsid w:val="00F54104"/>
    <w:rsid w:val="00F55CA3"/>
    <w:rsid w:val="00F56FA6"/>
    <w:rsid w:val="00F5706D"/>
    <w:rsid w:val="00F57736"/>
    <w:rsid w:val="00F61CC9"/>
    <w:rsid w:val="00F629FC"/>
    <w:rsid w:val="00F63701"/>
    <w:rsid w:val="00F63F5B"/>
    <w:rsid w:val="00F6496C"/>
    <w:rsid w:val="00F64A84"/>
    <w:rsid w:val="00F66FE8"/>
    <w:rsid w:val="00F672D6"/>
    <w:rsid w:val="00F7083E"/>
    <w:rsid w:val="00F75829"/>
    <w:rsid w:val="00F75D03"/>
    <w:rsid w:val="00F75E04"/>
    <w:rsid w:val="00F76691"/>
    <w:rsid w:val="00F76D01"/>
    <w:rsid w:val="00F777C8"/>
    <w:rsid w:val="00F81C2C"/>
    <w:rsid w:val="00F8462C"/>
    <w:rsid w:val="00F852FC"/>
    <w:rsid w:val="00F85C4A"/>
    <w:rsid w:val="00F877FB"/>
    <w:rsid w:val="00F8789A"/>
    <w:rsid w:val="00F87DDA"/>
    <w:rsid w:val="00F905CF"/>
    <w:rsid w:val="00F962F8"/>
    <w:rsid w:val="00F976BB"/>
    <w:rsid w:val="00F97FAC"/>
    <w:rsid w:val="00FA2710"/>
    <w:rsid w:val="00FA3A88"/>
    <w:rsid w:val="00FA3D75"/>
    <w:rsid w:val="00FB0598"/>
    <w:rsid w:val="00FB2B93"/>
    <w:rsid w:val="00FB2D26"/>
    <w:rsid w:val="00FB4430"/>
    <w:rsid w:val="00FB5A43"/>
    <w:rsid w:val="00FB5DF3"/>
    <w:rsid w:val="00FB72CE"/>
    <w:rsid w:val="00FB7494"/>
    <w:rsid w:val="00FB7A7C"/>
    <w:rsid w:val="00FC012A"/>
    <w:rsid w:val="00FC0182"/>
    <w:rsid w:val="00FC0B4C"/>
    <w:rsid w:val="00FC0F7C"/>
    <w:rsid w:val="00FC1912"/>
    <w:rsid w:val="00FC1A38"/>
    <w:rsid w:val="00FC1EFB"/>
    <w:rsid w:val="00FC2551"/>
    <w:rsid w:val="00FC4927"/>
    <w:rsid w:val="00FC5D3D"/>
    <w:rsid w:val="00FC5EE0"/>
    <w:rsid w:val="00FC6D64"/>
    <w:rsid w:val="00FD0472"/>
    <w:rsid w:val="00FD0E25"/>
    <w:rsid w:val="00FD11CD"/>
    <w:rsid w:val="00FD182F"/>
    <w:rsid w:val="00FD2377"/>
    <w:rsid w:val="00FD35E2"/>
    <w:rsid w:val="00FD4289"/>
    <w:rsid w:val="00FD4B6C"/>
    <w:rsid w:val="00FD5C9D"/>
    <w:rsid w:val="00FD6D6E"/>
    <w:rsid w:val="00FD74B7"/>
    <w:rsid w:val="00FD791A"/>
    <w:rsid w:val="00FD7B2B"/>
    <w:rsid w:val="00FD7CC9"/>
    <w:rsid w:val="00FD7D18"/>
    <w:rsid w:val="00FE14F6"/>
    <w:rsid w:val="00FE1A3B"/>
    <w:rsid w:val="00FE23F3"/>
    <w:rsid w:val="00FE3E83"/>
    <w:rsid w:val="00FE43BB"/>
    <w:rsid w:val="00FE4AA2"/>
    <w:rsid w:val="00FE4AD6"/>
    <w:rsid w:val="00FE4BE2"/>
    <w:rsid w:val="00FE5136"/>
    <w:rsid w:val="00FE6A92"/>
    <w:rsid w:val="00FE6FA3"/>
    <w:rsid w:val="00FE746E"/>
    <w:rsid w:val="00FE79A6"/>
    <w:rsid w:val="00FF0130"/>
    <w:rsid w:val="00FF0342"/>
    <w:rsid w:val="00FF1590"/>
    <w:rsid w:val="00FF15B1"/>
    <w:rsid w:val="00FF1986"/>
    <w:rsid w:val="00FF2E65"/>
    <w:rsid w:val="00FF3269"/>
    <w:rsid w:val="00FF44A6"/>
    <w:rsid w:val="00FF471C"/>
    <w:rsid w:val="00FF5219"/>
    <w:rsid w:val="00FF5648"/>
    <w:rsid w:val="00FF5F3A"/>
    <w:rsid w:val="00FF6103"/>
    <w:rsid w:val="01F90A55"/>
    <w:rsid w:val="026D3223"/>
    <w:rsid w:val="0397607D"/>
    <w:rsid w:val="03FB8519"/>
    <w:rsid w:val="043811BC"/>
    <w:rsid w:val="05666D75"/>
    <w:rsid w:val="07FF8339"/>
    <w:rsid w:val="08053EFD"/>
    <w:rsid w:val="09EF6C13"/>
    <w:rsid w:val="0CC214BF"/>
    <w:rsid w:val="0DC42165"/>
    <w:rsid w:val="0E68046E"/>
    <w:rsid w:val="0EFD0BE0"/>
    <w:rsid w:val="0F778322"/>
    <w:rsid w:val="10A67900"/>
    <w:rsid w:val="11D83182"/>
    <w:rsid w:val="131132D3"/>
    <w:rsid w:val="13DE2CF6"/>
    <w:rsid w:val="15B96D35"/>
    <w:rsid w:val="1706734A"/>
    <w:rsid w:val="17A10E21"/>
    <w:rsid w:val="17F9B827"/>
    <w:rsid w:val="198F6EDE"/>
    <w:rsid w:val="1ACFAA4F"/>
    <w:rsid w:val="1AF65748"/>
    <w:rsid w:val="1B1262BE"/>
    <w:rsid w:val="1B36F352"/>
    <w:rsid w:val="1BEF31AD"/>
    <w:rsid w:val="1BF6616C"/>
    <w:rsid w:val="1BFF5493"/>
    <w:rsid w:val="1C533E05"/>
    <w:rsid w:val="1CEF6A11"/>
    <w:rsid w:val="1D5B8C20"/>
    <w:rsid w:val="1EBD16D0"/>
    <w:rsid w:val="1ECE3375"/>
    <w:rsid w:val="1F6F6636"/>
    <w:rsid w:val="1FA7D45B"/>
    <w:rsid w:val="1FBABEE3"/>
    <w:rsid w:val="1FBEC458"/>
    <w:rsid w:val="1FFD3FE0"/>
    <w:rsid w:val="1FFF8239"/>
    <w:rsid w:val="228E0423"/>
    <w:rsid w:val="22B3418A"/>
    <w:rsid w:val="236FC86D"/>
    <w:rsid w:val="23F5CBCC"/>
    <w:rsid w:val="256F2CED"/>
    <w:rsid w:val="258C3110"/>
    <w:rsid w:val="263B3071"/>
    <w:rsid w:val="267A740D"/>
    <w:rsid w:val="268E242A"/>
    <w:rsid w:val="26C934B3"/>
    <w:rsid w:val="277D0E6B"/>
    <w:rsid w:val="27FF492C"/>
    <w:rsid w:val="29210571"/>
    <w:rsid w:val="2AD03A9F"/>
    <w:rsid w:val="2AEF85E4"/>
    <w:rsid w:val="2BD01F14"/>
    <w:rsid w:val="2BD61589"/>
    <w:rsid w:val="2BE61D13"/>
    <w:rsid w:val="2CA81435"/>
    <w:rsid w:val="2DDFD7B9"/>
    <w:rsid w:val="2DF9C94A"/>
    <w:rsid w:val="2EBFCA4E"/>
    <w:rsid w:val="2ED3F2A0"/>
    <w:rsid w:val="2F037915"/>
    <w:rsid w:val="2FDC740A"/>
    <w:rsid w:val="2FFDCF51"/>
    <w:rsid w:val="313034EA"/>
    <w:rsid w:val="3152640C"/>
    <w:rsid w:val="3273559F"/>
    <w:rsid w:val="32BD6FFF"/>
    <w:rsid w:val="33C539A2"/>
    <w:rsid w:val="34212DC0"/>
    <w:rsid w:val="34705B95"/>
    <w:rsid w:val="35B73900"/>
    <w:rsid w:val="35CD57AB"/>
    <w:rsid w:val="35DE9B42"/>
    <w:rsid w:val="35FF7454"/>
    <w:rsid w:val="36482C1D"/>
    <w:rsid w:val="36B67911"/>
    <w:rsid w:val="36B71136"/>
    <w:rsid w:val="36CC47A7"/>
    <w:rsid w:val="371F3751"/>
    <w:rsid w:val="37DB91BB"/>
    <w:rsid w:val="37ED2AD3"/>
    <w:rsid w:val="37EF1593"/>
    <w:rsid w:val="38DBF01E"/>
    <w:rsid w:val="397737C9"/>
    <w:rsid w:val="39EB1108"/>
    <w:rsid w:val="39FD7532"/>
    <w:rsid w:val="3AD205CF"/>
    <w:rsid w:val="3AE8273F"/>
    <w:rsid w:val="3B6D1719"/>
    <w:rsid w:val="3BB74EEF"/>
    <w:rsid w:val="3BBEE2D7"/>
    <w:rsid w:val="3BE455FD"/>
    <w:rsid w:val="3BFEE116"/>
    <w:rsid w:val="3BFF1F71"/>
    <w:rsid w:val="3BFFB301"/>
    <w:rsid w:val="3C8B2532"/>
    <w:rsid w:val="3D779B9B"/>
    <w:rsid w:val="3D8CC26C"/>
    <w:rsid w:val="3E1E5461"/>
    <w:rsid w:val="3E9EC555"/>
    <w:rsid w:val="3F5F633C"/>
    <w:rsid w:val="3F5F7525"/>
    <w:rsid w:val="3F634DBD"/>
    <w:rsid w:val="3F9FA78A"/>
    <w:rsid w:val="3FBF7EC7"/>
    <w:rsid w:val="3FBFA8E6"/>
    <w:rsid w:val="3FCAE225"/>
    <w:rsid w:val="3FE4B546"/>
    <w:rsid w:val="3FF598B5"/>
    <w:rsid w:val="3FF61677"/>
    <w:rsid w:val="3FF7F791"/>
    <w:rsid w:val="3FFF1E12"/>
    <w:rsid w:val="3FFF1EF6"/>
    <w:rsid w:val="3FFFC040"/>
    <w:rsid w:val="40A86EA0"/>
    <w:rsid w:val="41585155"/>
    <w:rsid w:val="42EA80E6"/>
    <w:rsid w:val="434B7D0F"/>
    <w:rsid w:val="44110F59"/>
    <w:rsid w:val="44630C52"/>
    <w:rsid w:val="450A60D4"/>
    <w:rsid w:val="45C67A8C"/>
    <w:rsid w:val="46264824"/>
    <w:rsid w:val="46FFE2E7"/>
    <w:rsid w:val="47F07028"/>
    <w:rsid w:val="47F52A05"/>
    <w:rsid w:val="47F7F1DF"/>
    <w:rsid w:val="47FB48DC"/>
    <w:rsid w:val="48A30398"/>
    <w:rsid w:val="48E1714C"/>
    <w:rsid w:val="4A8C758B"/>
    <w:rsid w:val="4BEB6938"/>
    <w:rsid w:val="4C0F95F1"/>
    <w:rsid w:val="4DB790C8"/>
    <w:rsid w:val="4DE80860"/>
    <w:rsid w:val="4EC72940"/>
    <w:rsid w:val="4EDEA615"/>
    <w:rsid w:val="4EEE5792"/>
    <w:rsid w:val="4EF30528"/>
    <w:rsid w:val="4EFF10B9"/>
    <w:rsid w:val="4F490069"/>
    <w:rsid w:val="4F780291"/>
    <w:rsid w:val="4F9F341F"/>
    <w:rsid w:val="4FB947E0"/>
    <w:rsid w:val="4FF50005"/>
    <w:rsid w:val="4FFEA312"/>
    <w:rsid w:val="50355344"/>
    <w:rsid w:val="50681C26"/>
    <w:rsid w:val="514C1341"/>
    <w:rsid w:val="516A1CA8"/>
    <w:rsid w:val="54643666"/>
    <w:rsid w:val="54679FA0"/>
    <w:rsid w:val="54765959"/>
    <w:rsid w:val="55DD4FF8"/>
    <w:rsid w:val="56BD4C1B"/>
    <w:rsid w:val="56DD8D8F"/>
    <w:rsid w:val="56EA0D26"/>
    <w:rsid w:val="577F1B96"/>
    <w:rsid w:val="57B574DE"/>
    <w:rsid w:val="57E79E41"/>
    <w:rsid w:val="58BDF0E8"/>
    <w:rsid w:val="58EF1411"/>
    <w:rsid w:val="5AFE0BE0"/>
    <w:rsid w:val="5B75F690"/>
    <w:rsid w:val="5C2E2712"/>
    <w:rsid w:val="5C533A65"/>
    <w:rsid w:val="5CEFF65A"/>
    <w:rsid w:val="5D653E7D"/>
    <w:rsid w:val="5D679B7C"/>
    <w:rsid w:val="5D9EC676"/>
    <w:rsid w:val="5DCF908C"/>
    <w:rsid w:val="5E047999"/>
    <w:rsid w:val="5E1FC9BB"/>
    <w:rsid w:val="5EBFB7A3"/>
    <w:rsid w:val="5EFF749D"/>
    <w:rsid w:val="5F2ABB95"/>
    <w:rsid w:val="5F64FB2D"/>
    <w:rsid w:val="5F78FAC8"/>
    <w:rsid w:val="5F7DB004"/>
    <w:rsid w:val="5F9472FF"/>
    <w:rsid w:val="5FD27E92"/>
    <w:rsid w:val="5FD33D54"/>
    <w:rsid w:val="5FEF3DF9"/>
    <w:rsid w:val="5FFB8F6B"/>
    <w:rsid w:val="5FFF7FE5"/>
    <w:rsid w:val="5FFFC6C8"/>
    <w:rsid w:val="60070DD4"/>
    <w:rsid w:val="60072691"/>
    <w:rsid w:val="60F81E78"/>
    <w:rsid w:val="6174A267"/>
    <w:rsid w:val="64CE4172"/>
    <w:rsid w:val="65AD2FA3"/>
    <w:rsid w:val="65CB600C"/>
    <w:rsid w:val="66B141AA"/>
    <w:rsid w:val="675E3799"/>
    <w:rsid w:val="676F7CC2"/>
    <w:rsid w:val="677CCFB7"/>
    <w:rsid w:val="67D02026"/>
    <w:rsid w:val="67E995C0"/>
    <w:rsid w:val="67EB7FC7"/>
    <w:rsid w:val="67FB46F1"/>
    <w:rsid w:val="681BB650"/>
    <w:rsid w:val="687840F6"/>
    <w:rsid w:val="68B53BFE"/>
    <w:rsid w:val="694B642C"/>
    <w:rsid w:val="6B9530A7"/>
    <w:rsid w:val="6BBF9E52"/>
    <w:rsid w:val="6BC92134"/>
    <w:rsid w:val="6BDBB1C1"/>
    <w:rsid w:val="6BDFA16D"/>
    <w:rsid w:val="6BEFB1D0"/>
    <w:rsid w:val="6BF2B140"/>
    <w:rsid w:val="6C0C2A1E"/>
    <w:rsid w:val="6D772EA0"/>
    <w:rsid w:val="6DAB7195"/>
    <w:rsid w:val="6E8FF170"/>
    <w:rsid w:val="6F3D52F7"/>
    <w:rsid w:val="6F59200E"/>
    <w:rsid w:val="6F835ED1"/>
    <w:rsid w:val="6F961024"/>
    <w:rsid w:val="6F9F87E8"/>
    <w:rsid w:val="6FBDDDB9"/>
    <w:rsid w:val="6FBF644A"/>
    <w:rsid w:val="6FDE4BDC"/>
    <w:rsid w:val="6FEEC815"/>
    <w:rsid w:val="6FF1A59C"/>
    <w:rsid w:val="6FF69285"/>
    <w:rsid w:val="6FFDEE64"/>
    <w:rsid w:val="6FFE72AF"/>
    <w:rsid w:val="704F058F"/>
    <w:rsid w:val="719E576F"/>
    <w:rsid w:val="71FF072A"/>
    <w:rsid w:val="723A34AC"/>
    <w:rsid w:val="7277433F"/>
    <w:rsid w:val="72C202B6"/>
    <w:rsid w:val="72FA0883"/>
    <w:rsid w:val="72FFDDF3"/>
    <w:rsid w:val="73B13C9D"/>
    <w:rsid w:val="73ED7B4D"/>
    <w:rsid w:val="73FA1667"/>
    <w:rsid w:val="73FE3C2A"/>
    <w:rsid w:val="749D7361"/>
    <w:rsid w:val="74BF4C9D"/>
    <w:rsid w:val="752E10BB"/>
    <w:rsid w:val="758F2313"/>
    <w:rsid w:val="76171B4F"/>
    <w:rsid w:val="7667514D"/>
    <w:rsid w:val="767E92E8"/>
    <w:rsid w:val="76BEEB6B"/>
    <w:rsid w:val="76DD0557"/>
    <w:rsid w:val="76EDCE55"/>
    <w:rsid w:val="76FEA72F"/>
    <w:rsid w:val="772F6C56"/>
    <w:rsid w:val="77384AE0"/>
    <w:rsid w:val="774FA1FD"/>
    <w:rsid w:val="7767C92E"/>
    <w:rsid w:val="777BD8EB"/>
    <w:rsid w:val="777E8268"/>
    <w:rsid w:val="779B7999"/>
    <w:rsid w:val="77B27D81"/>
    <w:rsid w:val="77BD74BA"/>
    <w:rsid w:val="77D068A3"/>
    <w:rsid w:val="77F7BBA0"/>
    <w:rsid w:val="77F95738"/>
    <w:rsid w:val="77F99010"/>
    <w:rsid w:val="77FF2016"/>
    <w:rsid w:val="77FF5C56"/>
    <w:rsid w:val="77FFD77A"/>
    <w:rsid w:val="783F7168"/>
    <w:rsid w:val="78BD8AE0"/>
    <w:rsid w:val="78EEF64E"/>
    <w:rsid w:val="78FCFFF1"/>
    <w:rsid w:val="793ED320"/>
    <w:rsid w:val="79BF0E86"/>
    <w:rsid w:val="79BF2C7E"/>
    <w:rsid w:val="79C706D0"/>
    <w:rsid w:val="79DDB1BE"/>
    <w:rsid w:val="79FFCA08"/>
    <w:rsid w:val="7A57F96C"/>
    <w:rsid w:val="7AB64A09"/>
    <w:rsid w:val="7ABD33BB"/>
    <w:rsid w:val="7ABFFB86"/>
    <w:rsid w:val="7AE53581"/>
    <w:rsid w:val="7B4B41E9"/>
    <w:rsid w:val="7B7FA43C"/>
    <w:rsid w:val="7BBBBFA6"/>
    <w:rsid w:val="7BBF7868"/>
    <w:rsid w:val="7BD7712E"/>
    <w:rsid w:val="7BDD77EB"/>
    <w:rsid w:val="7BEB28CD"/>
    <w:rsid w:val="7BEFF42A"/>
    <w:rsid w:val="7BF96319"/>
    <w:rsid w:val="7BFFF059"/>
    <w:rsid w:val="7C9D708E"/>
    <w:rsid w:val="7CF3CF8C"/>
    <w:rsid w:val="7CF93216"/>
    <w:rsid w:val="7D55094B"/>
    <w:rsid w:val="7D65284C"/>
    <w:rsid w:val="7D7788BA"/>
    <w:rsid w:val="7D7DCD2C"/>
    <w:rsid w:val="7DA75EFE"/>
    <w:rsid w:val="7DAA2952"/>
    <w:rsid w:val="7DBFA586"/>
    <w:rsid w:val="7DDF0646"/>
    <w:rsid w:val="7DE9DDB6"/>
    <w:rsid w:val="7DF20D7C"/>
    <w:rsid w:val="7DF66A41"/>
    <w:rsid w:val="7DFC46EE"/>
    <w:rsid w:val="7DFDA61A"/>
    <w:rsid w:val="7DFDF165"/>
    <w:rsid w:val="7DFEEDC3"/>
    <w:rsid w:val="7E0A1CD7"/>
    <w:rsid w:val="7E5DD1DB"/>
    <w:rsid w:val="7E7E5561"/>
    <w:rsid w:val="7E8FD280"/>
    <w:rsid w:val="7ECF48C8"/>
    <w:rsid w:val="7EEF61E6"/>
    <w:rsid w:val="7EFBE387"/>
    <w:rsid w:val="7EFF0D84"/>
    <w:rsid w:val="7F2F9723"/>
    <w:rsid w:val="7F3D1A18"/>
    <w:rsid w:val="7F3EB2DA"/>
    <w:rsid w:val="7F6DEBAB"/>
    <w:rsid w:val="7F7217F4"/>
    <w:rsid w:val="7F75AC64"/>
    <w:rsid w:val="7F7B0C4A"/>
    <w:rsid w:val="7F7E2F9F"/>
    <w:rsid w:val="7F7F5B63"/>
    <w:rsid w:val="7F7F8019"/>
    <w:rsid w:val="7F7FF64F"/>
    <w:rsid w:val="7F8219D4"/>
    <w:rsid w:val="7F8F93B3"/>
    <w:rsid w:val="7F8FA763"/>
    <w:rsid w:val="7F9F2E03"/>
    <w:rsid w:val="7FA902D2"/>
    <w:rsid w:val="7FB3515C"/>
    <w:rsid w:val="7FBBC7AF"/>
    <w:rsid w:val="7FBD4079"/>
    <w:rsid w:val="7FBE5C69"/>
    <w:rsid w:val="7FDF4146"/>
    <w:rsid w:val="7FE6C6C2"/>
    <w:rsid w:val="7FE6DA64"/>
    <w:rsid w:val="7FE7AFE8"/>
    <w:rsid w:val="7FEE12C9"/>
    <w:rsid w:val="7FEF899A"/>
    <w:rsid w:val="7FEFD813"/>
    <w:rsid w:val="7FF10428"/>
    <w:rsid w:val="7FF2E0BE"/>
    <w:rsid w:val="7FF796FE"/>
    <w:rsid w:val="7FF7B531"/>
    <w:rsid w:val="7FFB6402"/>
    <w:rsid w:val="7FFB679D"/>
    <w:rsid w:val="7FFE5C4B"/>
    <w:rsid w:val="7FFE9537"/>
    <w:rsid w:val="7FFF0F28"/>
    <w:rsid w:val="7FFF3C1A"/>
    <w:rsid w:val="7FFF5A25"/>
    <w:rsid w:val="7FFFB316"/>
    <w:rsid w:val="7FFFD6EE"/>
    <w:rsid w:val="8056185B"/>
    <w:rsid w:val="85BF533F"/>
    <w:rsid w:val="8B5EB0B9"/>
    <w:rsid w:val="8D4D49A9"/>
    <w:rsid w:val="8FB271D7"/>
    <w:rsid w:val="8FFF39D0"/>
    <w:rsid w:val="94BDFAE7"/>
    <w:rsid w:val="97BBC029"/>
    <w:rsid w:val="9CC6F796"/>
    <w:rsid w:val="9EBF3026"/>
    <w:rsid w:val="9EFEA5F3"/>
    <w:rsid w:val="9F7FCF1F"/>
    <w:rsid w:val="9FCBB3C9"/>
    <w:rsid w:val="9FFE0C81"/>
    <w:rsid w:val="A2F7ADC6"/>
    <w:rsid w:val="A7DFC569"/>
    <w:rsid w:val="AAEF1EFC"/>
    <w:rsid w:val="AAFDD571"/>
    <w:rsid w:val="AB51D3B5"/>
    <w:rsid w:val="AB7B6CF0"/>
    <w:rsid w:val="ABAF9954"/>
    <w:rsid w:val="AEC68584"/>
    <w:rsid w:val="AEFBB80D"/>
    <w:rsid w:val="AEFFDADD"/>
    <w:rsid w:val="AF77C03F"/>
    <w:rsid w:val="AF7F6496"/>
    <w:rsid w:val="AF838DB4"/>
    <w:rsid w:val="AFBA0AFE"/>
    <w:rsid w:val="AFBF51B4"/>
    <w:rsid w:val="AFEF07C8"/>
    <w:rsid w:val="AFFD5AFE"/>
    <w:rsid w:val="B1F9733D"/>
    <w:rsid w:val="B3BE3244"/>
    <w:rsid w:val="B3FF1019"/>
    <w:rsid w:val="B5A73A25"/>
    <w:rsid w:val="B5F7DD26"/>
    <w:rsid w:val="B65F1AEA"/>
    <w:rsid w:val="B6CC55CD"/>
    <w:rsid w:val="B76FA010"/>
    <w:rsid w:val="B7BB296C"/>
    <w:rsid w:val="B7CD57E6"/>
    <w:rsid w:val="B8FDC7F9"/>
    <w:rsid w:val="B9AD7064"/>
    <w:rsid w:val="B9FD6690"/>
    <w:rsid w:val="BABE96D5"/>
    <w:rsid w:val="BB4E179B"/>
    <w:rsid w:val="BBCC6C2D"/>
    <w:rsid w:val="BBDA4942"/>
    <w:rsid w:val="BBDF7568"/>
    <w:rsid w:val="BBFB2CC3"/>
    <w:rsid w:val="BBFD1B6A"/>
    <w:rsid w:val="BBFD5E49"/>
    <w:rsid w:val="BC7B5473"/>
    <w:rsid w:val="BC9F6FD1"/>
    <w:rsid w:val="BCEF6F44"/>
    <w:rsid w:val="BD9B735B"/>
    <w:rsid w:val="BDB3094D"/>
    <w:rsid w:val="BDCA5D5F"/>
    <w:rsid w:val="BDE7CDBD"/>
    <w:rsid w:val="BDF71677"/>
    <w:rsid w:val="BE37C29F"/>
    <w:rsid w:val="BEA39BF9"/>
    <w:rsid w:val="BED9F9A9"/>
    <w:rsid w:val="BEDECD41"/>
    <w:rsid w:val="BEE8F90B"/>
    <w:rsid w:val="BEF67817"/>
    <w:rsid w:val="BEFB181E"/>
    <w:rsid w:val="BEFED500"/>
    <w:rsid w:val="BF09A59C"/>
    <w:rsid w:val="BF7604F0"/>
    <w:rsid w:val="BF7FED7E"/>
    <w:rsid w:val="BFA7E251"/>
    <w:rsid w:val="BFDC0554"/>
    <w:rsid w:val="BFF7D5A9"/>
    <w:rsid w:val="BFFADE25"/>
    <w:rsid w:val="BFFB3361"/>
    <w:rsid w:val="BFFF7D1B"/>
    <w:rsid w:val="BFFF8F79"/>
    <w:rsid w:val="C1F66E03"/>
    <w:rsid w:val="C6EB92B7"/>
    <w:rsid w:val="C6FEB88E"/>
    <w:rsid w:val="CB7D804C"/>
    <w:rsid w:val="CBF46C21"/>
    <w:rsid w:val="CD7EABB1"/>
    <w:rsid w:val="CDCF8CFD"/>
    <w:rsid w:val="CED71C9F"/>
    <w:rsid w:val="CFBBF5E0"/>
    <w:rsid w:val="CFEDF1DE"/>
    <w:rsid w:val="CFEFB481"/>
    <w:rsid w:val="D1ACB796"/>
    <w:rsid w:val="D33B62D7"/>
    <w:rsid w:val="D37BA684"/>
    <w:rsid w:val="D5775448"/>
    <w:rsid w:val="D5C2E041"/>
    <w:rsid w:val="D5EBF702"/>
    <w:rsid w:val="D5EF3BB1"/>
    <w:rsid w:val="D73BDE16"/>
    <w:rsid w:val="D7DF4E9E"/>
    <w:rsid w:val="D7FB03A5"/>
    <w:rsid w:val="DB67673C"/>
    <w:rsid w:val="DB7F4CD3"/>
    <w:rsid w:val="DBEF3129"/>
    <w:rsid w:val="DBFD3F89"/>
    <w:rsid w:val="DBFE8834"/>
    <w:rsid w:val="DBFF260A"/>
    <w:rsid w:val="DD6F0F2B"/>
    <w:rsid w:val="DD75BDA1"/>
    <w:rsid w:val="DD9FC21E"/>
    <w:rsid w:val="DDBABEB4"/>
    <w:rsid w:val="DDFAB500"/>
    <w:rsid w:val="DDFB03B7"/>
    <w:rsid w:val="DDFFA02D"/>
    <w:rsid w:val="DEBB46AA"/>
    <w:rsid w:val="DED173CE"/>
    <w:rsid w:val="DEF8326E"/>
    <w:rsid w:val="DF738524"/>
    <w:rsid w:val="DF7FE31F"/>
    <w:rsid w:val="DFAB55C0"/>
    <w:rsid w:val="DFDE4E50"/>
    <w:rsid w:val="DFE67CFB"/>
    <w:rsid w:val="DFF7FFD4"/>
    <w:rsid w:val="DFF9423A"/>
    <w:rsid w:val="DFFBD6AD"/>
    <w:rsid w:val="DFFF1E51"/>
    <w:rsid w:val="E1652BD5"/>
    <w:rsid w:val="E29F7B07"/>
    <w:rsid w:val="E3F70CC1"/>
    <w:rsid w:val="E3FB9917"/>
    <w:rsid w:val="E6D9A141"/>
    <w:rsid w:val="E73C6DC2"/>
    <w:rsid w:val="E77DB290"/>
    <w:rsid w:val="E7AEB661"/>
    <w:rsid w:val="E7AF58A9"/>
    <w:rsid w:val="E7F6DE46"/>
    <w:rsid w:val="E7FF7055"/>
    <w:rsid w:val="E9FFB79E"/>
    <w:rsid w:val="EA9EB44A"/>
    <w:rsid w:val="EAB73DA2"/>
    <w:rsid w:val="EBBE7222"/>
    <w:rsid w:val="EBDFA40D"/>
    <w:rsid w:val="EBFF1C99"/>
    <w:rsid w:val="EBFFAAB8"/>
    <w:rsid w:val="ECBFC70A"/>
    <w:rsid w:val="EDF58A45"/>
    <w:rsid w:val="EDFF9420"/>
    <w:rsid w:val="EDFF95A5"/>
    <w:rsid w:val="EEDB5635"/>
    <w:rsid w:val="EF5EA694"/>
    <w:rsid w:val="EF7FFC38"/>
    <w:rsid w:val="EFB962E5"/>
    <w:rsid w:val="EFBFB947"/>
    <w:rsid w:val="EFCFF7F9"/>
    <w:rsid w:val="EFDFD711"/>
    <w:rsid w:val="EFFE921A"/>
    <w:rsid w:val="EFFF15BF"/>
    <w:rsid w:val="EFFFC174"/>
    <w:rsid w:val="F07FCAED"/>
    <w:rsid w:val="F0FDE2B4"/>
    <w:rsid w:val="F15852D2"/>
    <w:rsid w:val="F37F0A3E"/>
    <w:rsid w:val="F38DD5FF"/>
    <w:rsid w:val="F3978FEA"/>
    <w:rsid w:val="F3E94F48"/>
    <w:rsid w:val="F3EF79ED"/>
    <w:rsid w:val="F4DB0B42"/>
    <w:rsid w:val="F55BDEFD"/>
    <w:rsid w:val="F577929B"/>
    <w:rsid w:val="F5BC9157"/>
    <w:rsid w:val="F5EF36E7"/>
    <w:rsid w:val="F69C8425"/>
    <w:rsid w:val="F6F6AE67"/>
    <w:rsid w:val="F6FB8765"/>
    <w:rsid w:val="F6FE2D64"/>
    <w:rsid w:val="F72FA7BF"/>
    <w:rsid w:val="F73B9620"/>
    <w:rsid w:val="F75EE99F"/>
    <w:rsid w:val="F77A2BD8"/>
    <w:rsid w:val="F7F72E89"/>
    <w:rsid w:val="F7FFF0FE"/>
    <w:rsid w:val="F8BF6267"/>
    <w:rsid w:val="F8ED40C3"/>
    <w:rsid w:val="F8EF40DF"/>
    <w:rsid w:val="F95F9270"/>
    <w:rsid w:val="F97B0846"/>
    <w:rsid w:val="F9AFC444"/>
    <w:rsid w:val="F9FCB3F9"/>
    <w:rsid w:val="FAEE769A"/>
    <w:rsid w:val="FAF92363"/>
    <w:rsid w:val="FAFC031A"/>
    <w:rsid w:val="FB250A66"/>
    <w:rsid w:val="FBA6AD0B"/>
    <w:rsid w:val="FBB7FDAD"/>
    <w:rsid w:val="FBBF2AAB"/>
    <w:rsid w:val="FBCF143F"/>
    <w:rsid w:val="FBD9DAE2"/>
    <w:rsid w:val="FBEB28D2"/>
    <w:rsid w:val="FBED10D8"/>
    <w:rsid w:val="FBEF881A"/>
    <w:rsid w:val="FBF3C283"/>
    <w:rsid w:val="FBFFD75A"/>
    <w:rsid w:val="FBFFEC50"/>
    <w:rsid w:val="FC77E7FE"/>
    <w:rsid w:val="FC7B505B"/>
    <w:rsid w:val="FCCB1C8B"/>
    <w:rsid w:val="FDD7C80E"/>
    <w:rsid w:val="FDDB6277"/>
    <w:rsid w:val="FDDDD29B"/>
    <w:rsid w:val="FE095225"/>
    <w:rsid w:val="FE37384B"/>
    <w:rsid w:val="FE3A8149"/>
    <w:rsid w:val="FE3E4259"/>
    <w:rsid w:val="FE5F09B1"/>
    <w:rsid w:val="FE5F6C61"/>
    <w:rsid w:val="FE98A951"/>
    <w:rsid w:val="FE9D377A"/>
    <w:rsid w:val="FEBB3D44"/>
    <w:rsid w:val="FEBFFC2A"/>
    <w:rsid w:val="FEC032AC"/>
    <w:rsid w:val="FEDB00A6"/>
    <w:rsid w:val="FEDED6C9"/>
    <w:rsid w:val="FEE62CD2"/>
    <w:rsid w:val="FEEEAD4B"/>
    <w:rsid w:val="FEFE903C"/>
    <w:rsid w:val="FEFF1926"/>
    <w:rsid w:val="FEFF4C7F"/>
    <w:rsid w:val="FEFFBE4E"/>
    <w:rsid w:val="FEFFFF18"/>
    <w:rsid w:val="FF1FF64E"/>
    <w:rsid w:val="FF3AEF21"/>
    <w:rsid w:val="FF3B4F31"/>
    <w:rsid w:val="FF4F4E21"/>
    <w:rsid w:val="FF5D10BA"/>
    <w:rsid w:val="FF5FBF3D"/>
    <w:rsid w:val="FF77102D"/>
    <w:rsid w:val="FF7DAFF9"/>
    <w:rsid w:val="FF7F12BA"/>
    <w:rsid w:val="FF9CD54D"/>
    <w:rsid w:val="FF9EAA7A"/>
    <w:rsid w:val="FFA6EBE6"/>
    <w:rsid w:val="FFAF6AE2"/>
    <w:rsid w:val="FFB6AC86"/>
    <w:rsid w:val="FFB7CEFE"/>
    <w:rsid w:val="FFB845EA"/>
    <w:rsid w:val="FFBB07C5"/>
    <w:rsid w:val="FFBF9A4F"/>
    <w:rsid w:val="FFBFEC6E"/>
    <w:rsid w:val="FFD6DEF7"/>
    <w:rsid w:val="FFD7E939"/>
    <w:rsid w:val="FFDD4C11"/>
    <w:rsid w:val="FFE7A9B7"/>
    <w:rsid w:val="FFE9A90F"/>
    <w:rsid w:val="FFEA57D0"/>
    <w:rsid w:val="FFECB704"/>
    <w:rsid w:val="FFEE55B6"/>
    <w:rsid w:val="FFEFB673"/>
    <w:rsid w:val="FFEFB79B"/>
    <w:rsid w:val="FFF448B3"/>
    <w:rsid w:val="FFF7DF1D"/>
    <w:rsid w:val="FFFA68DB"/>
    <w:rsid w:val="FFFBD12D"/>
    <w:rsid w:val="FFFD1F2D"/>
    <w:rsid w:val="FFFE1A7D"/>
    <w:rsid w:val="FFFF4993"/>
    <w:rsid w:val="FFFFC58F"/>
    <w:rsid w:val="FFFFED86"/>
    <w:rsid w:val="FFFFF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qFormat="1" w:uiPriority="99" w:semiHidden="0" w:name="HTML Cite" w:locked="1"/>
    <w:lsdException w:uiPriority="99" w:name="HTML Code" w:locked="1"/>
    <w:lsdException w:qFormat="1" w:uiPriority="99" w:semiHidden="0"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rFonts w:eastAsia="宋体"/>
      <w:b/>
      <w:bCs/>
      <w:kern w:val="44"/>
      <w:sz w:val="44"/>
      <w:szCs w:val="44"/>
    </w:rPr>
  </w:style>
  <w:style w:type="paragraph" w:styleId="2">
    <w:name w:val="heading 2"/>
    <w:basedOn w:val="1"/>
    <w:next w:val="1"/>
    <w:link w:val="29"/>
    <w:qFormat/>
    <w:uiPriority w:val="0"/>
    <w:pPr>
      <w:spacing w:beforeAutospacing="1" w:afterAutospacing="1"/>
      <w:jc w:val="left"/>
      <w:outlineLvl w:val="1"/>
    </w:pPr>
    <w:rPr>
      <w:rFonts w:ascii="Cambria" w:hAnsi="Cambria" w:eastAsia="宋体"/>
      <w:b/>
      <w:bCs/>
      <w:kern w:val="0"/>
      <w:szCs w:val="32"/>
    </w:rPr>
  </w:style>
  <w:style w:type="paragraph" w:styleId="4">
    <w:name w:val="heading 3"/>
    <w:basedOn w:val="1"/>
    <w:next w:val="1"/>
    <w:link w:val="30"/>
    <w:qFormat/>
    <w:uiPriority w:val="99"/>
    <w:pPr>
      <w:keepNext/>
      <w:keepLines/>
      <w:ind w:firstLine="640"/>
      <w:outlineLvl w:val="2"/>
    </w:pPr>
    <w:rPr>
      <w:b/>
      <w:bCs/>
      <w:kern w:val="0"/>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ind w:firstLine="420" w:firstLineChars="200"/>
    </w:pPr>
  </w:style>
  <w:style w:type="paragraph" w:styleId="6">
    <w:name w:val="Document Map"/>
    <w:basedOn w:val="1"/>
    <w:link w:val="37"/>
    <w:qFormat/>
    <w:uiPriority w:val="99"/>
    <w:rPr>
      <w:rFonts w:ascii="宋体" w:eastAsia="宋体"/>
      <w:sz w:val="18"/>
      <w:szCs w:val="18"/>
    </w:rPr>
  </w:style>
  <w:style w:type="paragraph" w:styleId="7">
    <w:name w:val="annotation text"/>
    <w:basedOn w:val="1"/>
    <w:semiHidden/>
    <w:unhideWhenUsed/>
    <w:qFormat/>
    <w:locked/>
    <w:uiPriority w:val="99"/>
    <w:pPr>
      <w:jc w:val="left"/>
    </w:pPr>
  </w:style>
  <w:style w:type="paragraph" w:styleId="8">
    <w:name w:val="Body Text"/>
    <w:basedOn w:val="1"/>
    <w:next w:val="9"/>
    <w:semiHidden/>
    <w:qFormat/>
    <w:locked/>
    <w:uiPriority w:val="0"/>
    <w:pPr>
      <w:spacing w:before="100" w:beforeAutospacing="1" w:after="120"/>
    </w:p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Balloon Text"/>
    <w:basedOn w:val="1"/>
    <w:link w:val="39"/>
    <w:unhideWhenUsed/>
    <w:qFormat/>
    <w:locked/>
    <w:uiPriority w:val="99"/>
    <w:rPr>
      <w:kern w:val="0"/>
      <w:sz w:val="18"/>
      <w:szCs w:val="18"/>
    </w:rPr>
  </w:style>
  <w:style w:type="paragraph" w:styleId="11">
    <w:name w:val="footer"/>
    <w:basedOn w:val="1"/>
    <w:link w:val="31"/>
    <w:qFormat/>
    <w:uiPriority w:val="99"/>
    <w:pPr>
      <w:tabs>
        <w:tab w:val="center" w:pos="4153"/>
        <w:tab w:val="right" w:pos="8306"/>
      </w:tabs>
      <w:snapToGrid w:val="0"/>
      <w:jc w:val="left"/>
    </w:pPr>
    <w:rPr>
      <w:sz w:val="24"/>
      <w:szCs w:val="20"/>
    </w:rPr>
  </w:style>
  <w:style w:type="paragraph" w:styleId="12">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rPr>
  </w:style>
  <w:style w:type="paragraph" w:styleId="13">
    <w:name w:val="toc 1"/>
    <w:basedOn w:val="1"/>
    <w:next w:val="1"/>
    <w:qFormat/>
    <w:uiPriority w:val="39"/>
    <w:pPr>
      <w:spacing w:before="120" w:after="120"/>
      <w:jc w:val="left"/>
    </w:pPr>
    <w:rPr>
      <w:rFonts w:ascii="等线" w:eastAsia="等线"/>
      <w:b/>
      <w:bCs/>
      <w:caps/>
      <w:sz w:val="24"/>
      <w:szCs w:val="20"/>
    </w:rPr>
  </w:style>
  <w:style w:type="paragraph" w:styleId="14">
    <w:name w:val="table of figures"/>
    <w:basedOn w:val="1"/>
    <w:next w:val="1"/>
    <w:semiHidden/>
    <w:unhideWhenUsed/>
    <w:qFormat/>
    <w:locked/>
    <w:uiPriority w:val="99"/>
    <w:pPr>
      <w:ind w:left="200" w:leftChars="200" w:hanging="200" w:hangingChars="200"/>
    </w:pPr>
  </w:style>
  <w:style w:type="paragraph" w:styleId="15">
    <w:name w:val="toc 2"/>
    <w:basedOn w:val="1"/>
    <w:next w:val="1"/>
    <w:qFormat/>
    <w:uiPriority w:val="39"/>
    <w:pPr>
      <w:ind w:left="420" w:leftChars="200"/>
    </w:pPr>
  </w:style>
  <w:style w:type="paragraph" w:styleId="16">
    <w:name w:val="Normal (Web)"/>
    <w:basedOn w:val="1"/>
    <w:unhideWhenUsed/>
    <w:qFormat/>
    <w:locked/>
    <w:uiPriority w:val="99"/>
    <w:pPr>
      <w:spacing w:beforeAutospacing="1" w:afterAutospacing="1"/>
      <w:jc w:val="left"/>
    </w:pPr>
    <w:rPr>
      <w:kern w:val="0"/>
      <w:sz w:val="24"/>
    </w:rPr>
  </w:style>
  <w:style w:type="paragraph" w:styleId="17">
    <w:name w:val="Title"/>
    <w:basedOn w:val="1"/>
    <w:next w:val="1"/>
    <w:link w:val="53"/>
    <w:qFormat/>
    <w:uiPriority w:val="0"/>
    <w:pPr>
      <w:spacing w:before="240" w:after="60"/>
      <w:jc w:val="center"/>
      <w:outlineLvl w:val="0"/>
    </w:pPr>
    <w:rPr>
      <w:rFonts w:eastAsia="宋体" w:asciiTheme="majorHAnsi" w:hAnsiTheme="majorHAnsi" w:cstheme="majorBidi"/>
      <w:b/>
      <w:bCs/>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FollowedHyperlink"/>
    <w:unhideWhenUsed/>
    <w:qFormat/>
    <w:locked/>
    <w:uiPriority w:val="99"/>
    <w:rPr>
      <w:color w:val="222222"/>
      <w:u w:val="none"/>
    </w:rPr>
  </w:style>
  <w:style w:type="character" w:styleId="23">
    <w:name w:val="Emphasis"/>
    <w:basedOn w:val="20"/>
    <w:qFormat/>
    <w:uiPriority w:val="20"/>
  </w:style>
  <w:style w:type="character" w:styleId="24">
    <w:name w:val="HTML Definition"/>
    <w:basedOn w:val="20"/>
    <w:unhideWhenUsed/>
    <w:qFormat/>
    <w:locked/>
    <w:uiPriority w:val="99"/>
  </w:style>
  <w:style w:type="character" w:styleId="25">
    <w:name w:val="HTML Variable"/>
    <w:basedOn w:val="20"/>
    <w:unhideWhenUsed/>
    <w:qFormat/>
    <w:locked/>
    <w:uiPriority w:val="99"/>
  </w:style>
  <w:style w:type="character" w:styleId="26">
    <w:name w:val="Hyperlink"/>
    <w:unhideWhenUsed/>
    <w:qFormat/>
    <w:locked/>
    <w:uiPriority w:val="99"/>
    <w:rPr>
      <w:color w:val="222222"/>
      <w:u w:val="none"/>
    </w:rPr>
  </w:style>
  <w:style w:type="character" w:styleId="27">
    <w:name w:val="HTML Cite"/>
    <w:basedOn w:val="20"/>
    <w:unhideWhenUsed/>
    <w:qFormat/>
    <w:locked/>
    <w:uiPriority w:val="99"/>
  </w:style>
  <w:style w:type="character" w:customStyle="1" w:styleId="28">
    <w:name w:val="NormalCharacter"/>
    <w:qFormat/>
    <w:uiPriority w:val="99"/>
  </w:style>
  <w:style w:type="character" w:customStyle="1" w:styleId="29">
    <w:name w:val="标题 2 Char"/>
    <w:link w:val="2"/>
    <w:qFormat/>
    <w:locked/>
    <w:uiPriority w:val="0"/>
    <w:rPr>
      <w:rFonts w:ascii="Cambria" w:hAnsi="Cambria" w:eastAsia="宋体" w:cs="Times New Roman"/>
      <w:b/>
      <w:bCs/>
      <w:sz w:val="32"/>
      <w:szCs w:val="32"/>
    </w:rPr>
  </w:style>
  <w:style w:type="character" w:customStyle="1" w:styleId="30">
    <w:name w:val="标题 3 Char"/>
    <w:link w:val="4"/>
    <w:semiHidden/>
    <w:qFormat/>
    <w:locked/>
    <w:uiPriority w:val="99"/>
    <w:rPr>
      <w:rFonts w:eastAsia="仿宋_GB2312" w:cs="Times New Roman"/>
      <w:b/>
      <w:bCs/>
      <w:sz w:val="32"/>
      <w:szCs w:val="32"/>
    </w:rPr>
  </w:style>
  <w:style w:type="character" w:customStyle="1" w:styleId="31">
    <w:name w:val="页脚 Char"/>
    <w:link w:val="11"/>
    <w:qFormat/>
    <w:locked/>
    <w:uiPriority w:val="99"/>
    <w:rPr>
      <w:rFonts w:eastAsia="仿宋_GB2312" w:cs="Times New Roman"/>
      <w:kern w:val="2"/>
      <w:sz w:val="24"/>
    </w:rPr>
  </w:style>
  <w:style w:type="character" w:customStyle="1" w:styleId="32">
    <w:name w:val="页眉 Char"/>
    <w:link w:val="12"/>
    <w:qFormat/>
    <w:locked/>
    <w:uiPriority w:val="99"/>
    <w:rPr>
      <w:rFonts w:eastAsia="仿宋_GB2312" w:cs="Times New Roman"/>
      <w:kern w:val="2"/>
      <w:sz w:val="24"/>
      <w:szCs w:val="24"/>
    </w:rPr>
  </w:style>
  <w:style w:type="paragraph" w:customStyle="1" w:styleId="33">
    <w:name w:val="_Style 37"/>
    <w:basedOn w:val="1"/>
    <w:next w:val="1"/>
    <w:qFormat/>
    <w:uiPriority w:val="99"/>
    <w:pPr>
      <w:ind w:left="320"/>
      <w:jc w:val="left"/>
    </w:pPr>
    <w:rPr>
      <w:smallCaps/>
      <w:sz w:val="20"/>
      <w:szCs w:val="20"/>
    </w:rPr>
  </w:style>
  <w:style w:type="paragraph" w:customStyle="1" w:styleId="34">
    <w:name w:val="列出段落1"/>
    <w:basedOn w:val="1"/>
    <w:qFormat/>
    <w:uiPriority w:val="99"/>
    <w:pPr>
      <w:ind w:firstLine="420" w:firstLineChars="200"/>
    </w:pPr>
  </w:style>
  <w:style w:type="paragraph" w:customStyle="1" w:styleId="35">
    <w:name w:val="规划-正文"/>
    <w:basedOn w:val="1"/>
    <w:qFormat/>
    <w:uiPriority w:val="99"/>
    <w:pPr>
      <w:ind w:firstLine="632"/>
    </w:pPr>
    <w:rPr>
      <w:szCs w:val="32"/>
    </w:rPr>
  </w:style>
  <w:style w:type="paragraph" w:customStyle="1" w:styleId="36">
    <w:name w:val="规划-1级"/>
    <w:basedOn w:val="34"/>
    <w:qFormat/>
    <w:uiPriority w:val="99"/>
    <w:pPr>
      <w:spacing w:beforeLines="50" w:afterLines="50"/>
      <w:ind w:firstLine="0" w:firstLineChars="0"/>
      <w:jc w:val="center"/>
      <w:outlineLvl w:val="0"/>
    </w:pPr>
    <w:rPr>
      <w:rFonts w:eastAsia="黑体"/>
      <w:bCs/>
      <w:sz w:val="36"/>
      <w:szCs w:val="36"/>
    </w:rPr>
  </w:style>
  <w:style w:type="character" w:customStyle="1" w:styleId="37">
    <w:name w:val="文档结构图 Char"/>
    <w:link w:val="6"/>
    <w:qFormat/>
    <w:locked/>
    <w:uiPriority w:val="99"/>
    <w:rPr>
      <w:rFonts w:ascii="宋体" w:cs="Times New Roman"/>
      <w:kern w:val="2"/>
      <w:sz w:val="18"/>
      <w:szCs w:val="18"/>
    </w:rPr>
  </w:style>
  <w:style w:type="paragraph" w:customStyle="1" w:styleId="38">
    <w:name w:val="无间隔1"/>
    <w:basedOn w:val="1"/>
    <w:qFormat/>
    <w:uiPriority w:val="99"/>
    <w:pPr>
      <w:spacing w:line="580" w:lineRule="exact"/>
      <w:ind w:firstLine="200" w:firstLineChars="200"/>
    </w:pPr>
    <w:rPr>
      <w:szCs w:val="22"/>
    </w:rPr>
  </w:style>
  <w:style w:type="character" w:customStyle="1" w:styleId="39">
    <w:name w:val="批注框文本 Char"/>
    <w:link w:val="10"/>
    <w:semiHidden/>
    <w:qFormat/>
    <w:uiPriority w:val="99"/>
    <w:rPr>
      <w:rFonts w:eastAsia="仿宋_GB2312"/>
      <w:sz w:val="18"/>
      <w:szCs w:val="18"/>
    </w:rPr>
  </w:style>
  <w:style w:type="character" w:customStyle="1" w:styleId="40">
    <w:name w:val="fl"/>
    <w:qFormat/>
    <w:uiPriority w:val="0"/>
    <w:rPr>
      <w:b/>
      <w:color w:val="0063B3"/>
      <w:sz w:val="27"/>
      <w:szCs w:val="27"/>
      <w:shd w:val="clear" w:color="auto" w:fill="B0D4F5"/>
    </w:rPr>
  </w:style>
  <w:style w:type="character" w:customStyle="1" w:styleId="41">
    <w:name w:val="标题 1 Char"/>
    <w:basedOn w:val="20"/>
    <w:link w:val="3"/>
    <w:qFormat/>
    <w:uiPriority w:val="9"/>
    <w:rPr>
      <w:b/>
      <w:bCs/>
      <w:kern w:val="44"/>
      <w:sz w:val="44"/>
      <w:szCs w:val="44"/>
    </w:rPr>
  </w:style>
  <w:style w:type="paragraph" w:customStyle="1" w:styleId="42">
    <w:name w:val="默认段落字体 Para Char Char Char Char"/>
    <w:basedOn w:val="1"/>
    <w:qFormat/>
    <w:uiPriority w:val="0"/>
    <w:rPr>
      <w:rFonts w:eastAsia="宋体"/>
      <w:sz w:val="21"/>
    </w:rPr>
  </w:style>
  <w:style w:type="character" w:customStyle="1" w:styleId="43">
    <w:name w:val="bjh-p"/>
    <w:basedOn w:val="20"/>
    <w:qFormat/>
    <w:uiPriority w:val="0"/>
  </w:style>
  <w:style w:type="paragraph" w:customStyle="1" w:styleId="44">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5">
    <w:name w:val="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6">
    <w:name w:val="WPS Plain"/>
    <w:qFormat/>
    <w:uiPriority w:val="0"/>
    <w:rPr>
      <w:rFonts w:ascii="Times New Roman" w:hAnsi="Times New Roman" w:eastAsia="宋体" w:cs="Times New Roman"/>
      <w:lang w:val="en-US" w:eastAsia="zh-CN" w:bidi="ar-SA"/>
    </w:rPr>
  </w:style>
  <w:style w:type="paragraph" w:customStyle="1" w:styleId="47">
    <w:name w:val="正文-报告书"/>
    <w:basedOn w:val="1"/>
    <w:qFormat/>
    <w:uiPriority w:val="0"/>
    <w:pPr>
      <w:spacing w:line="440" w:lineRule="exact"/>
      <w:ind w:firstLine="200" w:firstLineChars="200"/>
      <w:jc w:val="left"/>
    </w:pPr>
    <w:rPr>
      <w:rFonts w:eastAsia="仿宋"/>
      <w:sz w:val="28"/>
      <w:szCs w:val="32"/>
    </w:rPr>
  </w:style>
  <w:style w:type="paragraph" w:customStyle="1" w:styleId="48">
    <w:name w:val="2级标题"/>
    <w:basedOn w:val="49"/>
    <w:link w:val="54"/>
    <w:qFormat/>
    <w:uiPriority w:val="0"/>
    <w:pPr>
      <w:numPr>
        <w:ilvl w:val="1"/>
      </w:numPr>
      <w:tabs>
        <w:tab w:val="left" w:pos="1985"/>
      </w:tabs>
      <w:adjustRightInd w:val="0"/>
      <w:jc w:val="left"/>
      <w:outlineLvl w:val="1"/>
    </w:pPr>
    <w:rPr>
      <w:sz w:val="30"/>
    </w:rPr>
  </w:style>
  <w:style w:type="paragraph" w:customStyle="1" w:styleId="49">
    <w:name w:val="1级标题"/>
    <w:basedOn w:val="17"/>
    <w:link w:val="55"/>
    <w:qFormat/>
    <w:uiPriority w:val="0"/>
    <w:pPr>
      <w:numPr>
        <w:ilvl w:val="0"/>
        <w:numId w:val="1"/>
      </w:numPr>
      <w:spacing w:beforeLines="50" w:afterLines="50" w:line="360" w:lineRule="auto"/>
    </w:pPr>
    <w:rPr>
      <w:rFonts w:ascii="Times New Roman" w:hAnsi="Times New Roman" w:cs="Times New Roman"/>
    </w:rPr>
  </w:style>
  <w:style w:type="paragraph" w:customStyle="1" w:styleId="50">
    <w:name w:val="3级标题"/>
    <w:basedOn w:val="48"/>
    <w:link w:val="52"/>
    <w:qFormat/>
    <w:uiPriority w:val="0"/>
    <w:pPr>
      <w:numPr>
        <w:ilvl w:val="2"/>
      </w:numPr>
      <w:tabs>
        <w:tab w:val="left" w:pos="0"/>
        <w:tab w:val="left" w:pos="284"/>
        <w:tab w:val="left" w:pos="709"/>
      </w:tabs>
      <w:outlineLvl w:val="2"/>
    </w:pPr>
  </w:style>
  <w:style w:type="paragraph" w:customStyle="1" w:styleId="51">
    <w:name w:val="4级标题"/>
    <w:basedOn w:val="50"/>
    <w:qFormat/>
    <w:uiPriority w:val="0"/>
    <w:pPr>
      <w:numPr>
        <w:ilvl w:val="3"/>
      </w:numPr>
      <w:tabs>
        <w:tab w:val="clear" w:pos="284"/>
        <w:tab w:val="clear" w:pos="709"/>
      </w:tabs>
      <w:snapToGrid w:val="0"/>
      <w:spacing w:beforeLines="0" w:afterLines="0"/>
      <w:outlineLvl w:val="3"/>
    </w:pPr>
    <w:rPr>
      <w:rFonts w:eastAsia="仿宋"/>
      <w:szCs w:val="30"/>
    </w:rPr>
  </w:style>
  <w:style w:type="character" w:customStyle="1" w:styleId="52">
    <w:name w:val="3级标题 Char Char"/>
    <w:basedOn w:val="20"/>
    <w:link w:val="50"/>
    <w:qFormat/>
    <w:uiPriority w:val="0"/>
    <w:rPr>
      <w:b/>
      <w:bCs/>
      <w:kern w:val="2"/>
      <w:sz w:val="30"/>
      <w:szCs w:val="32"/>
    </w:rPr>
  </w:style>
  <w:style w:type="character" w:customStyle="1" w:styleId="53">
    <w:name w:val="标题 Char"/>
    <w:basedOn w:val="20"/>
    <w:link w:val="17"/>
    <w:qFormat/>
    <w:uiPriority w:val="0"/>
    <w:rPr>
      <w:rFonts w:asciiTheme="majorHAnsi" w:hAnsiTheme="majorHAnsi" w:cstheme="majorBidi"/>
      <w:b/>
      <w:bCs/>
      <w:kern w:val="2"/>
      <w:sz w:val="32"/>
      <w:szCs w:val="32"/>
    </w:rPr>
  </w:style>
  <w:style w:type="character" w:customStyle="1" w:styleId="54">
    <w:name w:val="2级标题 字符"/>
    <w:basedOn w:val="20"/>
    <w:link w:val="48"/>
    <w:qFormat/>
    <w:uiPriority w:val="0"/>
    <w:rPr>
      <w:b/>
      <w:bCs/>
      <w:kern w:val="2"/>
      <w:sz w:val="30"/>
      <w:szCs w:val="32"/>
    </w:rPr>
  </w:style>
  <w:style w:type="character" w:customStyle="1" w:styleId="55">
    <w:name w:val="1级标题 Char Char"/>
    <w:basedOn w:val="20"/>
    <w:link w:val="49"/>
    <w:qFormat/>
    <w:uiPriority w:val="0"/>
    <w:rPr>
      <w:b/>
      <w:bCs/>
      <w:kern w:val="2"/>
      <w:sz w:val="32"/>
      <w:szCs w:val="32"/>
    </w:rPr>
  </w:style>
  <w:style w:type="paragraph" w:customStyle="1" w:styleId="56">
    <w:name w:val="contentfont1"/>
    <w:basedOn w:val="1"/>
    <w:qFormat/>
    <w:uiPriority w:val="0"/>
    <w:pPr>
      <w:widowControl/>
      <w:spacing w:before="100" w:beforeAutospacing="1" w:after="100" w:afterAutospacing="1"/>
    </w:pPr>
    <w:rPr>
      <w:rFonts w:ascii="宋体" w:hAnsi="宋体" w:eastAsia="宋体" w:cs="宋体"/>
      <w:kern w:val="0"/>
      <w:sz w:val="24"/>
    </w:rPr>
  </w:style>
  <w:style w:type="character" w:customStyle="1" w:styleId="57">
    <w:name w:val="font11"/>
    <w:basedOn w:val="20"/>
    <w:qFormat/>
    <w:uiPriority w:val="0"/>
    <w:rPr>
      <w:rFonts w:hint="eastAsia" w:ascii="宋体" w:hAnsi="宋体" w:eastAsia="宋体" w:cs="宋体"/>
      <w:color w:val="000000"/>
      <w:sz w:val="20"/>
      <w:szCs w:val="20"/>
      <w:u w:val="none"/>
    </w:rPr>
  </w:style>
  <w:style w:type="character" w:customStyle="1" w:styleId="58">
    <w:name w:val="font31"/>
    <w:basedOn w:val="20"/>
    <w:qFormat/>
    <w:uiPriority w:val="0"/>
    <w:rPr>
      <w:rFonts w:hint="eastAsia" w:ascii="宋体" w:hAnsi="宋体" w:eastAsia="宋体" w:cs="宋体"/>
      <w:b/>
      <w:bCs/>
      <w:color w:val="000000"/>
      <w:sz w:val="20"/>
      <w:szCs w:val="20"/>
      <w:u w:val="none"/>
    </w:rPr>
  </w:style>
  <w:style w:type="character" w:customStyle="1" w:styleId="59">
    <w:name w:val="font71"/>
    <w:basedOn w:val="20"/>
    <w:qFormat/>
    <w:uiPriority w:val="0"/>
    <w:rPr>
      <w:rFonts w:hint="default" w:ascii="Times New Roman" w:hAnsi="Times New Roman" w:cs="Times New Roman"/>
      <w:b/>
      <w:bCs/>
      <w:color w:val="000000"/>
      <w:sz w:val="20"/>
      <w:szCs w:val="20"/>
      <w:u w:val="none"/>
    </w:rPr>
  </w:style>
  <w:style w:type="character" w:customStyle="1" w:styleId="60">
    <w:name w:val="font01"/>
    <w:basedOn w:val="20"/>
    <w:qFormat/>
    <w:uiPriority w:val="0"/>
    <w:rPr>
      <w:rFonts w:hint="default" w:ascii="微软雅黑" w:hAnsi="微软雅黑" w:eastAsia="微软雅黑" w:cs="微软雅黑"/>
      <w:color w:val="000000"/>
      <w:sz w:val="20"/>
      <w:szCs w:val="20"/>
      <w:u w:val="none"/>
    </w:rPr>
  </w:style>
  <w:style w:type="character" w:customStyle="1" w:styleId="61">
    <w:name w:val="font91"/>
    <w:basedOn w:val="20"/>
    <w:qFormat/>
    <w:uiPriority w:val="0"/>
    <w:rPr>
      <w:rFonts w:hint="eastAsia" w:ascii="宋体" w:hAnsi="宋体" w:eastAsia="宋体" w:cs="宋体"/>
      <w:b/>
      <w:color w:val="000000"/>
      <w:sz w:val="21"/>
      <w:szCs w:val="21"/>
      <w:u w:val="none"/>
    </w:rPr>
  </w:style>
  <w:style w:type="character" w:customStyle="1" w:styleId="62">
    <w:name w:val="font2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12743</Words>
  <Characters>13308</Characters>
  <Lines>146</Lines>
  <Paragraphs>41</Paragraphs>
  <TotalTime>2</TotalTime>
  <ScaleCrop>false</ScaleCrop>
  <LinksUpToDate>false</LinksUpToDate>
  <CharactersWithSpaces>13345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2022-10-13T16:15:00Z</dcterms:created>
  <dc:creator>FLD</dc:creator>
  <cp:lastModifiedBy>cici</cp:lastModifiedBy>
  <cp:lastPrinted>2024-08-22T16:15:00Z</cp:lastPrinted>
  <dcterms:modified xsi:type="dcterms:W3CDTF">2024-09-20T02:54:00Z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A59E28C5F632459AA0716FE31B02D554_13</vt:lpwstr>
  </property>
</Properties>
</file>