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B260F">
      <w:pPr>
        <w:spacing w:line="600" w:lineRule="exact"/>
        <w:rPr>
          <w:rFonts w:hint="eastAsia" w:ascii="方正小标宋简体" w:hAnsi="方正小标宋简体" w:eastAsia="方正小标宋简体" w:cs="方正小标宋简体"/>
          <w:sz w:val="44"/>
          <w:szCs w:val="44"/>
        </w:rPr>
      </w:pPr>
      <w:r>
        <w:rPr>
          <w:rFonts w:hint="eastAsia" w:ascii="黑体" w:hAnsi="黑体" w:eastAsia="黑体" w:cs="黑体"/>
          <w:szCs w:val="21"/>
        </w:rPr>
        <w:t xml:space="preserve">                                    </w:t>
      </w:r>
    </w:p>
    <w:p w14:paraId="27301452">
      <w:pPr>
        <w:spacing w:line="600" w:lineRule="exact"/>
        <w:rPr>
          <w:rFonts w:hint="eastAsia" w:ascii="黑体" w:hAnsi="黑体" w:eastAsia="黑体" w:cs="黑体"/>
          <w:szCs w:val="21"/>
        </w:rPr>
      </w:pPr>
    </w:p>
    <w:p w14:paraId="7A8865D4">
      <w:pPr>
        <w:pStyle w:val="2"/>
        <w:spacing w:line="600" w:lineRule="exact"/>
        <w:ind w:firstLine="0" w:firstLineChars="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 xml:space="preserve">                  </w:t>
      </w:r>
    </w:p>
    <w:p w14:paraId="5DB76043">
      <w:pPr>
        <w:pStyle w:val="2"/>
        <w:spacing w:line="600" w:lineRule="exact"/>
        <w:ind w:firstLine="0" w:firstLineChars="0"/>
        <w:jc w:val="center"/>
        <w:rPr>
          <w:rFonts w:hint="eastAsia" w:ascii="方正小标宋简体" w:hAnsi="方正小标宋简体" w:eastAsia="方正小标宋简体" w:cs="方正小标宋简体"/>
          <w:sz w:val="44"/>
          <w:szCs w:val="44"/>
        </w:rPr>
      </w:pPr>
    </w:p>
    <w:p w14:paraId="5EF4DA0E">
      <w:pPr>
        <w:pStyle w:val="2"/>
        <w:spacing w:line="600" w:lineRule="exact"/>
        <w:ind w:firstLine="0" w:firstLineChars="0"/>
        <w:jc w:val="center"/>
        <w:rPr>
          <w:rFonts w:hint="eastAsia" w:ascii="方正小标宋简体" w:hAnsi="方正小标宋简体" w:eastAsia="方正小标宋简体" w:cs="方正小标宋简体"/>
          <w:sz w:val="44"/>
          <w:szCs w:val="44"/>
        </w:rPr>
      </w:pPr>
    </w:p>
    <w:p w14:paraId="725E449E">
      <w:pPr>
        <w:pStyle w:val="2"/>
        <w:spacing w:line="600" w:lineRule="exact"/>
        <w:ind w:firstLine="0" w:firstLineChars="0"/>
        <w:rPr>
          <w:rFonts w:hint="eastAsia" w:ascii="方正小标宋简体" w:hAnsi="方正小标宋简体" w:eastAsia="方正小标宋简体" w:cs="方正小标宋简体"/>
          <w:sz w:val="44"/>
          <w:szCs w:val="44"/>
        </w:rPr>
      </w:pPr>
    </w:p>
    <w:p w14:paraId="257B5311">
      <w:pPr>
        <w:pStyle w:val="2"/>
        <w:spacing w:line="600" w:lineRule="exact"/>
        <w:ind w:firstLine="0" w:firstLineChars="0"/>
        <w:rPr>
          <w:rFonts w:hint="eastAsia" w:ascii="方正小标宋简体" w:hAnsi="方正小标宋简体" w:eastAsia="方正小标宋简体" w:cs="方正小标宋简体"/>
          <w:sz w:val="44"/>
          <w:szCs w:val="44"/>
        </w:rPr>
      </w:pPr>
    </w:p>
    <w:p w14:paraId="072E7BC9">
      <w:pPr>
        <w:pStyle w:val="2"/>
        <w:spacing w:line="600" w:lineRule="exact"/>
        <w:ind w:firstLine="0" w:firstLineChars="0"/>
        <w:jc w:val="center"/>
        <w:rPr>
          <w:rFonts w:hint="eastAsia" w:ascii="方正小标宋简体" w:hAnsi="方正小标宋简体" w:eastAsia="方正小标宋简体" w:cs="方正小标宋简体"/>
          <w:sz w:val="44"/>
          <w:szCs w:val="44"/>
        </w:rPr>
      </w:pPr>
    </w:p>
    <w:p w14:paraId="1D4F81DF">
      <w:pPr>
        <w:pStyle w:val="2"/>
        <w:spacing w:line="60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宁政〔2024〕 号</w:t>
      </w:r>
    </w:p>
    <w:p w14:paraId="0E36162A">
      <w:pPr>
        <w:pStyle w:val="2"/>
        <w:spacing w:line="600" w:lineRule="exact"/>
        <w:ind w:firstLine="0" w:firstLineChars="0"/>
        <w:jc w:val="center"/>
        <w:rPr>
          <w:rFonts w:hint="eastAsia" w:ascii="方正小标宋简体" w:hAnsi="方正小标宋简体" w:eastAsia="方正小标宋简体" w:cs="方正小标宋简体"/>
          <w:sz w:val="44"/>
          <w:szCs w:val="44"/>
        </w:rPr>
      </w:pPr>
    </w:p>
    <w:p w14:paraId="4BFD0E0B">
      <w:pPr>
        <w:pStyle w:val="2"/>
        <w:spacing w:line="600" w:lineRule="exact"/>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洛宁县人民政府</w:t>
      </w:r>
    </w:p>
    <w:p w14:paraId="46108C18">
      <w:pPr>
        <w:pStyle w:val="2"/>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关于洛宁县政府投资项目管理办法的</w:t>
      </w:r>
    </w:p>
    <w:p w14:paraId="03DB553B">
      <w:pPr>
        <w:pStyle w:val="2"/>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知（征求意见稿）</w:t>
      </w:r>
    </w:p>
    <w:bookmarkEnd w:id="0"/>
    <w:p w14:paraId="10616A1D">
      <w:pPr>
        <w:pStyle w:val="2"/>
        <w:spacing w:line="600" w:lineRule="exact"/>
        <w:ind w:firstLine="0" w:firstLineChars="0"/>
        <w:jc w:val="center"/>
        <w:rPr>
          <w:rFonts w:hint="eastAsia"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rPr>
        <w:t>(2021年12月13日县人民政府第2号文印发 自印发之日起施行 根据2024年9月 日第 号修订)</w:t>
      </w:r>
    </w:p>
    <w:p w14:paraId="04309E6D">
      <w:pPr>
        <w:pStyle w:val="2"/>
        <w:spacing w:line="600" w:lineRule="exact"/>
        <w:ind w:firstLine="0" w:firstLineChars="0"/>
        <w:jc w:val="left"/>
        <w:rPr>
          <w:rFonts w:hint="eastAsia" w:ascii="黑体" w:hAnsi="黑体" w:eastAsia="黑体" w:cs="黑体"/>
          <w:szCs w:val="21"/>
        </w:rPr>
      </w:pPr>
    </w:p>
    <w:p w14:paraId="583A5E70">
      <w:pPr>
        <w:pStyle w:val="2"/>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各乡（镇）人民政府，永宁街道办事处，县人民政府有关部门，各有关单位：</w:t>
      </w:r>
    </w:p>
    <w:p w14:paraId="5245DA4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新修订的《洛宁县政府投资项目管理办法》已经县政府常务会议研究通过，现印发给你们，请认真抓好贯彻落实。</w:t>
      </w:r>
    </w:p>
    <w:p w14:paraId="4A93B1F5">
      <w:pPr>
        <w:pStyle w:val="2"/>
        <w:spacing w:line="600" w:lineRule="exact"/>
        <w:ind w:firstLine="0" w:firstLineChars="0"/>
        <w:rPr>
          <w:rFonts w:hint="eastAsia" w:ascii="仿宋_GB2312" w:hAnsi="仿宋_GB2312" w:eastAsia="仿宋_GB2312" w:cs="仿宋_GB2312"/>
          <w:sz w:val="32"/>
          <w:szCs w:val="32"/>
        </w:rPr>
      </w:pPr>
    </w:p>
    <w:p w14:paraId="1F1EDE4B">
      <w:pPr>
        <w:pStyle w:val="2"/>
        <w:spacing w:line="600" w:lineRule="exact"/>
        <w:ind w:firstLine="640"/>
        <w:rPr>
          <w:rFonts w:hint="eastAsia" w:ascii="黑体" w:hAnsi="黑体" w:eastAsia="黑体" w:cs="黑体"/>
          <w:szCs w:val="21"/>
        </w:rPr>
      </w:pPr>
      <w:r>
        <w:rPr>
          <w:rFonts w:hint="eastAsia" w:ascii="仿宋_GB2312" w:hAnsi="仿宋_GB2312" w:eastAsia="仿宋_GB2312" w:cs="仿宋_GB2312"/>
          <w:sz w:val="32"/>
          <w:szCs w:val="32"/>
        </w:rPr>
        <w:t xml:space="preserve">                               202 年 月  日</w:t>
      </w:r>
    </w:p>
    <w:p w14:paraId="7E42B85C">
      <w:pPr>
        <w:spacing w:line="600" w:lineRule="exact"/>
        <w:rPr>
          <w:rFonts w:hint="eastAsia" w:ascii="方正小标宋简体" w:hAnsi="方正小标宋简体" w:eastAsia="方正小标宋简体" w:cs="方正小标宋简体"/>
          <w:sz w:val="44"/>
          <w:szCs w:val="44"/>
        </w:rPr>
      </w:pPr>
      <w:r>
        <w:rPr>
          <w:rFonts w:hint="eastAsia" w:ascii="黑体" w:hAnsi="黑体" w:eastAsia="黑体" w:cs="黑体"/>
          <w:szCs w:val="21"/>
        </w:rPr>
        <w:t xml:space="preserve">                                                     </w:t>
      </w:r>
    </w:p>
    <w:p w14:paraId="60A7AECF">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洛宁县政府投资项目管理办法</w:t>
      </w:r>
    </w:p>
    <w:p w14:paraId="1BEA321D">
      <w:pPr>
        <w:pStyle w:val="6"/>
        <w:shd w:val="clear" w:color="auto" w:fill="FFFFFF"/>
        <w:spacing w:line="600" w:lineRule="exact"/>
        <w:jc w:val="center"/>
        <w:rPr>
          <w:rFonts w:ascii="穝灿砰" w:hAnsi="穝灿砰" w:eastAsia="穝灿砰" w:cs="穝灿砰"/>
          <w:b/>
          <w:bCs/>
          <w:sz w:val="32"/>
          <w:szCs w:val="32"/>
          <w:shd w:val="clear" w:color="auto" w:fill="FFFFFF"/>
        </w:rPr>
      </w:pPr>
    </w:p>
    <w:p w14:paraId="02914021">
      <w:pPr>
        <w:pStyle w:val="6"/>
        <w:shd w:val="clear" w:color="auto" w:fill="FFFFFF"/>
        <w:spacing w:line="600" w:lineRule="exact"/>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 则</w:t>
      </w:r>
    </w:p>
    <w:p w14:paraId="1955F14E">
      <w:pPr>
        <w:pStyle w:val="6"/>
        <w:shd w:val="clear" w:color="auto" w:fill="FFFFFF"/>
        <w:spacing w:line="600" w:lineRule="exact"/>
        <w:rPr>
          <w:rFonts w:hint="eastAsia" w:ascii="黑体" w:hAnsi="黑体" w:eastAsia="黑体" w:cs="黑体"/>
          <w:sz w:val="32"/>
          <w:szCs w:val="32"/>
          <w:shd w:val="clear" w:color="auto" w:fill="FFFFFF"/>
        </w:rPr>
      </w:pPr>
    </w:p>
    <w:p w14:paraId="11170379">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第一条 为加强政府投资项目管理，规范政府投资行为，提高政府投资使用绩效，建立前期审批和后期监管并重的管理制度，根据国务院《政府投资条例》（国务院令第712号）、《河南省政府投资管理办法》（河南省人民政府令第196号）及其他有关法律、法规规定，结合我县实际,特制订本管理办法。</w:t>
      </w:r>
    </w:p>
    <w:p w14:paraId="3AED0409">
      <w:pPr>
        <w:pStyle w:val="6"/>
        <w:shd w:val="clear" w:color="auto" w:fill="FFFFFF"/>
        <w:spacing w:line="600" w:lineRule="exact"/>
        <w:ind w:firstLine="63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第二条 本办法所称政府投资,是指使用预算资金安排的固定资产投资建设活动，包括县财政本级预算安排资金、中央及省、市级资金、债券资金等。政府投资资金按项目安排，以直接投资方式为主，对确需支持的经营性项目，主要采取资本金注入方式，也可适当采取投资补助、贷款贴息等方式。</w:t>
      </w:r>
    </w:p>
    <w:p w14:paraId="31C0A742">
      <w:pPr>
        <w:pStyle w:val="6"/>
        <w:shd w:val="clear" w:color="auto" w:fill="FFFFFF"/>
        <w:spacing w:line="600" w:lineRule="exact"/>
        <w:ind w:firstLine="63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第三条 本办法所称政府投资项目是指</w:t>
      </w:r>
      <w:r>
        <w:rPr>
          <w:rFonts w:hint="eastAsia" w:ascii="仿宋_GB2312" w:eastAsia="仿宋_GB2312"/>
          <w:sz w:val="32"/>
          <w:szCs w:val="32"/>
        </w:rPr>
        <w:t>各乡（镇、街道办）</w:t>
      </w:r>
      <w:r>
        <w:rPr>
          <w:rFonts w:hint="eastAsia" w:ascii="仿宋_GB2312" w:hAnsi="仿宋_GB2312" w:eastAsia="仿宋_GB2312" w:cs="仿宋_GB2312"/>
          <w:sz w:val="32"/>
          <w:szCs w:val="32"/>
          <w:shd w:val="clear" w:color="auto" w:fill="FFFFFF"/>
        </w:rPr>
        <w:t>和县直各单位（含二级机构及派出机构）采用政府投资实施的新建、改建、扩建、技术改造等工程建设项目；与工程建设有关的勘察、设计、监理和材料、设备购置项目；公开招标限额以上的大宗采购和服务项目。</w:t>
      </w:r>
    </w:p>
    <w:p w14:paraId="264F938D">
      <w:pPr>
        <w:pStyle w:val="6"/>
        <w:shd w:val="clear" w:color="auto" w:fill="FFFFFF"/>
        <w:spacing w:line="600" w:lineRule="exact"/>
        <w:ind w:firstLine="63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第四条 县发展和改委委员会为政府投资主管部门，负责政府投资项目储备、项目审批，并对项目实施情况进行监督、协调、指导。县财政负责政府投资项目预算安排、预算评审、项目资金审核拨付、结算审查、财务决算；自然资源、生态环境、住建局、交通运输、水利、农业农村、审计等有关部门依照本办法和政府规定的职责分工，履行相应的政府投资管理、招投标监督职责。</w:t>
      </w:r>
    </w:p>
    <w:p w14:paraId="46DD6E96">
      <w:pPr>
        <w:pStyle w:val="6"/>
        <w:shd w:val="clear" w:color="auto" w:fill="FFFFFF"/>
        <w:spacing w:line="600" w:lineRule="exact"/>
        <w:jc w:val="center"/>
        <w:rPr>
          <w:rFonts w:ascii="穝灿砰" w:hAnsi="穝灿砰" w:eastAsia="穝灿砰" w:cs="穝灿砰"/>
          <w:sz w:val="32"/>
          <w:szCs w:val="32"/>
          <w:shd w:val="clear" w:color="auto" w:fill="FFFFFF"/>
        </w:rPr>
      </w:pPr>
    </w:p>
    <w:p w14:paraId="37E841A4">
      <w:pPr>
        <w:pStyle w:val="6"/>
        <w:shd w:val="clear" w:color="auto" w:fill="FFFFFF"/>
        <w:spacing w:line="600" w:lineRule="exact"/>
        <w:jc w:val="center"/>
        <w:rPr>
          <w:rFonts w:hint="eastAsia" w:ascii="黑体" w:hAnsi="黑体" w:eastAsia="黑体" w:cs="黑体"/>
          <w:sz w:val="32"/>
          <w:szCs w:val="32"/>
          <w:shd w:val="clear" w:color="auto" w:fill="FFFFFF"/>
        </w:rPr>
      </w:pPr>
      <w:r>
        <w:rPr>
          <w:rFonts w:ascii="穝灿砰" w:hAnsi="穝灿砰" w:eastAsia="穝灿砰" w:cs="穝灿砰"/>
          <w:sz w:val="32"/>
          <w:szCs w:val="32"/>
          <w:shd w:val="clear" w:color="auto" w:fill="FFFFFF"/>
        </w:rPr>
        <w:t> </w:t>
      </w:r>
      <w:r>
        <w:rPr>
          <w:rFonts w:hint="eastAsia" w:ascii="黑体" w:hAnsi="黑体" w:eastAsia="黑体" w:cs="黑体"/>
          <w:sz w:val="32"/>
          <w:szCs w:val="32"/>
          <w:shd w:val="clear" w:color="auto" w:fill="FFFFFF"/>
        </w:rPr>
        <w:t>第二章  项目谋划储备</w:t>
      </w:r>
    </w:p>
    <w:p w14:paraId="642AFF8D">
      <w:pPr>
        <w:pStyle w:val="6"/>
        <w:shd w:val="clear" w:color="auto" w:fill="FFFFFF"/>
        <w:spacing w:line="600" w:lineRule="exact"/>
        <w:jc w:val="center"/>
        <w:rPr>
          <w:rFonts w:hint="eastAsia" w:ascii="黑体" w:hAnsi="黑体" w:eastAsia="黑体" w:cs="黑体"/>
          <w:sz w:val="32"/>
          <w:szCs w:val="32"/>
          <w:shd w:val="clear" w:color="auto" w:fill="FFFFFF"/>
        </w:rPr>
      </w:pPr>
    </w:p>
    <w:p w14:paraId="609AAF4B">
      <w:pPr>
        <w:spacing w:line="600" w:lineRule="exact"/>
        <w:ind w:firstLine="640" w:firstLineChars="200"/>
        <w:rPr>
          <w:rFonts w:eastAsia="仿宋_GB2312"/>
        </w:rPr>
      </w:pPr>
      <w:r>
        <w:rPr>
          <w:rFonts w:hint="eastAsia" w:ascii="仿宋_GB2312" w:eastAsia="仿宋_GB2312"/>
          <w:sz w:val="32"/>
          <w:szCs w:val="32"/>
        </w:rPr>
        <w:t>第五条 建立政府投资项目动态储备制度。县发展和改革委员会根据国民经济和社会发展规划、区域规划、相关领域专项规划、上级政策资金投向，组织各部门、各乡（镇、街道办）建立使用政府投资项目储备库，实施分类动态管理，对未入库项目原则上不安排政府投资资金。</w:t>
      </w:r>
    </w:p>
    <w:p w14:paraId="7F15A30A">
      <w:pPr>
        <w:pStyle w:val="6"/>
        <w:shd w:val="clear" w:color="auto" w:fill="FFFFFF"/>
        <w:spacing w:line="600" w:lineRule="exact"/>
        <w:ind w:firstLine="639"/>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sz w:val="32"/>
          <w:szCs w:val="32"/>
          <w:shd w:val="clear" w:color="auto" w:fill="FFFFFF"/>
        </w:rPr>
        <w:t>第六条 入库项目根据成熟程度不同，</w:t>
      </w:r>
      <w:r>
        <w:rPr>
          <w:rFonts w:hint="eastAsia" w:ascii="仿宋_GB2312" w:hAnsi="仿宋_GB2312" w:eastAsia="仿宋_GB2312" w:cs="仿宋_GB2312"/>
          <w:b/>
          <w:bCs/>
          <w:sz w:val="32"/>
          <w:szCs w:val="32"/>
          <w:shd w:val="clear" w:color="auto" w:fill="FFFFFF"/>
        </w:rPr>
        <w:t>分别纳入A类、B类、C类储备项目库。具体为：</w:t>
      </w:r>
    </w:p>
    <w:p w14:paraId="7C1CC298">
      <w:pPr>
        <w:pStyle w:val="6"/>
        <w:shd w:val="clear" w:color="auto" w:fill="FFFFFF"/>
        <w:spacing w:line="600" w:lineRule="exact"/>
        <w:ind w:firstLine="639"/>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A类：项目保障要素齐全、当前急需实施的项目；</w:t>
      </w:r>
    </w:p>
    <w:p w14:paraId="76624D1B">
      <w:pPr>
        <w:pStyle w:val="6"/>
        <w:shd w:val="clear" w:color="auto" w:fill="FFFFFF"/>
        <w:spacing w:line="600" w:lineRule="exact"/>
        <w:ind w:firstLine="639"/>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B类：下步需要实施、需完善保障要素的项目；</w:t>
      </w:r>
    </w:p>
    <w:p w14:paraId="55D2F6EE">
      <w:pPr>
        <w:pStyle w:val="6"/>
        <w:shd w:val="clear" w:color="auto" w:fill="FFFFFF"/>
        <w:spacing w:line="600" w:lineRule="exact"/>
        <w:ind w:firstLine="639"/>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C类：着眼长远先行储备的项目。</w:t>
      </w:r>
    </w:p>
    <w:p w14:paraId="5A7A2F60">
      <w:pPr>
        <w:pStyle w:val="6"/>
        <w:shd w:val="clear" w:color="auto" w:fill="FFFFFF"/>
        <w:spacing w:line="600" w:lineRule="exact"/>
        <w:ind w:firstLine="639"/>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第七条 项目库实行不定期申报的办法。县发改委根据上级</w:t>
      </w:r>
    </w:p>
    <w:p w14:paraId="4846A7A5">
      <w:pPr>
        <w:pStyle w:val="6"/>
        <w:shd w:val="clear" w:color="auto" w:fill="FFFFFF"/>
        <w:spacing w:line="600" w:lineRule="exact"/>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要求和工作需要组织相关单位申报项目。</w:t>
      </w:r>
    </w:p>
    <w:p w14:paraId="386FCED0">
      <w:pPr>
        <w:pStyle w:val="2"/>
        <w:numPr>
          <w:ilvl w:val="0"/>
          <w:numId w:val="1"/>
        </w:numPr>
        <w:spacing w:line="460" w:lineRule="exact"/>
        <w:ind w:firstLine="0" w:firstLineChars="0"/>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立项审批</w:t>
      </w:r>
    </w:p>
    <w:p w14:paraId="76027AD5">
      <w:pPr>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第八条 编制项目可研报告。政府投资</w:t>
      </w:r>
      <w:r>
        <w:rPr>
          <w:rFonts w:hint="eastAsia" w:ascii="仿宋_GB2312" w:eastAsia="仿宋_GB2312"/>
          <w:sz w:val="32"/>
          <w:szCs w:val="32"/>
        </w:rPr>
        <w:t>工程建设类（</w:t>
      </w:r>
      <w:r>
        <w:rPr>
          <w:rFonts w:hint="eastAsia" w:ascii="仿宋_GB2312" w:hAnsi="仿宋_GB2312" w:eastAsia="仿宋_GB2312" w:cs="仿宋_GB2312"/>
          <w:sz w:val="32"/>
          <w:szCs w:val="32"/>
          <w:shd w:val="clear" w:color="auto" w:fill="FFFFFF"/>
        </w:rPr>
        <w:t>60万元以上、</w:t>
      </w:r>
      <w:r>
        <w:rPr>
          <w:rFonts w:hint="eastAsia" w:ascii="仿宋_GB2312" w:hAnsi="仿宋_GB2312" w:eastAsia="仿宋_GB2312" w:cs="仿宋_GB2312"/>
          <w:sz w:val="32"/>
          <w:szCs w:val="32"/>
          <w:u w:val="single"/>
          <w:shd w:val="clear" w:color="auto" w:fill="FFFFFF"/>
        </w:rPr>
        <w:t>单个投资500万元以下同期实施的布局分散的同类项目，须整合打捆办理立项审批手续。</w:t>
      </w:r>
      <w:r>
        <w:rPr>
          <w:rFonts w:hint="eastAsia" w:ascii="仿宋_GB2312" w:eastAsia="仿宋_GB2312"/>
          <w:sz w:val="32"/>
          <w:szCs w:val="32"/>
        </w:rPr>
        <w:t>）项目需编制《项目可行性研究报告》，对项目技术经济可行性和社会效益、资源综合利用、生态环境、社会稳定风险、资金来源以及资金筹措方案等进行全面分析论证，可行性研究报告应符合最新的国家发改委</w:t>
      </w:r>
      <w:r>
        <w:rPr>
          <w:rFonts w:ascii="仿宋_GB2312" w:eastAsia="仿宋_GB2312"/>
          <w:sz w:val="32"/>
          <w:szCs w:val="32"/>
        </w:rPr>
        <w:t>投资项目可行性研究报告编写大纲</w:t>
      </w:r>
      <w:r>
        <w:rPr>
          <w:rFonts w:hint="eastAsia" w:ascii="仿宋_GB2312" w:eastAsia="仿宋_GB2312"/>
          <w:sz w:val="32"/>
          <w:szCs w:val="32"/>
        </w:rPr>
        <w:t>要求（项目可研报告可由项目单位自行编制，也可委托第三方咨询机构编制）。符合</w:t>
      </w:r>
      <w:r>
        <w:rPr>
          <w:rFonts w:hint="eastAsia" w:ascii="仿宋_GB2312" w:eastAsia="仿宋_GB2312"/>
          <w:b/>
          <w:bCs/>
          <w:sz w:val="32"/>
          <w:szCs w:val="32"/>
        </w:rPr>
        <w:t>《必须招标的工程项目规定》（国家发展改革委16号令）规定必须招标的</w:t>
      </w:r>
      <w:r>
        <w:rPr>
          <w:rFonts w:hint="eastAsia" w:ascii="仿宋_GB2312" w:eastAsia="仿宋_GB2312"/>
          <w:sz w:val="32"/>
          <w:szCs w:val="32"/>
        </w:rPr>
        <w:t>政府投资项目，可研报告须包含招标方案。</w:t>
      </w:r>
    </w:p>
    <w:p w14:paraId="08F0C934">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第九条 申请立项。工程建设类项目可研报告编制完成后，由项目单位向发改委行文申请立项审批，立项审批需提交资料：项目单位请示文件、《项目可研报告》、</w:t>
      </w:r>
      <w:r>
        <w:rPr>
          <w:rFonts w:hint="eastAsia" w:ascii="仿宋_GB2312" w:eastAsia="仿宋_GB2312"/>
          <w:sz w:val="32"/>
          <w:szCs w:val="32"/>
        </w:rPr>
        <w:t>县自然资源局出具的项目规划选址和用地预审意见、</w:t>
      </w:r>
      <w:r>
        <w:rPr>
          <w:rFonts w:hint="eastAsia" w:ascii="仿宋_GB2312" w:hAnsi="仿宋_GB2312" w:eastAsia="仿宋_GB2312" w:cs="仿宋_GB2312"/>
          <w:sz w:val="32"/>
          <w:szCs w:val="32"/>
          <w:shd w:val="clear" w:color="auto" w:fill="FFFFFF"/>
        </w:rPr>
        <w:t>项目节能审查意见。</w:t>
      </w:r>
    </w:p>
    <w:p w14:paraId="47C4290B">
      <w:pPr>
        <w:spacing w:line="600" w:lineRule="exact"/>
        <w:ind w:firstLine="640" w:firstLineChars="200"/>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shd w:val="clear" w:color="auto" w:fill="FFFFFF"/>
        </w:rPr>
        <w:t>第十条 可研评审批复。</w:t>
      </w:r>
      <w:r>
        <w:rPr>
          <w:rFonts w:hint="eastAsia" w:ascii="仿宋_GB2312" w:hAnsi="仿宋_GB2312" w:eastAsia="仿宋_GB2312" w:cs="仿宋_GB2312"/>
          <w:sz w:val="32"/>
          <w:szCs w:val="32"/>
          <w:u w:val="single"/>
          <w:shd w:val="clear" w:color="auto" w:fill="FFFFFF"/>
        </w:rPr>
        <w:t>县发改委和相关行业主管部门要根据国民经济和社会发展规划、相关领域专项规划、产业政策等，从下列方面对项目进行审查，作出是否批准的决定。</w:t>
      </w:r>
      <w:r>
        <w:rPr>
          <w:rFonts w:hint="eastAsia" w:ascii="仿宋_GB2312" w:hAnsi="仿宋_GB2312" w:eastAsia="仿宋_GB2312" w:cs="仿宋_GB2312"/>
          <w:sz w:val="32"/>
          <w:szCs w:val="32"/>
          <w:shd w:val="clear" w:color="auto" w:fill="FFFFFF"/>
        </w:rPr>
        <w:t>对建设内容单一、技术方案简单的政府投资项目，合并审批事项，只审批项目可行性研究报告，不再审批项目建议书和初步设计。</w:t>
      </w:r>
    </w:p>
    <w:p w14:paraId="00B8BF1E">
      <w:pPr>
        <w:pStyle w:val="2"/>
        <w:spacing w:line="600" w:lineRule="exact"/>
        <w:ind w:firstLine="640"/>
        <w:rPr>
          <w:rFonts w:ascii="仿宋_GB2312" w:eastAsia="仿宋_GB2312"/>
          <w:sz w:val="32"/>
          <w:szCs w:val="32"/>
        </w:rPr>
      </w:pPr>
      <w:r>
        <w:rPr>
          <w:rFonts w:hint="eastAsia" w:ascii="仿宋_GB2312" w:eastAsia="仿宋_GB2312"/>
          <w:sz w:val="32"/>
          <w:szCs w:val="32"/>
        </w:rPr>
        <w:t>（一）项目建议书提出的项目建设的必要性；</w:t>
      </w:r>
    </w:p>
    <w:p w14:paraId="77142A3C">
      <w:pPr>
        <w:pStyle w:val="2"/>
        <w:spacing w:line="600" w:lineRule="exact"/>
        <w:ind w:firstLine="640"/>
        <w:rPr>
          <w:rFonts w:ascii="仿宋_GB2312" w:eastAsia="仿宋_GB2312"/>
          <w:sz w:val="32"/>
          <w:szCs w:val="32"/>
        </w:rPr>
      </w:pPr>
      <w:r>
        <w:rPr>
          <w:rFonts w:hint="eastAsia" w:ascii="仿宋_GB2312" w:eastAsia="仿宋_GB2312"/>
          <w:sz w:val="32"/>
          <w:szCs w:val="32"/>
        </w:rPr>
        <w:t>（二）可行性研究报告分析的项目的技术经济可行性、社会效益以及项目资金等主要建设条件的落实情况；</w:t>
      </w:r>
    </w:p>
    <w:p w14:paraId="25D41E11">
      <w:pPr>
        <w:pStyle w:val="2"/>
        <w:spacing w:line="600" w:lineRule="exact"/>
        <w:ind w:firstLine="640"/>
        <w:rPr>
          <w:rFonts w:ascii="仿宋_GB2312" w:eastAsia="仿宋_GB2312"/>
          <w:sz w:val="32"/>
          <w:szCs w:val="32"/>
        </w:rPr>
      </w:pPr>
      <w:r>
        <w:rPr>
          <w:rFonts w:hint="eastAsia" w:ascii="仿宋_GB2312" w:eastAsia="仿宋_GB2312"/>
          <w:sz w:val="32"/>
          <w:szCs w:val="32"/>
        </w:rPr>
        <w:t>（三）投资概算及初步设计是否符合可行性研究报告批复以及国家有关标准和规范的要求；</w:t>
      </w:r>
    </w:p>
    <w:p w14:paraId="18638850">
      <w:pPr>
        <w:spacing w:line="600" w:lineRule="exact"/>
        <w:ind w:firstLine="640" w:firstLineChars="200"/>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u w:val="single"/>
          <w:shd w:val="clear" w:color="auto" w:fill="FFFFFF"/>
        </w:rPr>
        <w:t>对于经济社会发展、社会公众利益有重大影响或者投资规模较大的政府投资项目，县发改委或者相关行业主管部门应当在中介服务机构评估、公众参与、专家评议、风险评估的基础上作出是否批准的决定。可行性研究、专家评审等前期工作费用应列入当年财政预算，委托中介服务机构开展政府投资项目咨询评估、项目后评价等相关工作的费用，由委托单位支付，不得要求被评估单位支付。</w:t>
      </w:r>
    </w:p>
    <w:p w14:paraId="0FA17494">
      <w:pPr>
        <w:pStyle w:val="2"/>
        <w:spacing w:line="600" w:lineRule="exact"/>
        <w:ind w:firstLine="640"/>
        <w:rPr>
          <w:rFonts w:ascii="仿宋_GB2312" w:eastAsia="仿宋_GB2312"/>
          <w:sz w:val="32"/>
          <w:szCs w:val="32"/>
        </w:rPr>
      </w:pPr>
      <w:r>
        <w:rPr>
          <w:rFonts w:hint="eastAsia" w:ascii="仿宋_GB2312" w:eastAsia="仿宋_GB2312"/>
          <w:sz w:val="32"/>
          <w:szCs w:val="32"/>
        </w:rPr>
        <w:t xml:space="preserve">第十一条 </w:t>
      </w:r>
      <w:r>
        <w:rPr>
          <w:rFonts w:hint="eastAsia" w:ascii="仿宋_GB2312" w:hAnsi="仿宋_GB2312" w:eastAsia="仿宋_GB2312" w:cs="仿宋_GB2312"/>
          <w:b/>
          <w:bCs/>
          <w:sz w:val="32"/>
          <w:szCs w:val="32"/>
          <w:shd w:val="clear" w:color="auto" w:fill="FFFFFF"/>
        </w:rPr>
        <w:t>按照《必须招标的工程项目规定》（国家发展改革委16号令）规定必须招标的项目要提交招标方案，县发改委在可行性研究报告批复时一并办理招标方案核准，核准后的招标方案不得随意变更。如因财政预算评审价格改变或其他原因需变更采购方式的，应报县发改委核准。</w:t>
      </w:r>
    </w:p>
    <w:p w14:paraId="5836DADA">
      <w:pPr>
        <w:pStyle w:val="6"/>
        <w:shd w:val="clear" w:color="auto" w:fill="FFFFFF"/>
        <w:spacing w:line="600" w:lineRule="exact"/>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 财政评审</w:t>
      </w:r>
    </w:p>
    <w:p w14:paraId="4B76C69E">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第十二条 政府投资（60万元以上工程建设类）项目立项审批后，由项目单位负责编制项目预算，并报县财政投资评审中心进行评审。所需资料：项目立项批复文件、《项目评审申请表》、项目预算书（含电子版和纸质版）、图纸和与工程预算相关的其他资料，项目单位对送审资料的真实性、完整性、合规性负责。由县财政投资评审中心依据相关法规和行业评审规范，对项目单位送审的预算评审资料进行评审，并及时出具评审报告。</w:t>
      </w:r>
      <w:r>
        <w:rPr>
          <w:rFonts w:hint="eastAsia" w:ascii="仿宋_GB2312" w:hAnsi="仿宋_GB2312" w:eastAsia="仿宋_GB2312" w:cs="仿宋_GB2312"/>
          <w:sz w:val="32"/>
          <w:szCs w:val="32"/>
          <w:u w:val="single"/>
        </w:rPr>
        <w:t>评审后差距较大怎么办</w:t>
      </w:r>
    </w:p>
    <w:p w14:paraId="26AE8B0B">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第十三条 </w:t>
      </w:r>
      <w:r>
        <w:rPr>
          <w:rFonts w:hint="eastAsia" w:ascii="仿宋_GB2312" w:hAnsi="仿宋_GB2312" w:eastAsia="仿宋_GB2312" w:cs="仿宋_GB2312"/>
          <w:sz w:val="32"/>
          <w:szCs w:val="32"/>
          <w:u w:val="single"/>
        </w:rPr>
        <w:t>政府投资10万元以上、60万元以下工程类项目、必须公开招标之外的项目按《政府采购法》及实施条例相关规定执行。</w:t>
      </w:r>
    </w:p>
    <w:p w14:paraId="1118F134">
      <w:pPr>
        <w:pStyle w:val="2"/>
        <w:spacing w:line="600" w:lineRule="exact"/>
        <w:ind w:firstLine="0" w:firstLineChars="0"/>
        <w:rPr>
          <w:rFonts w:hint="eastAsia" w:ascii="仿宋_GB2312" w:hAnsi="仿宋_GB2312" w:eastAsia="仿宋_GB2312" w:cs="仿宋_GB2312"/>
          <w:sz w:val="32"/>
          <w:szCs w:val="32"/>
        </w:rPr>
      </w:pPr>
    </w:p>
    <w:p w14:paraId="04EA00F5">
      <w:pPr>
        <w:pStyle w:val="6"/>
        <w:shd w:val="clear" w:color="auto" w:fill="FFFFFF"/>
        <w:spacing w:line="600" w:lineRule="exact"/>
        <w:jc w:val="center"/>
        <w:rPr>
          <w:rFonts w:hint="eastAsia" w:ascii="黑体" w:hAnsi="黑体" w:eastAsia="黑体" w:cs="黑体"/>
          <w:sz w:val="32"/>
          <w:szCs w:val="32"/>
          <w:shd w:val="clear" w:color="auto" w:fill="FFFFFF"/>
        </w:rPr>
      </w:pPr>
      <w:r>
        <w:rPr>
          <w:rFonts w:ascii="穝灿砰" w:hAnsi="穝灿砰" w:eastAsia="穝灿砰" w:cs="穝灿砰"/>
          <w:sz w:val="32"/>
          <w:szCs w:val="32"/>
          <w:shd w:val="clear" w:color="auto" w:fill="FFFFFF"/>
        </w:rPr>
        <w:t>  </w:t>
      </w:r>
      <w:r>
        <w:rPr>
          <w:rFonts w:hint="eastAsia" w:ascii="黑体" w:hAnsi="黑体" w:eastAsia="黑体" w:cs="黑体"/>
          <w:sz w:val="32"/>
          <w:szCs w:val="32"/>
          <w:shd w:val="clear" w:color="auto" w:fill="FFFFFF"/>
        </w:rPr>
        <w:t>第五章  政府采购及招投标</w:t>
      </w:r>
    </w:p>
    <w:p w14:paraId="203358CD">
      <w:pPr>
        <w:pStyle w:val="6"/>
        <w:shd w:val="clear" w:color="auto" w:fill="FFFFFF"/>
        <w:spacing w:line="600" w:lineRule="exact"/>
        <w:jc w:val="center"/>
        <w:rPr>
          <w:rFonts w:hint="eastAsia" w:ascii="黑体" w:hAnsi="黑体" w:eastAsia="黑体" w:cs="黑体"/>
          <w:sz w:val="32"/>
          <w:szCs w:val="32"/>
          <w:shd w:val="clear" w:color="auto" w:fill="FFFFFF"/>
        </w:rPr>
      </w:pPr>
    </w:p>
    <w:p w14:paraId="6CE260E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第十四条 项目完成财政评审</w:t>
      </w:r>
      <w:r>
        <w:rPr>
          <w:rFonts w:hint="eastAsia" w:ascii="仿宋_GB2312" w:hAnsi="仿宋_GB2312" w:eastAsia="仿宋_GB2312" w:cs="仿宋_GB2312"/>
          <w:sz w:val="32"/>
          <w:szCs w:val="32"/>
        </w:rPr>
        <w:t>后，由项目单位填写《洛宁县政府投资项目审查表》，审查表应明确项目名称、建设内容、建设工期、项目评审金额、招投标方式、资金来源、项目单位等事项。按程序报县财政、发改委、县政府审查。其中，投资100万以下（含100万元）项目由县政府常务副县长审定；投资100万元以上、1000万元以下（含1000万元）项目报县长审定；投资1000万元以上项目提交县政府常务会议或县长办公会集体研究审定。履行政府审批程序后，项目单位方可组织开展采购和招标。30万元限额以上货物和服务类项目由业主单位填写《洛宁县政府投资项目审查表》，参照上述标准和程序执行。</w:t>
      </w:r>
    </w:p>
    <w:p w14:paraId="43AB584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政府投资项目由县财政部门根据财政评审结果和县政府审查意见，办理采购手续。限额以上政府采购项目原则上在采购活动开始前不低于30日公开采购意向。同时，全县范围内依法必须招标的工程建设项目及与其有关的货物、服务项目，必须由项目单位（或其委托的招标代理机构）于项目招标公告（或投标邀请书）发布之日前至少30日在“洛阳市公共资源交易中心网”公布招标计划，涉及国家安全、国家秘密、抢险救灾或因招标人不可预见等原因急需开展的招标项目，经本级行政监督部门同意后可不发布招标计划。</w:t>
      </w:r>
    </w:p>
    <w:p w14:paraId="1F65783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1.30万元以下的货物、服务项目，60万元以下的工程项目由单位自行采购，无需办理政府采购，其中30万元以下的办公用品按上级要求在网上商城采购。</w:t>
      </w:r>
    </w:p>
    <w:p w14:paraId="12C20EE8">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single"/>
        </w:rPr>
        <w:t>分散采购限额标准：30-200万元的货物、服务项目，60-400万元的工程项目，可采用公开招标及招标以外的其他采购方式，由财政部门办理相关手续，进交易中心招标。</w:t>
      </w:r>
    </w:p>
    <w:p w14:paraId="39C298D9">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3.公开招标限额标准：</w:t>
      </w:r>
      <w:r>
        <w:rPr>
          <w:rFonts w:hint="eastAsia" w:ascii="仿宋_GB2312" w:hAnsi="仿宋_GB2312" w:eastAsia="仿宋_GB2312" w:cs="仿宋_GB2312"/>
          <w:sz w:val="32"/>
          <w:szCs w:val="32"/>
        </w:rPr>
        <w:t>200万元以上的货物、服务项目，采用公开招标方式。</w:t>
      </w:r>
      <w:r>
        <w:rPr>
          <w:rFonts w:hint="eastAsia" w:ascii="仿宋_GB2312" w:hAnsi="仿宋_GB2312" w:eastAsia="仿宋_GB2312" w:cs="仿宋_GB2312"/>
          <w:b/>
          <w:bCs/>
          <w:sz w:val="32"/>
          <w:szCs w:val="32"/>
        </w:rPr>
        <w:t>政府采购工程招标限额按照《必须招标的工程项目规定》（国家发改委第16号令）执行。</w:t>
      </w:r>
    </w:p>
    <w:p w14:paraId="796E8A0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第十六条 </w:t>
      </w:r>
      <w:r>
        <w:rPr>
          <w:rFonts w:hint="eastAsia" w:ascii="仿宋_GB2312" w:hAnsi="仿宋_GB2312" w:eastAsia="仿宋_GB2312" w:cs="仿宋_GB2312"/>
          <w:sz w:val="32"/>
          <w:szCs w:val="32"/>
        </w:rPr>
        <w:t>根据财政部门出具的《洛宁县政府采购备案表》，</w:t>
      </w:r>
      <w:r>
        <w:rPr>
          <w:rFonts w:hint="eastAsia" w:ascii="仿宋_GB2312" w:hAnsi="仿宋_GB2312" w:eastAsia="仿宋_GB2312" w:cs="仿宋_GB2312"/>
          <w:sz w:val="32"/>
          <w:szCs w:val="32"/>
          <w:shd w:val="clear" w:color="auto" w:fill="FFFFFF"/>
        </w:rPr>
        <w:t>需招标采购的项目，项目业主单位要召开党组会集体研究确定招标代理机构，</w:t>
      </w:r>
      <w:r>
        <w:rPr>
          <w:rFonts w:hint="eastAsia" w:ascii="仿宋_GB2312" w:hAnsi="仿宋_GB2312" w:eastAsia="仿宋_GB2312" w:cs="仿宋_GB2312"/>
          <w:sz w:val="32"/>
          <w:szCs w:val="32"/>
        </w:rPr>
        <w:t>按规定到公共资源交易中心办理招标手续。需提供资料：《洛宁县政府采购备案表》、业主单位项目信息采集表、项目业主单位与招标代理机构签订的招标代理合同、代理机构承诺书，以上内容齐全后，由县公共资源交易中心安排项目进行挂网招标。</w:t>
      </w:r>
    </w:p>
    <w:p w14:paraId="20B14C04">
      <w:pPr>
        <w:pStyle w:val="2"/>
        <w:spacing w:line="600" w:lineRule="exact"/>
        <w:ind w:firstLine="640"/>
      </w:pPr>
      <w:r>
        <w:rPr>
          <w:rFonts w:hint="eastAsia" w:ascii="仿宋_GB2312" w:hAnsi="仿宋_GB2312" w:eastAsia="仿宋_GB2312" w:cs="仿宋_GB2312"/>
          <w:sz w:val="32"/>
          <w:szCs w:val="32"/>
        </w:rPr>
        <w:t>第十七条 申报争取政府项目资金支持的企业，在项目申报时要向主管部门提供企业信用报告，列入失信联合惩戒对象名单的企业，政府资金不予支持；政府投资项目业主单位在确定招标代理机构时应审查招标代理机构信用报告，不得选取列入失信联合惩戒对象名单的招标代理机构；政府投资项目在制作招标公告时，应要求参与投标企业提供信用报告，列入失信联合惩戒对象名单的企业不得参与政府投资项目投标。</w:t>
      </w:r>
    </w:p>
    <w:p w14:paraId="4CBDEE79">
      <w:pPr>
        <w:pStyle w:val="2"/>
        <w:spacing w:line="600" w:lineRule="exact"/>
      </w:pPr>
    </w:p>
    <w:p w14:paraId="2D727A90">
      <w:pPr>
        <w:pStyle w:val="6"/>
        <w:shd w:val="clear" w:color="auto" w:fill="FFFFFF"/>
        <w:spacing w:line="600" w:lineRule="exact"/>
        <w:jc w:val="center"/>
        <w:rPr>
          <w:rFonts w:hint="eastAsia" w:ascii="黑体" w:hAnsi="黑体" w:eastAsia="黑体" w:cs="黑体"/>
          <w:sz w:val="32"/>
          <w:szCs w:val="32"/>
        </w:rPr>
      </w:pPr>
      <w:r>
        <w:rPr>
          <w:rFonts w:hint="eastAsia" w:ascii="黑体" w:hAnsi="黑体" w:eastAsia="黑体" w:cs="黑体"/>
          <w:sz w:val="32"/>
          <w:szCs w:val="32"/>
          <w:shd w:val="clear" w:color="auto" w:fill="FFFFFF"/>
        </w:rPr>
        <w:t>第六章  </w:t>
      </w:r>
      <w:r>
        <w:rPr>
          <w:rFonts w:hint="eastAsia" w:ascii="黑体" w:hAnsi="黑体" w:eastAsia="黑体" w:cs="黑体"/>
          <w:sz w:val="32"/>
          <w:szCs w:val="32"/>
        </w:rPr>
        <w:t>建设管理</w:t>
      </w:r>
    </w:p>
    <w:p w14:paraId="4C15E741">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各单位、</w:t>
      </w:r>
      <w:r>
        <w:rPr>
          <w:rFonts w:hint="eastAsia" w:ascii="仿宋_GB2312" w:eastAsia="仿宋_GB2312"/>
          <w:sz w:val="32"/>
          <w:szCs w:val="32"/>
        </w:rPr>
        <w:t>各乡（镇、街道办）</w:t>
      </w:r>
      <w:r>
        <w:rPr>
          <w:rFonts w:hint="eastAsia" w:ascii="仿宋_GB2312" w:hAnsi="仿宋_GB2312" w:eastAsia="仿宋_GB2312" w:cs="仿宋_GB2312"/>
          <w:sz w:val="32"/>
          <w:szCs w:val="32"/>
        </w:rPr>
        <w:t>要切实担负起政府投资项目管理的主体责任，严格履行政府投资项目审批程序，工程开工前要依法依规办理相关建设手续，做到程序合规、手续完善。要严把工程质量关，保证工程质量。项目单位要做好项目全流程资料的收集、归档、保存。</w:t>
      </w:r>
    </w:p>
    <w:p w14:paraId="7F557C4E">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第十九条 涉及项目手续办理的职能部门要强化协调联动，实行并联审批、容缺办理，最大限度压缩审批时限，提高审批效率，确保政府投资项目早开工、快推进、早投用。</w:t>
      </w:r>
    </w:p>
    <w:p w14:paraId="0D8EB86C">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第二十条 政府投资项目原则上不得超过经核定的投资概算，项目单位不得随意变更已招标项目的投资和工程量。建设期内因国家政策调整、价格上涨、自然灾害、地质条件发生重大变化确需增加投资概算的，项目单位应当提出调整方案及资金来源，填写《洛宁县政府投资项目设计变更及签证事项审查意见表》，并附具与调整投资概算有关的支撑材料，按程序报县政府履行审查手续，政府审查同意后方可组织实施。</w:t>
      </w:r>
      <w:r>
        <w:rPr>
          <w:rFonts w:hint="eastAsia" w:ascii="仿宋_GB2312" w:hAnsi="仿宋_GB2312" w:eastAsia="仿宋_GB2312" w:cs="仿宋_GB2312"/>
          <w:sz w:val="32"/>
          <w:szCs w:val="32"/>
          <w:shd w:val="clear" w:color="auto" w:fill="FFFFFF"/>
        </w:rPr>
        <w:t>单次变更在10万元以下且不超总投资10%的由分管县级领导审定；变更在10-50万元且不超总投资10%的由常务副县长审定；变更在50-100万元且不超总投资10%的由县长审定；变更在100万元以上的由县政府常务会议或县长办公会议研究决定。项目投资变更超出原中标价10%以上，或者项目单位、建设性质、建设地点、建设规模、技术方案等发生重大变更的，项目单位应当报告县发改委。县发改委可根据具体情况要求项目单位需重新组织编制和报批可行性研究报告，或者依据项目单位申请办理相应变更手续。项目单位违反上述规定的，</w:t>
      </w:r>
      <w:r>
        <w:rPr>
          <w:rFonts w:hint="eastAsia" w:ascii="仿宋_GB2312" w:hAnsi="仿宋_GB2312" w:eastAsia="仿宋_GB2312" w:cs="仿宋_GB2312"/>
          <w:sz w:val="32"/>
          <w:szCs w:val="32"/>
          <w:u w:val="single"/>
          <w:shd w:val="clear" w:color="auto" w:fill="FFFFFF"/>
        </w:rPr>
        <w:t>财政、审计部门不予结算审查。</w:t>
      </w:r>
    </w:p>
    <w:p w14:paraId="3745B2EB">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第二十一条 发改、财政、公共资源交易中心等单位要依据政府投资项目管理办法，分工负责，对政府投资项目严格审查把关，对未按程序进行报批审查的政府投资项目，一律不予受理。</w:t>
      </w:r>
    </w:p>
    <w:p w14:paraId="6EEF793C">
      <w:pPr>
        <w:spacing w:line="600" w:lineRule="exact"/>
        <w:ind w:firstLine="640" w:firstLineChars="200"/>
        <w:jc w:val="left"/>
        <w:rPr>
          <w:rFonts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u w:val="single"/>
          <w:shd w:val="clear" w:color="auto" w:fill="FFFFFF"/>
        </w:rPr>
        <w:t xml:space="preserve">第二十二条 </w:t>
      </w:r>
      <w:r>
        <w:rPr>
          <w:rFonts w:hint="eastAsia" w:ascii="仿宋_GB2312" w:hAnsi="仿宋_GB2312" w:eastAsia="仿宋_GB2312" w:cs="仿宋_GB2312"/>
          <w:b/>
          <w:bCs/>
          <w:sz w:val="32"/>
          <w:szCs w:val="32"/>
          <w:shd w:val="clear" w:color="auto" w:fill="FFFFFF"/>
        </w:rPr>
        <w:t>不符合规定的建设条件的，不得开工建设。国务院规定应当审批开工报告的重大政府投资项目，按固定办理开工报告审批手续后方可开工建设。</w:t>
      </w:r>
    </w:p>
    <w:p w14:paraId="459B7F25">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第二十三条 政府投资项目开工后，由项目单位会同所在乡镇按照统计部门要求，及时准备完善固定资产投资项目入库资料，保证开工的政府投资项目及时纳入固定资产统计投资。</w:t>
      </w:r>
    </w:p>
    <w:p w14:paraId="729E578D">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第二十四条 政府投资项目开工后，项目单位要安排专人及时在《河南省投资项目在线审批监管平台》更新项目进度信息，</w:t>
      </w:r>
      <w:r>
        <w:rPr>
          <w:rFonts w:hint="eastAsia" w:ascii="仿宋_GB2312" w:hAnsi="仿宋_GB2312" w:eastAsia="仿宋_GB2312" w:cs="仿宋_GB2312"/>
          <w:sz w:val="32"/>
          <w:szCs w:val="32"/>
          <w:u w:val="single"/>
          <w:shd w:val="clear" w:color="auto" w:fill="FFFFFF"/>
        </w:rPr>
        <w:t>每月向县发改委报送项目进度及投资完成情况；</w:t>
      </w:r>
      <w:r>
        <w:rPr>
          <w:rFonts w:hint="eastAsia" w:ascii="仿宋_GB2312" w:hAnsi="仿宋_GB2312" w:eastAsia="仿宋_GB2312" w:cs="仿宋_GB2312"/>
          <w:sz w:val="32"/>
          <w:szCs w:val="32"/>
          <w:shd w:val="clear" w:color="auto" w:fill="FFFFFF"/>
        </w:rPr>
        <w:t>使用中央预算内资金和政府债券资金的项目，项目单位要每月在国家重大项目库及河南省项目调度系统内完成项目调度。</w:t>
      </w:r>
    </w:p>
    <w:p w14:paraId="3F91A114">
      <w:pPr>
        <w:spacing w:line="60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第二十五条 </w:t>
      </w:r>
      <w:r>
        <w:rPr>
          <w:rFonts w:hint="eastAsia" w:ascii="仿宋_GB2312" w:eastAsia="仿宋_GB2312"/>
          <w:sz w:val="32"/>
          <w:szCs w:val="32"/>
        </w:rPr>
        <w:t>政府投资项目建成后，应当按照国家有关规定进行竣工验收，在竣工验收合格后按照规定进行结算审核，并</w:t>
      </w:r>
      <w:r>
        <w:rPr>
          <w:rFonts w:hint="eastAsia" w:ascii="仿宋_GB2312" w:eastAsia="仿宋_GB2312"/>
          <w:sz w:val="32"/>
          <w:szCs w:val="32"/>
          <w:u w:val="single"/>
        </w:rPr>
        <w:t>办理竣工财务决算</w:t>
      </w:r>
      <w:r>
        <w:rPr>
          <w:rFonts w:hint="eastAsia" w:ascii="仿宋_GB2312" w:eastAsia="仿宋_GB2312"/>
          <w:sz w:val="32"/>
          <w:szCs w:val="32"/>
        </w:rPr>
        <w:t>。对政府投资项目竣工验收合格后形成的固定资产，项目单位应当依法办理产权登记。</w:t>
      </w:r>
    </w:p>
    <w:p w14:paraId="639B2C26">
      <w:pPr>
        <w:spacing w:line="600" w:lineRule="exact"/>
        <w:ind w:firstLine="2880" w:firstLineChars="900"/>
        <w:rPr>
          <w:rFonts w:hint="eastAsia" w:ascii="黑体" w:hAnsi="黑体" w:eastAsia="黑体" w:cs="穝灿砰"/>
          <w:sz w:val="32"/>
          <w:szCs w:val="32"/>
          <w:shd w:val="clear" w:color="auto" w:fill="FFFFFF"/>
        </w:rPr>
      </w:pPr>
    </w:p>
    <w:p w14:paraId="50DD429F">
      <w:pPr>
        <w:spacing w:line="600" w:lineRule="exact"/>
        <w:ind w:firstLine="2880" w:firstLineChars="900"/>
        <w:rPr>
          <w:rFonts w:hint="eastAsia" w:ascii="黑体" w:hAnsi="黑体" w:eastAsia="黑体" w:cs="穝灿砰"/>
          <w:sz w:val="32"/>
          <w:szCs w:val="32"/>
          <w:shd w:val="clear" w:color="auto" w:fill="FFFFFF"/>
        </w:rPr>
      </w:pPr>
      <w:r>
        <w:rPr>
          <w:rFonts w:hint="eastAsia" w:ascii="黑体" w:hAnsi="黑体" w:eastAsia="黑体" w:cs="穝灿砰"/>
          <w:sz w:val="32"/>
          <w:szCs w:val="32"/>
          <w:shd w:val="clear" w:color="auto" w:fill="FFFFFF"/>
        </w:rPr>
        <w:t>第七章 监督管理</w:t>
      </w:r>
    </w:p>
    <w:p w14:paraId="5450CF2E">
      <w:pPr>
        <w:spacing w:line="600" w:lineRule="exact"/>
        <w:ind w:firstLine="640" w:firstLineChars="200"/>
        <w:jc w:val="left"/>
        <w:rPr>
          <w:rFonts w:hint="eastAsia" w:ascii="仿宋_GB2312" w:hAnsi="仿宋_GB2312" w:eastAsia="仿宋_GB2312" w:cs="仿宋_GB2312"/>
          <w:sz w:val="32"/>
          <w:szCs w:val="32"/>
          <w:shd w:val="clear" w:color="auto" w:fill="FFFFFF"/>
        </w:rPr>
      </w:pPr>
    </w:p>
    <w:p w14:paraId="382C383E">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第二十六条 县发改委和依法对在政府投资项目负有监督管理责任的日常监管部门，应当采取在线监测、现场核查等方式，加强对政府投资项目实施情况的监督检查。</w:t>
      </w:r>
    </w:p>
    <w:p w14:paraId="0BED21C7">
      <w:pPr>
        <w:pStyle w:val="2"/>
        <w:spacing w:line="60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第二十七条 县住建局、水利局、交通运输局按照责任分工对招投标过程中的串通招标、串通投标、歧视排斥投标等违法活动进行监督。县财政局负责对拆分项目规避公开招标行为进行监督。</w:t>
      </w:r>
    </w:p>
    <w:p w14:paraId="2A86EB88">
      <w:pPr>
        <w:pStyle w:val="2"/>
        <w:spacing w:line="60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第二十八条 政府投资项目的绩效管理、建设工程质量管理、安全生产管理等事项依照有关法律、行政法规和国家及省、市有关规定执行</w:t>
      </w:r>
    </w:p>
    <w:p w14:paraId="6D85CDA8">
      <w:pPr>
        <w:pStyle w:val="2"/>
        <w:spacing w:line="600" w:lineRule="exact"/>
        <w:ind w:firstLine="640"/>
        <w:rPr>
          <w:rFonts w:hint="eastAsia" w:ascii="黑体" w:hAnsi="黑体" w:eastAsia="黑体"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黑体" w:hAnsi="黑体" w:eastAsia="黑体" w:cs="仿宋_GB2312"/>
          <w:sz w:val="32"/>
          <w:szCs w:val="32"/>
          <w:shd w:val="clear" w:color="auto" w:fill="FFFFFF"/>
        </w:rPr>
        <w:t>第八章 责任追究</w:t>
      </w:r>
    </w:p>
    <w:p w14:paraId="4610F86D">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第二十九条 在实施政府投资项目时有下列情形之一的，责令改正，停止拨付项目资金，对责任领导和责任人依法依规追究行政、法律责任：</w:t>
      </w:r>
    </w:p>
    <w:p w14:paraId="141742DE">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1.项目未经立项审批或者不符合建设规定条件擅自开工建设的。</w:t>
      </w:r>
    </w:p>
    <w:p w14:paraId="5B6D0D3F">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2.未经审批擅自增加或减少投资预算的。</w:t>
      </w:r>
    </w:p>
    <w:p w14:paraId="01A2187C">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3.招投标或政府采购实施方案未经审批擅自开展招投标或政府采购活动的。</w:t>
      </w:r>
    </w:p>
    <w:p w14:paraId="270375D4">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4.不按照审批的方式进行采购，化整为零规避招投标的。</w:t>
      </w:r>
    </w:p>
    <w:p w14:paraId="1406A999">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5.未按资金使用程序违规拨付项目资金的。</w:t>
      </w:r>
    </w:p>
    <w:p w14:paraId="550BF05D">
      <w:pPr>
        <w:spacing w:line="60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6.未经批准变更政府投资项目的建设地点或者对建设规模、建设内容等做较大变更。</w:t>
      </w:r>
    </w:p>
    <w:p w14:paraId="5351BD1B">
      <w:pPr>
        <w:spacing w:line="600" w:lineRule="exact"/>
        <w:ind w:firstLine="3520" w:firstLineChars="11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第九章</w:t>
      </w:r>
      <w:r>
        <w:rPr>
          <w:rFonts w:ascii="黑体" w:hAnsi="黑体" w:eastAsia="黑体" w:cs="黑体"/>
          <w:sz w:val="32"/>
          <w:szCs w:val="32"/>
          <w:shd w:val="clear" w:color="auto" w:fill="FFFFFF"/>
        </w:rPr>
        <w:t xml:space="preserve"> 附 则</w:t>
      </w:r>
    </w:p>
    <w:p w14:paraId="01D08B81">
      <w:pPr>
        <w:spacing w:line="600" w:lineRule="exact"/>
        <w:rPr>
          <w:rFonts w:ascii="穝灿砰" w:hAnsi="穝灿砰" w:eastAsia="穝灿砰" w:cs="穝灿砰"/>
          <w:b/>
          <w:bCs/>
          <w:sz w:val="32"/>
          <w:szCs w:val="32"/>
          <w:shd w:val="clear" w:color="auto" w:fill="FFFFFF"/>
        </w:rPr>
      </w:pPr>
    </w:p>
    <w:p w14:paraId="38848D69">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三十</w:t>
      </w:r>
      <w:r>
        <w:rPr>
          <w:rFonts w:ascii="仿宋_GB2312" w:hAnsi="仿宋_GB2312" w:eastAsia="仿宋_GB2312" w:cs="仿宋_GB2312"/>
          <w:sz w:val="32"/>
          <w:szCs w:val="32"/>
        </w:rPr>
        <w:t>条 经县级以上投资主管部门或</w:t>
      </w:r>
      <w:r>
        <w:rPr>
          <w:rFonts w:hint="eastAsia" w:ascii="仿宋_GB2312" w:hAnsi="仿宋_GB2312" w:eastAsia="仿宋_GB2312" w:cs="仿宋_GB2312"/>
          <w:sz w:val="32"/>
          <w:szCs w:val="32"/>
        </w:rPr>
        <w:t>上级行业</w:t>
      </w:r>
      <w:r>
        <w:rPr>
          <w:rFonts w:ascii="仿宋_GB2312" w:hAnsi="仿宋_GB2312" w:eastAsia="仿宋_GB2312" w:cs="仿宋_GB2312"/>
          <w:sz w:val="32"/>
          <w:szCs w:val="32"/>
        </w:rPr>
        <w:t>部门批复在我县境内实施、委托县级相关职能部门建设与管理的政府投资项目，县级相关职能部门应当将批复的项目名称、建设内容及实施计划及时报县政府，同时将项目相关资料报县</w:t>
      </w:r>
      <w:r>
        <w:rPr>
          <w:rFonts w:hint="eastAsia" w:ascii="仿宋_GB2312" w:hAnsi="仿宋_GB2312" w:eastAsia="仿宋_GB2312" w:cs="仿宋_GB2312"/>
          <w:sz w:val="32"/>
          <w:szCs w:val="32"/>
        </w:rPr>
        <w:t>发改委</w:t>
      </w:r>
      <w:r>
        <w:rPr>
          <w:rFonts w:ascii="仿宋_GB2312" w:hAnsi="仿宋_GB2312" w:eastAsia="仿宋_GB2312" w:cs="仿宋_GB2312"/>
          <w:sz w:val="32"/>
          <w:szCs w:val="32"/>
        </w:rPr>
        <w:t>备案。</w:t>
      </w:r>
    </w:p>
    <w:p w14:paraId="5031BBCE">
      <w:pPr>
        <w:pStyle w:val="2"/>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如遇应急救灾或上级部门安排的紧急工作等特殊情况，项目单位需报县政府研究同意后实施，并及时履行相关建设手续</w:t>
      </w:r>
      <w:r>
        <w:rPr>
          <w:rFonts w:hint="eastAsia" w:ascii="仿宋_GB2312" w:hAnsi="仿宋_GB2312" w:eastAsia="仿宋_GB2312" w:cs="仿宋_GB2312"/>
          <w:sz w:val="32"/>
          <w:szCs w:val="32"/>
          <w:shd w:val="clear" w:color="auto" w:fill="FFFFFF"/>
        </w:rPr>
        <w:t>。</w:t>
      </w:r>
    </w:p>
    <w:p w14:paraId="1EFEA35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县属国有公司投资项目参照本办法执行。</w:t>
      </w:r>
    </w:p>
    <w:p w14:paraId="29CCB10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第三十三条 </w:t>
      </w:r>
      <w:r>
        <w:rPr>
          <w:rFonts w:ascii="仿宋_GB2312" w:hAnsi="仿宋_GB2312" w:eastAsia="仿宋_GB2312" w:cs="仿宋_GB2312"/>
          <w:sz w:val="32"/>
          <w:szCs w:val="32"/>
        </w:rPr>
        <w:t>采取政府和社会资本合作等方式实施的政府投资项目参照本办法有关规定执行。</w:t>
      </w:r>
    </w:p>
    <w:p w14:paraId="2CAFEF0D">
      <w:pPr>
        <w:spacing w:line="600" w:lineRule="exact"/>
        <w:ind w:firstLine="640" w:firstLineChars="200"/>
      </w:pP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三十四</w:t>
      </w:r>
      <w:r>
        <w:rPr>
          <w:rFonts w:ascii="仿宋_GB2312" w:hAnsi="仿宋_GB2312" w:eastAsia="仿宋_GB2312" w:cs="仿宋_GB2312"/>
          <w:sz w:val="32"/>
          <w:szCs w:val="32"/>
        </w:rPr>
        <w:t>条 本办法自发布之日起</w:t>
      </w:r>
      <w:r>
        <w:rPr>
          <w:rFonts w:hint="eastAsia" w:ascii="仿宋_GB2312" w:hAnsi="仿宋_GB2312" w:eastAsia="仿宋_GB2312" w:cs="仿宋_GB2312"/>
          <w:sz w:val="32"/>
          <w:szCs w:val="32"/>
        </w:rPr>
        <w:t>执行，有效期3年。</w:t>
      </w:r>
    </w:p>
    <w:sectPr>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穝灿砰">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99BD6">
    <w:pPr>
      <w:pStyle w:val="4"/>
      <w:tabs>
        <w:tab w:val="center" w:pos="4422"/>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06DBC">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F106DBC">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C4FC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8C4FC4"/>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26760"/>
    <w:multiLevelType w:val="singleLevel"/>
    <w:tmpl w:val="CF02676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4ODQxODZhYzUxNDI0N2Y5ZmI5Y2JjOGIzNWIxMzYifQ=="/>
  </w:docVars>
  <w:rsids>
    <w:rsidRoot w:val="004945D6"/>
    <w:rsid w:val="0004655A"/>
    <w:rsid w:val="000569AD"/>
    <w:rsid w:val="000A07DD"/>
    <w:rsid w:val="000F2DF9"/>
    <w:rsid w:val="00131EB1"/>
    <w:rsid w:val="0018308E"/>
    <w:rsid w:val="001958E3"/>
    <w:rsid w:val="001B18F3"/>
    <w:rsid w:val="0020044F"/>
    <w:rsid w:val="002158CB"/>
    <w:rsid w:val="002E11B2"/>
    <w:rsid w:val="00340A77"/>
    <w:rsid w:val="00385E53"/>
    <w:rsid w:val="00393AD4"/>
    <w:rsid w:val="003B5145"/>
    <w:rsid w:val="003B7A68"/>
    <w:rsid w:val="003D5AA2"/>
    <w:rsid w:val="003D68F1"/>
    <w:rsid w:val="003F0B8D"/>
    <w:rsid w:val="00417E03"/>
    <w:rsid w:val="00420E12"/>
    <w:rsid w:val="00423C6D"/>
    <w:rsid w:val="00430051"/>
    <w:rsid w:val="004514B5"/>
    <w:rsid w:val="004812C7"/>
    <w:rsid w:val="004945D6"/>
    <w:rsid w:val="004B397B"/>
    <w:rsid w:val="005302E8"/>
    <w:rsid w:val="005A6AE8"/>
    <w:rsid w:val="005D2BCF"/>
    <w:rsid w:val="00610528"/>
    <w:rsid w:val="0061202E"/>
    <w:rsid w:val="00612570"/>
    <w:rsid w:val="006D1E5F"/>
    <w:rsid w:val="00710744"/>
    <w:rsid w:val="00727C53"/>
    <w:rsid w:val="00727D66"/>
    <w:rsid w:val="007413A5"/>
    <w:rsid w:val="0074616E"/>
    <w:rsid w:val="00782FA5"/>
    <w:rsid w:val="007B5DAB"/>
    <w:rsid w:val="007F4F01"/>
    <w:rsid w:val="008D557A"/>
    <w:rsid w:val="008D5629"/>
    <w:rsid w:val="008E785B"/>
    <w:rsid w:val="008F4CB7"/>
    <w:rsid w:val="00924D60"/>
    <w:rsid w:val="009514DD"/>
    <w:rsid w:val="009B64E1"/>
    <w:rsid w:val="009C1266"/>
    <w:rsid w:val="009F57D4"/>
    <w:rsid w:val="00A3295D"/>
    <w:rsid w:val="00A67C87"/>
    <w:rsid w:val="00A81095"/>
    <w:rsid w:val="00AB67AE"/>
    <w:rsid w:val="00B66ADE"/>
    <w:rsid w:val="00B87250"/>
    <w:rsid w:val="00B9215A"/>
    <w:rsid w:val="00BF706B"/>
    <w:rsid w:val="00C06EBB"/>
    <w:rsid w:val="00C12DE3"/>
    <w:rsid w:val="00C23C90"/>
    <w:rsid w:val="00C46BD7"/>
    <w:rsid w:val="00C473DB"/>
    <w:rsid w:val="00C9544B"/>
    <w:rsid w:val="00CF7DD7"/>
    <w:rsid w:val="00D136BF"/>
    <w:rsid w:val="00D328E6"/>
    <w:rsid w:val="00D55331"/>
    <w:rsid w:val="00D559E5"/>
    <w:rsid w:val="00DD16E9"/>
    <w:rsid w:val="00DE4C8E"/>
    <w:rsid w:val="00DF1B02"/>
    <w:rsid w:val="00E30FCC"/>
    <w:rsid w:val="00E45E93"/>
    <w:rsid w:val="00EC3A1B"/>
    <w:rsid w:val="00F27B0B"/>
    <w:rsid w:val="00F621A6"/>
    <w:rsid w:val="00F94F90"/>
    <w:rsid w:val="00FB3EDD"/>
    <w:rsid w:val="01150219"/>
    <w:rsid w:val="013E42CC"/>
    <w:rsid w:val="01443A28"/>
    <w:rsid w:val="016D4E10"/>
    <w:rsid w:val="017A586C"/>
    <w:rsid w:val="01A3363F"/>
    <w:rsid w:val="01D24D79"/>
    <w:rsid w:val="01E22BF1"/>
    <w:rsid w:val="01FD0BBD"/>
    <w:rsid w:val="0204742C"/>
    <w:rsid w:val="022109EB"/>
    <w:rsid w:val="0250441F"/>
    <w:rsid w:val="026003DA"/>
    <w:rsid w:val="026C4FD1"/>
    <w:rsid w:val="0288281C"/>
    <w:rsid w:val="028E764D"/>
    <w:rsid w:val="02B40E52"/>
    <w:rsid w:val="02DD00F1"/>
    <w:rsid w:val="02DE0132"/>
    <w:rsid w:val="02ED13A3"/>
    <w:rsid w:val="02FE031F"/>
    <w:rsid w:val="031F7C37"/>
    <w:rsid w:val="032063B2"/>
    <w:rsid w:val="034321D6"/>
    <w:rsid w:val="0351083E"/>
    <w:rsid w:val="03561F09"/>
    <w:rsid w:val="036208AE"/>
    <w:rsid w:val="0374238F"/>
    <w:rsid w:val="03874E26"/>
    <w:rsid w:val="0392521C"/>
    <w:rsid w:val="03A013D6"/>
    <w:rsid w:val="03D11F0E"/>
    <w:rsid w:val="03DB473F"/>
    <w:rsid w:val="043F1E02"/>
    <w:rsid w:val="044777A7"/>
    <w:rsid w:val="04842E4B"/>
    <w:rsid w:val="04BA64C7"/>
    <w:rsid w:val="04D74983"/>
    <w:rsid w:val="04E32FCB"/>
    <w:rsid w:val="04EA13E9"/>
    <w:rsid w:val="05166B0D"/>
    <w:rsid w:val="054C49D2"/>
    <w:rsid w:val="05511031"/>
    <w:rsid w:val="0561187D"/>
    <w:rsid w:val="05677E74"/>
    <w:rsid w:val="057C19CF"/>
    <w:rsid w:val="0581583B"/>
    <w:rsid w:val="05AF6B4A"/>
    <w:rsid w:val="05EC0A13"/>
    <w:rsid w:val="05EC0A54"/>
    <w:rsid w:val="05EF68E3"/>
    <w:rsid w:val="05F23A3F"/>
    <w:rsid w:val="05F93989"/>
    <w:rsid w:val="05FD48BE"/>
    <w:rsid w:val="06094D61"/>
    <w:rsid w:val="064B334C"/>
    <w:rsid w:val="0668751B"/>
    <w:rsid w:val="06705743"/>
    <w:rsid w:val="06900F39"/>
    <w:rsid w:val="06DD20B7"/>
    <w:rsid w:val="06EA6605"/>
    <w:rsid w:val="078E5FC0"/>
    <w:rsid w:val="07B30E52"/>
    <w:rsid w:val="07F327DD"/>
    <w:rsid w:val="07F67816"/>
    <w:rsid w:val="080601E7"/>
    <w:rsid w:val="0822060B"/>
    <w:rsid w:val="08590EE2"/>
    <w:rsid w:val="086F50ED"/>
    <w:rsid w:val="087D3B8F"/>
    <w:rsid w:val="089615B0"/>
    <w:rsid w:val="08B66560"/>
    <w:rsid w:val="08C332D5"/>
    <w:rsid w:val="08D15E07"/>
    <w:rsid w:val="08DB1458"/>
    <w:rsid w:val="08DF1563"/>
    <w:rsid w:val="08E12FFF"/>
    <w:rsid w:val="08E657A5"/>
    <w:rsid w:val="08FB75BD"/>
    <w:rsid w:val="092576EA"/>
    <w:rsid w:val="09272FD8"/>
    <w:rsid w:val="09404DA3"/>
    <w:rsid w:val="09420839"/>
    <w:rsid w:val="0982335C"/>
    <w:rsid w:val="09830FA8"/>
    <w:rsid w:val="099C0B2B"/>
    <w:rsid w:val="09AD77A9"/>
    <w:rsid w:val="09B64A24"/>
    <w:rsid w:val="09D66CD3"/>
    <w:rsid w:val="09D724F3"/>
    <w:rsid w:val="09FF24D2"/>
    <w:rsid w:val="0A4A3E4A"/>
    <w:rsid w:val="0A6C2779"/>
    <w:rsid w:val="0A9F3C6A"/>
    <w:rsid w:val="0AA2125D"/>
    <w:rsid w:val="0AA842F6"/>
    <w:rsid w:val="0AD5056D"/>
    <w:rsid w:val="0ADB3E0E"/>
    <w:rsid w:val="0AE71698"/>
    <w:rsid w:val="0B3069F0"/>
    <w:rsid w:val="0B326276"/>
    <w:rsid w:val="0B70168E"/>
    <w:rsid w:val="0B7E024F"/>
    <w:rsid w:val="0BB165B9"/>
    <w:rsid w:val="0BB275A6"/>
    <w:rsid w:val="0BDD0066"/>
    <w:rsid w:val="0BE93B97"/>
    <w:rsid w:val="0BF70001"/>
    <w:rsid w:val="0C381B86"/>
    <w:rsid w:val="0C6531BD"/>
    <w:rsid w:val="0C793A8C"/>
    <w:rsid w:val="0C8353F1"/>
    <w:rsid w:val="0CA11C55"/>
    <w:rsid w:val="0CB56CBA"/>
    <w:rsid w:val="0CCD1353"/>
    <w:rsid w:val="0CDB347F"/>
    <w:rsid w:val="0CFB5600"/>
    <w:rsid w:val="0D026C5D"/>
    <w:rsid w:val="0D057BCC"/>
    <w:rsid w:val="0D261E35"/>
    <w:rsid w:val="0D3624F4"/>
    <w:rsid w:val="0D464E13"/>
    <w:rsid w:val="0D5A10E1"/>
    <w:rsid w:val="0D6B07D5"/>
    <w:rsid w:val="0D6F5243"/>
    <w:rsid w:val="0DC80BA1"/>
    <w:rsid w:val="0DD76C89"/>
    <w:rsid w:val="0DF16098"/>
    <w:rsid w:val="0DF3086A"/>
    <w:rsid w:val="0DFA4B54"/>
    <w:rsid w:val="0E0352EE"/>
    <w:rsid w:val="0E197418"/>
    <w:rsid w:val="0E53118E"/>
    <w:rsid w:val="0E5F1422"/>
    <w:rsid w:val="0E645106"/>
    <w:rsid w:val="0E711B17"/>
    <w:rsid w:val="0E9641DA"/>
    <w:rsid w:val="0EA634D7"/>
    <w:rsid w:val="0ECC12D1"/>
    <w:rsid w:val="0EEF1749"/>
    <w:rsid w:val="0EF820C6"/>
    <w:rsid w:val="0F0C3008"/>
    <w:rsid w:val="0F0E2596"/>
    <w:rsid w:val="0F1915E6"/>
    <w:rsid w:val="0F4C6864"/>
    <w:rsid w:val="0F4D18CD"/>
    <w:rsid w:val="0F4E2AF7"/>
    <w:rsid w:val="0F9403DD"/>
    <w:rsid w:val="0F9977AB"/>
    <w:rsid w:val="0FA3590D"/>
    <w:rsid w:val="0FA73D58"/>
    <w:rsid w:val="0FCB2457"/>
    <w:rsid w:val="0FCB46BA"/>
    <w:rsid w:val="10477352"/>
    <w:rsid w:val="10533DAD"/>
    <w:rsid w:val="107B7EBF"/>
    <w:rsid w:val="107C0AD5"/>
    <w:rsid w:val="108A366F"/>
    <w:rsid w:val="109273B3"/>
    <w:rsid w:val="10937D98"/>
    <w:rsid w:val="10995229"/>
    <w:rsid w:val="10A4568F"/>
    <w:rsid w:val="10BE2E9B"/>
    <w:rsid w:val="110F3A87"/>
    <w:rsid w:val="112B0CE3"/>
    <w:rsid w:val="11344048"/>
    <w:rsid w:val="116D4E8F"/>
    <w:rsid w:val="11730199"/>
    <w:rsid w:val="1178129C"/>
    <w:rsid w:val="11C95F9C"/>
    <w:rsid w:val="11FD75AA"/>
    <w:rsid w:val="12187AF2"/>
    <w:rsid w:val="123F230B"/>
    <w:rsid w:val="124303ED"/>
    <w:rsid w:val="124C3427"/>
    <w:rsid w:val="125540DF"/>
    <w:rsid w:val="13225964"/>
    <w:rsid w:val="135A3719"/>
    <w:rsid w:val="135D7869"/>
    <w:rsid w:val="1382273E"/>
    <w:rsid w:val="13B041A5"/>
    <w:rsid w:val="13B10A95"/>
    <w:rsid w:val="13DF173D"/>
    <w:rsid w:val="1402115F"/>
    <w:rsid w:val="1407283D"/>
    <w:rsid w:val="143A5506"/>
    <w:rsid w:val="1446748A"/>
    <w:rsid w:val="14792C38"/>
    <w:rsid w:val="14A625C4"/>
    <w:rsid w:val="14AB7BDB"/>
    <w:rsid w:val="14F926F4"/>
    <w:rsid w:val="15117638"/>
    <w:rsid w:val="154B505B"/>
    <w:rsid w:val="15A60F9F"/>
    <w:rsid w:val="15C00DF5"/>
    <w:rsid w:val="15CE6B16"/>
    <w:rsid w:val="15EC04AB"/>
    <w:rsid w:val="15F024CE"/>
    <w:rsid w:val="1658542F"/>
    <w:rsid w:val="165A6D43"/>
    <w:rsid w:val="1686445B"/>
    <w:rsid w:val="16D21E9E"/>
    <w:rsid w:val="16F656D1"/>
    <w:rsid w:val="173F6648"/>
    <w:rsid w:val="17443D76"/>
    <w:rsid w:val="175A133D"/>
    <w:rsid w:val="17786A36"/>
    <w:rsid w:val="178F10EE"/>
    <w:rsid w:val="17966BFD"/>
    <w:rsid w:val="17981198"/>
    <w:rsid w:val="18567E5D"/>
    <w:rsid w:val="185C2BD5"/>
    <w:rsid w:val="187D5B23"/>
    <w:rsid w:val="188409A6"/>
    <w:rsid w:val="189D516A"/>
    <w:rsid w:val="18BA2521"/>
    <w:rsid w:val="18BD2B9A"/>
    <w:rsid w:val="18BD741F"/>
    <w:rsid w:val="18F7433A"/>
    <w:rsid w:val="19025C4F"/>
    <w:rsid w:val="19906372"/>
    <w:rsid w:val="19AF5A77"/>
    <w:rsid w:val="19C5159A"/>
    <w:rsid w:val="19C65737"/>
    <w:rsid w:val="1A0A640F"/>
    <w:rsid w:val="1A501008"/>
    <w:rsid w:val="1A8F5F1E"/>
    <w:rsid w:val="1AAE7662"/>
    <w:rsid w:val="1AE60CB1"/>
    <w:rsid w:val="1B193AF0"/>
    <w:rsid w:val="1B3B0F93"/>
    <w:rsid w:val="1B7A192A"/>
    <w:rsid w:val="1B7C5E2D"/>
    <w:rsid w:val="1B837BB7"/>
    <w:rsid w:val="1B9714C2"/>
    <w:rsid w:val="1B984D07"/>
    <w:rsid w:val="1BA76E84"/>
    <w:rsid w:val="1BB104AB"/>
    <w:rsid w:val="1C123B16"/>
    <w:rsid w:val="1C1C538F"/>
    <w:rsid w:val="1C280EDA"/>
    <w:rsid w:val="1C4A5C2D"/>
    <w:rsid w:val="1C511068"/>
    <w:rsid w:val="1C5A5C6C"/>
    <w:rsid w:val="1C8352AA"/>
    <w:rsid w:val="1C8774D8"/>
    <w:rsid w:val="1CDA72AF"/>
    <w:rsid w:val="1CF32FC8"/>
    <w:rsid w:val="1D2739AD"/>
    <w:rsid w:val="1D294046"/>
    <w:rsid w:val="1D2D5631"/>
    <w:rsid w:val="1D3E783E"/>
    <w:rsid w:val="1D5726AE"/>
    <w:rsid w:val="1D965D2C"/>
    <w:rsid w:val="1D980B63"/>
    <w:rsid w:val="1DA5654B"/>
    <w:rsid w:val="1DA72084"/>
    <w:rsid w:val="1DB00002"/>
    <w:rsid w:val="1DB66F81"/>
    <w:rsid w:val="1DD0249E"/>
    <w:rsid w:val="1E1B04DF"/>
    <w:rsid w:val="1E471A03"/>
    <w:rsid w:val="1E720F30"/>
    <w:rsid w:val="1E7B586E"/>
    <w:rsid w:val="1E803E86"/>
    <w:rsid w:val="1E956342"/>
    <w:rsid w:val="1EA20939"/>
    <w:rsid w:val="1EBF675C"/>
    <w:rsid w:val="1EC37A89"/>
    <w:rsid w:val="1F0979D8"/>
    <w:rsid w:val="1F100D66"/>
    <w:rsid w:val="1F167282"/>
    <w:rsid w:val="1F3201FF"/>
    <w:rsid w:val="1FB449A3"/>
    <w:rsid w:val="202A7454"/>
    <w:rsid w:val="204931AC"/>
    <w:rsid w:val="20505281"/>
    <w:rsid w:val="20523F5B"/>
    <w:rsid w:val="20696CBA"/>
    <w:rsid w:val="208614C0"/>
    <w:rsid w:val="20A3176C"/>
    <w:rsid w:val="20AA6E9C"/>
    <w:rsid w:val="20BA326C"/>
    <w:rsid w:val="20DD383A"/>
    <w:rsid w:val="20E179F0"/>
    <w:rsid w:val="211803A6"/>
    <w:rsid w:val="21182154"/>
    <w:rsid w:val="21194EF8"/>
    <w:rsid w:val="211B66D3"/>
    <w:rsid w:val="212D4A49"/>
    <w:rsid w:val="215C105C"/>
    <w:rsid w:val="216A7642"/>
    <w:rsid w:val="21775CBA"/>
    <w:rsid w:val="2190732D"/>
    <w:rsid w:val="21C15257"/>
    <w:rsid w:val="21C4408A"/>
    <w:rsid w:val="21C83B7A"/>
    <w:rsid w:val="21C90973"/>
    <w:rsid w:val="21E671AD"/>
    <w:rsid w:val="22192627"/>
    <w:rsid w:val="228F28EA"/>
    <w:rsid w:val="229C0CF2"/>
    <w:rsid w:val="229C6306"/>
    <w:rsid w:val="22C72083"/>
    <w:rsid w:val="22CF36D7"/>
    <w:rsid w:val="22E032D9"/>
    <w:rsid w:val="22E24D2D"/>
    <w:rsid w:val="231A666D"/>
    <w:rsid w:val="23472E78"/>
    <w:rsid w:val="2348699D"/>
    <w:rsid w:val="234F61D5"/>
    <w:rsid w:val="235C32A4"/>
    <w:rsid w:val="2392443F"/>
    <w:rsid w:val="239F4DAE"/>
    <w:rsid w:val="23E27339"/>
    <w:rsid w:val="23E903AF"/>
    <w:rsid w:val="23EB3DF6"/>
    <w:rsid w:val="23F37ABF"/>
    <w:rsid w:val="240B258B"/>
    <w:rsid w:val="24174C0C"/>
    <w:rsid w:val="242A205E"/>
    <w:rsid w:val="245365AE"/>
    <w:rsid w:val="246A1E03"/>
    <w:rsid w:val="24CD1258"/>
    <w:rsid w:val="24DE4ABE"/>
    <w:rsid w:val="24ED7FC6"/>
    <w:rsid w:val="24FF17DF"/>
    <w:rsid w:val="250A2BA8"/>
    <w:rsid w:val="251166E0"/>
    <w:rsid w:val="25162E4E"/>
    <w:rsid w:val="251A4E5C"/>
    <w:rsid w:val="253F7A51"/>
    <w:rsid w:val="25510867"/>
    <w:rsid w:val="257302A1"/>
    <w:rsid w:val="2575159B"/>
    <w:rsid w:val="25905157"/>
    <w:rsid w:val="26086C3B"/>
    <w:rsid w:val="261E6BCD"/>
    <w:rsid w:val="26485724"/>
    <w:rsid w:val="264F486A"/>
    <w:rsid w:val="267001D7"/>
    <w:rsid w:val="269C19B9"/>
    <w:rsid w:val="26D6287E"/>
    <w:rsid w:val="26E17A59"/>
    <w:rsid w:val="271146AB"/>
    <w:rsid w:val="271F5278"/>
    <w:rsid w:val="27332718"/>
    <w:rsid w:val="274A43CD"/>
    <w:rsid w:val="27561C28"/>
    <w:rsid w:val="27577E17"/>
    <w:rsid w:val="276B15A6"/>
    <w:rsid w:val="276D4FC0"/>
    <w:rsid w:val="277B168E"/>
    <w:rsid w:val="277F0EAE"/>
    <w:rsid w:val="279F537D"/>
    <w:rsid w:val="27A833CA"/>
    <w:rsid w:val="28116B4D"/>
    <w:rsid w:val="28237D5C"/>
    <w:rsid w:val="28243F81"/>
    <w:rsid w:val="282B45DC"/>
    <w:rsid w:val="284D6B87"/>
    <w:rsid w:val="28724840"/>
    <w:rsid w:val="288A60B5"/>
    <w:rsid w:val="288C5E92"/>
    <w:rsid w:val="288F3BF7"/>
    <w:rsid w:val="28B700E1"/>
    <w:rsid w:val="28F83C0A"/>
    <w:rsid w:val="28FD4A9C"/>
    <w:rsid w:val="290851A4"/>
    <w:rsid w:val="29465FE9"/>
    <w:rsid w:val="29A9603F"/>
    <w:rsid w:val="29AF7477"/>
    <w:rsid w:val="29C03993"/>
    <w:rsid w:val="29D9777C"/>
    <w:rsid w:val="2A0F74A4"/>
    <w:rsid w:val="2A467264"/>
    <w:rsid w:val="2A8B1DAE"/>
    <w:rsid w:val="2A94655D"/>
    <w:rsid w:val="2AAA204E"/>
    <w:rsid w:val="2AC60E73"/>
    <w:rsid w:val="2AFC01B3"/>
    <w:rsid w:val="2B1F55A9"/>
    <w:rsid w:val="2B240623"/>
    <w:rsid w:val="2B24369C"/>
    <w:rsid w:val="2B3A72A2"/>
    <w:rsid w:val="2B3D5BF4"/>
    <w:rsid w:val="2B4A744C"/>
    <w:rsid w:val="2B9F3B9D"/>
    <w:rsid w:val="2BBE4760"/>
    <w:rsid w:val="2BC1417E"/>
    <w:rsid w:val="2BE02DF6"/>
    <w:rsid w:val="2BF33EE9"/>
    <w:rsid w:val="2BF52F07"/>
    <w:rsid w:val="2BF64A3A"/>
    <w:rsid w:val="2C2F3AEF"/>
    <w:rsid w:val="2C3D6A3F"/>
    <w:rsid w:val="2C7275FB"/>
    <w:rsid w:val="2C765898"/>
    <w:rsid w:val="2CBB6D65"/>
    <w:rsid w:val="2CD123A0"/>
    <w:rsid w:val="2CF445AE"/>
    <w:rsid w:val="2D105A55"/>
    <w:rsid w:val="2D1C2FCC"/>
    <w:rsid w:val="2D3715DC"/>
    <w:rsid w:val="2D4834D0"/>
    <w:rsid w:val="2D563EC4"/>
    <w:rsid w:val="2D5D0EB9"/>
    <w:rsid w:val="2D6D103A"/>
    <w:rsid w:val="2D756E10"/>
    <w:rsid w:val="2E195AD0"/>
    <w:rsid w:val="2E1B6F38"/>
    <w:rsid w:val="2E1E1551"/>
    <w:rsid w:val="2E2338B1"/>
    <w:rsid w:val="2E2B250D"/>
    <w:rsid w:val="2E715ACB"/>
    <w:rsid w:val="2E9A75B6"/>
    <w:rsid w:val="2EAB7DE2"/>
    <w:rsid w:val="2EAE0741"/>
    <w:rsid w:val="2EDC0987"/>
    <w:rsid w:val="2F2D65C1"/>
    <w:rsid w:val="2F3230C4"/>
    <w:rsid w:val="2F4F6113"/>
    <w:rsid w:val="2F585A95"/>
    <w:rsid w:val="2F680612"/>
    <w:rsid w:val="2F8A4F53"/>
    <w:rsid w:val="2F8D2451"/>
    <w:rsid w:val="2F940F5E"/>
    <w:rsid w:val="2F974F8E"/>
    <w:rsid w:val="2FAA6409"/>
    <w:rsid w:val="2FB265DE"/>
    <w:rsid w:val="2FCC2A87"/>
    <w:rsid w:val="2FF10740"/>
    <w:rsid w:val="2FF75D12"/>
    <w:rsid w:val="30403475"/>
    <w:rsid w:val="3062163D"/>
    <w:rsid w:val="306342F3"/>
    <w:rsid w:val="30823A8E"/>
    <w:rsid w:val="30847806"/>
    <w:rsid w:val="30875C5C"/>
    <w:rsid w:val="309440B9"/>
    <w:rsid w:val="30B96D55"/>
    <w:rsid w:val="30F2476F"/>
    <w:rsid w:val="30F32E53"/>
    <w:rsid w:val="31250367"/>
    <w:rsid w:val="31337ACA"/>
    <w:rsid w:val="31476AD2"/>
    <w:rsid w:val="316F61AE"/>
    <w:rsid w:val="318578C7"/>
    <w:rsid w:val="318F0210"/>
    <w:rsid w:val="31951447"/>
    <w:rsid w:val="31BB4978"/>
    <w:rsid w:val="323A44C9"/>
    <w:rsid w:val="324F174E"/>
    <w:rsid w:val="325F31A3"/>
    <w:rsid w:val="32BE7BB0"/>
    <w:rsid w:val="32C00571"/>
    <w:rsid w:val="32DF748B"/>
    <w:rsid w:val="32E5112E"/>
    <w:rsid w:val="32FA7C19"/>
    <w:rsid w:val="33614D97"/>
    <w:rsid w:val="33661160"/>
    <w:rsid w:val="33B052CE"/>
    <w:rsid w:val="33C42450"/>
    <w:rsid w:val="33C85C5B"/>
    <w:rsid w:val="33DA5C8A"/>
    <w:rsid w:val="33DD0F19"/>
    <w:rsid w:val="34051C30"/>
    <w:rsid w:val="34157B5E"/>
    <w:rsid w:val="34160775"/>
    <w:rsid w:val="34270B47"/>
    <w:rsid w:val="342F50AE"/>
    <w:rsid w:val="344828F8"/>
    <w:rsid w:val="34491564"/>
    <w:rsid w:val="345F1918"/>
    <w:rsid w:val="34735BC7"/>
    <w:rsid w:val="34CA77B1"/>
    <w:rsid w:val="34CE11DA"/>
    <w:rsid w:val="34D84384"/>
    <w:rsid w:val="34E46AC5"/>
    <w:rsid w:val="34EB7E53"/>
    <w:rsid w:val="34F73684"/>
    <w:rsid w:val="35025370"/>
    <w:rsid w:val="3519091B"/>
    <w:rsid w:val="352813F7"/>
    <w:rsid w:val="353714D4"/>
    <w:rsid w:val="353B1697"/>
    <w:rsid w:val="354A0024"/>
    <w:rsid w:val="354E03E2"/>
    <w:rsid w:val="35652241"/>
    <w:rsid w:val="356F1F61"/>
    <w:rsid w:val="35702019"/>
    <w:rsid w:val="35721EEE"/>
    <w:rsid w:val="35864476"/>
    <w:rsid w:val="35BE097F"/>
    <w:rsid w:val="35DE0D97"/>
    <w:rsid w:val="35F164FF"/>
    <w:rsid w:val="362F5B1E"/>
    <w:rsid w:val="36421CF5"/>
    <w:rsid w:val="36625363"/>
    <w:rsid w:val="36A34B01"/>
    <w:rsid w:val="37186467"/>
    <w:rsid w:val="37273049"/>
    <w:rsid w:val="37621336"/>
    <w:rsid w:val="376C0519"/>
    <w:rsid w:val="379C60C1"/>
    <w:rsid w:val="37B72D5F"/>
    <w:rsid w:val="37C4054C"/>
    <w:rsid w:val="37E36020"/>
    <w:rsid w:val="383425AF"/>
    <w:rsid w:val="383C3B5A"/>
    <w:rsid w:val="38425A97"/>
    <w:rsid w:val="38514471"/>
    <w:rsid w:val="386F6B0E"/>
    <w:rsid w:val="388A452A"/>
    <w:rsid w:val="38D02321"/>
    <w:rsid w:val="39160F03"/>
    <w:rsid w:val="391E26C8"/>
    <w:rsid w:val="394D1017"/>
    <w:rsid w:val="396106E4"/>
    <w:rsid w:val="396272EC"/>
    <w:rsid w:val="397F6DBC"/>
    <w:rsid w:val="398B7332"/>
    <w:rsid w:val="39956860"/>
    <w:rsid w:val="39A242C1"/>
    <w:rsid w:val="39AF7F68"/>
    <w:rsid w:val="39B57F45"/>
    <w:rsid w:val="39E53D35"/>
    <w:rsid w:val="39EE2027"/>
    <w:rsid w:val="3A1660A2"/>
    <w:rsid w:val="3A1A6AE5"/>
    <w:rsid w:val="3A340F4B"/>
    <w:rsid w:val="3A377835"/>
    <w:rsid w:val="3A741A75"/>
    <w:rsid w:val="3A9E6DFC"/>
    <w:rsid w:val="3AD91420"/>
    <w:rsid w:val="3B366DC5"/>
    <w:rsid w:val="3B437212"/>
    <w:rsid w:val="3B6A3E3D"/>
    <w:rsid w:val="3B923898"/>
    <w:rsid w:val="3BDA372B"/>
    <w:rsid w:val="3BDB2860"/>
    <w:rsid w:val="3BDF3B42"/>
    <w:rsid w:val="3BF248F1"/>
    <w:rsid w:val="3C0004E1"/>
    <w:rsid w:val="3C110BCA"/>
    <w:rsid w:val="3C1B4047"/>
    <w:rsid w:val="3C267F39"/>
    <w:rsid w:val="3C2C1CD1"/>
    <w:rsid w:val="3C2D1010"/>
    <w:rsid w:val="3C32253D"/>
    <w:rsid w:val="3C337049"/>
    <w:rsid w:val="3C7535C1"/>
    <w:rsid w:val="3C924995"/>
    <w:rsid w:val="3CC11A30"/>
    <w:rsid w:val="3CCB03EA"/>
    <w:rsid w:val="3CCF3EF7"/>
    <w:rsid w:val="3CD02F7F"/>
    <w:rsid w:val="3CE23D4E"/>
    <w:rsid w:val="3CE77D2F"/>
    <w:rsid w:val="3D045188"/>
    <w:rsid w:val="3D2A34E3"/>
    <w:rsid w:val="3D511F27"/>
    <w:rsid w:val="3D71771C"/>
    <w:rsid w:val="3DC1595C"/>
    <w:rsid w:val="3DCD0DEE"/>
    <w:rsid w:val="3DE713D4"/>
    <w:rsid w:val="3E3839DE"/>
    <w:rsid w:val="3E595E2E"/>
    <w:rsid w:val="3E624B5A"/>
    <w:rsid w:val="3E6A5D55"/>
    <w:rsid w:val="3EBD7A3A"/>
    <w:rsid w:val="3ECE341C"/>
    <w:rsid w:val="3EF65187"/>
    <w:rsid w:val="3F212082"/>
    <w:rsid w:val="3F310035"/>
    <w:rsid w:val="3F6F32EF"/>
    <w:rsid w:val="3F802653"/>
    <w:rsid w:val="3F89436F"/>
    <w:rsid w:val="3FB13A48"/>
    <w:rsid w:val="3FC83933"/>
    <w:rsid w:val="3FCF56F4"/>
    <w:rsid w:val="3FF046F9"/>
    <w:rsid w:val="3FFE11AD"/>
    <w:rsid w:val="400242A3"/>
    <w:rsid w:val="401F28EC"/>
    <w:rsid w:val="40544CE2"/>
    <w:rsid w:val="406E161A"/>
    <w:rsid w:val="407A3344"/>
    <w:rsid w:val="4097136F"/>
    <w:rsid w:val="40C50D80"/>
    <w:rsid w:val="40CD4476"/>
    <w:rsid w:val="40FE4FC8"/>
    <w:rsid w:val="41032081"/>
    <w:rsid w:val="410F3045"/>
    <w:rsid w:val="413B1C0D"/>
    <w:rsid w:val="414A2968"/>
    <w:rsid w:val="4155021F"/>
    <w:rsid w:val="41592E46"/>
    <w:rsid w:val="4166253C"/>
    <w:rsid w:val="41662610"/>
    <w:rsid w:val="41732DAE"/>
    <w:rsid w:val="41760BE7"/>
    <w:rsid w:val="417B430D"/>
    <w:rsid w:val="41972ABE"/>
    <w:rsid w:val="41C95277"/>
    <w:rsid w:val="41EA4FEF"/>
    <w:rsid w:val="41EC1ECC"/>
    <w:rsid w:val="420E6F2F"/>
    <w:rsid w:val="42164940"/>
    <w:rsid w:val="42274FA6"/>
    <w:rsid w:val="428965CB"/>
    <w:rsid w:val="42B21FB1"/>
    <w:rsid w:val="42D95943"/>
    <w:rsid w:val="42E205B9"/>
    <w:rsid w:val="42F1075E"/>
    <w:rsid w:val="42FD6807"/>
    <w:rsid w:val="430E697C"/>
    <w:rsid w:val="432521A0"/>
    <w:rsid w:val="43421586"/>
    <w:rsid w:val="434708FB"/>
    <w:rsid w:val="435D0E82"/>
    <w:rsid w:val="43797FD8"/>
    <w:rsid w:val="43A817E3"/>
    <w:rsid w:val="43BE1703"/>
    <w:rsid w:val="43C3000A"/>
    <w:rsid w:val="43CE2A08"/>
    <w:rsid w:val="44245373"/>
    <w:rsid w:val="442B65B3"/>
    <w:rsid w:val="444B3AA3"/>
    <w:rsid w:val="44831BE7"/>
    <w:rsid w:val="44FE0D89"/>
    <w:rsid w:val="450A3594"/>
    <w:rsid w:val="451B7E6E"/>
    <w:rsid w:val="45441EB4"/>
    <w:rsid w:val="4550244E"/>
    <w:rsid w:val="455C6204"/>
    <w:rsid w:val="457153E1"/>
    <w:rsid w:val="45CB07CB"/>
    <w:rsid w:val="45CF3A2B"/>
    <w:rsid w:val="461872F7"/>
    <w:rsid w:val="46197291"/>
    <w:rsid w:val="462163A9"/>
    <w:rsid w:val="464C1809"/>
    <w:rsid w:val="465B470D"/>
    <w:rsid w:val="466851BD"/>
    <w:rsid w:val="467F664E"/>
    <w:rsid w:val="46A6197D"/>
    <w:rsid w:val="46B41339"/>
    <w:rsid w:val="46C0058C"/>
    <w:rsid w:val="46E22799"/>
    <w:rsid w:val="46E54354"/>
    <w:rsid w:val="46E63D39"/>
    <w:rsid w:val="46EB6572"/>
    <w:rsid w:val="470E6AAD"/>
    <w:rsid w:val="47274FAD"/>
    <w:rsid w:val="473A25D7"/>
    <w:rsid w:val="475A2C17"/>
    <w:rsid w:val="47611B1C"/>
    <w:rsid w:val="476A312A"/>
    <w:rsid w:val="47743097"/>
    <w:rsid w:val="47A0687C"/>
    <w:rsid w:val="47AF7FBB"/>
    <w:rsid w:val="480175EB"/>
    <w:rsid w:val="48252FBD"/>
    <w:rsid w:val="48A85BB9"/>
    <w:rsid w:val="48AA28E9"/>
    <w:rsid w:val="492D43A7"/>
    <w:rsid w:val="493018E8"/>
    <w:rsid w:val="493D3A31"/>
    <w:rsid w:val="49634994"/>
    <w:rsid w:val="49731D6E"/>
    <w:rsid w:val="49B06B1E"/>
    <w:rsid w:val="49BB06A1"/>
    <w:rsid w:val="49BE56DF"/>
    <w:rsid w:val="49CD147E"/>
    <w:rsid w:val="49CE3589"/>
    <w:rsid w:val="49F7299F"/>
    <w:rsid w:val="4A257EDF"/>
    <w:rsid w:val="4A3414FD"/>
    <w:rsid w:val="4A404F4C"/>
    <w:rsid w:val="4A4602A5"/>
    <w:rsid w:val="4A727B9B"/>
    <w:rsid w:val="4A8561FD"/>
    <w:rsid w:val="4A8825BC"/>
    <w:rsid w:val="4A9401EE"/>
    <w:rsid w:val="4AAA7A11"/>
    <w:rsid w:val="4AB3777B"/>
    <w:rsid w:val="4AB62479"/>
    <w:rsid w:val="4ACD5D0F"/>
    <w:rsid w:val="4AE758C7"/>
    <w:rsid w:val="4AFD021E"/>
    <w:rsid w:val="4B112A16"/>
    <w:rsid w:val="4B321EE0"/>
    <w:rsid w:val="4B481704"/>
    <w:rsid w:val="4B6A7CD4"/>
    <w:rsid w:val="4B823FB8"/>
    <w:rsid w:val="4B877A00"/>
    <w:rsid w:val="4B8B15F1"/>
    <w:rsid w:val="4B951B65"/>
    <w:rsid w:val="4B99644F"/>
    <w:rsid w:val="4B9E03BB"/>
    <w:rsid w:val="4BA92E00"/>
    <w:rsid w:val="4BC46D1D"/>
    <w:rsid w:val="4BCA036B"/>
    <w:rsid w:val="4BD565DF"/>
    <w:rsid w:val="4BF5105A"/>
    <w:rsid w:val="4BF931F6"/>
    <w:rsid w:val="4C171788"/>
    <w:rsid w:val="4C440726"/>
    <w:rsid w:val="4C742BFF"/>
    <w:rsid w:val="4CB31248"/>
    <w:rsid w:val="4CC66723"/>
    <w:rsid w:val="4CE56A53"/>
    <w:rsid w:val="4CF26484"/>
    <w:rsid w:val="4CFD0284"/>
    <w:rsid w:val="4D0B734F"/>
    <w:rsid w:val="4D223666"/>
    <w:rsid w:val="4D2C27E2"/>
    <w:rsid w:val="4D4110A8"/>
    <w:rsid w:val="4D5041FC"/>
    <w:rsid w:val="4D9A1201"/>
    <w:rsid w:val="4DAA4587"/>
    <w:rsid w:val="4DAC0FA2"/>
    <w:rsid w:val="4DB36932"/>
    <w:rsid w:val="4DCB282E"/>
    <w:rsid w:val="4DCF2511"/>
    <w:rsid w:val="4E034757"/>
    <w:rsid w:val="4E8907A2"/>
    <w:rsid w:val="4E8A72BA"/>
    <w:rsid w:val="4E8C12A9"/>
    <w:rsid w:val="4EF456FF"/>
    <w:rsid w:val="4F0435FB"/>
    <w:rsid w:val="4F2E29BF"/>
    <w:rsid w:val="4FA00C65"/>
    <w:rsid w:val="4FAA1984"/>
    <w:rsid w:val="50287147"/>
    <w:rsid w:val="502F44D2"/>
    <w:rsid w:val="50325516"/>
    <w:rsid w:val="50533005"/>
    <w:rsid w:val="50623F6A"/>
    <w:rsid w:val="50864AE4"/>
    <w:rsid w:val="509F3DD8"/>
    <w:rsid w:val="50CA3C08"/>
    <w:rsid w:val="50CB5450"/>
    <w:rsid w:val="50F20746"/>
    <w:rsid w:val="50FD36D1"/>
    <w:rsid w:val="51075530"/>
    <w:rsid w:val="51085492"/>
    <w:rsid w:val="514E73C5"/>
    <w:rsid w:val="516848FC"/>
    <w:rsid w:val="51996A58"/>
    <w:rsid w:val="52093E4E"/>
    <w:rsid w:val="5209600E"/>
    <w:rsid w:val="522E0F28"/>
    <w:rsid w:val="52453366"/>
    <w:rsid w:val="524E5126"/>
    <w:rsid w:val="52622CFE"/>
    <w:rsid w:val="52671858"/>
    <w:rsid w:val="52860D64"/>
    <w:rsid w:val="529721E2"/>
    <w:rsid w:val="52C65235"/>
    <w:rsid w:val="53231658"/>
    <w:rsid w:val="536A1422"/>
    <w:rsid w:val="53C64F2E"/>
    <w:rsid w:val="53C95F85"/>
    <w:rsid w:val="53CC23A3"/>
    <w:rsid w:val="53D30841"/>
    <w:rsid w:val="54067871"/>
    <w:rsid w:val="54634CBE"/>
    <w:rsid w:val="54B045DF"/>
    <w:rsid w:val="54C65823"/>
    <w:rsid w:val="54F94AAC"/>
    <w:rsid w:val="55004DFD"/>
    <w:rsid w:val="551408A9"/>
    <w:rsid w:val="551B7C23"/>
    <w:rsid w:val="55240D44"/>
    <w:rsid w:val="55275AB2"/>
    <w:rsid w:val="554903D6"/>
    <w:rsid w:val="554C19B3"/>
    <w:rsid w:val="557B4A4E"/>
    <w:rsid w:val="55AB6A02"/>
    <w:rsid w:val="55AF05D2"/>
    <w:rsid w:val="55F06C20"/>
    <w:rsid w:val="55F80370"/>
    <w:rsid w:val="55F8059E"/>
    <w:rsid w:val="55FA184D"/>
    <w:rsid w:val="561555B7"/>
    <w:rsid w:val="561C5C67"/>
    <w:rsid w:val="568D4E63"/>
    <w:rsid w:val="56BF3A3B"/>
    <w:rsid w:val="56E01FD3"/>
    <w:rsid w:val="56E14DE8"/>
    <w:rsid w:val="56F43EE9"/>
    <w:rsid w:val="56FA1617"/>
    <w:rsid w:val="576C29A8"/>
    <w:rsid w:val="57882E88"/>
    <w:rsid w:val="57C82282"/>
    <w:rsid w:val="58044C05"/>
    <w:rsid w:val="581A4428"/>
    <w:rsid w:val="583122D1"/>
    <w:rsid w:val="583B6C64"/>
    <w:rsid w:val="58413FD6"/>
    <w:rsid w:val="58496B60"/>
    <w:rsid w:val="585C1400"/>
    <w:rsid w:val="58605ED3"/>
    <w:rsid w:val="58755436"/>
    <w:rsid w:val="588634A1"/>
    <w:rsid w:val="58E34C37"/>
    <w:rsid w:val="58EB7B73"/>
    <w:rsid w:val="590F3861"/>
    <w:rsid w:val="59181E0C"/>
    <w:rsid w:val="591A3CBE"/>
    <w:rsid w:val="59253085"/>
    <w:rsid w:val="592A069B"/>
    <w:rsid w:val="593100FB"/>
    <w:rsid w:val="594F1613"/>
    <w:rsid w:val="595959DA"/>
    <w:rsid w:val="597902DF"/>
    <w:rsid w:val="599C05BF"/>
    <w:rsid w:val="59A14A5A"/>
    <w:rsid w:val="59C15F7F"/>
    <w:rsid w:val="59DE7DAC"/>
    <w:rsid w:val="59EE16C8"/>
    <w:rsid w:val="59F560ED"/>
    <w:rsid w:val="5A0E68B4"/>
    <w:rsid w:val="5A1F5D26"/>
    <w:rsid w:val="5A364E1D"/>
    <w:rsid w:val="5A565BFB"/>
    <w:rsid w:val="5A6E2809"/>
    <w:rsid w:val="5A7E0403"/>
    <w:rsid w:val="5A872E3D"/>
    <w:rsid w:val="5A9A0AC4"/>
    <w:rsid w:val="5AAD16DE"/>
    <w:rsid w:val="5ABC17C7"/>
    <w:rsid w:val="5ABF5AC3"/>
    <w:rsid w:val="5AC1484F"/>
    <w:rsid w:val="5AC714D5"/>
    <w:rsid w:val="5B0A723B"/>
    <w:rsid w:val="5B0D44C9"/>
    <w:rsid w:val="5B231857"/>
    <w:rsid w:val="5B23663C"/>
    <w:rsid w:val="5B2B2648"/>
    <w:rsid w:val="5B767BC7"/>
    <w:rsid w:val="5B8554AA"/>
    <w:rsid w:val="5B865C30"/>
    <w:rsid w:val="5B936D3D"/>
    <w:rsid w:val="5BC30933"/>
    <w:rsid w:val="5BCA1CC1"/>
    <w:rsid w:val="5BCA5E1F"/>
    <w:rsid w:val="5C13685F"/>
    <w:rsid w:val="5C277114"/>
    <w:rsid w:val="5C667994"/>
    <w:rsid w:val="5C692535"/>
    <w:rsid w:val="5C806824"/>
    <w:rsid w:val="5D2C027E"/>
    <w:rsid w:val="5D9C1CEE"/>
    <w:rsid w:val="5DB667B5"/>
    <w:rsid w:val="5DBC7194"/>
    <w:rsid w:val="5DD01A56"/>
    <w:rsid w:val="5DE50C09"/>
    <w:rsid w:val="5DF45A5D"/>
    <w:rsid w:val="5E5F5F1C"/>
    <w:rsid w:val="5EAE1B49"/>
    <w:rsid w:val="5EC81E69"/>
    <w:rsid w:val="5F054E4E"/>
    <w:rsid w:val="5F0674B4"/>
    <w:rsid w:val="5F317ADB"/>
    <w:rsid w:val="5F3A66D4"/>
    <w:rsid w:val="5F3D75FF"/>
    <w:rsid w:val="5F4C624B"/>
    <w:rsid w:val="5F6441DB"/>
    <w:rsid w:val="5F7A6EB8"/>
    <w:rsid w:val="5F7B06CE"/>
    <w:rsid w:val="5F9B2214"/>
    <w:rsid w:val="5FAA2F4E"/>
    <w:rsid w:val="5FCD3407"/>
    <w:rsid w:val="5FD45972"/>
    <w:rsid w:val="5FEA4FEE"/>
    <w:rsid w:val="600931F1"/>
    <w:rsid w:val="600B1FDC"/>
    <w:rsid w:val="60196D73"/>
    <w:rsid w:val="602F2062"/>
    <w:rsid w:val="605D1DC1"/>
    <w:rsid w:val="6060442C"/>
    <w:rsid w:val="60691A06"/>
    <w:rsid w:val="608E2FB9"/>
    <w:rsid w:val="608F34D9"/>
    <w:rsid w:val="60B44932"/>
    <w:rsid w:val="60D809DC"/>
    <w:rsid w:val="60EA40E0"/>
    <w:rsid w:val="610B71A1"/>
    <w:rsid w:val="613903A5"/>
    <w:rsid w:val="616D7C1E"/>
    <w:rsid w:val="617B3963"/>
    <w:rsid w:val="61AF7681"/>
    <w:rsid w:val="61B45670"/>
    <w:rsid w:val="6233305E"/>
    <w:rsid w:val="62770C14"/>
    <w:rsid w:val="6293595C"/>
    <w:rsid w:val="62985B94"/>
    <w:rsid w:val="62A019CE"/>
    <w:rsid w:val="62BD42F8"/>
    <w:rsid w:val="62DB2A06"/>
    <w:rsid w:val="62DC6672"/>
    <w:rsid w:val="62DD67BB"/>
    <w:rsid w:val="63057A83"/>
    <w:rsid w:val="63060EB8"/>
    <w:rsid w:val="632B74E9"/>
    <w:rsid w:val="63304B00"/>
    <w:rsid w:val="63586F1E"/>
    <w:rsid w:val="63626C83"/>
    <w:rsid w:val="63894C3D"/>
    <w:rsid w:val="63A138E5"/>
    <w:rsid w:val="63A851FD"/>
    <w:rsid w:val="63BB55E6"/>
    <w:rsid w:val="63DA1488"/>
    <w:rsid w:val="643E324C"/>
    <w:rsid w:val="64502F80"/>
    <w:rsid w:val="64770FD0"/>
    <w:rsid w:val="64971F42"/>
    <w:rsid w:val="649C6D8D"/>
    <w:rsid w:val="64A35038"/>
    <w:rsid w:val="64C30127"/>
    <w:rsid w:val="64E404FB"/>
    <w:rsid w:val="65223E9C"/>
    <w:rsid w:val="65393A14"/>
    <w:rsid w:val="655762AF"/>
    <w:rsid w:val="65841133"/>
    <w:rsid w:val="65906AA6"/>
    <w:rsid w:val="65B26C17"/>
    <w:rsid w:val="65C052B7"/>
    <w:rsid w:val="65DF5BF3"/>
    <w:rsid w:val="65FB7383"/>
    <w:rsid w:val="661B6331"/>
    <w:rsid w:val="66212E26"/>
    <w:rsid w:val="666918A5"/>
    <w:rsid w:val="67535261"/>
    <w:rsid w:val="6770210C"/>
    <w:rsid w:val="6776343C"/>
    <w:rsid w:val="67992515"/>
    <w:rsid w:val="679A34C7"/>
    <w:rsid w:val="679A4C3E"/>
    <w:rsid w:val="67CA3864"/>
    <w:rsid w:val="67D918D5"/>
    <w:rsid w:val="67DB25E9"/>
    <w:rsid w:val="67DC1F44"/>
    <w:rsid w:val="680B5A60"/>
    <w:rsid w:val="68106CAE"/>
    <w:rsid w:val="6818227E"/>
    <w:rsid w:val="68855C19"/>
    <w:rsid w:val="68B651C4"/>
    <w:rsid w:val="68BB6F23"/>
    <w:rsid w:val="68D42212"/>
    <w:rsid w:val="68E74777"/>
    <w:rsid w:val="68FB7343"/>
    <w:rsid w:val="69035F87"/>
    <w:rsid w:val="692A3D9F"/>
    <w:rsid w:val="6945792E"/>
    <w:rsid w:val="698101CE"/>
    <w:rsid w:val="699638CA"/>
    <w:rsid w:val="69B00867"/>
    <w:rsid w:val="69C705B9"/>
    <w:rsid w:val="6A132A85"/>
    <w:rsid w:val="6A2C3B47"/>
    <w:rsid w:val="6A41557A"/>
    <w:rsid w:val="6A7259FE"/>
    <w:rsid w:val="6A875014"/>
    <w:rsid w:val="6ACA48F3"/>
    <w:rsid w:val="6AEF52A0"/>
    <w:rsid w:val="6AF25093"/>
    <w:rsid w:val="6B160675"/>
    <w:rsid w:val="6B2D7B77"/>
    <w:rsid w:val="6B381EA1"/>
    <w:rsid w:val="6B613414"/>
    <w:rsid w:val="6B79170B"/>
    <w:rsid w:val="6B897DB2"/>
    <w:rsid w:val="6BB02914"/>
    <w:rsid w:val="6C2C7E2E"/>
    <w:rsid w:val="6C360A97"/>
    <w:rsid w:val="6C974E49"/>
    <w:rsid w:val="6C9801D4"/>
    <w:rsid w:val="6D07583C"/>
    <w:rsid w:val="6D122A8B"/>
    <w:rsid w:val="6D262AD0"/>
    <w:rsid w:val="6D307C81"/>
    <w:rsid w:val="6D5062C4"/>
    <w:rsid w:val="6D5A5657"/>
    <w:rsid w:val="6D995997"/>
    <w:rsid w:val="6DB26F0D"/>
    <w:rsid w:val="6DB91B96"/>
    <w:rsid w:val="6DE662A4"/>
    <w:rsid w:val="6DFD3D05"/>
    <w:rsid w:val="6E3B7E49"/>
    <w:rsid w:val="6E411877"/>
    <w:rsid w:val="6E6727CB"/>
    <w:rsid w:val="6E6746CD"/>
    <w:rsid w:val="6EBE56B6"/>
    <w:rsid w:val="6EEA2987"/>
    <w:rsid w:val="6EEB080A"/>
    <w:rsid w:val="6EF24047"/>
    <w:rsid w:val="6F290E0E"/>
    <w:rsid w:val="6F374AED"/>
    <w:rsid w:val="6F4A519B"/>
    <w:rsid w:val="6F6A1399"/>
    <w:rsid w:val="6F6C0A35"/>
    <w:rsid w:val="6F6E0896"/>
    <w:rsid w:val="6FB62831"/>
    <w:rsid w:val="6FBF00A7"/>
    <w:rsid w:val="6FC065AB"/>
    <w:rsid w:val="6FFB0243"/>
    <w:rsid w:val="703E5C25"/>
    <w:rsid w:val="704D660F"/>
    <w:rsid w:val="705F4C76"/>
    <w:rsid w:val="70610859"/>
    <w:rsid w:val="707C0611"/>
    <w:rsid w:val="7089584F"/>
    <w:rsid w:val="70AB7F97"/>
    <w:rsid w:val="70C760E4"/>
    <w:rsid w:val="70E02DEB"/>
    <w:rsid w:val="70FC39CA"/>
    <w:rsid w:val="711A4705"/>
    <w:rsid w:val="711D7613"/>
    <w:rsid w:val="715D2433"/>
    <w:rsid w:val="715D46EB"/>
    <w:rsid w:val="717A163C"/>
    <w:rsid w:val="71BE0913"/>
    <w:rsid w:val="71BF1634"/>
    <w:rsid w:val="720F447A"/>
    <w:rsid w:val="721C24C0"/>
    <w:rsid w:val="7230219C"/>
    <w:rsid w:val="726A16B0"/>
    <w:rsid w:val="72734A09"/>
    <w:rsid w:val="72762812"/>
    <w:rsid w:val="72A13EC0"/>
    <w:rsid w:val="72A577D6"/>
    <w:rsid w:val="72D93203"/>
    <w:rsid w:val="72E2162E"/>
    <w:rsid w:val="72F04115"/>
    <w:rsid w:val="72F66763"/>
    <w:rsid w:val="73150A03"/>
    <w:rsid w:val="734C3A2A"/>
    <w:rsid w:val="735027CF"/>
    <w:rsid w:val="736E51D0"/>
    <w:rsid w:val="737A6648"/>
    <w:rsid w:val="73D174AA"/>
    <w:rsid w:val="74171A19"/>
    <w:rsid w:val="743A6105"/>
    <w:rsid w:val="743D573B"/>
    <w:rsid w:val="74973761"/>
    <w:rsid w:val="74A0585D"/>
    <w:rsid w:val="74BC03B6"/>
    <w:rsid w:val="74D14872"/>
    <w:rsid w:val="74DF1EE2"/>
    <w:rsid w:val="74E7348C"/>
    <w:rsid w:val="74E81ACE"/>
    <w:rsid w:val="75082B24"/>
    <w:rsid w:val="750A7244"/>
    <w:rsid w:val="750E383E"/>
    <w:rsid w:val="75215CFD"/>
    <w:rsid w:val="75446D82"/>
    <w:rsid w:val="758459EA"/>
    <w:rsid w:val="75FB1CB0"/>
    <w:rsid w:val="760009FB"/>
    <w:rsid w:val="761E1B1C"/>
    <w:rsid w:val="76264588"/>
    <w:rsid w:val="76404C02"/>
    <w:rsid w:val="76407F9F"/>
    <w:rsid w:val="76850566"/>
    <w:rsid w:val="7697757F"/>
    <w:rsid w:val="76B06C7C"/>
    <w:rsid w:val="76BA7259"/>
    <w:rsid w:val="76BD44A5"/>
    <w:rsid w:val="76EB7AFA"/>
    <w:rsid w:val="771014C4"/>
    <w:rsid w:val="77336515"/>
    <w:rsid w:val="77615054"/>
    <w:rsid w:val="77967F63"/>
    <w:rsid w:val="77A331D7"/>
    <w:rsid w:val="77AB07A1"/>
    <w:rsid w:val="77AC426E"/>
    <w:rsid w:val="77DE6841"/>
    <w:rsid w:val="77ED2B68"/>
    <w:rsid w:val="77F07590"/>
    <w:rsid w:val="784623CA"/>
    <w:rsid w:val="787068A1"/>
    <w:rsid w:val="78767001"/>
    <w:rsid w:val="7878641F"/>
    <w:rsid w:val="78B17534"/>
    <w:rsid w:val="78C55ED8"/>
    <w:rsid w:val="78CF4847"/>
    <w:rsid w:val="78DB126F"/>
    <w:rsid w:val="78E51A91"/>
    <w:rsid w:val="790C5637"/>
    <w:rsid w:val="79113BF9"/>
    <w:rsid w:val="792A5044"/>
    <w:rsid w:val="79385E6F"/>
    <w:rsid w:val="793F5698"/>
    <w:rsid w:val="794B3A23"/>
    <w:rsid w:val="79621637"/>
    <w:rsid w:val="79B437B8"/>
    <w:rsid w:val="79CD3A35"/>
    <w:rsid w:val="7A052F5D"/>
    <w:rsid w:val="7A2A5B6C"/>
    <w:rsid w:val="7A3031E0"/>
    <w:rsid w:val="7A79544A"/>
    <w:rsid w:val="7AC21EAC"/>
    <w:rsid w:val="7ADB2D1F"/>
    <w:rsid w:val="7AFC2868"/>
    <w:rsid w:val="7B1F6A15"/>
    <w:rsid w:val="7B2826F3"/>
    <w:rsid w:val="7B38059E"/>
    <w:rsid w:val="7B4231CA"/>
    <w:rsid w:val="7B4A341F"/>
    <w:rsid w:val="7B506DAA"/>
    <w:rsid w:val="7B6273C9"/>
    <w:rsid w:val="7B770C16"/>
    <w:rsid w:val="7B7C034B"/>
    <w:rsid w:val="7B816A17"/>
    <w:rsid w:val="7B9A13E1"/>
    <w:rsid w:val="7BB0282A"/>
    <w:rsid w:val="7BC20D71"/>
    <w:rsid w:val="7BF51FB0"/>
    <w:rsid w:val="7BFC5A6F"/>
    <w:rsid w:val="7C084414"/>
    <w:rsid w:val="7C377552"/>
    <w:rsid w:val="7C554422"/>
    <w:rsid w:val="7C8B6DF3"/>
    <w:rsid w:val="7CC94DB0"/>
    <w:rsid w:val="7CCB01D4"/>
    <w:rsid w:val="7CE55481"/>
    <w:rsid w:val="7D186A3B"/>
    <w:rsid w:val="7D221505"/>
    <w:rsid w:val="7D2827BB"/>
    <w:rsid w:val="7D4118FC"/>
    <w:rsid w:val="7D442B26"/>
    <w:rsid w:val="7D645C54"/>
    <w:rsid w:val="7D834D23"/>
    <w:rsid w:val="7DC9536F"/>
    <w:rsid w:val="7DFB7184"/>
    <w:rsid w:val="7E3D0D09"/>
    <w:rsid w:val="7E405172"/>
    <w:rsid w:val="7E4E1E86"/>
    <w:rsid w:val="7E53579D"/>
    <w:rsid w:val="7E7E45F9"/>
    <w:rsid w:val="7EBD3001"/>
    <w:rsid w:val="7EC16AFC"/>
    <w:rsid w:val="7EDB51A3"/>
    <w:rsid w:val="7EDB585B"/>
    <w:rsid w:val="7F0F0AD5"/>
    <w:rsid w:val="7F407499"/>
    <w:rsid w:val="7F42151F"/>
    <w:rsid w:val="7FBA2D63"/>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styleId="9">
    <w:name w:val="List Paragraph"/>
    <w:basedOn w:val="1"/>
    <w:unhideWhenUsed/>
    <w:qFormat/>
    <w:uiPriority w:val="99"/>
    <w:pPr>
      <w:ind w:firstLine="420" w:firstLineChars="200"/>
    </w:pPr>
  </w:style>
  <w:style w:type="character" w:customStyle="1" w:styleId="10">
    <w:name w:val="标题 2 字符"/>
    <w:basedOn w:val="8"/>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11</Pages>
  <Words>5027</Words>
  <Characters>5117</Characters>
  <Lines>38</Lines>
  <Paragraphs>10</Paragraphs>
  <TotalTime>31</TotalTime>
  <ScaleCrop>false</ScaleCrop>
  <LinksUpToDate>false</LinksUpToDate>
  <CharactersWithSpaces>5329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2024-09-25T07:19:00Z</dcterms:created>
  <dc:creator>Administrator</dc:creator>
  <cp:lastModifiedBy>WPS_1249135072</cp:lastModifiedBy>
  <cp:lastPrinted>2024-10-11T03:09:14Z</cp:lastPrinted>
  <dcterms:modified xsi:type="dcterms:W3CDTF">2024-10-11T03:24:44Z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89AFCB20D0C64BCA99ADA2BB77192B0F_13</vt:lpwstr>
  </property>
</Properties>
</file>