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4"/>
        <w:rPr/>
      </w:pPr>
    </w:p>
    <w:p>
      <w:pPr>
        <w:pStyle w:val="style0"/>
        <w:spacing w:before="14"/>
        <w:rPr/>
      </w:pPr>
    </w:p>
    <w:p>
      <w:pPr>
        <w:pStyle w:val="style0"/>
        <w:spacing w:before="14"/>
        <w:rPr/>
      </w:pPr>
    </w:p>
    <w:p>
      <w:pPr>
        <w:pStyle w:val="style0"/>
        <w:spacing w:before="13"/>
        <w:rPr/>
      </w:pPr>
    </w:p>
    <w:p>
      <w:pPr>
        <w:pStyle w:val="style0"/>
        <w:spacing w:before="13"/>
        <w:rPr/>
      </w:pPr>
    </w:p>
    <w:p>
      <w:pPr>
        <w:pStyle w:val="style0"/>
        <w:spacing w:before="13"/>
        <w:rPr/>
      </w:pPr>
    </w:p>
    <w:p>
      <w:pPr>
        <w:pStyle w:val="style0"/>
        <w:spacing w:before="13"/>
        <w:rPr/>
      </w:pPr>
    </w:p>
    <w:p>
      <w:pPr>
        <w:pStyle w:val="style0"/>
        <w:rPr/>
        <w:sectPr>
          <w:footerReference w:type="default" r:id="rId2"/>
          <w:pgSz w:w="12180" w:h="17030" w:orient="portrait"/>
          <w:pgMar w:top="1447" w:right="1594" w:bottom="1861" w:left="1630" w:header="0" w:footer="1562" w:gutter="0"/>
          <w:cols w:equalWidth="0" w:num="1">
            <w:col w:w="8955"/>
          </w:cols>
        </w:sectPr>
      </w:pPr>
    </w:p>
    <w:p>
      <w:pPr>
        <w:pStyle w:val="style66"/>
        <w:spacing w:before="174" w:lineRule="auto" w:line="210"/>
        <w:ind w:left="459" w:right="235"/>
        <w:rPr/>
      </w:pPr>
      <w:r>
        <w:rPr>
          <w:b/>
          <w:bCs/>
          <w:color w:val="ff3c4f"/>
          <w:spacing w:val="-39"/>
        </w:rPr>
        <w:t>河</w:t>
      </w:r>
      <w:r>
        <w:rPr>
          <w:color w:val="ff3c4f"/>
          <w:spacing w:val="140"/>
        </w:rPr>
        <w:t xml:space="preserve"> </w:t>
      </w:r>
      <w:r>
        <w:rPr>
          <w:b/>
          <w:bCs/>
          <w:color w:val="ff3c4f"/>
          <w:spacing w:val="-39"/>
        </w:rPr>
        <w:t>南</w:t>
      </w:r>
      <w:r>
        <w:rPr>
          <w:color w:val="ff3c4f"/>
          <w:spacing w:val="139"/>
        </w:rPr>
        <w:t xml:space="preserve"> </w:t>
      </w:r>
      <w:r>
        <w:rPr>
          <w:b/>
          <w:bCs/>
          <w:color w:val="ff3c4f"/>
          <w:spacing w:val="-39"/>
        </w:rPr>
        <w:t>省</w:t>
      </w:r>
      <w:r>
        <w:rPr>
          <w:color w:val="ff3c4f"/>
          <w:spacing w:val="131"/>
        </w:rPr>
        <w:t xml:space="preserve"> </w:t>
      </w:r>
      <w:r>
        <w:rPr>
          <w:b/>
          <w:bCs/>
          <w:color w:val="ff3c4f"/>
          <w:spacing w:val="-39"/>
        </w:rPr>
        <w:t>财</w:t>
      </w:r>
      <w:r>
        <w:rPr>
          <w:color w:val="ff3c4f"/>
          <w:spacing w:val="126"/>
        </w:rPr>
        <w:t xml:space="preserve"> </w:t>
      </w:r>
      <w:r>
        <w:rPr>
          <w:b/>
          <w:bCs/>
          <w:color w:val="ff3c4f"/>
          <w:spacing w:val="-39"/>
        </w:rPr>
        <w:t>政</w:t>
      </w:r>
      <w:r>
        <w:rPr>
          <w:color w:val="ff3c4f"/>
          <w:spacing w:val="139"/>
        </w:rPr>
        <w:t xml:space="preserve"> </w:t>
      </w:r>
      <w:r>
        <w:rPr>
          <w:b/>
          <w:bCs/>
          <w:color w:val="ff3c4f"/>
          <w:spacing w:val="-39"/>
        </w:rPr>
        <w:t>厅</w:t>
      </w:r>
      <w:r>
        <w:rPr>
          <w:color w:val="ff3c4f"/>
        </w:rPr>
        <w:t xml:space="preserve"> </w:t>
      </w:r>
      <w:r>
        <w:rPr>
          <w:b/>
          <w:bCs/>
          <w:color w:val="ff3c4f"/>
          <w:spacing w:val="-49"/>
        </w:rPr>
        <w:t>河</w:t>
      </w:r>
      <w:r>
        <w:rPr>
          <w:color w:val="ff3c4f"/>
          <w:spacing w:val="140"/>
        </w:rPr>
        <w:t xml:space="preserve"> </w:t>
      </w:r>
      <w:r>
        <w:rPr>
          <w:b/>
          <w:bCs/>
          <w:color w:val="ff3c4f"/>
          <w:spacing w:val="-49"/>
        </w:rPr>
        <w:t>南</w:t>
      </w:r>
      <w:r>
        <w:rPr>
          <w:color w:val="ff3c4f"/>
          <w:spacing w:val="143"/>
        </w:rPr>
        <w:t xml:space="preserve"> </w:t>
      </w:r>
      <w:r>
        <w:rPr>
          <w:b/>
          <w:bCs/>
          <w:color w:val="ff3c4f"/>
          <w:spacing w:val="-49"/>
        </w:rPr>
        <w:t>省</w:t>
      </w:r>
      <w:r>
        <w:rPr>
          <w:color w:val="ff3c4f"/>
          <w:spacing w:val="199"/>
        </w:rPr>
        <w:t xml:space="preserve"> </w:t>
      </w:r>
      <w:r>
        <w:rPr>
          <w:b/>
          <w:bCs/>
          <w:color w:val="ff3c4f"/>
          <w:spacing w:val="-49"/>
        </w:rPr>
        <w:t>民</w:t>
      </w:r>
      <w:r>
        <w:rPr>
          <w:color w:val="ff3c4f"/>
          <w:spacing w:val="130"/>
        </w:rPr>
        <w:t xml:space="preserve"> </w:t>
      </w:r>
      <w:r>
        <w:rPr>
          <w:b/>
          <w:bCs/>
          <w:color w:val="ff3c4f"/>
          <w:spacing w:val="-49"/>
        </w:rPr>
        <w:t>政</w:t>
      </w:r>
      <w:r>
        <w:rPr>
          <w:color w:val="ff3c4f"/>
          <w:spacing w:val="143"/>
        </w:rPr>
        <w:t xml:space="preserve"> </w:t>
      </w:r>
      <w:r>
        <w:rPr>
          <w:b/>
          <w:bCs/>
          <w:color w:val="ff3c4f"/>
          <w:spacing w:val="-49"/>
        </w:rPr>
        <w:t>厅</w:t>
      </w:r>
    </w:p>
    <w:p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>
      <w:pPr>
        <w:pStyle w:val="style66"/>
        <w:spacing w:before="506" w:lineRule="auto" w:line="219"/>
        <w:rPr>
          <w:sz w:val="86"/>
          <w:szCs w:val="86"/>
        </w:rPr>
      </w:pPr>
      <w:r>
        <w:rPr>
          <w:b/>
          <w:bCs/>
          <w:color w:val="ff3543"/>
          <w:spacing w:val="-68"/>
          <w:w w:val="98"/>
          <w:sz w:val="86"/>
          <w:szCs w:val="86"/>
        </w:rPr>
        <w:t>文件</w:t>
      </w:r>
    </w:p>
    <w:p>
      <w:pPr>
        <w:pStyle w:val="style0"/>
        <w:spacing w:lineRule="auto" w:line="219"/>
        <w:rPr>
          <w:sz w:val="86"/>
          <w:szCs w:val="86"/>
        </w:rPr>
        <w:sectPr>
          <w:type w:val="continuous"/>
          <w:pgSz w:w="12180" w:h="17030" w:orient="portrait"/>
          <w:pgMar w:top="1447" w:right="1594" w:bottom="1861" w:left="1630" w:header="0" w:footer="1562" w:gutter="0"/>
          <w:cols w:equalWidth="0" w:num="2">
            <w:col w:w="6981" w:space="100"/>
            <w:col w:w="1875"/>
          </w:cols>
        </w:sectPr>
      </w:pPr>
    </w:p>
    <w:p>
      <w:pPr>
        <w:pStyle w:val="style0"/>
        <w:spacing w:lineRule="auto" w:line="302"/>
        <w:rPr>
          <w:rFonts w:ascii="Arial"/>
          <w:sz w:val="21"/>
        </w:rPr>
      </w:pPr>
    </w:p>
    <w:p>
      <w:pPr>
        <w:pStyle w:val="style0"/>
        <w:spacing w:lineRule="auto" w:line="302"/>
        <w:rPr>
          <w:rFonts w:ascii="Arial"/>
          <w:sz w:val="21"/>
        </w:rPr>
      </w:pPr>
    </w:p>
    <w:p>
      <w:pPr>
        <w:pStyle w:val="style0"/>
        <w:spacing w:lineRule="auto" w:line="303"/>
        <w:rPr>
          <w:rFonts w:ascii="Arial"/>
          <w:sz w:val="21"/>
        </w:rPr>
      </w:pPr>
    </w:p>
    <w:p>
      <w:pPr>
        <w:pStyle w:val="style66"/>
        <w:spacing w:before="104" w:lineRule="auto" w:line="219"/>
        <w:ind w:left="2889"/>
        <w:rPr>
          <w:sz w:val="32"/>
          <w:szCs w:val="32"/>
        </w:rPr>
      </w:pPr>
      <w:r>
        <w:rPr>
          <w:spacing w:val="-3"/>
          <w:sz w:val="32"/>
          <w:szCs w:val="32"/>
        </w:rPr>
        <w:t>豫财社〔2024〕102号</w:t>
      </w:r>
    </w:p>
    <w:p>
      <w:pPr>
        <w:pStyle w:val="style0"/>
        <w:spacing w:before="196" w:lineRule="exact" w:line="61"/>
        <w:ind w:firstLine="39"/>
        <w:rPr/>
      </w:pPr>
      <w:r>
        <w:rPr>
          <w:position w:val="-1"/>
        </w:rPr>
        <w:drawing>
          <wp:inline distL="0" distT="0" distB="0" distR="0">
            <wp:extent cx="5651531" cy="38173"/>
            <wp:effectExtent l="0" t="0" r="0" b="0"/>
            <wp:docPr id="1026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51531" cy="381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95"/>
        <w:rPr>
          <w:rFonts w:ascii="Arial"/>
          <w:sz w:val="21"/>
        </w:rPr>
      </w:pPr>
    </w:p>
    <w:p>
      <w:pPr>
        <w:pStyle w:val="style0"/>
        <w:spacing w:lineRule="auto" w:line="295"/>
        <w:rPr>
          <w:rFonts w:ascii="Arial"/>
          <w:sz w:val="21"/>
        </w:rPr>
      </w:pPr>
    </w:p>
    <w:p>
      <w:pPr>
        <w:pStyle w:val="style0"/>
        <w:spacing w:lineRule="auto" w:line="296"/>
        <w:rPr>
          <w:rFonts w:ascii="Arial"/>
          <w:sz w:val="21"/>
        </w:rPr>
      </w:pPr>
    </w:p>
    <w:p>
      <w:pPr>
        <w:pStyle w:val="style66"/>
        <w:spacing w:before="140" w:lineRule="auto" w:line="219"/>
        <w:ind w:left="1756"/>
        <w:rPr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河南省财政厅河南省民政厅</w:t>
      </w:r>
    </w:p>
    <w:p>
      <w:pPr>
        <w:pStyle w:val="style66"/>
        <w:spacing w:before="266" w:lineRule="auto" w:line="219"/>
        <w:ind w:left="215"/>
        <w:rPr>
          <w:sz w:val="43"/>
          <w:szCs w:val="43"/>
        </w:rPr>
      </w:pPr>
      <w:r>
        <w:rPr>
          <w:b/>
          <w:bCs/>
          <w:spacing w:val="-17"/>
          <w:sz w:val="43"/>
          <w:szCs w:val="43"/>
        </w:rPr>
        <w:t>关于进一步加强和规范特困人员供养服务机构</w:t>
      </w:r>
    </w:p>
    <w:p>
      <w:pPr>
        <w:pStyle w:val="style0"/>
        <w:spacing w:before="251" w:lineRule="auto" w:line="224"/>
        <w:ind w:left="2966"/>
        <w:rPr>
          <w:rFonts w:ascii="FangSong" w:cs="FangSong" w:eastAsia="FangSong" w:hAnsi="FangSong"/>
          <w:sz w:val="43"/>
          <w:szCs w:val="43"/>
        </w:rPr>
      </w:pPr>
      <w:r>
        <w:rPr>
          <w:rFonts w:ascii="FangSong" w:cs="FangSong" w:eastAsia="FangSong" w:hAnsi="FangSong"/>
          <w:b/>
          <w:bCs/>
          <w:spacing w:val="-11"/>
          <w:sz w:val="43"/>
          <w:szCs w:val="43"/>
        </w:rPr>
        <w:t>资金管理的通知</w:t>
      </w:r>
    </w:p>
    <w:p>
      <w:pPr>
        <w:pStyle w:val="style0"/>
        <w:spacing w:lineRule="auto" w:line="364"/>
        <w:rPr>
          <w:rFonts w:ascii="Arial"/>
          <w:sz w:val="21"/>
        </w:rPr>
      </w:pPr>
    </w:p>
    <w:p>
      <w:pPr>
        <w:pStyle w:val="style0"/>
        <w:spacing w:before="108" w:lineRule="auto" w:line="334"/>
        <w:rPr>
          <w:rFonts w:ascii="FangSong" w:cs="FangSong" w:eastAsia="FangSong" w:hAnsi="FangSong"/>
          <w:sz w:val="33"/>
          <w:szCs w:val="33"/>
        </w:rPr>
      </w:pPr>
      <w:r>
        <w:rPr>
          <w:rFonts w:ascii="FangSong" w:cs="FangSong" w:eastAsia="FangSong" w:hAnsi="FangSong"/>
          <w:spacing w:val="-10"/>
          <w:sz w:val="33"/>
          <w:szCs w:val="33"/>
        </w:rPr>
        <w:t>各省辖市、济源示范区财政局、民政局，航空港</w:t>
      </w:r>
      <w:r>
        <w:rPr>
          <w:rFonts w:ascii="FangSong" w:cs="FangSong" w:eastAsia="FangSong" w:hAnsi="FangSong"/>
          <w:spacing w:val="-11"/>
          <w:sz w:val="33"/>
          <w:szCs w:val="33"/>
        </w:rPr>
        <w:t>区财政审计局、</w:t>
      </w:r>
      <w:r>
        <w:rPr>
          <w:rFonts w:ascii="FangSong" w:cs="FangSong" w:eastAsia="FangSong" w:hAnsi="FangSong"/>
          <w:sz w:val="33"/>
          <w:szCs w:val="33"/>
        </w:rPr>
        <w:t xml:space="preserve"> </w:t>
      </w:r>
      <w:r>
        <w:rPr>
          <w:rFonts w:ascii="FangSong" w:cs="FangSong" w:eastAsia="FangSong" w:hAnsi="FangSong"/>
          <w:spacing w:val="-3"/>
          <w:sz w:val="33"/>
          <w:szCs w:val="33"/>
        </w:rPr>
        <w:t>社会事业局，各县(市、区)财政局、民政局：</w:t>
      </w:r>
    </w:p>
    <w:p>
      <w:pPr>
        <w:pStyle w:val="style0"/>
        <w:spacing w:before="18" w:lineRule="auto" w:line="311"/>
        <w:ind w:right="145" w:firstLine="639"/>
        <w:jc w:val="both"/>
        <w:rPr>
          <w:rFonts w:ascii="FangSong" w:cs="FangSong" w:eastAsia="FangSong" w:hAnsi="FangSong"/>
          <w:sz w:val="33"/>
          <w:szCs w:val="33"/>
        </w:rPr>
      </w:pPr>
      <w:r>
        <w:rPr>
          <w:rFonts w:ascii="FangSong" w:cs="FangSong" w:eastAsia="FangSong" w:hAnsi="FangSong"/>
          <w:spacing w:val="-4"/>
          <w:sz w:val="33"/>
          <w:szCs w:val="33"/>
        </w:rPr>
        <w:t>特困人员供养服务机构(以下简称供养服务机构)是为特困</w:t>
      </w:r>
      <w:r>
        <w:rPr>
          <w:rFonts w:ascii="FangSong" w:cs="FangSong" w:eastAsia="FangSong" w:hAnsi="FangSong"/>
          <w:spacing w:val="16"/>
          <w:sz w:val="33"/>
          <w:szCs w:val="33"/>
        </w:rPr>
        <w:t xml:space="preserve"> </w:t>
      </w:r>
      <w:r>
        <w:rPr>
          <w:rFonts w:ascii="FangSong" w:cs="FangSong" w:eastAsia="FangSong" w:hAnsi="FangSong"/>
          <w:spacing w:val="-16"/>
          <w:sz w:val="33"/>
          <w:szCs w:val="33"/>
        </w:rPr>
        <w:t>人员提供集中供养服务的重要载体，在维护集中供养特困人员合</w:t>
      </w:r>
      <w:r>
        <w:rPr>
          <w:rFonts w:ascii="FangSong" w:cs="FangSong" w:eastAsia="FangSong" w:hAnsi="FangSong"/>
          <w:spacing w:val="14"/>
          <w:sz w:val="33"/>
          <w:szCs w:val="33"/>
        </w:rPr>
        <w:t xml:space="preserve"> </w:t>
      </w:r>
      <w:r>
        <w:rPr>
          <w:rFonts w:ascii="FangSong" w:cs="FangSong" w:eastAsia="FangSong" w:hAnsi="FangSong"/>
          <w:spacing w:val="-16"/>
          <w:sz w:val="33"/>
          <w:szCs w:val="33"/>
        </w:rPr>
        <w:t>法权益方面，发挥着兜底保障作用。为全面提升供养服务机构管</w:t>
      </w:r>
      <w:r>
        <w:rPr>
          <w:rFonts w:ascii="FangSong" w:cs="FangSong" w:eastAsia="FangSong" w:hAnsi="FangSong"/>
          <w:spacing w:val="1"/>
          <w:sz w:val="33"/>
          <w:szCs w:val="33"/>
        </w:rPr>
        <w:t xml:space="preserve"> </w:t>
      </w:r>
      <w:r>
        <w:rPr>
          <w:rFonts w:ascii="FangSong" w:cs="FangSong" w:eastAsia="FangSong" w:hAnsi="FangSong"/>
          <w:spacing w:val="-16"/>
          <w:sz w:val="33"/>
          <w:szCs w:val="33"/>
        </w:rPr>
        <w:t>理和服务水平，现就加强和规范公办公营供养服务机构资金管理</w:t>
      </w:r>
      <w:r>
        <w:rPr>
          <w:rFonts w:ascii="FangSong" w:cs="FangSong" w:eastAsia="FangSong" w:hAnsi="FangSong"/>
          <w:spacing w:val="16"/>
          <w:sz w:val="33"/>
          <w:szCs w:val="33"/>
        </w:rPr>
        <w:t xml:space="preserve"> </w:t>
      </w:r>
      <w:r>
        <w:rPr>
          <w:rFonts w:ascii="FangSong" w:cs="FangSong" w:eastAsia="FangSong" w:hAnsi="FangSong"/>
          <w:spacing w:val="-18"/>
          <w:sz w:val="33"/>
          <w:szCs w:val="33"/>
        </w:rPr>
        <w:t>有关事项通知如下。</w:t>
      </w:r>
    </w:p>
    <w:p>
      <w:pPr>
        <w:pStyle w:val="style0"/>
        <w:spacing w:lineRule="auto" w:line="311"/>
        <w:rPr>
          <w:rFonts w:ascii="FangSong" w:cs="FangSong" w:eastAsia="FangSong" w:hAnsi="FangSong"/>
          <w:sz w:val="33"/>
          <w:szCs w:val="33"/>
        </w:rPr>
        <w:sectPr>
          <w:type w:val="continuous"/>
          <w:pgSz w:w="12180" w:h="17030" w:orient="portrait"/>
          <w:pgMar w:top="1447" w:right="1594" w:bottom="1861" w:left="1630" w:header="0" w:footer="1562" w:gutter="0"/>
          <w:cols w:equalWidth="0" w:num="1">
            <w:col w:w="8955"/>
          </w:cols>
        </w:sectPr>
      </w:pPr>
    </w:p>
    <w:p>
      <w:pPr>
        <w:pStyle w:val="style0"/>
        <w:spacing w:lineRule="auto" w:line="310"/>
        <w:rPr>
          <w:rFonts w:ascii="Arial"/>
          <w:sz w:val="21"/>
        </w:rPr>
      </w:pPr>
    </w:p>
    <w:p>
      <w:pPr>
        <w:pStyle w:val="style0"/>
        <w:spacing w:lineRule="auto" w:line="311"/>
        <w:rPr>
          <w:rFonts w:ascii="Arial"/>
          <w:sz w:val="21"/>
        </w:rPr>
      </w:pPr>
    </w:p>
    <w:p>
      <w:pPr>
        <w:pStyle w:val="style0"/>
        <w:spacing w:before="100" w:lineRule="auto" w:line="222"/>
        <w:ind w:left="664"/>
        <w:outlineLvl w:val="0"/>
        <w:rPr>
          <w:rFonts w:ascii="SimHei" w:cs="SimHei" w:eastAsia="SimHei" w:hAnsi="SimHei"/>
          <w:sz w:val="31"/>
          <w:szCs w:val="31"/>
        </w:rPr>
      </w:pPr>
      <w:r>
        <w:rPr>
          <w:rFonts w:ascii="SimHei" w:cs="SimHei" w:eastAsia="SimHei" w:hAnsi="SimHei"/>
          <w:b/>
          <w:bCs/>
          <w:spacing w:val="-2"/>
          <w:sz w:val="31"/>
          <w:szCs w:val="31"/>
        </w:rPr>
        <w:t>一、进一步强化资金保障机制</w:t>
      </w:r>
    </w:p>
    <w:p>
      <w:pPr>
        <w:pStyle w:val="style0"/>
        <w:spacing w:before="247" w:lineRule="auto" w:line="348"/>
        <w:ind w:firstLine="659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4"/>
          <w:sz w:val="31"/>
          <w:szCs w:val="31"/>
        </w:rPr>
        <w:t>供养服务机构要根据在院特困人员数量、救助供养标准、机</w:t>
      </w:r>
      <w:r>
        <w:rPr>
          <w:rFonts w:ascii="FangSong" w:cs="FangSong" w:eastAsia="FangSong" w:hAnsi="FangSong"/>
          <w:spacing w:val="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构运转实际情况，合理测算特困人员救助供养资金及机构运转经</w:t>
      </w:r>
      <w:r>
        <w:rPr>
          <w:rFonts w:ascii="FangSong" w:cs="FangSong" w:eastAsia="FangSong" w:hAnsi="FangSong"/>
          <w:spacing w:val="1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8"/>
          <w:sz w:val="31"/>
          <w:szCs w:val="31"/>
        </w:rPr>
        <w:t>费需求。财政部门按规定将政府设立的供养服务机构运转费用、</w:t>
      </w:r>
      <w:r>
        <w:rPr>
          <w:rFonts w:ascii="FangSong" w:cs="FangSong" w:eastAsia="FangSong" w:hAnsi="FangSong"/>
          <w:spacing w:val="9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特困人员救助供养所需资金列入预算，确保资金安排与供养服务</w:t>
      </w:r>
      <w:r>
        <w:rPr>
          <w:rFonts w:ascii="FangSong" w:cs="FangSong" w:eastAsia="FangSong" w:hAnsi="FangSong"/>
          <w:spacing w:val="7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4"/>
          <w:sz w:val="31"/>
          <w:szCs w:val="31"/>
        </w:rPr>
        <w:t>机构履职需求相匹配。特困人员救助供养资金支付按照国库集中</w:t>
      </w:r>
      <w:r>
        <w:rPr>
          <w:rFonts w:ascii="FangSong" w:cs="FangSong" w:eastAsia="FangSong" w:hAnsi="FangSong"/>
          <w:spacing w:val="1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支付制度有关规定执行，根据“民政部门核定对象金额，财政部</w:t>
      </w:r>
      <w:r>
        <w:rPr>
          <w:rFonts w:ascii="FangSong" w:cs="FangSong" w:eastAsia="FangSong" w:hAnsi="FangSong"/>
          <w:spacing w:val="5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3"/>
          <w:sz w:val="31"/>
          <w:szCs w:val="31"/>
        </w:rPr>
        <w:t>门核拨资金”的流程，将集中供养特困人员救助供养资金统</w:t>
      </w:r>
      <w:r>
        <w:rPr>
          <w:rFonts w:ascii="FangSong" w:cs="FangSong" w:eastAsia="FangSong" w:hAnsi="FangSong"/>
          <w:spacing w:val="2"/>
          <w:sz w:val="31"/>
          <w:szCs w:val="31"/>
        </w:rPr>
        <w:t>一支</w:t>
      </w:r>
      <w:r>
        <w:rPr>
          <w:rFonts w:ascii="FangSong" w:cs="FangSong" w:eastAsia="FangSong" w:hAnsi="FangSong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3"/>
          <w:sz w:val="31"/>
          <w:szCs w:val="31"/>
        </w:rPr>
        <w:t>付到供养服务机构集体账户，不得迟拨、漏拨，确保特困人员及</w:t>
      </w:r>
      <w:r>
        <w:rPr>
          <w:rFonts w:ascii="FangSong" w:cs="FangSong" w:eastAsia="FangSong" w:hAnsi="FangSong"/>
          <w:spacing w:val="17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5"/>
          <w:sz w:val="31"/>
          <w:szCs w:val="31"/>
        </w:rPr>
        <w:t>时获得救助供养服务。</w:t>
      </w:r>
    </w:p>
    <w:p>
      <w:pPr>
        <w:pStyle w:val="style0"/>
        <w:spacing w:before="49" w:lineRule="auto" w:line="221"/>
        <w:ind w:left="664"/>
        <w:outlineLvl w:val="0"/>
        <w:rPr>
          <w:rFonts w:ascii="SimHei" w:cs="SimHei" w:eastAsia="SimHei" w:hAnsi="SimHei"/>
          <w:sz w:val="31"/>
          <w:szCs w:val="31"/>
        </w:rPr>
      </w:pPr>
      <w:r>
        <w:rPr>
          <w:rFonts w:ascii="SimHei" w:cs="SimHei" w:eastAsia="SimHei" w:hAnsi="SimHei"/>
          <w:b/>
          <w:bCs/>
          <w:spacing w:val="-1"/>
          <w:sz w:val="31"/>
          <w:szCs w:val="31"/>
        </w:rPr>
        <w:t>二、进一步明确资金使用范围</w:t>
      </w:r>
    </w:p>
    <w:p>
      <w:pPr>
        <w:pStyle w:val="style0"/>
        <w:spacing w:before="233" w:lineRule="auto" w:line="345"/>
        <w:ind w:right="123" w:firstLine="659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14"/>
          <w:sz w:val="31"/>
          <w:szCs w:val="31"/>
        </w:rPr>
        <w:t>(一)救助供养资金支出范围</w:t>
      </w:r>
      <w:r>
        <w:rPr>
          <w:rFonts w:ascii="FangSong" w:cs="FangSong" w:eastAsia="FangSong" w:hAnsi="FangSong"/>
          <w:spacing w:val="14"/>
          <w:sz w:val="31"/>
          <w:szCs w:val="31"/>
        </w:rPr>
        <w:t>。各地要严格按照规定，将特</w:t>
      </w:r>
      <w:r>
        <w:rPr>
          <w:rFonts w:ascii="FangSong" w:cs="FangSong" w:eastAsia="FangSong" w:hAnsi="FangSong"/>
          <w:spacing w:val="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困人员救助供养资金用于为特困人员提供基本生活条件、</w:t>
      </w:r>
      <w:r>
        <w:rPr>
          <w:rFonts w:ascii="FangSong" w:cs="FangSong" w:eastAsia="FangSong" w:hAnsi="FangSong"/>
          <w:spacing w:val="2"/>
          <w:sz w:val="31"/>
          <w:szCs w:val="31"/>
        </w:rPr>
        <w:t>对生活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不能自理的给予照料、提供疾病治疗和办理丧葬事宜，不得擅自</w:t>
      </w:r>
      <w:r>
        <w:rPr>
          <w:rFonts w:ascii="FangSong" w:cs="FangSong" w:eastAsia="FangSong" w:hAnsi="FangSong"/>
          <w:spacing w:val="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扩大特困人员救助供养资金支出范围，不得用于运转经费、</w:t>
      </w:r>
      <w:r>
        <w:rPr>
          <w:rFonts w:ascii="FangSong" w:cs="FangSong" w:eastAsia="FangSong" w:hAnsi="FangSong"/>
          <w:spacing w:val="3"/>
          <w:sz w:val="31"/>
          <w:szCs w:val="31"/>
        </w:rPr>
        <w:t>大型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z w:val="31"/>
          <w:szCs w:val="31"/>
        </w:rPr>
        <w:t>设备购置和基础设施维修改造等支出。</w:t>
      </w:r>
    </w:p>
    <w:p>
      <w:pPr>
        <w:pStyle w:val="style0"/>
        <w:spacing w:before="83" w:lineRule="auto" w:line="339"/>
        <w:ind w:firstLine="659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3"/>
          <w:sz w:val="31"/>
          <w:szCs w:val="31"/>
        </w:rPr>
        <w:t>基本生活费用于为特困人员提供基本生活条件，包括供给粮</w:t>
      </w:r>
      <w:r>
        <w:rPr>
          <w:rFonts w:ascii="FangSong" w:cs="FangSong" w:eastAsia="FangSong" w:hAnsi="FangSong"/>
          <w:spacing w:val="2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8"/>
          <w:sz w:val="31"/>
          <w:szCs w:val="31"/>
        </w:rPr>
        <w:t>油、副食品、服装、被褥、清洁用品等生活日用品，洗浴理发、</w:t>
      </w:r>
      <w:r>
        <w:rPr>
          <w:rFonts w:ascii="FangSong" w:cs="FangSong" w:eastAsia="FangSong" w:hAnsi="FangSong"/>
          <w:spacing w:val="10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修补生活物品等日常生活服务，以及定期给予的零用钱。集中供</w:t>
      </w:r>
      <w:r>
        <w:rPr>
          <w:rFonts w:ascii="FangSong" w:cs="FangSong" w:eastAsia="FangSong" w:hAnsi="FangSong"/>
          <w:spacing w:val="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养特困人员按规定享受的临时价格补贴参照特困人员基本生活费</w:t>
      </w:r>
      <w:r>
        <w:rPr>
          <w:rFonts w:ascii="FangSong" w:cs="FangSong" w:eastAsia="FangSong" w:hAnsi="FangSong"/>
          <w:spacing w:val="5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8"/>
          <w:sz w:val="31"/>
          <w:szCs w:val="31"/>
        </w:rPr>
        <w:t>支出要求执行。</w:t>
      </w:r>
    </w:p>
    <w:p>
      <w:pPr>
        <w:pStyle w:val="style0"/>
        <w:spacing w:before="121" w:lineRule="auto" w:line="220"/>
        <w:ind w:left="659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3"/>
          <w:sz w:val="31"/>
          <w:szCs w:val="31"/>
        </w:rPr>
        <w:t>照料护理费统一用于供养服务机构照料护理开支，对生活不</w:t>
      </w:r>
    </w:p>
    <w:p>
      <w:pPr>
        <w:pStyle w:val="style0"/>
        <w:spacing w:before="104" w:lineRule="auto" w:line="334"/>
        <w:ind w:right="284"/>
        <w:jc w:val="both"/>
        <w:rPr>
          <w:rFonts w:ascii="FangSong" w:cs="FangSong" w:eastAsia="FangSong" w:hAnsi="FangSong"/>
          <w:sz w:val="32"/>
          <w:szCs w:val="32"/>
        </w:rPr>
      </w:pPr>
      <w:r>
        <w:rPr>
          <w:rFonts w:ascii="FangSong" w:cs="FangSong" w:eastAsia="FangSong" w:hAnsi="FangSong"/>
          <w:spacing w:val="-7"/>
          <w:sz w:val="32"/>
          <w:szCs w:val="32"/>
        </w:rPr>
        <w:t>能自理的特困人员给予照料，包括购买照料护理用品、日常</w:t>
      </w:r>
      <w:r>
        <w:rPr>
          <w:rFonts w:ascii="FangSong" w:cs="FangSong" w:eastAsia="FangSong" w:hAnsi="FangSong"/>
          <w:spacing w:val="-8"/>
          <w:sz w:val="32"/>
          <w:szCs w:val="32"/>
        </w:rPr>
        <w:t>生活</w:t>
      </w:r>
      <w:r>
        <w:rPr>
          <w:rFonts w:ascii="FangSong" w:cs="FangSong" w:eastAsia="FangSong" w:hAnsi="FangSong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7"/>
          <w:sz w:val="32"/>
          <w:szCs w:val="32"/>
        </w:rPr>
        <w:t>中护理人员提供的必要照料护理服务费用、特困人员住院治疗期</w:t>
      </w:r>
      <w:r>
        <w:rPr>
          <w:rFonts w:ascii="FangSong" w:cs="FangSong" w:eastAsia="FangSong" w:hAnsi="FangSong"/>
          <w:spacing w:val="10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5"/>
          <w:sz w:val="32"/>
          <w:szCs w:val="32"/>
        </w:rPr>
        <w:t>间提供的照料护理和陪护费用，购买第三方机构提供的</w:t>
      </w:r>
      <w:r>
        <w:rPr>
          <w:rFonts w:ascii="FangSong" w:cs="FangSong" w:eastAsia="FangSong" w:hAnsi="FangSong"/>
          <w:spacing w:val="4"/>
          <w:sz w:val="32"/>
          <w:szCs w:val="32"/>
        </w:rPr>
        <w:t>照料护</w:t>
      </w:r>
      <w:r>
        <w:rPr>
          <w:rFonts w:ascii="FangSong" w:cs="FangSong" w:eastAsia="FangSong" w:hAnsi="FangSong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10"/>
          <w:sz w:val="32"/>
          <w:szCs w:val="32"/>
        </w:rPr>
        <w:t>理、康复训练等服务费用。</w:t>
      </w:r>
    </w:p>
    <w:p>
      <w:pPr>
        <w:pStyle w:val="style0"/>
        <w:spacing w:before="60" w:lineRule="auto" w:line="331"/>
        <w:ind w:right="270" w:firstLine="629"/>
        <w:jc w:val="both"/>
        <w:rPr>
          <w:rFonts w:ascii="FangSong" w:cs="FangSong" w:eastAsia="FangSong" w:hAnsi="FangSong"/>
          <w:sz w:val="32"/>
          <w:szCs w:val="32"/>
        </w:rPr>
      </w:pPr>
      <w:r>
        <w:rPr>
          <w:rFonts w:ascii="FangSong" w:cs="FangSong" w:eastAsia="FangSong" w:hAnsi="FangSong"/>
          <w:spacing w:val="-6"/>
          <w:sz w:val="32"/>
          <w:szCs w:val="32"/>
        </w:rPr>
        <w:t>特困人员按规定落实基本医疗保险、大病保险</w:t>
      </w:r>
      <w:r>
        <w:rPr>
          <w:rFonts w:ascii="FangSong" w:cs="FangSong" w:eastAsia="FangSong" w:hAnsi="FangSong"/>
          <w:spacing w:val="-7"/>
          <w:sz w:val="32"/>
          <w:szCs w:val="32"/>
        </w:rPr>
        <w:t>和医疗救助等</w:t>
      </w:r>
      <w:r>
        <w:rPr>
          <w:rFonts w:ascii="FangSong" w:cs="FangSong" w:eastAsia="FangSong" w:hAnsi="FangSong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7"/>
          <w:sz w:val="32"/>
          <w:szCs w:val="32"/>
        </w:rPr>
        <w:t>医疗保障政策后，仍有不足的医疗费用可由救助供养资金给</w:t>
      </w:r>
      <w:r>
        <w:rPr>
          <w:rFonts w:ascii="FangSong" w:cs="FangSong" w:eastAsia="FangSong" w:hAnsi="FangSong"/>
          <w:spacing w:val="-8"/>
          <w:sz w:val="32"/>
          <w:szCs w:val="32"/>
        </w:rPr>
        <w:t>予支</w:t>
      </w:r>
      <w:r>
        <w:rPr>
          <w:rFonts w:ascii="FangSong" w:cs="FangSong" w:eastAsia="FangSong" w:hAnsi="FangSong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6"/>
          <w:sz w:val="32"/>
          <w:szCs w:val="32"/>
        </w:rPr>
        <w:t>持。集中供养特困人员在享受政府基本殡葬服</w:t>
      </w:r>
      <w:r>
        <w:rPr>
          <w:rFonts w:ascii="FangSong" w:cs="FangSong" w:eastAsia="FangSong" w:hAnsi="FangSong"/>
          <w:spacing w:val="-7"/>
          <w:sz w:val="32"/>
          <w:szCs w:val="32"/>
        </w:rPr>
        <w:t>务费用减免后的一</w:t>
      </w:r>
      <w:r>
        <w:rPr>
          <w:rFonts w:ascii="FangSong" w:cs="FangSong" w:eastAsia="FangSong" w:hAnsi="FangSong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10"/>
          <w:sz w:val="32"/>
          <w:szCs w:val="32"/>
        </w:rPr>
        <w:t>次性丧葬费用从救助供养资金中列支。</w:t>
      </w:r>
    </w:p>
    <w:p>
      <w:pPr>
        <w:pStyle w:val="style0"/>
        <w:spacing w:before="60" w:lineRule="auto" w:line="335"/>
        <w:ind w:right="296" w:firstLine="629"/>
        <w:jc w:val="both"/>
        <w:rPr>
          <w:rFonts w:ascii="FangSong" w:cs="FangSong" w:eastAsia="FangSong" w:hAnsi="FangSong"/>
          <w:sz w:val="32"/>
          <w:szCs w:val="32"/>
        </w:rPr>
      </w:pPr>
      <w:r>
        <w:rPr>
          <w:rFonts w:ascii="KaiTi" w:cs="KaiTi" w:eastAsia="KaiTi" w:hAnsi="KaiTi"/>
          <w:spacing w:val="4"/>
          <w:sz w:val="32"/>
          <w:szCs w:val="32"/>
        </w:rPr>
        <w:t>(二)运转经费支出范围</w:t>
      </w:r>
      <w:r>
        <w:rPr>
          <w:rFonts w:ascii="FangSong" w:cs="FangSong" w:eastAsia="FangSong" w:hAnsi="FangSong"/>
          <w:spacing w:val="4"/>
          <w:sz w:val="32"/>
          <w:szCs w:val="32"/>
        </w:rPr>
        <w:t>。供养服务机构运转经费包括供养</w:t>
      </w:r>
      <w:r>
        <w:rPr>
          <w:rFonts w:ascii="FangSong" w:cs="FangSong" w:eastAsia="FangSong" w:hAnsi="FangSong"/>
          <w:spacing w:val="4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4"/>
          <w:sz w:val="32"/>
          <w:szCs w:val="32"/>
        </w:rPr>
        <w:t>服务机构正式管理人员工资、日常办公经费、设备设施购置维</w:t>
      </w:r>
      <w:r>
        <w:rPr>
          <w:rFonts w:ascii="FangSong" w:cs="FangSong" w:eastAsia="FangSong" w:hAnsi="FangSong"/>
          <w:spacing w:val="14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10"/>
          <w:sz w:val="32"/>
          <w:szCs w:val="32"/>
        </w:rPr>
        <w:t>护、水电气暖等维持机构正常运行所必需的工作经费。</w:t>
      </w:r>
    </w:p>
    <w:p>
      <w:pPr>
        <w:pStyle w:val="style0"/>
        <w:spacing w:before="47" w:lineRule="auto" w:line="221"/>
        <w:ind w:left="634"/>
        <w:outlineLvl w:val="0"/>
        <w:rPr>
          <w:rFonts w:ascii="SimHei" w:cs="SimHei" w:eastAsia="SimHei" w:hAnsi="SimHei"/>
          <w:sz w:val="32"/>
          <w:szCs w:val="32"/>
        </w:rPr>
      </w:pPr>
      <w:r>
        <w:rPr>
          <w:rFonts w:ascii="SimHei" w:cs="SimHei" w:eastAsia="SimHei" w:hAnsi="SimHei"/>
          <w:b/>
          <w:bCs/>
          <w:spacing w:val="-14"/>
          <w:sz w:val="32"/>
          <w:szCs w:val="32"/>
        </w:rPr>
        <w:t>三、进一步规范财务管理</w:t>
      </w:r>
    </w:p>
    <w:p>
      <w:pPr>
        <w:pStyle w:val="style0"/>
        <w:spacing w:before="205" w:lineRule="auto" w:line="327"/>
        <w:ind w:right="160" w:firstLine="629"/>
        <w:rPr>
          <w:rFonts w:ascii="FangSong" w:cs="FangSong" w:eastAsia="FangSong" w:hAnsi="FangSong"/>
          <w:sz w:val="32"/>
          <w:szCs w:val="32"/>
        </w:rPr>
      </w:pPr>
      <w:r>
        <w:rPr>
          <w:rFonts w:ascii="KaiTi" w:cs="KaiTi" w:eastAsia="KaiTi" w:hAnsi="KaiTi"/>
          <w:spacing w:val="4"/>
          <w:sz w:val="32"/>
          <w:szCs w:val="32"/>
        </w:rPr>
        <w:t>(一)完善财务管理</w:t>
      </w:r>
      <w:r>
        <w:rPr>
          <w:rFonts w:ascii="FangSong" w:cs="FangSong" w:eastAsia="FangSong" w:hAnsi="FangSong"/>
          <w:spacing w:val="4"/>
          <w:sz w:val="32"/>
          <w:szCs w:val="32"/>
        </w:rPr>
        <w:t>。供养服务机构应当建立健全财务管理</w:t>
      </w:r>
      <w:r>
        <w:rPr>
          <w:rFonts w:ascii="FangSong" w:cs="FangSong" w:eastAsia="FangSong" w:hAnsi="FangSong"/>
          <w:spacing w:val="2"/>
          <w:sz w:val="32"/>
          <w:szCs w:val="32"/>
        </w:rPr>
        <w:t xml:space="preserve">  </w:t>
      </w:r>
      <w:r>
        <w:rPr>
          <w:rFonts w:ascii="FangSong" w:cs="FangSong" w:eastAsia="FangSong" w:hAnsi="FangSong"/>
          <w:spacing w:val="4"/>
          <w:sz w:val="32"/>
          <w:szCs w:val="32"/>
        </w:rPr>
        <w:t>制度。依法规范设置和登记会计账簿，按规定会计科目进行核</w:t>
      </w:r>
      <w:r>
        <w:rPr>
          <w:rFonts w:ascii="FangSong" w:cs="FangSong" w:eastAsia="FangSong" w:hAnsi="FangSong"/>
          <w:spacing w:val="11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7"/>
          <w:sz w:val="32"/>
          <w:szCs w:val="32"/>
        </w:rPr>
        <w:t>算，确保账簿内容完整、准确；规范填制会计凭证，确保记账凭</w:t>
      </w:r>
      <w:r>
        <w:rPr>
          <w:rFonts w:ascii="FangSong" w:cs="FangSong" w:eastAsia="FangSong" w:hAnsi="FangSong"/>
          <w:spacing w:val="7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5"/>
          <w:sz w:val="32"/>
          <w:szCs w:val="32"/>
        </w:rPr>
        <w:t>证内容完备、签名(签章)齐全，杜绝大额提现、白条列支等行</w:t>
      </w:r>
      <w:r>
        <w:rPr>
          <w:rFonts w:ascii="FangSong" w:cs="FangSong" w:eastAsia="FangSong" w:hAnsi="FangSong"/>
          <w:spacing w:val="1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7"/>
          <w:sz w:val="32"/>
          <w:szCs w:val="32"/>
        </w:rPr>
        <w:t>为；对特困人员救助供养资金、供养服务机构运转经费等按</w:t>
      </w:r>
      <w:r>
        <w:rPr>
          <w:rFonts w:ascii="FangSong" w:cs="FangSong" w:eastAsia="FangSong" w:hAnsi="FangSong"/>
          <w:spacing w:val="-8"/>
          <w:sz w:val="32"/>
          <w:szCs w:val="32"/>
        </w:rPr>
        <w:t>照支</w:t>
      </w:r>
      <w:r>
        <w:rPr>
          <w:rFonts w:ascii="FangSong" w:cs="FangSong" w:eastAsia="FangSong" w:hAnsi="FangSong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2"/>
          <w:sz w:val="32"/>
          <w:szCs w:val="32"/>
        </w:rPr>
        <w:t>出方向单独记账、分别核算，严禁各类资金混收、</w:t>
      </w:r>
      <w:r>
        <w:rPr>
          <w:rFonts w:ascii="FangSong" w:cs="FangSong" w:eastAsia="FangSong" w:hAnsi="FangSong"/>
          <w:spacing w:val="-3"/>
          <w:sz w:val="32"/>
          <w:szCs w:val="32"/>
        </w:rPr>
        <w:t>混支、混用。</w:t>
      </w:r>
      <w:r>
        <w:rPr>
          <w:rFonts w:ascii="FangSong" w:cs="FangSong" w:eastAsia="FangSong" w:hAnsi="FangSong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6"/>
          <w:sz w:val="32"/>
          <w:szCs w:val="32"/>
        </w:rPr>
        <w:t>承担特困人员供养、社会老年人托养等多类服务的供养服务机</w:t>
      </w:r>
      <w:r>
        <w:rPr>
          <w:rFonts w:ascii="FangSong" w:cs="FangSong" w:eastAsia="FangSong" w:hAnsi="FangSong"/>
          <w:spacing w:val="6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7"/>
          <w:sz w:val="32"/>
          <w:szCs w:val="32"/>
        </w:rPr>
        <w:t>构，应当根据服务对象类型实行独立分账核算。不得以个人</w:t>
      </w:r>
      <w:r>
        <w:rPr>
          <w:rFonts w:ascii="FangSong" w:cs="FangSong" w:eastAsia="FangSong" w:hAnsi="FangSong"/>
          <w:spacing w:val="-8"/>
          <w:sz w:val="32"/>
          <w:szCs w:val="32"/>
        </w:rPr>
        <w:t>名义</w:t>
      </w:r>
      <w:r>
        <w:rPr>
          <w:rFonts w:ascii="FangSong" w:cs="FangSong" w:eastAsia="FangSong" w:hAnsi="FangSong"/>
          <w:sz w:val="32"/>
          <w:szCs w:val="32"/>
        </w:rPr>
        <w:t xml:space="preserve"> </w:t>
      </w:r>
      <w:r>
        <w:rPr>
          <w:rFonts w:ascii="FangSong" w:cs="FangSong" w:eastAsia="FangSong" w:hAnsi="FangSong"/>
          <w:spacing w:val="-9"/>
          <w:sz w:val="32"/>
          <w:szCs w:val="32"/>
        </w:rPr>
        <w:t>开设存款账户用于收支供养服务机构各类资金，严禁公款私存。</w:t>
      </w:r>
    </w:p>
    <w:p>
      <w:pPr>
        <w:pStyle w:val="style0"/>
        <w:spacing w:before="209" w:lineRule="auto" w:line="223"/>
        <w:ind w:left="629"/>
        <w:rPr>
          <w:rFonts w:ascii="FangSong" w:cs="FangSong" w:eastAsia="FangSong" w:hAnsi="FangSong"/>
          <w:sz w:val="32"/>
          <w:szCs w:val="32"/>
        </w:rPr>
      </w:pPr>
      <w:r>
        <w:rPr>
          <w:rFonts w:ascii="KaiTi" w:cs="KaiTi" w:eastAsia="KaiTi" w:hAnsi="KaiTi"/>
          <w:spacing w:val="10"/>
          <w:sz w:val="32"/>
          <w:szCs w:val="32"/>
        </w:rPr>
        <w:t>(二)规范物资管理</w:t>
      </w:r>
      <w:r>
        <w:rPr>
          <w:rFonts w:ascii="FangSong" w:cs="FangSong" w:eastAsia="FangSong" w:hAnsi="FangSong"/>
          <w:spacing w:val="10"/>
          <w:sz w:val="32"/>
          <w:szCs w:val="32"/>
        </w:rPr>
        <w:t>。供养服务机构要加强物资采购管理，</w:t>
      </w:r>
    </w:p>
    <w:p>
      <w:pPr>
        <w:pStyle w:val="style0"/>
        <w:spacing w:before="101" w:lineRule="auto" w:line="344"/>
        <w:ind w:right="111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3"/>
          <w:sz w:val="31"/>
          <w:szCs w:val="31"/>
        </w:rPr>
        <w:t>长期使用的大宗物资采取集中采购或协议供货的方式采购，在保</w:t>
      </w:r>
      <w:r>
        <w:rPr>
          <w:rFonts w:ascii="FangSong" w:cs="FangSong" w:eastAsia="FangSong" w:hAnsi="FangSong"/>
          <w:spacing w:val="9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质保量的前提下，不得采购明显高于市场价的物资。供养服务机</w:t>
      </w:r>
      <w:r>
        <w:rPr>
          <w:rFonts w:ascii="FangSong" w:cs="FangSong" w:eastAsia="FangSong" w:hAnsi="FangSong"/>
          <w:spacing w:val="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构配备购置的固定资产，要按规定做好核算入账、登记管理、清</w:t>
      </w:r>
      <w:r>
        <w:rPr>
          <w:rFonts w:ascii="FangSong" w:cs="FangSong" w:eastAsia="FangSong" w:hAnsi="FangSong"/>
          <w:spacing w:val="12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1"/>
          <w:sz w:val="31"/>
          <w:szCs w:val="31"/>
        </w:rPr>
        <w:t>查盘点和权属登记等工作，规范固定资产使用管理。</w:t>
      </w:r>
    </w:p>
    <w:p>
      <w:pPr>
        <w:pStyle w:val="style0"/>
        <w:spacing w:before="58" w:lineRule="auto" w:line="348"/>
        <w:ind w:firstLine="639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KaiTi" w:cs="KaiTi" w:eastAsia="KaiTi" w:hAnsi="KaiTi"/>
          <w:spacing w:val="7"/>
          <w:sz w:val="31"/>
          <w:szCs w:val="31"/>
        </w:rPr>
        <w:t>(三)规范其他收入管理</w:t>
      </w:r>
      <w:r>
        <w:rPr>
          <w:rFonts w:ascii="FangSong" w:cs="FangSong" w:eastAsia="FangSong" w:hAnsi="FangSong"/>
          <w:spacing w:val="7"/>
          <w:sz w:val="31"/>
          <w:szCs w:val="31"/>
        </w:rPr>
        <w:t>。健全供养服务机构经费</w:t>
      </w:r>
      <w:r>
        <w:rPr>
          <w:rFonts w:ascii="FangSong" w:cs="FangSong" w:eastAsia="FangSong" w:hAnsi="FangSong"/>
          <w:spacing w:val="6"/>
          <w:sz w:val="31"/>
          <w:szCs w:val="31"/>
        </w:rPr>
        <w:t>筹资机制，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鼓励通过“以副养院”、接受捐赠等形式筹集资金，帮助改善集</w:t>
      </w:r>
      <w:r>
        <w:rPr>
          <w:rFonts w:ascii="FangSong" w:cs="FangSong" w:eastAsia="FangSong" w:hAnsi="FangSong"/>
          <w:spacing w:val="17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中供养人员生活条件。对经营性收入、捐赠收入等</w:t>
      </w:r>
      <w:r>
        <w:rPr>
          <w:rFonts w:ascii="FangSong" w:cs="FangSong" w:eastAsia="FangSong" w:hAnsi="FangSong"/>
          <w:spacing w:val="1"/>
          <w:sz w:val="31"/>
          <w:szCs w:val="31"/>
        </w:rPr>
        <w:t>其他收入应单</w:t>
      </w:r>
      <w:r>
        <w:rPr>
          <w:rFonts w:ascii="FangSong" w:cs="FangSong" w:eastAsia="FangSong" w:hAnsi="FangSong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3"/>
          <w:sz w:val="31"/>
          <w:szCs w:val="31"/>
        </w:rPr>
        <w:t>独核算，实行收支两条线管理。对于捐赠财产</w:t>
      </w:r>
      <w:r>
        <w:rPr>
          <w:rFonts w:ascii="FangSong" w:cs="FangSong" w:eastAsia="FangSong" w:hAnsi="FangSong"/>
          <w:spacing w:val="2"/>
          <w:sz w:val="31"/>
          <w:szCs w:val="31"/>
        </w:rPr>
        <w:t>，供养服务机构不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4"/>
          <w:sz w:val="31"/>
          <w:szCs w:val="31"/>
        </w:rPr>
        <w:t>得用于冲抵财政预算，要按照《中华人民共和国公益事业捐赠</w:t>
      </w:r>
      <w:r>
        <w:rPr>
          <w:rFonts w:ascii="FangSong" w:cs="FangSong" w:eastAsia="FangSong" w:hAnsi="FangSong"/>
          <w:spacing w:val="11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4"/>
          <w:sz w:val="31"/>
          <w:szCs w:val="31"/>
        </w:rPr>
        <w:t>法》等规定，实行台账管理，并定期公开使用情况，接受社会</w:t>
      </w:r>
      <w:r>
        <w:rPr>
          <w:rFonts w:ascii="FangSong" w:cs="FangSong" w:eastAsia="FangSong" w:hAnsi="FangSong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-8"/>
          <w:sz w:val="31"/>
          <w:szCs w:val="31"/>
        </w:rPr>
        <w:t>监督。</w:t>
      </w:r>
    </w:p>
    <w:p>
      <w:pPr>
        <w:pStyle w:val="style0"/>
        <w:spacing w:before="32" w:lineRule="auto" w:line="221"/>
        <w:ind w:left="644"/>
        <w:outlineLvl w:val="0"/>
        <w:rPr>
          <w:rFonts w:ascii="SimHei" w:cs="SimHei" w:eastAsia="SimHei" w:hAnsi="SimHei"/>
          <w:sz w:val="31"/>
          <w:szCs w:val="31"/>
        </w:rPr>
      </w:pPr>
      <w:r>
        <w:rPr>
          <w:rFonts w:ascii="SimHei" w:cs="SimHei" w:eastAsia="SimHei" w:hAnsi="SimHei"/>
          <w:b/>
          <w:bCs/>
          <w:spacing w:val="-6"/>
          <w:sz w:val="31"/>
          <w:szCs w:val="31"/>
        </w:rPr>
        <w:t>四、进一步加大监督管理力度</w:t>
      </w:r>
    </w:p>
    <w:p>
      <w:pPr>
        <w:pStyle w:val="style0"/>
        <w:spacing w:before="243" w:lineRule="auto" w:line="348"/>
        <w:ind w:firstLine="639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7"/>
          <w:sz w:val="31"/>
          <w:szCs w:val="31"/>
        </w:rPr>
        <w:t>供养服务机构要严格按照规定使用特困人员救助供养资金，</w:t>
      </w:r>
      <w:r>
        <w:rPr>
          <w:rFonts w:ascii="FangSong" w:cs="FangSong" w:eastAsia="FangSong" w:hAnsi="FangSong"/>
          <w:spacing w:val="2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对资金支出使用情况进行公示，主动接受社会监督。各级民政部</w:t>
      </w:r>
      <w:r>
        <w:rPr>
          <w:rFonts w:ascii="FangSong" w:cs="FangSong" w:eastAsia="FangSong" w:hAnsi="FangSong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2"/>
          <w:sz w:val="31"/>
          <w:szCs w:val="31"/>
        </w:rPr>
        <w:t>门要加强对供养服务机构的业务指导和监督管理，着力提升供养</w:t>
      </w:r>
      <w:r>
        <w:rPr>
          <w:rFonts w:ascii="FangSong" w:cs="FangSong" w:eastAsia="FangSong" w:hAnsi="FangSong"/>
          <w:spacing w:val="13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3"/>
          <w:sz w:val="31"/>
          <w:szCs w:val="31"/>
        </w:rPr>
        <w:t>服务机构服务水平，提高特困人员生活质量。各级财政部</w:t>
      </w:r>
      <w:r>
        <w:rPr>
          <w:rFonts w:ascii="FangSong" w:cs="FangSong" w:eastAsia="FangSong" w:hAnsi="FangSong"/>
          <w:spacing w:val="2"/>
          <w:sz w:val="31"/>
          <w:szCs w:val="31"/>
        </w:rPr>
        <w:t>门要严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格资金申请拨付程序，按规定拨付特困人员救助供养资金和供养</w:t>
      </w:r>
      <w:r>
        <w:rPr>
          <w:rFonts w:ascii="FangSong" w:cs="FangSong" w:eastAsia="FangSong" w:hAnsi="FangSong"/>
          <w:spacing w:val="13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服务机构运转经费，加强资金预算执行跟踪。各级财政、民政部</w:t>
      </w:r>
      <w:r>
        <w:rPr>
          <w:rFonts w:ascii="FangSong" w:cs="FangSong" w:eastAsia="FangSong" w:hAnsi="FangSong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2"/>
          <w:sz w:val="31"/>
          <w:szCs w:val="31"/>
        </w:rPr>
        <w:t>门要加强部门协同和上下联动，建立供养服务</w:t>
      </w:r>
      <w:r>
        <w:rPr>
          <w:rFonts w:ascii="FangSong" w:cs="FangSong" w:eastAsia="FangSong" w:hAnsi="FangSong"/>
          <w:spacing w:val="1"/>
          <w:sz w:val="31"/>
          <w:szCs w:val="31"/>
        </w:rPr>
        <w:t>机构资金使用管理</w:t>
      </w:r>
      <w:r>
        <w:rPr>
          <w:rFonts w:ascii="FangSong" w:cs="FangSong" w:eastAsia="FangSong" w:hAnsi="FangSong"/>
          <w:sz w:val="31"/>
          <w:szCs w:val="31"/>
        </w:rPr>
        <w:t xml:space="preserve">  </w:t>
      </w:r>
      <w:r>
        <w:rPr>
          <w:rFonts w:ascii="FangSong" w:cs="FangSong" w:eastAsia="FangSong" w:hAnsi="FangSong"/>
          <w:spacing w:val="2"/>
          <w:sz w:val="31"/>
          <w:szCs w:val="31"/>
        </w:rPr>
        <w:t>监督检查机制，定期通报供养服务机构资金保障情况，对保障工</w:t>
      </w:r>
      <w:r>
        <w:rPr>
          <w:rFonts w:ascii="FangSong" w:cs="FangSong" w:eastAsia="FangSong" w:hAnsi="FangSong"/>
          <w:spacing w:val="13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作较差的予以约谈，适时开展实地督导，及时纠正资金支出和财</w:t>
      </w:r>
      <w:r>
        <w:rPr>
          <w:rFonts w:ascii="FangSong" w:cs="FangSong" w:eastAsia="FangSong" w:hAnsi="FangSong"/>
          <w:spacing w:val="18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2"/>
          <w:sz w:val="31"/>
          <w:szCs w:val="31"/>
        </w:rPr>
        <w:t>务管理不规范行为，严肃查处挤占、挪用、虚报、冒领等违纪违</w:t>
      </w:r>
    </w:p>
    <w:p>
      <w:pPr>
        <w:pStyle w:val="style0"/>
        <w:spacing w:before="101" w:lineRule="auto" w:line="320"/>
        <w:ind w:right="344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15"/>
          <w:sz w:val="31"/>
          <w:szCs w:val="31"/>
        </w:rPr>
        <w:t>法行为，依法追究相应责任，情节严重的移交纪检监察和司法</w:t>
      </w:r>
      <w:r>
        <w:rPr>
          <w:rFonts w:ascii="FangSong" w:cs="FangSong" w:eastAsia="FangSong" w:hAnsi="FangSong"/>
          <w:spacing w:val="4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14"/>
          <w:sz w:val="31"/>
          <w:szCs w:val="31"/>
        </w:rPr>
        <w:t>部门。</w:t>
      </w:r>
    </w:p>
    <w:p>
      <w:pPr>
        <w:pStyle w:val="style0"/>
        <w:spacing w:before="94" w:lineRule="auto" w:line="338"/>
        <w:ind w:right="311" w:firstLine="639"/>
        <w:jc w:val="both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4"/>
          <w:sz w:val="31"/>
          <w:szCs w:val="31"/>
        </w:rPr>
        <w:t>各级民政、财政部门要将公办民营供养服务机构纳入监督管</w:t>
      </w:r>
      <w:r>
        <w:rPr>
          <w:rFonts w:ascii="FangSong" w:cs="FangSong" w:eastAsia="FangSong" w:hAnsi="FangSong"/>
          <w:spacing w:val="8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理范围，督促其按照协议约定履行对特困人员基本生活保</w:t>
      </w:r>
      <w:r>
        <w:rPr>
          <w:rFonts w:ascii="FangSong" w:cs="FangSong" w:eastAsia="FangSong" w:hAnsi="FangSong"/>
          <w:spacing w:val="3"/>
          <w:sz w:val="31"/>
          <w:szCs w:val="31"/>
        </w:rPr>
        <w:t>障和照</w:t>
      </w:r>
      <w:r>
        <w:rPr>
          <w:rFonts w:ascii="FangSong" w:cs="FangSong" w:eastAsia="FangSong" w:hAnsi="FangSong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15"/>
          <w:sz w:val="31"/>
          <w:szCs w:val="31"/>
        </w:rPr>
        <w:t>料护理的责任，对财政拨付的特困人员救助供养资金要专账核</w:t>
      </w:r>
      <w:r>
        <w:rPr>
          <w:rFonts w:ascii="FangSong" w:cs="FangSong" w:eastAsia="FangSong" w:hAnsi="FangSong"/>
          <w:spacing w:val="3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4"/>
          <w:sz w:val="31"/>
          <w:szCs w:val="31"/>
        </w:rPr>
        <w:t>算，专款专用，及时足额用于特困供养人员，切实维护特困人员</w:t>
      </w:r>
    </w:p>
    <w:p>
      <w:pPr>
        <w:pStyle w:val="style0"/>
        <w:spacing w:before="54" w:lineRule="auto" w:line="222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-4"/>
          <w:sz w:val="31"/>
          <w:szCs w:val="31"/>
        </w:rPr>
        <w:t>合法权益。</w:t>
      </w:r>
    </w:p>
    <w:p>
      <w:pPr>
        <w:pStyle w:val="style0"/>
        <w:spacing w:lineRule="auto" w:line="246"/>
        <w:rPr>
          <w:rFonts w:ascii="Arial"/>
          <w:sz w:val="21"/>
        </w:rPr>
      </w:pPr>
    </w:p>
    <w:p>
      <w:pPr>
        <w:pStyle w:val="style0"/>
        <w:spacing w:lineRule="auto" w:line="246"/>
        <w:rPr>
          <w:rFonts w:ascii="Arial"/>
          <w:sz w:val="21"/>
        </w:rPr>
      </w:pP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1009699</wp:posOffset>
            </wp:positionH>
            <wp:positionV relativeFrom="paragraph">
              <wp:posOffset>62920</wp:posOffset>
            </wp:positionV>
            <wp:extent cx="1581122" cy="1562019"/>
            <wp:effectExtent l="0" t="0" r="0" b="0"/>
            <wp:wrapNone/>
            <wp:docPr id="1027" name="IM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1122" cy="156201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46"/>
        <w:rPr>
          <w:rFonts w:ascii="Arial"/>
          <w:sz w:val="21"/>
        </w:rPr>
      </w:pPr>
    </w:p>
    <w:p>
      <w:pPr>
        <w:pStyle w:val="style0"/>
        <w:spacing w:lineRule="auto" w:line="246"/>
        <w:rPr>
          <w:rFonts w:ascii="Arial"/>
          <w:sz w:val="21"/>
        </w:rPr>
      </w:pPr>
    </w:p>
    <w:p>
      <w:pPr>
        <w:pStyle w:val="style0"/>
        <w:spacing w:lineRule="auto" w:line="247"/>
        <w:rPr>
          <w:rFonts w:ascii="Arial"/>
          <w:sz w:val="21"/>
        </w:rPr>
      </w:pPr>
    </w:p>
    <w:p>
      <w:pPr>
        <w:pStyle w:val="style0"/>
        <w:spacing w:lineRule="auto" w:line="247"/>
        <w:rPr>
          <w:rFonts w:ascii="Arial"/>
          <w:sz w:val="21"/>
        </w:rPr>
      </w:pPr>
    </w:p>
    <w:p>
      <w:pPr>
        <w:pStyle w:val="style0"/>
        <w:spacing w:before="100" w:lineRule="auto" w:line="223"/>
        <w:ind w:left="5059"/>
        <w:rPr>
          <w:rFonts w:ascii="FangSong" w:cs="FangSong" w:eastAsia="FangSong" w:hAnsi="FangSong"/>
          <w:sz w:val="31"/>
          <w:szCs w:val="31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ed="f" stroked="f" style="position:absolute;margin-left:80.0pt;margin-top:4.54pt;width:126.55pt;height:20.75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before="20" w:lineRule="auto" w:line="223"/>
                    <w:jc w:val="right"/>
                    <w:rPr>
                      <w:rFonts w:ascii="FangSong" w:cs="FangSong" w:eastAsia="FangSong" w:hAnsi="FangSong"/>
                      <w:sz w:val="31"/>
                      <w:szCs w:val="31"/>
                    </w:rPr>
                  </w:pPr>
                  <w:r>
                    <w:rPr>
                      <w:rFonts w:ascii="FangSong" w:cs="FangSong" w:eastAsia="FangSong" w:hAnsi="FangSong"/>
                      <w:spacing w:val="-23"/>
                      <w:sz w:val="31"/>
                      <w:szCs w:val="31"/>
                    </w:rPr>
                    <w:t>河</w:t>
                  </w:r>
                  <w:r>
                    <w:rPr>
                      <w:rFonts w:ascii="FangSong" w:cs="FangSong" w:eastAsia="FangSong" w:hAnsi="FangSong"/>
                      <w:spacing w:val="17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cs="FangSong" w:eastAsia="FangSong" w:hAnsi="FangSong"/>
                      <w:spacing w:val="-23"/>
                      <w:sz w:val="31"/>
                      <w:szCs w:val="31"/>
                    </w:rPr>
                    <w:t>南</w:t>
                  </w:r>
                  <w:r>
                    <w:rPr>
                      <w:rFonts w:ascii="FangSong" w:cs="FangSong" w:eastAsia="FangSong" w:hAnsi="FangSong"/>
                      <w:spacing w:val="-23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cs="FangSong" w:eastAsia="FangSong" w:hAnsi="FangSong"/>
                      <w:spacing w:val="-23"/>
                      <w:sz w:val="31"/>
                      <w:szCs w:val="31"/>
                    </w:rPr>
                    <w:t>省</w:t>
                  </w:r>
                  <w:r>
                    <w:rPr>
                      <w:rFonts w:ascii="FangSong" w:cs="FangSong" w:eastAsia="FangSong" w:hAnsi="FangSong"/>
                      <w:spacing w:val="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cs="FangSong" w:eastAsia="FangSong" w:hAnsi="FangSong"/>
                      <w:spacing w:val="-23"/>
                      <w:sz w:val="31"/>
                      <w:szCs w:val="31"/>
                    </w:rPr>
                    <w:t>财</w:t>
                  </w:r>
                  <w:r>
                    <w:rPr>
                      <w:rFonts w:ascii="FangSong" w:cs="FangSong" w:eastAsia="FangSong" w:hAnsi="FangSong"/>
                      <w:spacing w:val="-2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cs="FangSong" w:eastAsia="FangSong" w:hAnsi="FangSong"/>
                      <w:spacing w:val="-23"/>
                      <w:sz w:val="31"/>
                      <w:szCs w:val="31"/>
                    </w:rPr>
                    <w:t>政</w:t>
                  </w:r>
                  <w:r>
                    <w:rPr>
                      <w:rFonts w:ascii="FangSong" w:cs="FangSong" w:eastAsia="FangSong" w:hAnsi="FangSong"/>
                      <w:spacing w:val="-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cs="FangSong" w:eastAsia="FangSong" w:hAnsi="FangSong"/>
                      <w:spacing w:val="-23"/>
                      <w:sz w:val="31"/>
                      <w:szCs w:val="31"/>
                    </w:rPr>
                    <w:t>厅</w:t>
                  </w:r>
                </w:p>
              </w:txbxContent>
            </v:textbox>
          </v:shape>
        </w:pict>
      </w: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3213098</wp:posOffset>
            </wp:positionH>
            <wp:positionV relativeFrom="paragraph">
              <wp:posOffset>-717916</wp:posOffset>
            </wp:positionV>
            <wp:extent cx="1568501" cy="1568431"/>
            <wp:effectExtent l="0" t="0" r="0" b="0"/>
            <wp:wrapNone/>
            <wp:docPr id="1029" name="IM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6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68501" cy="156843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FangSong" w:cs="FangSong" w:eastAsia="FangSong" w:hAnsi="FangSong"/>
          <w:spacing w:val="-25"/>
          <w:sz w:val="31"/>
          <w:szCs w:val="31"/>
        </w:rPr>
        <w:t>河</w:t>
      </w:r>
      <w:r>
        <w:rPr>
          <w:rFonts w:ascii="FangSong" w:cs="FangSong" w:eastAsia="FangSong" w:hAnsi="FangSong"/>
          <w:spacing w:val="16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5"/>
          <w:sz w:val="31"/>
          <w:szCs w:val="31"/>
        </w:rPr>
        <w:t>南</w:t>
      </w:r>
      <w:r>
        <w:rPr>
          <w:rFonts w:ascii="FangSong" w:cs="FangSong" w:eastAsia="FangSong" w:hAnsi="FangSong"/>
          <w:spacing w:val="-25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5"/>
          <w:sz w:val="31"/>
          <w:szCs w:val="31"/>
        </w:rPr>
        <w:t>省</w:t>
      </w:r>
      <w:r>
        <w:rPr>
          <w:rFonts w:ascii="FangSong" w:cs="FangSong" w:eastAsia="FangSong" w:hAnsi="FangSong"/>
          <w:spacing w:val="37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5"/>
          <w:sz w:val="31"/>
          <w:szCs w:val="31"/>
        </w:rPr>
        <w:t>民</w:t>
      </w:r>
      <w:r>
        <w:rPr>
          <w:rFonts w:ascii="FangSong" w:cs="FangSong" w:eastAsia="FangSong" w:hAnsi="FangSong"/>
          <w:spacing w:val="-1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5"/>
          <w:sz w:val="31"/>
          <w:szCs w:val="31"/>
        </w:rPr>
        <w:t>政</w:t>
      </w:r>
      <w:r>
        <w:rPr>
          <w:rFonts w:ascii="FangSong" w:cs="FangSong" w:eastAsia="FangSong" w:hAnsi="FangSong"/>
          <w:spacing w:val="-1"/>
          <w:sz w:val="31"/>
          <w:szCs w:val="31"/>
        </w:rPr>
        <w:t xml:space="preserve"> </w:t>
      </w:r>
      <w:r>
        <w:rPr>
          <w:rFonts w:ascii="FangSong" w:cs="FangSong" w:eastAsia="FangSong" w:hAnsi="FangSong"/>
          <w:spacing w:val="-25"/>
          <w:sz w:val="31"/>
          <w:szCs w:val="31"/>
        </w:rPr>
        <w:t>厅</w:t>
      </w:r>
    </w:p>
    <w:p>
      <w:pPr>
        <w:pStyle w:val="style0"/>
        <w:spacing w:before="225" w:lineRule="auto" w:line="222"/>
        <w:ind w:left="5150"/>
        <w:rPr>
          <w:rFonts w:ascii="FangSong" w:cs="FangSong" w:eastAsia="FangSong" w:hAnsi="FangSong"/>
          <w:sz w:val="31"/>
          <w:szCs w:val="31"/>
        </w:rPr>
      </w:pPr>
      <w:r>
        <w:rPr>
          <w:rFonts w:ascii="FangSong" w:cs="FangSong" w:eastAsia="FangSong" w:hAnsi="FangSong"/>
          <w:spacing w:val="39"/>
          <w:sz w:val="31"/>
          <w:szCs w:val="31"/>
        </w:rPr>
        <w:t>2024年8月16日</w:t>
      </w:r>
    </w:p>
    <w:p>
      <w:pPr>
        <w:pStyle w:val="style0"/>
        <w:spacing w:lineRule="auto" w:line="222"/>
        <w:rPr>
          <w:rFonts w:ascii="FangSong" w:cs="FangSong" w:eastAsia="FangSong" w:hAnsi="FangSong"/>
          <w:sz w:val="31"/>
          <w:szCs w:val="31"/>
        </w:rPr>
        <w:sectPr>
          <w:footerReference w:type="default" r:id="rId6"/>
          <w:pgSz w:w="11900" w:h="16830" w:orient="portrait"/>
          <w:pgMar w:top="1430" w:right="1785" w:bottom="1725" w:left="989" w:header="0" w:footer="1419" w:gutter="0"/>
        </w:sect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66"/>
        <w:spacing w:before="88" w:lineRule="auto" w:line="222"/>
        <w:ind w:left="33"/>
        <w:rPr>
          <w:sz w:val="27"/>
          <w:szCs w:val="27"/>
        </w:rPr>
      </w:pPr>
      <w:r>
        <w:rPr>
          <w:rFonts w:ascii="SimHei" w:cs="SimHei" w:eastAsia="SimHei" w:hAnsi="SimHei"/>
          <w:b/>
          <w:bCs/>
          <w:spacing w:val="2"/>
          <w:sz w:val="27"/>
          <w:szCs w:val="27"/>
        </w:rPr>
        <w:t>信息公开选项</w:t>
      </w:r>
      <w:r>
        <w:rPr>
          <w:b/>
          <w:bCs/>
          <w:spacing w:val="2"/>
          <w:sz w:val="27"/>
          <w:szCs w:val="27"/>
        </w:rPr>
        <w:t>：依申请公开</w:t>
      </w:r>
    </w:p>
    <w:p>
      <w:pPr>
        <w:pStyle w:val="style0"/>
        <w:spacing w:lineRule="exact" w:line="79"/>
        <w:rPr/>
      </w:pPr>
    </w:p>
    <w:tbl>
      <w:tblPr>
        <w:tblStyle w:val="style4097"/>
        <w:tblW w:w="883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</w:tblPr>
      <w:tblGrid>
        <w:gridCol w:w="4280"/>
        <w:gridCol w:w="4550"/>
      </w:tblGrid>
      <w:tr>
        <w:trPr>
          <w:trHeight w:val="544" w:hRule="atLeast"/>
        </w:trPr>
        <w:tc>
          <w:tcPr>
            <w:tcW w:w="428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style0"/>
              <w:spacing w:before="135" w:lineRule="auto" w:line="223"/>
              <w:ind w:left="329"/>
              <w:rPr>
                <w:rFonts w:ascii="FangSong" w:cs="FangSong" w:eastAsia="FangSong" w:hAnsi="FangSong"/>
                <w:sz w:val="27"/>
                <w:szCs w:val="27"/>
              </w:rPr>
            </w:pPr>
            <w:r>
              <w:rPr>
                <w:rFonts w:ascii="FangSong" w:cs="FangSong" w:eastAsia="FangSong" w:hAnsi="FangSong"/>
                <w:spacing w:val="7"/>
                <w:sz w:val="27"/>
                <w:szCs w:val="27"/>
              </w:rPr>
              <w:t>河南省财政厅办公室</w:t>
            </w:r>
          </w:p>
        </w:tc>
        <w:tc>
          <w:tcPr>
            <w:tcW w:w="455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style0"/>
              <w:spacing w:before="132" w:lineRule="auto" w:line="222"/>
              <w:ind w:left="1550"/>
              <w:rPr>
                <w:rFonts w:ascii="FangSong" w:cs="FangSong" w:eastAsia="FangSong" w:hAnsi="FangSong"/>
                <w:sz w:val="27"/>
                <w:szCs w:val="27"/>
              </w:rPr>
            </w:pPr>
            <w:r>
              <w:rPr>
                <w:rFonts w:ascii="FangSong" w:cs="FangSong" w:eastAsia="FangSong" w:hAnsi="FangSong"/>
                <w:spacing w:val="31"/>
                <w:sz w:val="27"/>
                <w:szCs w:val="27"/>
              </w:rPr>
              <w:t>2024年8月16日印发</w:t>
            </w:r>
          </w:p>
        </w:tc>
      </w:tr>
    </w:tbl>
    <w:p>
      <w:pPr>
        <w:pStyle w:val="style0"/>
        <w:spacing w:before="99" w:lineRule="exact" w:line="881"/>
        <w:ind w:firstLine="5689"/>
        <w:rPr/>
      </w:pPr>
      <w:r>
        <w:rPr>
          <w:position w:val="-17"/>
        </w:rPr>
        <w:drawing>
          <wp:inline distL="0" distT="0" distB="0" distR="0">
            <wp:extent cx="1752654" cy="558825"/>
            <wp:effectExtent l="0" t="0" r="0" b="0"/>
            <wp:docPr id="1030" name="IM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8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2654" cy="5588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8"/>
      <w:pgSz w:w="11900" w:h="16830" w:orient="portrait"/>
      <w:pgMar w:top="1430" w:right="1519" w:bottom="400" w:left="15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77"/>
      <w:ind w:left="7419"/>
      <w:rPr>
        <w:sz w:val="30"/>
        <w:szCs w:val="30"/>
      </w:rPr>
    </w:pPr>
    <w:r>
      <w:rPr>
        <w:spacing w:val="-4"/>
        <w:sz w:val="30"/>
        <w:szCs w:val="30"/>
      </w:rPr>
      <w:t>—1—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before="1" w:lineRule="auto" w:line="175"/>
      <w:ind w:left="7380"/>
      <w:rPr>
        <w:sz w:val="31"/>
        <w:szCs w:val="31"/>
      </w:rPr>
    </w:pPr>
    <w:r>
      <w:rPr>
        <w:spacing w:val="-4"/>
        <w:sz w:val="31"/>
        <w:szCs w:val="31"/>
      </w:rPr>
      <w:t>—5—</w: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pPr/>
    <w:rPr>
      <w:rFonts w:ascii="SimSun" w:cs="SimSun" w:eastAsia="SimSun" w:hAnsi="SimSun"/>
      <w:sz w:val="68"/>
      <w:szCs w:val="68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3.png"/><Relationship Id="rId6" Type="http://schemas.openxmlformats.org/officeDocument/2006/relationships/footer" Target="footer2.xml"/><Relationship Id="rId7" Type="http://schemas.openxmlformats.org/officeDocument/2006/relationships/image" Target="media/image2.jpeg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2072</Words>
  <Characters>2089</Characters>
  <Application>WPS Office</Application>
  <Paragraphs>122</Paragraphs>
  <CharactersWithSpaces>2178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2024-11-04T16:03:48Z</dcterms:created>
  <dc:creator>Kingsoft-PDF</dc:creator>
  <lastModifiedBy>BRA-AL00</lastModifiedBy>
  <dcterms:modified xsi:type="dcterms:W3CDTF">2024-11-04T08:05:19Z</dcterms:modified>
  <dc:subject>pdfbuilder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67287fe1589219001f05f5c2wl</vt:lpwstr>
  </property>
  <property fmtid="{D5CDD505-2E9C-101B-9397-08002B2CF9AE}" pid="4" name="ICV">
    <vt:lpwstr>e61d8131917c4a1786777f048fc684fd_22</vt:lpwstr>
  </property>
</Properties>
</file>