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8D163">
      <w:pPr>
        <w:spacing w:before="14"/>
      </w:pPr>
    </w:p>
    <w:p w14:paraId="3C89FB76">
      <w:pPr>
        <w:spacing w:before="14"/>
      </w:pPr>
    </w:p>
    <w:p w14:paraId="26A7262B">
      <w:pPr>
        <w:spacing w:before="14"/>
      </w:pPr>
    </w:p>
    <w:p w14:paraId="33EC2D0D">
      <w:pPr>
        <w:spacing w:before="13"/>
      </w:pPr>
    </w:p>
    <w:p w14:paraId="46CEB13B">
      <w:pPr>
        <w:spacing w:before="13"/>
      </w:pPr>
    </w:p>
    <w:p w14:paraId="11BDE0EF">
      <w:pPr>
        <w:spacing w:before="13"/>
      </w:pPr>
    </w:p>
    <w:p w14:paraId="5380138F">
      <w:pPr>
        <w:spacing w:before="13"/>
      </w:pPr>
    </w:p>
    <w:p w14:paraId="2E891982">
      <w:pPr>
        <w:sectPr>
          <w:footerReference r:id="rId5" w:type="default"/>
          <w:pgSz w:w="12180" w:h="17030"/>
          <w:pgMar w:top="1447" w:right="1594" w:bottom="1861" w:left="1630" w:header="0" w:footer="1562" w:gutter="0"/>
          <w:cols w:equalWidth="0" w:num="1">
            <w:col w:w="8955"/>
          </w:cols>
        </w:sectPr>
      </w:pPr>
    </w:p>
    <w:p w14:paraId="6F7B41AC">
      <w:pPr>
        <w:pStyle w:val="2"/>
        <w:spacing w:before="174" w:line="210" w:lineRule="auto"/>
        <w:ind w:left="459" w:right="235"/>
      </w:pPr>
      <w:r>
        <w:rPr>
          <w:b/>
          <w:bCs/>
          <w:color w:val="FF3C4F"/>
          <w:spacing w:val="-39"/>
        </w:rPr>
        <w:t>河</w:t>
      </w:r>
      <w:r>
        <w:rPr>
          <w:color w:val="FF3C4F"/>
          <w:spacing w:val="140"/>
        </w:rPr>
        <w:t xml:space="preserve"> </w:t>
      </w:r>
      <w:r>
        <w:rPr>
          <w:b/>
          <w:bCs/>
          <w:color w:val="FF3C4F"/>
          <w:spacing w:val="-39"/>
        </w:rPr>
        <w:t>南</w:t>
      </w:r>
      <w:r>
        <w:rPr>
          <w:color w:val="FF3C4F"/>
          <w:spacing w:val="139"/>
        </w:rPr>
        <w:t xml:space="preserve"> </w:t>
      </w:r>
      <w:r>
        <w:rPr>
          <w:b/>
          <w:bCs/>
          <w:color w:val="FF3C4F"/>
          <w:spacing w:val="-39"/>
        </w:rPr>
        <w:t>省</w:t>
      </w:r>
      <w:r>
        <w:rPr>
          <w:color w:val="FF3C4F"/>
          <w:spacing w:val="131"/>
        </w:rPr>
        <w:t xml:space="preserve"> </w:t>
      </w:r>
      <w:r>
        <w:rPr>
          <w:b/>
          <w:bCs/>
          <w:color w:val="FF3C4F"/>
          <w:spacing w:val="-39"/>
        </w:rPr>
        <w:t>财</w:t>
      </w:r>
      <w:r>
        <w:rPr>
          <w:color w:val="FF3C4F"/>
          <w:spacing w:val="126"/>
        </w:rPr>
        <w:t xml:space="preserve"> </w:t>
      </w:r>
      <w:r>
        <w:rPr>
          <w:b/>
          <w:bCs/>
          <w:color w:val="FF3C4F"/>
          <w:spacing w:val="-39"/>
        </w:rPr>
        <w:t>政</w:t>
      </w:r>
      <w:r>
        <w:rPr>
          <w:color w:val="FF3C4F"/>
          <w:spacing w:val="139"/>
        </w:rPr>
        <w:t xml:space="preserve"> </w:t>
      </w:r>
      <w:r>
        <w:rPr>
          <w:b/>
          <w:bCs/>
          <w:color w:val="FF3C4F"/>
          <w:spacing w:val="-39"/>
        </w:rPr>
        <w:t>厅</w:t>
      </w:r>
      <w:r>
        <w:rPr>
          <w:color w:val="FF3C4F"/>
        </w:rPr>
        <w:t xml:space="preserve"> </w:t>
      </w:r>
      <w:r>
        <w:rPr>
          <w:b/>
          <w:bCs/>
          <w:color w:val="FF3C4F"/>
          <w:spacing w:val="-49"/>
        </w:rPr>
        <w:t>河</w:t>
      </w:r>
      <w:r>
        <w:rPr>
          <w:color w:val="FF3C4F"/>
          <w:spacing w:val="140"/>
        </w:rPr>
        <w:t xml:space="preserve"> </w:t>
      </w:r>
      <w:r>
        <w:rPr>
          <w:b/>
          <w:bCs/>
          <w:color w:val="FF3C4F"/>
          <w:spacing w:val="-49"/>
        </w:rPr>
        <w:t>南</w:t>
      </w:r>
      <w:r>
        <w:rPr>
          <w:color w:val="FF3C4F"/>
          <w:spacing w:val="143"/>
        </w:rPr>
        <w:t xml:space="preserve"> </w:t>
      </w:r>
      <w:r>
        <w:rPr>
          <w:b/>
          <w:bCs/>
          <w:color w:val="FF3C4F"/>
          <w:spacing w:val="-49"/>
        </w:rPr>
        <w:t>省</w:t>
      </w:r>
      <w:r>
        <w:rPr>
          <w:color w:val="FF3C4F"/>
          <w:spacing w:val="199"/>
        </w:rPr>
        <w:t xml:space="preserve"> </w:t>
      </w:r>
      <w:r>
        <w:rPr>
          <w:b/>
          <w:bCs/>
          <w:color w:val="FF3C4F"/>
          <w:spacing w:val="-49"/>
        </w:rPr>
        <w:t>民</w:t>
      </w:r>
      <w:r>
        <w:rPr>
          <w:color w:val="FF3C4F"/>
          <w:spacing w:val="130"/>
        </w:rPr>
        <w:t xml:space="preserve"> </w:t>
      </w:r>
      <w:r>
        <w:rPr>
          <w:b/>
          <w:bCs/>
          <w:color w:val="FF3C4F"/>
          <w:spacing w:val="-49"/>
        </w:rPr>
        <w:t>政</w:t>
      </w:r>
      <w:r>
        <w:rPr>
          <w:color w:val="FF3C4F"/>
          <w:spacing w:val="143"/>
        </w:rPr>
        <w:t xml:space="preserve"> </w:t>
      </w:r>
      <w:r>
        <w:rPr>
          <w:b/>
          <w:bCs/>
          <w:color w:val="FF3C4F"/>
          <w:spacing w:val="-49"/>
        </w:rPr>
        <w:t>厅</w:t>
      </w:r>
    </w:p>
    <w:p w14:paraId="6B7932E4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E233067">
      <w:pPr>
        <w:pStyle w:val="2"/>
        <w:spacing w:before="506" w:line="219" w:lineRule="auto"/>
        <w:rPr>
          <w:sz w:val="86"/>
          <w:szCs w:val="86"/>
        </w:rPr>
      </w:pPr>
      <w:r>
        <w:rPr>
          <w:b/>
          <w:bCs/>
          <w:color w:val="FF3543"/>
          <w:spacing w:val="-68"/>
          <w:w w:val="98"/>
          <w:sz w:val="86"/>
          <w:szCs w:val="86"/>
        </w:rPr>
        <w:t>文件</w:t>
      </w:r>
    </w:p>
    <w:p w14:paraId="5F66D457">
      <w:pPr>
        <w:spacing w:line="219" w:lineRule="auto"/>
        <w:rPr>
          <w:sz w:val="86"/>
          <w:szCs w:val="86"/>
        </w:rPr>
        <w:sectPr>
          <w:type w:val="continuous"/>
          <w:pgSz w:w="12180" w:h="17030"/>
          <w:pgMar w:top="1447" w:right="1594" w:bottom="1861" w:left="1630" w:header="0" w:footer="1562" w:gutter="0"/>
          <w:cols w:equalWidth="0" w:num="2">
            <w:col w:w="6981" w:space="100"/>
            <w:col w:w="1875"/>
          </w:cols>
        </w:sectPr>
      </w:pPr>
    </w:p>
    <w:p w14:paraId="229778BC">
      <w:pPr>
        <w:spacing w:line="302" w:lineRule="auto"/>
        <w:rPr>
          <w:rFonts w:ascii="Arial"/>
          <w:sz w:val="21"/>
        </w:rPr>
      </w:pPr>
    </w:p>
    <w:p w14:paraId="7C35D675">
      <w:pPr>
        <w:spacing w:line="302" w:lineRule="auto"/>
        <w:rPr>
          <w:rFonts w:ascii="Arial"/>
          <w:sz w:val="21"/>
        </w:rPr>
      </w:pPr>
    </w:p>
    <w:p w14:paraId="05CD9DFD">
      <w:pPr>
        <w:spacing w:line="303" w:lineRule="auto"/>
        <w:rPr>
          <w:rFonts w:ascii="Arial"/>
          <w:sz w:val="21"/>
        </w:rPr>
      </w:pPr>
    </w:p>
    <w:p w14:paraId="4BC9AB75">
      <w:pPr>
        <w:pStyle w:val="2"/>
        <w:spacing w:before="104" w:line="219" w:lineRule="auto"/>
        <w:ind w:left="2889"/>
        <w:rPr>
          <w:sz w:val="32"/>
          <w:szCs w:val="32"/>
        </w:rPr>
      </w:pPr>
      <w:r>
        <w:rPr>
          <w:spacing w:val="-3"/>
          <w:sz w:val="32"/>
          <w:szCs w:val="32"/>
        </w:rPr>
        <w:t>豫财社〔2024〕102号</w:t>
      </w:r>
    </w:p>
    <w:p w14:paraId="163D50A9">
      <w:pPr>
        <w:spacing w:before="196" w:line="61" w:lineRule="exact"/>
        <w:ind w:firstLine="39"/>
      </w:pPr>
      <w:r>
        <w:rPr>
          <w:position w:val="-1"/>
        </w:rPr>
        <w:drawing>
          <wp:inline distT="0" distB="0" distL="0" distR="0">
            <wp:extent cx="5651500" cy="38100"/>
            <wp:effectExtent l="0" t="0" r="0" b="0"/>
            <wp:docPr id="1026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 2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1531" cy="38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2E9D3">
      <w:pPr>
        <w:spacing w:line="295" w:lineRule="auto"/>
        <w:rPr>
          <w:rFonts w:ascii="Arial"/>
          <w:sz w:val="21"/>
        </w:rPr>
      </w:pPr>
    </w:p>
    <w:p w14:paraId="2E35EEF1">
      <w:pPr>
        <w:spacing w:line="295" w:lineRule="auto"/>
        <w:rPr>
          <w:rFonts w:ascii="Arial"/>
          <w:sz w:val="21"/>
        </w:rPr>
      </w:pPr>
    </w:p>
    <w:p w14:paraId="165C9CF8">
      <w:pPr>
        <w:spacing w:line="296" w:lineRule="auto"/>
        <w:rPr>
          <w:rFonts w:ascii="Arial"/>
          <w:sz w:val="21"/>
        </w:rPr>
      </w:pPr>
    </w:p>
    <w:p w14:paraId="64C7938D">
      <w:pPr>
        <w:pStyle w:val="2"/>
        <w:spacing w:before="140" w:line="219" w:lineRule="auto"/>
        <w:ind w:left="1756"/>
        <w:rPr>
          <w:sz w:val="43"/>
          <w:szCs w:val="43"/>
        </w:rPr>
      </w:pPr>
      <w:r>
        <w:rPr>
          <w:b/>
          <w:bCs/>
          <w:spacing w:val="1"/>
          <w:sz w:val="43"/>
          <w:szCs w:val="43"/>
        </w:rPr>
        <w:t>河南省财政厅河南省民政厅</w:t>
      </w:r>
    </w:p>
    <w:p w14:paraId="5053C202">
      <w:pPr>
        <w:pStyle w:val="2"/>
        <w:spacing w:before="266" w:line="219" w:lineRule="auto"/>
        <w:ind w:left="215"/>
        <w:rPr>
          <w:sz w:val="43"/>
          <w:szCs w:val="43"/>
        </w:rPr>
      </w:pPr>
      <w:r>
        <w:rPr>
          <w:b/>
          <w:bCs/>
          <w:spacing w:val="-17"/>
          <w:sz w:val="43"/>
          <w:szCs w:val="43"/>
        </w:rPr>
        <w:t>关于进一步加强和规范特困人员供养服务机构</w:t>
      </w:r>
    </w:p>
    <w:p w14:paraId="39F6C39C">
      <w:pPr>
        <w:spacing w:before="251" w:line="224" w:lineRule="auto"/>
        <w:ind w:left="2966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b/>
          <w:bCs/>
          <w:spacing w:val="-11"/>
          <w:sz w:val="43"/>
          <w:szCs w:val="43"/>
        </w:rPr>
        <w:t>资金管理的通知</w:t>
      </w:r>
    </w:p>
    <w:p w14:paraId="002844BF">
      <w:pPr>
        <w:spacing w:line="364" w:lineRule="auto"/>
        <w:rPr>
          <w:rFonts w:ascii="Arial"/>
          <w:sz w:val="21"/>
        </w:rPr>
      </w:pPr>
    </w:p>
    <w:p w14:paraId="073C743E">
      <w:pPr>
        <w:spacing w:before="108" w:line="334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各省辖市、济源示范区财政局、民政局，航空港</w:t>
      </w:r>
      <w:r>
        <w:rPr>
          <w:rFonts w:ascii="仿宋" w:hAnsi="仿宋" w:eastAsia="仿宋" w:cs="仿宋"/>
          <w:spacing w:val="-11"/>
          <w:sz w:val="33"/>
          <w:szCs w:val="33"/>
        </w:rPr>
        <w:t>区财政审计局、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社会事业局，各县(市、区)财政局、民政局：</w:t>
      </w:r>
    </w:p>
    <w:p w14:paraId="4AD8D7FE">
      <w:pPr>
        <w:spacing w:before="18" w:line="311" w:lineRule="auto"/>
        <w:ind w:right="145" w:firstLine="63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特困人员供养服务机构(以下简称供养服务机构)是为特困</w:t>
      </w:r>
      <w:r>
        <w:rPr>
          <w:rFonts w:ascii="仿宋" w:hAnsi="仿宋" w:eastAsia="仿宋" w:cs="仿宋"/>
          <w:spacing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人员提供集中供养服务的重要载体，在维护集中供养特困人员合</w:t>
      </w:r>
      <w:r>
        <w:rPr>
          <w:rFonts w:ascii="仿宋" w:hAnsi="仿宋" w:eastAsia="仿宋" w:cs="仿宋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法权益方面，发挥着兜底保障作用。为全面提升供养服务机构管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理和服务水平，现就加强和规范公办公营供养服务机构资金管理</w:t>
      </w:r>
      <w:r>
        <w:rPr>
          <w:rFonts w:ascii="仿宋" w:hAnsi="仿宋" w:eastAsia="仿宋" w:cs="仿宋"/>
          <w:spacing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有关事项通知如下。</w:t>
      </w:r>
    </w:p>
    <w:p w14:paraId="2FFCC2E0">
      <w:pPr>
        <w:spacing w:line="311" w:lineRule="auto"/>
        <w:rPr>
          <w:rFonts w:ascii="仿宋" w:hAnsi="仿宋" w:eastAsia="仿宋" w:cs="仿宋"/>
          <w:sz w:val="33"/>
          <w:szCs w:val="33"/>
        </w:rPr>
        <w:sectPr>
          <w:type w:val="continuous"/>
          <w:pgSz w:w="12180" w:h="17030"/>
          <w:pgMar w:top="1447" w:right="1594" w:bottom="1861" w:left="1630" w:header="0" w:footer="1562" w:gutter="0"/>
          <w:cols w:equalWidth="0" w:num="1">
            <w:col w:w="8955"/>
          </w:cols>
        </w:sectPr>
      </w:pPr>
    </w:p>
    <w:p w14:paraId="2EA996BB">
      <w:pPr>
        <w:spacing w:line="310" w:lineRule="auto"/>
        <w:rPr>
          <w:rFonts w:ascii="Arial"/>
          <w:sz w:val="21"/>
        </w:rPr>
      </w:pPr>
    </w:p>
    <w:p w14:paraId="5737E21A">
      <w:pPr>
        <w:spacing w:line="311" w:lineRule="auto"/>
        <w:rPr>
          <w:rFonts w:ascii="Arial"/>
          <w:sz w:val="21"/>
        </w:rPr>
      </w:pPr>
    </w:p>
    <w:p w14:paraId="02C3A8B0">
      <w:pPr>
        <w:spacing w:before="100" w:line="222" w:lineRule="auto"/>
        <w:ind w:left="66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一、进一步强化资金保障机制</w:t>
      </w:r>
    </w:p>
    <w:p w14:paraId="13FB3B42">
      <w:pPr>
        <w:spacing w:before="247" w:line="348" w:lineRule="auto"/>
        <w:ind w:firstLine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 xml:space="preserve">供养服务机构要根据在院特困人员数量、救助供养标准、机 </w:t>
      </w:r>
      <w:r>
        <w:rPr>
          <w:rFonts w:ascii="仿宋" w:hAnsi="仿宋" w:eastAsia="仿宋" w:cs="仿宋"/>
          <w:spacing w:val="3"/>
          <w:sz w:val="31"/>
          <w:szCs w:val="31"/>
        </w:rPr>
        <w:t>构运转实际情况，合理测算特困人员救助供养资金及机构运转经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费需求。财政部门按规定将政府设立的供养服务机构运转费用、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特困人员救助供养所需资金列入预算，确保资金安排与供养服务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机构履职需求相匹配。特困人员救助供养资金支付按照国库集中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支付制度有关规定执行，根据“民政部门核定对象金额，财政部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门核拨资金”的流程，将集中供养特困人员救助供养资金统</w:t>
      </w:r>
      <w:r>
        <w:rPr>
          <w:rFonts w:ascii="仿宋" w:hAnsi="仿宋" w:eastAsia="仿宋" w:cs="仿宋"/>
          <w:spacing w:val="2"/>
          <w:sz w:val="31"/>
          <w:szCs w:val="31"/>
        </w:rPr>
        <w:t>一支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付到供养服务机构集体账户，不得迟拨、漏拨，确保特困人员及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时获得救助供养服务。</w:t>
      </w:r>
    </w:p>
    <w:p w14:paraId="6DD66980">
      <w:pPr>
        <w:spacing w:before="49" w:line="221" w:lineRule="auto"/>
        <w:ind w:left="66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二、进一步明确资金使用范围</w:t>
      </w:r>
    </w:p>
    <w:p w14:paraId="350BD261">
      <w:pPr>
        <w:spacing w:before="233" w:line="345" w:lineRule="auto"/>
        <w:ind w:right="123" w:firstLine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4"/>
          <w:sz w:val="31"/>
          <w:szCs w:val="31"/>
        </w:rPr>
        <w:t>(一)救助供养资金支出范围</w:t>
      </w:r>
      <w:r>
        <w:rPr>
          <w:rFonts w:ascii="仿宋" w:hAnsi="仿宋" w:eastAsia="仿宋" w:cs="仿宋"/>
          <w:spacing w:val="14"/>
          <w:sz w:val="31"/>
          <w:szCs w:val="31"/>
        </w:rPr>
        <w:t>。各地要严格按照规定，将特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困人员救助供养资金用于为特困人员提供基本生活条件、</w:t>
      </w:r>
      <w:r>
        <w:rPr>
          <w:rFonts w:ascii="仿宋" w:hAnsi="仿宋" w:eastAsia="仿宋" w:cs="仿宋"/>
          <w:spacing w:val="2"/>
          <w:sz w:val="31"/>
          <w:szCs w:val="31"/>
        </w:rPr>
        <w:t>对生活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不能自理的给予照料、提供疾病治疗和办理丧葬事宜，不得擅自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扩大特困人员救助供养资金支出范围，不得用于运转经费、</w:t>
      </w:r>
      <w:r>
        <w:rPr>
          <w:rFonts w:ascii="仿宋" w:hAnsi="仿宋" w:eastAsia="仿宋" w:cs="仿宋"/>
          <w:spacing w:val="3"/>
          <w:sz w:val="31"/>
          <w:szCs w:val="31"/>
        </w:rPr>
        <w:t>大型</w:t>
      </w:r>
      <w:r>
        <w:rPr>
          <w:rFonts w:ascii="仿宋" w:hAnsi="仿宋" w:eastAsia="仿宋" w:cs="仿宋"/>
          <w:sz w:val="31"/>
          <w:szCs w:val="31"/>
        </w:rPr>
        <w:t xml:space="preserve"> 设备购置和基础设施维修改造等支出。</w:t>
      </w:r>
    </w:p>
    <w:p w14:paraId="74925670">
      <w:pPr>
        <w:spacing w:before="83" w:line="339" w:lineRule="auto"/>
        <w:ind w:firstLine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基本生活费用于为特困人员提供基本生活条件，包括供给粮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油、副食品、服装、被褥、清洁用品等生活日用品，洗浴理发、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修补生活物品等日常生活服务，以及定期给予的零用钱。集中供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养特困人员按规定享受的临时价格补贴参照特困人员基本生活费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支出要求执行。</w:t>
      </w:r>
    </w:p>
    <w:p w14:paraId="5298B638">
      <w:pPr>
        <w:spacing w:before="121" w:line="220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照料护理费统一用于供养服务机构照料护理开支，对生活不</w:t>
      </w:r>
    </w:p>
    <w:p w14:paraId="4745D14D">
      <w:pPr>
        <w:spacing w:before="104" w:line="334" w:lineRule="auto"/>
        <w:ind w:right="28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能自理的特困人员给予照料，包括购买照料护理用品、日常</w:t>
      </w:r>
      <w:r>
        <w:rPr>
          <w:rFonts w:ascii="仿宋" w:hAnsi="仿宋" w:eastAsia="仿宋" w:cs="仿宋"/>
          <w:spacing w:val="-8"/>
          <w:sz w:val="32"/>
          <w:szCs w:val="32"/>
        </w:rPr>
        <w:t>生活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中护理人员提供的必要照料护理服务费用、特困人员住院治疗期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间提供的照料护理和陪护费用，购买第三方机构提供的</w:t>
      </w:r>
      <w:r>
        <w:rPr>
          <w:rFonts w:ascii="仿宋" w:hAnsi="仿宋" w:eastAsia="仿宋" w:cs="仿宋"/>
          <w:spacing w:val="4"/>
          <w:sz w:val="32"/>
          <w:szCs w:val="32"/>
        </w:rPr>
        <w:t>照料护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理、康复训练等服务费用。</w:t>
      </w:r>
    </w:p>
    <w:p w14:paraId="665F3B8E">
      <w:pPr>
        <w:spacing w:before="60" w:line="331" w:lineRule="auto"/>
        <w:ind w:right="270" w:firstLine="6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特困人员按规定落实基本医疗保险、大病保险</w:t>
      </w:r>
      <w:r>
        <w:rPr>
          <w:rFonts w:ascii="仿宋" w:hAnsi="仿宋" w:eastAsia="仿宋" w:cs="仿宋"/>
          <w:spacing w:val="-7"/>
          <w:sz w:val="32"/>
          <w:szCs w:val="32"/>
        </w:rPr>
        <w:t>和医疗救助等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医疗保障政策后，仍有不足的医疗费用可由救助供养资金给</w:t>
      </w:r>
      <w:r>
        <w:rPr>
          <w:rFonts w:ascii="仿宋" w:hAnsi="仿宋" w:eastAsia="仿宋" w:cs="仿宋"/>
          <w:spacing w:val="-8"/>
          <w:sz w:val="32"/>
          <w:szCs w:val="32"/>
        </w:rPr>
        <w:t>予支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持。集中供养特困人员在享受政府基本殡葬服</w:t>
      </w:r>
      <w:r>
        <w:rPr>
          <w:rFonts w:ascii="仿宋" w:hAnsi="仿宋" w:eastAsia="仿宋" w:cs="仿宋"/>
          <w:spacing w:val="-7"/>
          <w:sz w:val="32"/>
          <w:szCs w:val="32"/>
        </w:rPr>
        <w:t>务费用减免后的一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次性丧葬费用从救助供养资金中列支。</w:t>
      </w:r>
    </w:p>
    <w:p w14:paraId="502F4856">
      <w:pPr>
        <w:spacing w:before="60" w:line="335" w:lineRule="auto"/>
        <w:ind w:right="296" w:firstLine="6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4"/>
          <w:sz w:val="32"/>
          <w:szCs w:val="32"/>
        </w:rPr>
        <w:t>(二)运转经费支出范围</w:t>
      </w:r>
      <w:r>
        <w:rPr>
          <w:rFonts w:ascii="仿宋" w:hAnsi="仿宋" w:eastAsia="仿宋" w:cs="仿宋"/>
          <w:spacing w:val="4"/>
          <w:sz w:val="32"/>
          <w:szCs w:val="32"/>
        </w:rPr>
        <w:t>。供养服务机构运转经费包括供养 服务机构正式管理人员工资、日常办公经费、设备设施购置维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护、水电气暖等维持机构正常运行所必需的工作经费。</w:t>
      </w:r>
    </w:p>
    <w:p w14:paraId="6F9754E8">
      <w:pPr>
        <w:spacing w:before="47" w:line="221" w:lineRule="auto"/>
        <w:ind w:left="63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4"/>
          <w:sz w:val="32"/>
          <w:szCs w:val="32"/>
        </w:rPr>
        <w:t>三、进一步规范财务管理</w:t>
      </w:r>
    </w:p>
    <w:p w14:paraId="5F248C74">
      <w:pPr>
        <w:spacing w:before="205" w:line="327" w:lineRule="auto"/>
        <w:ind w:right="160" w:firstLine="629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4"/>
          <w:sz w:val="32"/>
          <w:szCs w:val="32"/>
        </w:rPr>
        <w:t>(一)完善财务管理</w:t>
      </w:r>
      <w:r>
        <w:rPr>
          <w:rFonts w:ascii="仿宋" w:hAnsi="仿宋" w:eastAsia="仿宋" w:cs="仿宋"/>
          <w:spacing w:val="4"/>
          <w:sz w:val="32"/>
          <w:szCs w:val="32"/>
        </w:rPr>
        <w:t>。供养服务机构应当建立健全财务管理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4"/>
          <w:sz w:val="32"/>
          <w:szCs w:val="32"/>
        </w:rPr>
        <w:t>制度。依法规范设置和登记会计账簿，按规定会计科目进行核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算，确保账簿内容完整、准确；规范填制会计凭证，确保记账凭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证内容完备、签名(签章)齐全，杜绝大额提现、白条列支等行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为；对特困人员救助供养资金、供养服务机构运转经费等按</w:t>
      </w:r>
      <w:r>
        <w:rPr>
          <w:rFonts w:ascii="仿宋" w:hAnsi="仿宋" w:eastAsia="仿宋" w:cs="仿宋"/>
          <w:spacing w:val="-8"/>
          <w:sz w:val="32"/>
          <w:szCs w:val="32"/>
        </w:rPr>
        <w:t>照支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出方向单独记账、分别核算，严禁各类资金混收、</w:t>
      </w:r>
      <w:r>
        <w:rPr>
          <w:rFonts w:ascii="仿宋" w:hAnsi="仿宋" w:eastAsia="仿宋" w:cs="仿宋"/>
          <w:spacing w:val="-3"/>
          <w:sz w:val="32"/>
          <w:szCs w:val="32"/>
        </w:rPr>
        <w:t>混支、混用。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承担特困人员供养、社会老年人托养等多类服务的供养服务机 </w:t>
      </w:r>
      <w:r>
        <w:rPr>
          <w:rFonts w:ascii="仿宋" w:hAnsi="仿宋" w:eastAsia="仿宋" w:cs="仿宋"/>
          <w:spacing w:val="-7"/>
          <w:sz w:val="32"/>
          <w:szCs w:val="32"/>
        </w:rPr>
        <w:t>构，应当根据服务对象类型实行独立分账核算。不得以个人</w:t>
      </w:r>
      <w:r>
        <w:rPr>
          <w:rFonts w:ascii="仿宋" w:hAnsi="仿宋" w:eastAsia="仿宋" w:cs="仿宋"/>
          <w:spacing w:val="-8"/>
          <w:sz w:val="32"/>
          <w:szCs w:val="32"/>
        </w:rPr>
        <w:t>名义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开设存款账户用于收支供养服务机构各类资金，严禁公款私存。</w:t>
      </w:r>
    </w:p>
    <w:p w14:paraId="51AF3652">
      <w:pPr>
        <w:spacing w:before="209" w:line="223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10"/>
          <w:sz w:val="32"/>
          <w:szCs w:val="32"/>
        </w:rPr>
        <w:t>(二)规范物资管理</w:t>
      </w:r>
      <w:r>
        <w:rPr>
          <w:rFonts w:ascii="仿宋" w:hAnsi="仿宋" w:eastAsia="仿宋" w:cs="仿宋"/>
          <w:spacing w:val="10"/>
          <w:sz w:val="32"/>
          <w:szCs w:val="32"/>
        </w:rPr>
        <w:t>。供养服务机构要加强物资采购管理，</w:t>
      </w:r>
    </w:p>
    <w:p w14:paraId="6FAC7E0F">
      <w:pPr>
        <w:spacing w:before="101" w:line="344" w:lineRule="auto"/>
        <w:ind w:right="11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长期使用的大宗物资采取集中采购或协议供货的方式采购，在保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质保量的前提下，不得采购明显高于市场价的物资。供养服务机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构配备购置的固定资产，要按规定做好核算入账、登记管理、清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查盘点和权属登记等工作，规范固定资产使用管理。</w:t>
      </w:r>
    </w:p>
    <w:p w14:paraId="0A6DCD7F">
      <w:pPr>
        <w:spacing w:before="58" w:line="348" w:lineRule="auto"/>
        <w:ind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(三)规范其他收入管理</w:t>
      </w:r>
      <w:r>
        <w:rPr>
          <w:rFonts w:ascii="仿宋" w:hAnsi="仿宋" w:eastAsia="仿宋" w:cs="仿宋"/>
          <w:spacing w:val="7"/>
          <w:sz w:val="31"/>
          <w:szCs w:val="31"/>
        </w:rPr>
        <w:t>。健全供养服务机构经费</w:t>
      </w:r>
      <w:r>
        <w:rPr>
          <w:rFonts w:ascii="仿宋" w:hAnsi="仿宋" w:eastAsia="仿宋" w:cs="仿宋"/>
          <w:spacing w:val="6"/>
          <w:sz w:val="31"/>
          <w:szCs w:val="31"/>
        </w:rPr>
        <w:t>筹资机制，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鼓励通过“以副养院”、接受捐赠等形式筹集资金，帮助改善集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中供养人员生活条件。对经营性收入、捐赠收入等</w:t>
      </w:r>
      <w:r>
        <w:rPr>
          <w:rFonts w:ascii="仿宋" w:hAnsi="仿宋" w:eastAsia="仿宋" w:cs="仿宋"/>
          <w:spacing w:val="1"/>
          <w:sz w:val="31"/>
          <w:szCs w:val="31"/>
        </w:rPr>
        <w:t>其他收入应单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独核算，实行收支两条线管理。对于捐赠财产</w:t>
      </w:r>
      <w:r>
        <w:rPr>
          <w:rFonts w:ascii="仿宋" w:hAnsi="仿宋" w:eastAsia="仿宋" w:cs="仿宋"/>
          <w:spacing w:val="2"/>
          <w:sz w:val="31"/>
          <w:szCs w:val="31"/>
        </w:rPr>
        <w:t>，供养服务机构不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得用于冲抵财政预算，要按照《中华人民共和国公益事业捐赠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法》等规定，实行台账管理，并定期公开使用情况，接受社会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8"/>
          <w:sz w:val="31"/>
          <w:szCs w:val="31"/>
        </w:rPr>
        <w:t>监督。</w:t>
      </w:r>
    </w:p>
    <w:p w14:paraId="64972B65">
      <w:pPr>
        <w:spacing w:before="32" w:line="221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四、进一步加大监督管理力度</w:t>
      </w:r>
    </w:p>
    <w:p w14:paraId="53E1FC65">
      <w:pPr>
        <w:spacing w:before="243" w:line="348" w:lineRule="auto"/>
        <w:ind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供养服务机构要严格按照规定使用特困人员救助供养资金，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对资金支出使用情况进行公示，主动接受社会监督。各级民政部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门要加强对供养服务机构的业务指导和监督管理，着力提升供养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服务机构服务水平，提高特困人员生活质量。各级财政部</w:t>
      </w:r>
      <w:r>
        <w:rPr>
          <w:rFonts w:ascii="仿宋" w:hAnsi="仿宋" w:eastAsia="仿宋" w:cs="仿宋"/>
          <w:spacing w:val="2"/>
          <w:sz w:val="31"/>
          <w:szCs w:val="31"/>
        </w:rPr>
        <w:t>门要严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格资金申请拨付程序，按规定拨付特困人员救助供养资金和供养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服务机构运转经费，加强资金预算执行跟踪。各级财政、民政部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门要加强部门协同和上下联动，建立供养服务</w:t>
      </w:r>
      <w:r>
        <w:rPr>
          <w:rFonts w:ascii="仿宋" w:hAnsi="仿宋" w:eastAsia="仿宋" w:cs="仿宋"/>
          <w:spacing w:val="1"/>
          <w:sz w:val="31"/>
          <w:szCs w:val="31"/>
        </w:rPr>
        <w:t>机构资金使用管理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监督检查机制，定期通报供养服务机构资金保障情况，对保障工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作较差的予以约谈，适时开展实地督导，及时纠正资金支出和财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务管理不规范行为，严肃查处挤占、挪用、虚报、冒领等违纪违</w:t>
      </w:r>
    </w:p>
    <w:p w14:paraId="12F62B7D">
      <w:pPr>
        <w:spacing w:before="101" w:line="320" w:lineRule="auto"/>
        <w:ind w:right="3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法行为，依法追究相应责任，情节严重的移交纪检监察和司法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部门。</w:t>
      </w:r>
    </w:p>
    <w:p w14:paraId="4FA15E31">
      <w:pPr>
        <w:spacing w:before="94" w:line="338" w:lineRule="auto"/>
        <w:ind w:right="311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各级民政、财政部门要将公办民营供养服务机构纳入监督管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理范围，督促其按照协议约定履行对特困人员基本生活保</w:t>
      </w:r>
      <w:r>
        <w:rPr>
          <w:rFonts w:ascii="仿宋" w:hAnsi="仿宋" w:eastAsia="仿宋" w:cs="仿宋"/>
          <w:spacing w:val="3"/>
          <w:sz w:val="31"/>
          <w:szCs w:val="31"/>
        </w:rPr>
        <w:t>障和照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料护理的责任，对财政拨付的特困人员救助供养资金要专账核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算，专款专用，及时足额用于特困供养人员，切实维护特困人员</w:t>
      </w:r>
    </w:p>
    <w:p w14:paraId="45A0D674">
      <w:pPr>
        <w:spacing w:before="54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合法权益。</w:t>
      </w:r>
    </w:p>
    <w:p w14:paraId="20A221D4">
      <w:pPr>
        <w:spacing w:line="246" w:lineRule="auto"/>
        <w:rPr>
          <w:rFonts w:ascii="Arial"/>
          <w:sz w:val="21"/>
        </w:rPr>
      </w:pPr>
    </w:p>
    <w:p w14:paraId="16343ED0">
      <w:pPr>
        <w:spacing w:line="246" w:lineRule="auto"/>
        <w:rPr>
          <w:rFonts w:ascii="Arial"/>
          <w:sz w:val="21"/>
        </w:rPr>
      </w:pPr>
    </w:p>
    <w:p w14:paraId="021B7E45">
      <w:pPr>
        <w:spacing w:line="246" w:lineRule="auto"/>
        <w:rPr>
          <w:rFonts w:ascii="Arial"/>
          <w:sz w:val="21"/>
        </w:rPr>
      </w:pPr>
    </w:p>
    <w:p w14:paraId="6E4506C3">
      <w:pPr>
        <w:spacing w:line="246" w:lineRule="auto"/>
        <w:rPr>
          <w:rFonts w:ascii="Arial"/>
          <w:sz w:val="21"/>
        </w:rPr>
      </w:pPr>
    </w:p>
    <w:p w14:paraId="53D2B8AD">
      <w:pPr>
        <w:spacing w:line="247" w:lineRule="auto"/>
        <w:rPr>
          <w:rFonts w:ascii="Arial"/>
          <w:sz w:val="21"/>
        </w:rPr>
      </w:pPr>
    </w:p>
    <w:p w14:paraId="019CB7F4">
      <w:pPr>
        <w:spacing w:line="247" w:lineRule="auto"/>
        <w:rPr>
          <w:rFonts w:ascii="Arial"/>
          <w:sz w:val="21"/>
        </w:rPr>
      </w:pPr>
    </w:p>
    <w:p w14:paraId="2AC9D3D2">
      <w:pPr>
        <w:spacing w:before="100" w:line="223" w:lineRule="auto"/>
        <w:ind w:left="5059"/>
        <w:rPr>
          <w:rFonts w:ascii="仿宋" w:hAnsi="仿宋" w:eastAsia="仿宋" w:cs="仿宋"/>
          <w:sz w:val="31"/>
          <w:szCs w:val="31"/>
        </w:rPr>
      </w:pPr>
      <w:r>
        <w:pict>
          <v:shape id="1028" o:spid="_x0000_s1026" o:spt="202" type="#_x0000_t202" style="position:absolute;left:0pt;margin-left:80pt;margin-top:4.5pt;height:20.75pt;width:126.5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 w14:paraId="64192691">
                  <w:pPr>
                    <w:spacing w:before="20" w:line="223" w:lineRule="auto"/>
                    <w:jc w:val="right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-23"/>
                      <w:sz w:val="31"/>
                      <w:szCs w:val="31"/>
                    </w:rPr>
                    <w:t>河</w:t>
                  </w:r>
                  <w:r>
                    <w:rPr>
                      <w:rFonts w:ascii="仿宋" w:hAnsi="仿宋" w:eastAsia="仿宋" w:cs="仿宋"/>
                      <w:spacing w:val="17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23"/>
                      <w:sz w:val="31"/>
                      <w:szCs w:val="31"/>
                    </w:rPr>
                    <w:t>南 省</w:t>
                  </w:r>
                  <w:r>
                    <w:rPr>
                      <w:rFonts w:ascii="仿宋" w:hAnsi="仿宋" w:eastAsia="仿宋" w:cs="仿宋"/>
                      <w:spacing w:val="1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23"/>
                      <w:sz w:val="31"/>
                      <w:szCs w:val="31"/>
                    </w:rPr>
                    <w:t>财</w:t>
                  </w:r>
                  <w:r>
                    <w:rPr>
                      <w:rFonts w:ascii="仿宋" w:hAnsi="仿宋" w:eastAsia="仿宋" w:cs="仿宋"/>
                      <w:spacing w:val="-2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23"/>
                      <w:sz w:val="31"/>
                      <w:szCs w:val="31"/>
                    </w:rPr>
                    <w:t>政</w:t>
                  </w:r>
                  <w:r>
                    <w:rPr>
                      <w:rFonts w:ascii="仿宋" w:hAnsi="仿宋" w:eastAsia="仿宋" w:cs="仿宋"/>
                      <w:spacing w:val="-1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23"/>
                      <w:sz w:val="31"/>
                      <w:szCs w:val="31"/>
                    </w:rPr>
                    <w:t>厅</w:t>
                  </w:r>
                </w:p>
              </w:txbxContent>
            </v:textbox>
          </v:shape>
        </w:pict>
      </w:r>
      <w:bookmarkStart w:id="0" w:name="_GoBack"/>
      <w:bookmarkEnd w:id="0"/>
      <w:r>
        <w:rPr>
          <w:rFonts w:ascii="仿宋" w:hAnsi="仿宋" w:eastAsia="仿宋" w:cs="仿宋"/>
          <w:spacing w:val="-25"/>
          <w:sz w:val="31"/>
          <w:szCs w:val="31"/>
        </w:rPr>
        <w:t>河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5"/>
          <w:sz w:val="31"/>
          <w:szCs w:val="31"/>
        </w:rPr>
        <w:t>南 省</w:t>
      </w:r>
      <w:r>
        <w:rPr>
          <w:rFonts w:ascii="仿宋" w:hAnsi="仿宋" w:eastAsia="仿宋" w:cs="仿宋"/>
          <w:spacing w:val="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5"/>
          <w:sz w:val="31"/>
          <w:szCs w:val="31"/>
        </w:rPr>
        <w:t>民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5"/>
          <w:sz w:val="31"/>
          <w:szCs w:val="31"/>
        </w:rPr>
        <w:t>政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5"/>
          <w:sz w:val="31"/>
          <w:szCs w:val="31"/>
        </w:rPr>
        <w:t>厅</w:t>
      </w:r>
    </w:p>
    <w:p w14:paraId="33BF8E43">
      <w:pPr>
        <w:spacing w:before="225" w:line="222" w:lineRule="auto"/>
        <w:ind w:left="51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9"/>
          <w:sz w:val="31"/>
          <w:szCs w:val="31"/>
        </w:rPr>
        <w:t>2024年8月16日</w:t>
      </w:r>
    </w:p>
    <w:p w14:paraId="4981DFB4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0" w:h="16830"/>
          <w:pgMar w:top="1430" w:right="1785" w:bottom="1725" w:left="989" w:header="0" w:footer="1419" w:gutter="0"/>
          <w:cols w:space="720" w:num="1"/>
        </w:sectPr>
      </w:pPr>
    </w:p>
    <w:p w14:paraId="520DF2D2">
      <w:pPr>
        <w:rPr>
          <w:rFonts w:ascii="Arial"/>
          <w:sz w:val="21"/>
        </w:rPr>
      </w:pPr>
    </w:p>
    <w:p w14:paraId="20FD799C">
      <w:pPr>
        <w:rPr>
          <w:rFonts w:ascii="Arial"/>
          <w:sz w:val="21"/>
        </w:rPr>
      </w:pPr>
    </w:p>
    <w:p w14:paraId="6608805D">
      <w:pPr>
        <w:rPr>
          <w:rFonts w:ascii="Arial"/>
          <w:sz w:val="21"/>
        </w:rPr>
      </w:pPr>
    </w:p>
    <w:p w14:paraId="7318FB69">
      <w:pPr>
        <w:rPr>
          <w:rFonts w:ascii="Arial"/>
          <w:sz w:val="21"/>
        </w:rPr>
      </w:pPr>
    </w:p>
    <w:p w14:paraId="0ABCD25B">
      <w:pPr>
        <w:rPr>
          <w:rFonts w:ascii="Arial"/>
          <w:sz w:val="21"/>
        </w:rPr>
      </w:pPr>
    </w:p>
    <w:p w14:paraId="3C5F861E">
      <w:pPr>
        <w:rPr>
          <w:rFonts w:ascii="Arial"/>
          <w:sz w:val="21"/>
        </w:rPr>
      </w:pPr>
    </w:p>
    <w:p w14:paraId="1443B9CA">
      <w:pPr>
        <w:rPr>
          <w:rFonts w:ascii="Arial"/>
          <w:sz w:val="21"/>
        </w:rPr>
      </w:pPr>
    </w:p>
    <w:p w14:paraId="55AA8C9C">
      <w:pPr>
        <w:rPr>
          <w:rFonts w:ascii="Arial"/>
          <w:sz w:val="21"/>
        </w:rPr>
      </w:pPr>
    </w:p>
    <w:p w14:paraId="544FB410">
      <w:pPr>
        <w:rPr>
          <w:rFonts w:ascii="Arial"/>
          <w:sz w:val="21"/>
        </w:rPr>
      </w:pPr>
    </w:p>
    <w:p w14:paraId="04DFC406">
      <w:pPr>
        <w:rPr>
          <w:rFonts w:ascii="Arial"/>
          <w:sz w:val="21"/>
        </w:rPr>
      </w:pPr>
    </w:p>
    <w:p w14:paraId="20BD28E1">
      <w:pPr>
        <w:rPr>
          <w:rFonts w:ascii="Arial"/>
          <w:sz w:val="21"/>
        </w:rPr>
      </w:pPr>
    </w:p>
    <w:p w14:paraId="72EEEBD2">
      <w:pPr>
        <w:rPr>
          <w:rFonts w:ascii="Arial"/>
          <w:sz w:val="21"/>
        </w:rPr>
      </w:pPr>
    </w:p>
    <w:p w14:paraId="182A8543">
      <w:pPr>
        <w:rPr>
          <w:rFonts w:ascii="Arial"/>
          <w:sz w:val="21"/>
        </w:rPr>
      </w:pPr>
    </w:p>
    <w:p w14:paraId="462A7F0F">
      <w:pPr>
        <w:rPr>
          <w:rFonts w:ascii="Arial"/>
          <w:sz w:val="21"/>
        </w:rPr>
      </w:pPr>
    </w:p>
    <w:p w14:paraId="07EE1AC0">
      <w:pPr>
        <w:rPr>
          <w:rFonts w:ascii="Arial"/>
          <w:sz w:val="21"/>
        </w:rPr>
      </w:pPr>
    </w:p>
    <w:p w14:paraId="44797F4E">
      <w:pPr>
        <w:rPr>
          <w:rFonts w:ascii="Arial"/>
          <w:sz w:val="21"/>
        </w:rPr>
      </w:pPr>
    </w:p>
    <w:p w14:paraId="1FABD0F0">
      <w:pPr>
        <w:rPr>
          <w:rFonts w:ascii="Arial"/>
          <w:sz w:val="21"/>
        </w:rPr>
      </w:pPr>
    </w:p>
    <w:p w14:paraId="35279E06">
      <w:pPr>
        <w:rPr>
          <w:rFonts w:ascii="Arial"/>
          <w:sz w:val="21"/>
        </w:rPr>
      </w:pPr>
    </w:p>
    <w:p w14:paraId="4E996C97">
      <w:pPr>
        <w:rPr>
          <w:rFonts w:ascii="Arial"/>
          <w:sz w:val="21"/>
        </w:rPr>
      </w:pPr>
    </w:p>
    <w:p w14:paraId="2515A413">
      <w:pPr>
        <w:rPr>
          <w:rFonts w:ascii="Arial"/>
          <w:sz w:val="21"/>
        </w:rPr>
      </w:pPr>
    </w:p>
    <w:p w14:paraId="4DEBC36D">
      <w:pPr>
        <w:rPr>
          <w:rFonts w:ascii="Arial"/>
          <w:sz w:val="21"/>
        </w:rPr>
      </w:pPr>
    </w:p>
    <w:p w14:paraId="09634800">
      <w:pPr>
        <w:rPr>
          <w:rFonts w:ascii="Arial"/>
          <w:sz w:val="21"/>
        </w:rPr>
      </w:pPr>
    </w:p>
    <w:p w14:paraId="435AF799">
      <w:pPr>
        <w:rPr>
          <w:rFonts w:ascii="Arial"/>
          <w:sz w:val="21"/>
        </w:rPr>
      </w:pPr>
    </w:p>
    <w:p w14:paraId="4E2C22DD">
      <w:pPr>
        <w:rPr>
          <w:rFonts w:ascii="Arial"/>
          <w:sz w:val="21"/>
        </w:rPr>
      </w:pPr>
    </w:p>
    <w:p w14:paraId="4F9A00F2">
      <w:pPr>
        <w:rPr>
          <w:rFonts w:ascii="Arial"/>
          <w:sz w:val="21"/>
        </w:rPr>
      </w:pPr>
    </w:p>
    <w:p w14:paraId="6BA6F14C">
      <w:pPr>
        <w:rPr>
          <w:rFonts w:ascii="Arial"/>
          <w:sz w:val="21"/>
        </w:rPr>
      </w:pPr>
    </w:p>
    <w:p w14:paraId="2F578A55">
      <w:pPr>
        <w:rPr>
          <w:rFonts w:ascii="Arial"/>
          <w:sz w:val="21"/>
        </w:rPr>
      </w:pPr>
    </w:p>
    <w:p w14:paraId="2247BFA4">
      <w:pPr>
        <w:rPr>
          <w:rFonts w:ascii="Arial"/>
          <w:sz w:val="21"/>
        </w:rPr>
      </w:pPr>
    </w:p>
    <w:p w14:paraId="7BFEC1BD">
      <w:pPr>
        <w:rPr>
          <w:rFonts w:ascii="Arial"/>
          <w:sz w:val="21"/>
        </w:rPr>
      </w:pPr>
    </w:p>
    <w:p w14:paraId="1FF4C467">
      <w:pPr>
        <w:rPr>
          <w:rFonts w:ascii="Arial"/>
          <w:sz w:val="21"/>
        </w:rPr>
      </w:pPr>
    </w:p>
    <w:p w14:paraId="71F8CFDF">
      <w:pPr>
        <w:spacing w:line="241" w:lineRule="auto"/>
        <w:rPr>
          <w:rFonts w:ascii="Arial"/>
          <w:sz w:val="21"/>
        </w:rPr>
      </w:pPr>
    </w:p>
    <w:p w14:paraId="23A5BE01">
      <w:pPr>
        <w:spacing w:line="241" w:lineRule="auto"/>
        <w:rPr>
          <w:rFonts w:ascii="Arial"/>
          <w:sz w:val="21"/>
        </w:rPr>
      </w:pPr>
    </w:p>
    <w:p w14:paraId="6AF4B4D8">
      <w:pPr>
        <w:spacing w:line="241" w:lineRule="auto"/>
        <w:rPr>
          <w:rFonts w:ascii="Arial"/>
          <w:sz w:val="21"/>
        </w:rPr>
      </w:pPr>
    </w:p>
    <w:p w14:paraId="7A75D985">
      <w:pPr>
        <w:spacing w:line="241" w:lineRule="auto"/>
        <w:rPr>
          <w:rFonts w:ascii="Arial"/>
          <w:sz w:val="21"/>
        </w:rPr>
      </w:pPr>
    </w:p>
    <w:p w14:paraId="55CC1F6A">
      <w:pPr>
        <w:spacing w:line="241" w:lineRule="auto"/>
        <w:rPr>
          <w:rFonts w:ascii="Arial"/>
          <w:sz w:val="21"/>
        </w:rPr>
      </w:pPr>
    </w:p>
    <w:p w14:paraId="03C42171">
      <w:pPr>
        <w:spacing w:line="241" w:lineRule="auto"/>
        <w:rPr>
          <w:rFonts w:ascii="Arial"/>
          <w:sz w:val="21"/>
        </w:rPr>
      </w:pPr>
    </w:p>
    <w:p w14:paraId="73AA7573">
      <w:pPr>
        <w:spacing w:line="241" w:lineRule="auto"/>
        <w:rPr>
          <w:rFonts w:ascii="Arial"/>
          <w:sz w:val="21"/>
        </w:rPr>
      </w:pPr>
    </w:p>
    <w:p w14:paraId="10E44749">
      <w:pPr>
        <w:spacing w:line="241" w:lineRule="auto"/>
        <w:rPr>
          <w:rFonts w:ascii="Arial"/>
          <w:sz w:val="21"/>
        </w:rPr>
      </w:pPr>
    </w:p>
    <w:p w14:paraId="42142977">
      <w:pPr>
        <w:spacing w:line="241" w:lineRule="auto"/>
        <w:rPr>
          <w:rFonts w:ascii="Arial"/>
          <w:sz w:val="21"/>
        </w:rPr>
      </w:pPr>
    </w:p>
    <w:p w14:paraId="15A55643">
      <w:pPr>
        <w:spacing w:line="241" w:lineRule="auto"/>
        <w:rPr>
          <w:rFonts w:ascii="Arial"/>
          <w:sz w:val="21"/>
        </w:rPr>
      </w:pPr>
    </w:p>
    <w:p w14:paraId="5D1696D1">
      <w:pPr>
        <w:spacing w:line="241" w:lineRule="auto"/>
        <w:rPr>
          <w:rFonts w:ascii="Arial"/>
          <w:sz w:val="21"/>
        </w:rPr>
      </w:pPr>
    </w:p>
    <w:p w14:paraId="7BEE01C1">
      <w:pPr>
        <w:spacing w:line="241" w:lineRule="auto"/>
        <w:rPr>
          <w:rFonts w:ascii="Arial"/>
          <w:sz w:val="21"/>
        </w:rPr>
      </w:pPr>
    </w:p>
    <w:p w14:paraId="74FCDB16">
      <w:pPr>
        <w:spacing w:line="241" w:lineRule="auto"/>
        <w:rPr>
          <w:rFonts w:ascii="Arial"/>
          <w:sz w:val="21"/>
        </w:rPr>
      </w:pPr>
    </w:p>
    <w:p w14:paraId="1A19B7CF">
      <w:pPr>
        <w:spacing w:line="241" w:lineRule="auto"/>
        <w:rPr>
          <w:rFonts w:ascii="Arial"/>
          <w:sz w:val="21"/>
        </w:rPr>
      </w:pPr>
    </w:p>
    <w:p w14:paraId="0DB04A64">
      <w:pPr>
        <w:spacing w:line="241" w:lineRule="auto"/>
        <w:rPr>
          <w:rFonts w:ascii="Arial"/>
          <w:sz w:val="21"/>
        </w:rPr>
      </w:pPr>
    </w:p>
    <w:p w14:paraId="5D9E5974">
      <w:pPr>
        <w:spacing w:line="241" w:lineRule="auto"/>
        <w:rPr>
          <w:rFonts w:ascii="Arial"/>
          <w:sz w:val="21"/>
        </w:rPr>
      </w:pPr>
    </w:p>
    <w:p w14:paraId="0BEE9047">
      <w:pPr>
        <w:spacing w:line="241" w:lineRule="auto"/>
        <w:rPr>
          <w:rFonts w:ascii="Arial"/>
          <w:sz w:val="21"/>
        </w:rPr>
      </w:pPr>
    </w:p>
    <w:p w14:paraId="6A57AC17">
      <w:pPr>
        <w:spacing w:line="241" w:lineRule="auto"/>
        <w:rPr>
          <w:rFonts w:ascii="Arial"/>
          <w:sz w:val="21"/>
        </w:rPr>
      </w:pPr>
    </w:p>
    <w:p w14:paraId="102F69D5">
      <w:pPr>
        <w:spacing w:line="241" w:lineRule="auto"/>
        <w:rPr>
          <w:rFonts w:ascii="Arial"/>
          <w:sz w:val="21"/>
        </w:rPr>
      </w:pPr>
    </w:p>
    <w:p w14:paraId="0727609C">
      <w:pPr>
        <w:spacing w:line="241" w:lineRule="auto"/>
        <w:rPr>
          <w:rFonts w:ascii="Arial"/>
          <w:sz w:val="21"/>
        </w:rPr>
      </w:pPr>
    </w:p>
    <w:p w14:paraId="16D73614">
      <w:pPr>
        <w:spacing w:line="241" w:lineRule="auto"/>
        <w:rPr>
          <w:rFonts w:ascii="Arial"/>
          <w:sz w:val="21"/>
        </w:rPr>
      </w:pPr>
    </w:p>
    <w:p w14:paraId="19E995D1">
      <w:pPr>
        <w:pStyle w:val="2"/>
        <w:spacing w:before="88" w:line="222" w:lineRule="auto"/>
        <w:ind w:left="33"/>
        <w:rPr>
          <w:sz w:val="27"/>
          <w:szCs w:val="27"/>
        </w:rPr>
      </w:pPr>
      <w:r>
        <w:rPr>
          <w:rFonts w:ascii="黑体" w:hAnsi="黑体" w:eastAsia="黑体" w:cs="黑体"/>
          <w:b/>
          <w:bCs/>
          <w:spacing w:val="2"/>
          <w:sz w:val="27"/>
          <w:szCs w:val="27"/>
        </w:rPr>
        <w:t>信息公开选项</w:t>
      </w:r>
      <w:r>
        <w:rPr>
          <w:b/>
          <w:bCs/>
          <w:spacing w:val="2"/>
          <w:sz w:val="27"/>
          <w:szCs w:val="27"/>
        </w:rPr>
        <w:t>：依申请公开</w:t>
      </w:r>
    </w:p>
    <w:p w14:paraId="7A2C8D11">
      <w:pPr>
        <w:spacing w:line="79" w:lineRule="exact"/>
      </w:pPr>
    </w:p>
    <w:tbl>
      <w:tblPr>
        <w:tblStyle w:val="5"/>
        <w:tblW w:w="883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0"/>
        <w:gridCol w:w="4550"/>
      </w:tblGrid>
      <w:tr w14:paraId="6CB2126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280" w:type="dxa"/>
            <w:tcBorders>
              <w:top w:val="single" w:color="000000" w:sz="6" w:space="0"/>
              <w:bottom w:val="single" w:color="000000" w:sz="8" w:space="0"/>
            </w:tcBorders>
          </w:tcPr>
          <w:p w14:paraId="001D9968">
            <w:pPr>
              <w:spacing w:before="135" w:line="223" w:lineRule="auto"/>
              <w:ind w:left="329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7"/>
                <w:sz w:val="27"/>
                <w:szCs w:val="27"/>
              </w:rPr>
              <w:t>河南省财政厅办公室</w:t>
            </w:r>
          </w:p>
        </w:tc>
        <w:tc>
          <w:tcPr>
            <w:tcW w:w="4550" w:type="dxa"/>
            <w:tcBorders>
              <w:top w:val="single" w:color="000000" w:sz="6" w:space="0"/>
              <w:bottom w:val="single" w:color="000000" w:sz="8" w:space="0"/>
            </w:tcBorders>
          </w:tcPr>
          <w:p w14:paraId="2BF25817">
            <w:pPr>
              <w:spacing w:before="132" w:line="222" w:lineRule="auto"/>
              <w:ind w:left="1550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31"/>
                <w:sz w:val="27"/>
                <w:szCs w:val="27"/>
              </w:rPr>
              <w:t>2024年8月16日印发</w:t>
            </w:r>
          </w:p>
        </w:tc>
      </w:tr>
    </w:tbl>
    <w:p w14:paraId="7C119445">
      <w:pPr>
        <w:spacing w:before="99" w:line="881" w:lineRule="exact"/>
        <w:ind w:firstLine="5689"/>
      </w:pPr>
      <w:r>
        <w:rPr>
          <w:position w:val="-17"/>
        </w:rPr>
        <w:drawing>
          <wp:inline distT="0" distB="0" distL="0" distR="0">
            <wp:extent cx="1752600" cy="558800"/>
            <wp:effectExtent l="0" t="0" r="0" b="0"/>
            <wp:docPr id="1030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 8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54" cy="55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7" w:type="default"/>
      <w:pgSz w:w="11900" w:h="16830"/>
      <w:pgMar w:top="1430" w:right="1519" w:bottom="400" w:left="15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D6DAF">
    <w:pPr>
      <w:pStyle w:val="2"/>
      <w:spacing w:line="177" w:lineRule="auto"/>
      <w:ind w:left="7419"/>
      <w:rPr>
        <w:sz w:val="30"/>
        <w:szCs w:val="30"/>
      </w:rPr>
    </w:pPr>
    <w:r>
      <w:rPr>
        <w:spacing w:val="-4"/>
        <w:sz w:val="30"/>
        <w:szCs w:val="30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E9FBC">
    <w:pPr>
      <w:pStyle w:val="2"/>
      <w:spacing w:before="1" w:line="175" w:lineRule="auto"/>
      <w:ind w:left="7380"/>
      <w:rPr>
        <w:sz w:val="31"/>
        <w:szCs w:val="31"/>
      </w:rPr>
    </w:pPr>
    <w:r>
      <w:rPr>
        <w:spacing w:val="-4"/>
        <w:sz w:val="31"/>
        <w:szCs w:val="31"/>
      </w:rPr>
      <w:t>—5—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F817D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g0YzRiMTY0OTAxMjNlZmQ5YWJiMjFiNzBjNzgxMjgifQ=="/>
  </w:docVars>
  <w:rsids>
    <w:rsidRoot w:val="00000000"/>
    <w:rsid w:val="266E11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68"/>
      <w:szCs w:val="68"/>
      <w:lang w:val="en-US" w:eastAsia="en-US" w:bidi="ar-SA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2064</Words>
  <Characters>2077</Characters>
  <Paragraphs>122</Paragraphs>
  <TotalTime>0</TotalTime>
  <ScaleCrop>false</ScaleCrop>
  <LinksUpToDate>false</LinksUpToDate>
  <CharactersWithSpaces>2161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2024-11-04T16:03:00Z</dcterms:created>
  <dc:creator>Kingsoft-PDF</dc:creator>
  <cp:lastModifiedBy>mzjbgs</cp:lastModifiedBy>
  <dcterms:modified xsi:type="dcterms:W3CDTF">2024-11-04T08:28:07Z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UsrData">
    <vt:lpwstr>67287fe1589219001f05f5c2wl</vt:lpwstr>
  </property>
  <property fmtid="{D5CDD505-2E9C-101B-9397-08002B2CF9AE}" pid="4" name="ICV">
    <vt:lpwstr>e61d8131917c4a1786777f048fc684fd_22</vt:lpwstr>
  </property>
  <property fmtid="{D5CDD505-2E9C-101B-9397-08002B2CF9AE}" pid="5" name="KSOProductBuildVer">
    <vt:lpwstr>2052-12.1.0.18608</vt:lpwstr>
  </property>
</Properties>
</file>