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C0A06">
      <w:pPr>
        <w:jc w:val="center"/>
        <w:rPr>
          <w:rFonts w:ascii="黑体" w:hAnsi="黑体" w:eastAsia="黑体" w:cs="黑体"/>
          <w:b/>
          <w:sz w:val="44"/>
          <w:szCs w:val="44"/>
        </w:rPr>
      </w:pPr>
    </w:p>
    <w:p w14:paraId="13D20D4C">
      <w:pPr>
        <w:jc w:val="center"/>
        <w:rPr>
          <w:rFonts w:ascii="黑体" w:hAnsi="黑体" w:eastAsia="黑体" w:cs="黑体"/>
          <w:b/>
          <w:sz w:val="44"/>
          <w:szCs w:val="44"/>
        </w:rPr>
      </w:pPr>
    </w:p>
    <w:p w14:paraId="1EE1B655">
      <w:pPr>
        <w:jc w:val="center"/>
        <w:rPr>
          <w:rFonts w:ascii="黑体" w:hAnsi="黑体" w:eastAsia="黑体" w:cs="黑体"/>
          <w:b/>
          <w:sz w:val="44"/>
          <w:szCs w:val="44"/>
        </w:rPr>
      </w:pPr>
    </w:p>
    <w:p w14:paraId="23B79DBC">
      <w:pPr>
        <w:jc w:val="center"/>
        <w:rPr>
          <w:rFonts w:ascii="黑体" w:hAnsi="黑体" w:eastAsia="黑体" w:cs="黑体"/>
          <w:b/>
          <w:sz w:val="44"/>
          <w:szCs w:val="44"/>
        </w:rPr>
      </w:pPr>
    </w:p>
    <w:p w14:paraId="75EFC005">
      <w:pPr>
        <w:jc w:val="center"/>
        <w:rPr>
          <w:rFonts w:ascii="黑体" w:hAnsi="黑体" w:eastAsia="黑体" w:cs="黑体"/>
          <w:b/>
          <w:sz w:val="44"/>
          <w:szCs w:val="44"/>
        </w:rPr>
      </w:pPr>
    </w:p>
    <w:p w14:paraId="67B80BE6">
      <w:pPr>
        <w:jc w:val="center"/>
        <w:rPr>
          <w:rFonts w:ascii="黑体" w:hAnsi="黑体" w:eastAsia="黑体" w:cs="黑体"/>
          <w:b/>
          <w:sz w:val="44"/>
          <w:szCs w:val="44"/>
        </w:rPr>
      </w:pPr>
    </w:p>
    <w:p w14:paraId="4139CA50">
      <w:pPr>
        <w:jc w:val="center"/>
        <w:rPr>
          <w:rFonts w:ascii="黑体" w:hAnsi="黑体" w:eastAsia="黑体" w:cs="黑体"/>
          <w:b/>
          <w:sz w:val="44"/>
          <w:szCs w:val="44"/>
        </w:rPr>
      </w:pPr>
    </w:p>
    <w:p w14:paraId="2CE93182">
      <w:pPr>
        <w:jc w:val="center"/>
        <w:rPr>
          <w:rFonts w:ascii="黑体" w:hAnsi="黑体" w:eastAsia="黑体" w:cs="黑体"/>
          <w:b/>
          <w:sz w:val="44"/>
          <w:szCs w:val="44"/>
        </w:rPr>
      </w:pPr>
    </w:p>
    <w:p w14:paraId="33B76B11">
      <w:pPr>
        <w:jc w:val="center"/>
        <w:rPr>
          <w:rFonts w:ascii="黑体" w:hAnsi="黑体" w:eastAsia="黑体" w:cs="黑体"/>
          <w:b/>
          <w:sz w:val="44"/>
          <w:szCs w:val="44"/>
        </w:rPr>
      </w:pPr>
    </w:p>
    <w:p w14:paraId="02A86E9E">
      <w:pPr>
        <w:jc w:val="center"/>
        <w:rPr>
          <w:rFonts w:ascii="黑体" w:hAnsi="黑体" w:eastAsia="黑体" w:cs="黑体"/>
          <w:b/>
          <w:sz w:val="44"/>
          <w:szCs w:val="44"/>
        </w:rPr>
      </w:pPr>
      <w:r>
        <w:rPr>
          <w:rFonts w:hint="eastAsia" w:ascii="黑体" w:hAnsi="黑体" w:eastAsia="黑体" w:cs="黑体"/>
          <w:b/>
          <w:sz w:val="44"/>
          <w:szCs w:val="44"/>
        </w:rPr>
        <w:t>息县人民政府</w:t>
      </w:r>
    </w:p>
    <w:p w14:paraId="12110E7E">
      <w:pPr>
        <w:jc w:val="center"/>
        <w:rPr>
          <w:rFonts w:ascii="黑体" w:hAnsi="黑体" w:eastAsia="黑体" w:cs="黑体"/>
          <w:b/>
          <w:sz w:val="44"/>
          <w:szCs w:val="44"/>
        </w:rPr>
      </w:pPr>
      <w:r>
        <w:rPr>
          <w:rFonts w:hint="eastAsia" w:ascii="黑体" w:hAnsi="黑体" w:eastAsia="黑体" w:cs="黑体"/>
          <w:b/>
          <w:sz w:val="44"/>
          <w:szCs w:val="44"/>
        </w:rPr>
        <w:t>关于公布实施息县城镇土地级别与基准地价更新调整成果的通知</w:t>
      </w:r>
    </w:p>
    <w:p w14:paraId="54598B88">
      <w:pPr>
        <w:jc w:val="center"/>
        <w:rPr>
          <w:rFonts w:ascii="黑体" w:hAnsi="黑体" w:eastAsia="黑体" w:cs="黑体"/>
          <w:b/>
          <w:sz w:val="44"/>
          <w:szCs w:val="44"/>
        </w:rPr>
      </w:pPr>
    </w:p>
    <w:p w14:paraId="68BC0CFE">
      <w:pPr>
        <w:jc w:val="center"/>
        <w:rPr>
          <w:rFonts w:ascii="黑体" w:hAnsi="黑体" w:eastAsia="黑体" w:cs="黑体"/>
          <w:b/>
          <w:sz w:val="44"/>
          <w:szCs w:val="44"/>
        </w:rPr>
      </w:pPr>
    </w:p>
    <w:p w14:paraId="0C57FBC1">
      <w:pPr>
        <w:jc w:val="center"/>
        <w:rPr>
          <w:rFonts w:ascii="黑体" w:hAnsi="黑体" w:eastAsia="黑体" w:cs="黑体"/>
          <w:b/>
          <w:sz w:val="44"/>
          <w:szCs w:val="44"/>
        </w:rPr>
      </w:pPr>
    </w:p>
    <w:p w14:paraId="24E98AB5">
      <w:pP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各乡镇人民政府，各街道办事处，县政府各</w:t>
      </w:r>
      <w:r>
        <w:rPr>
          <w:rFonts w:hint="eastAsia" w:ascii="Times New Roman" w:hAnsi="Times New Roman" w:eastAsia="仿宋_GB2312" w:cs="Times New Roman"/>
          <w:color w:val="000000"/>
          <w:sz w:val="32"/>
          <w:szCs w:val="32"/>
          <w:lang w:val="en-US" w:eastAsia="zh-CN"/>
        </w:rPr>
        <w:t>部门</w:t>
      </w:r>
      <w:r>
        <w:rPr>
          <w:rFonts w:hint="eastAsia" w:ascii="Times New Roman" w:hAnsi="Times New Roman" w:eastAsia="仿宋_GB2312" w:cs="Times New Roman"/>
          <w:color w:val="000000"/>
          <w:sz w:val="32"/>
          <w:szCs w:val="32"/>
        </w:rPr>
        <w:t>：</w:t>
      </w:r>
    </w:p>
    <w:p w14:paraId="115EF7C9">
      <w:pPr>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为进一步发挥地价的杠杆作用，促进土地市场平衡健康发展，增强政府宏观调控能力，根据《中华人民共和国土地管理法》、《中华人民共和国城市房地产管理法》、</w:t>
      </w:r>
      <w:r>
        <w:rPr>
          <w:rFonts w:ascii="Times New Roman" w:hAnsi="Times New Roman" w:eastAsia="仿宋_GB2312" w:cs="Times New Roman"/>
          <w:color w:val="000000"/>
          <w:sz w:val="32"/>
          <w:szCs w:val="32"/>
        </w:rPr>
        <w:t>《河南省自然资源厅办公室关于开展城镇土地级别与基准地价更新调整工作的通知》（豫自然资办</w:t>
      </w:r>
      <w:r>
        <w:rPr>
          <w:rFonts w:hint="eastAsia" w:ascii="Times New Roman" w:hAnsi="Times New Roman" w:eastAsia="仿宋_GB2312" w:cs="Times New Roman"/>
          <w:color w:val="000000"/>
          <w:sz w:val="32"/>
          <w:szCs w:val="32"/>
        </w:rPr>
        <w:t>函</w:t>
      </w:r>
      <w:r>
        <w:rPr>
          <w:rFonts w:ascii="Times New Roman" w:hAnsi="Times New Roman" w:eastAsia="仿宋_GB2312" w:cs="Times New Roman"/>
          <w:color w:val="000000"/>
          <w:sz w:val="32"/>
          <w:szCs w:val="32"/>
        </w:rPr>
        <w:t>〔2023〕10号）等</w:t>
      </w:r>
      <w:r>
        <w:rPr>
          <w:rFonts w:hint="eastAsia" w:ascii="Times New Roman" w:hAnsi="Times New Roman" w:eastAsia="仿宋_GB2312" w:cs="Times New Roman"/>
          <w:color w:val="000000"/>
          <w:sz w:val="32"/>
          <w:szCs w:val="32"/>
          <w:lang w:val="en-US" w:eastAsia="zh-CN"/>
        </w:rPr>
        <w:t>政策</w:t>
      </w:r>
      <w:r>
        <w:rPr>
          <w:rFonts w:hint="eastAsia" w:ascii="Times New Roman" w:hAnsi="Times New Roman" w:eastAsia="仿宋_GB2312" w:cs="Times New Roman"/>
          <w:color w:val="000000"/>
          <w:sz w:val="32"/>
          <w:szCs w:val="32"/>
        </w:rPr>
        <w:t>要求</w:t>
      </w:r>
      <w:r>
        <w:rPr>
          <w:rFonts w:ascii="Times New Roman" w:hAnsi="Times New Roman" w:eastAsia="仿宋_GB2312" w:cs="Times New Roman"/>
          <w:color w:val="000000"/>
          <w:sz w:val="32"/>
          <w:szCs w:val="32"/>
        </w:rPr>
        <w:t>，我县在原有城镇土地级别与基准地价成果的基础上，结合</w:t>
      </w:r>
      <w:r>
        <w:rPr>
          <w:rFonts w:hint="eastAsia" w:ascii="Times New Roman" w:hAnsi="Times New Roman" w:eastAsia="仿宋_GB2312" w:cs="Times New Roman"/>
          <w:color w:val="000000"/>
          <w:sz w:val="32"/>
          <w:szCs w:val="32"/>
        </w:rPr>
        <w:t>息县</w:t>
      </w:r>
      <w:r>
        <w:rPr>
          <w:rFonts w:ascii="Times New Roman" w:hAnsi="Times New Roman" w:eastAsia="仿宋_GB2312" w:cs="Times New Roman"/>
          <w:color w:val="000000"/>
          <w:sz w:val="32"/>
          <w:szCs w:val="32"/>
        </w:rPr>
        <w:t>近几年土地市场发展情况和未来城镇发展方向，完成了新一轮的城镇土地级别与基准地价更新调整工作，</w:t>
      </w:r>
      <w:r>
        <w:rPr>
          <w:rFonts w:hint="eastAsia" w:ascii="Times New Roman" w:hAnsi="Times New Roman" w:eastAsia="仿宋_GB2312" w:cs="Times New Roman"/>
          <w:color w:val="000000"/>
          <w:sz w:val="32"/>
          <w:szCs w:val="32"/>
          <w:lang w:val="en-US" w:eastAsia="zh-CN"/>
        </w:rPr>
        <w:t>2024年8月14日</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成果顺利通过信阳市自然资源和规划局组织的专家验收</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并于2024年10月16日组织召开听证会，进一步征求各方意见，调整完善</w:t>
      </w:r>
      <w:r>
        <w:rPr>
          <w:rFonts w:ascii="Times New Roman" w:hAnsi="Times New Roman" w:eastAsia="仿宋_GB2312" w:cs="Times New Roman"/>
          <w:color w:val="000000"/>
          <w:sz w:val="32"/>
          <w:szCs w:val="32"/>
        </w:rPr>
        <w:t>城镇土地级别与基准地价更新</w:t>
      </w:r>
      <w:r>
        <w:rPr>
          <w:rFonts w:hint="eastAsia" w:ascii="Times New Roman" w:hAnsi="Times New Roman" w:eastAsia="仿宋_GB2312" w:cs="Times New Roman"/>
          <w:color w:val="000000"/>
          <w:sz w:val="32"/>
          <w:szCs w:val="32"/>
          <w:lang w:val="en-US" w:eastAsia="zh-CN"/>
        </w:rPr>
        <w:t>成果。</w:t>
      </w:r>
    </w:p>
    <w:p w14:paraId="4CD4F4D5">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经县政府研究同意，现将更新调整后的息县城镇土地级别与基准地价更新调整成果予以公布实施，</w:t>
      </w:r>
      <w:r>
        <w:rPr>
          <w:rFonts w:hint="eastAsia" w:ascii="Times New Roman" w:hAnsi="Times New Roman" w:eastAsia="仿宋_GB2312" w:cs="Times New Roman"/>
          <w:color w:val="000000"/>
          <w:sz w:val="32"/>
          <w:szCs w:val="32"/>
          <w:lang w:val="en-US" w:eastAsia="zh-CN"/>
        </w:rPr>
        <w:t>自公布之日起执行</w:t>
      </w:r>
      <w:r>
        <w:rPr>
          <w:rFonts w:hint="eastAsia" w:ascii="Times New Roman" w:hAnsi="Times New Roman" w:eastAsia="仿宋_GB2312" w:cs="Times New Roman"/>
          <w:color w:val="000000"/>
          <w:sz w:val="32"/>
          <w:szCs w:val="32"/>
        </w:rPr>
        <w:t>。2019年发布的《息县人民政府关于公布实施息县城镇土地级别与基准地价更新调整成果的通知》（息政文</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19</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85</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同时</w:t>
      </w:r>
      <w:r>
        <w:rPr>
          <w:rFonts w:hint="eastAsia" w:ascii="Times New Roman" w:hAnsi="Times New Roman" w:eastAsia="仿宋_GB2312" w:cs="Times New Roman"/>
          <w:color w:val="000000"/>
          <w:sz w:val="32"/>
          <w:szCs w:val="32"/>
        </w:rPr>
        <w:t>废止。</w:t>
      </w:r>
    </w:p>
    <w:p w14:paraId="16EC6C60">
      <w:pPr>
        <w:jc w:val="center"/>
        <w:rPr>
          <w:rFonts w:ascii="黑体" w:hAnsi="黑体" w:eastAsia="黑体" w:cs="黑体"/>
          <w:b/>
          <w:sz w:val="44"/>
          <w:szCs w:val="44"/>
        </w:rPr>
      </w:pPr>
    </w:p>
    <w:p w14:paraId="730236A1">
      <w:pPr>
        <w:jc w:val="left"/>
        <w:rPr>
          <w:rFonts w:ascii="Times New Roman" w:hAnsi="Times New Roman" w:eastAsia="仿宋_GB2312" w:cs="Times New Roman"/>
          <w:color w:val="000000"/>
          <w:sz w:val="32"/>
          <w:szCs w:val="32"/>
        </w:rPr>
      </w:pPr>
    </w:p>
    <w:p w14:paraId="18303DB5">
      <w:pPr>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附件：1.息县城镇基准地价内涵说明</w:t>
      </w:r>
    </w:p>
    <w:p w14:paraId="404A13F7">
      <w:pPr>
        <w:ind w:firstLine="960" w:firstLineChars="3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2.息县城区土地级别与基准地价表</w:t>
      </w:r>
    </w:p>
    <w:p w14:paraId="1668CEDC">
      <w:pPr>
        <w:ind w:firstLine="960" w:firstLineChars="3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3.息县各乡镇土地级别与基准地价表</w:t>
      </w:r>
    </w:p>
    <w:p w14:paraId="7A179CE1">
      <w:pPr>
        <w:ind w:firstLine="640" w:firstLineChars="200"/>
        <w:jc w:val="right"/>
        <w:rPr>
          <w:rFonts w:ascii="Times New Roman" w:hAnsi="Times New Roman" w:eastAsia="仿宋_GB2312" w:cs="Times New Roman"/>
          <w:color w:val="000000"/>
          <w:sz w:val="32"/>
          <w:szCs w:val="32"/>
        </w:rPr>
      </w:pPr>
    </w:p>
    <w:p w14:paraId="58803249">
      <w:pPr>
        <w:ind w:firstLine="640" w:firstLineChars="200"/>
        <w:jc w:val="right"/>
        <w:rPr>
          <w:rFonts w:ascii="Times New Roman" w:hAnsi="Times New Roman" w:eastAsia="仿宋_GB2312" w:cs="Times New Roman"/>
          <w:color w:val="000000"/>
          <w:sz w:val="32"/>
          <w:szCs w:val="32"/>
        </w:rPr>
      </w:pPr>
    </w:p>
    <w:p w14:paraId="360CED59">
      <w:pPr>
        <w:ind w:firstLine="640" w:firstLineChars="200"/>
        <w:jc w:val="right"/>
        <w:rPr>
          <w:rFonts w:ascii="Times New Roman" w:hAnsi="Times New Roman" w:eastAsia="仿宋_GB2312" w:cs="Times New Roman"/>
          <w:color w:val="000000"/>
          <w:sz w:val="32"/>
          <w:szCs w:val="32"/>
        </w:rPr>
      </w:pPr>
    </w:p>
    <w:p w14:paraId="633D5E0C">
      <w:pPr>
        <w:ind w:firstLine="640" w:firstLineChars="200"/>
        <w:jc w:val="right"/>
        <w:rPr>
          <w:rFonts w:ascii="Times New Roman" w:hAnsi="Times New Roman" w:eastAsia="仿宋_GB2312" w:cs="Times New Roman"/>
          <w:color w:val="000000"/>
          <w:sz w:val="32"/>
          <w:szCs w:val="32"/>
        </w:rPr>
      </w:pPr>
    </w:p>
    <w:p w14:paraId="5EBE8C0B">
      <w:pPr>
        <w:ind w:right="320" w:firstLine="640" w:firstLineChars="200"/>
        <w:jc w:val="righ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息县人民政府</w:t>
      </w:r>
    </w:p>
    <w:p w14:paraId="08ED71B2">
      <w:pPr>
        <w:ind w:firstLine="640" w:firstLineChars="200"/>
        <w:jc w:val="righ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2024年  月  日</w:t>
      </w:r>
    </w:p>
    <w:p w14:paraId="0804DD4F">
      <w:pPr>
        <w:widowControl/>
        <w:jc w:val="left"/>
      </w:pPr>
      <w:r>
        <w:br w:type="page"/>
      </w:r>
    </w:p>
    <w:p w14:paraId="7B80FB63">
      <w:pPr>
        <w:rPr>
          <w:rFonts w:ascii="Times New Roman" w:hAnsi="Times New Roman" w:eastAsia="仿宋_GB2312" w:cs="Times New Roman"/>
          <w:b/>
          <w:color w:val="000000"/>
          <w:sz w:val="36"/>
          <w:szCs w:val="32"/>
        </w:rPr>
      </w:pPr>
      <w:r>
        <w:rPr>
          <w:rFonts w:ascii="Times New Roman" w:hAnsi="Times New Roman" w:eastAsia="仿宋_GB2312" w:cs="Times New Roman"/>
          <w:b/>
          <w:color w:val="000000"/>
          <w:sz w:val="36"/>
          <w:szCs w:val="32"/>
        </w:rPr>
        <w:t>附件</w:t>
      </w:r>
      <w:r>
        <w:rPr>
          <w:rFonts w:hint="eastAsia" w:ascii="Times New Roman" w:hAnsi="Times New Roman" w:eastAsia="仿宋_GB2312" w:cs="Times New Roman"/>
          <w:b/>
          <w:color w:val="000000"/>
          <w:sz w:val="36"/>
          <w:szCs w:val="32"/>
        </w:rPr>
        <w:t>1</w:t>
      </w:r>
    </w:p>
    <w:p w14:paraId="54981665">
      <w:pPr>
        <w:spacing w:before="156" w:beforeLines="50" w:after="156" w:afterLines="50"/>
        <w:jc w:val="center"/>
        <w:rPr>
          <w:rFonts w:ascii="Times New Roman" w:hAnsi="Times New Roman" w:eastAsia="仿宋_GB2312" w:cs="Times New Roman"/>
          <w:b/>
          <w:color w:val="000000"/>
          <w:sz w:val="36"/>
          <w:szCs w:val="32"/>
        </w:rPr>
      </w:pPr>
      <w:r>
        <w:rPr>
          <w:rFonts w:hint="eastAsia" w:ascii="Times New Roman" w:hAnsi="Times New Roman" w:eastAsia="仿宋_GB2312" w:cs="Times New Roman"/>
          <w:b/>
          <w:color w:val="000000"/>
          <w:sz w:val="36"/>
          <w:szCs w:val="32"/>
        </w:rPr>
        <w:t>息县城镇基准地价内涵说明</w:t>
      </w:r>
    </w:p>
    <w:p w14:paraId="143539E8">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一、本基准地价适用于息县</w:t>
      </w:r>
      <w:r>
        <w:rPr>
          <w:rFonts w:ascii="Times New Roman" w:hAnsi="Times New Roman" w:eastAsia="仿宋_GB2312" w:cs="Times New Roman"/>
          <w:color w:val="000000"/>
          <w:sz w:val="32"/>
          <w:szCs w:val="32"/>
        </w:rPr>
        <w:t>县城区以及</w:t>
      </w:r>
      <w:r>
        <w:rPr>
          <w:rFonts w:hint="eastAsia" w:ascii="Times New Roman" w:hAnsi="Times New Roman" w:eastAsia="仿宋_GB2312" w:cs="Times New Roman"/>
          <w:color w:val="000000"/>
          <w:sz w:val="32"/>
          <w:szCs w:val="32"/>
        </w:rPr>
        <w:t>包信镇、夏庄镇、东岳镇、项店镇、小茴店镇、曹黄林镇、孙庙乡、路口乡、彭店乡、杨店乡、张陶乡、白土店乡、岗李店乡、长陵乡、陈棚乡、临河乡、关店乡、八里岔乡</w:t>
      </w:r>
      <w:r>
        <w:rPr>
          <w:rFonts w:hint="eastAsia" w:ascii="Times New Roman" w:hAnsi="Times New Roman" w:eastAsia="仿宋_GB2312" w:cs="Times New Roman"/>
          <w:color w:val="000000"/>
          <w:sz w:val="32"/>
          <w:szCs w:val="32"/>
          <w:lang w:val="en-US" w:eastAsia="zh-CN"/>
        </w:rPr>
        <w:t>等</w:t>
      </w:r>
      <w:r>
        <w:rPr>
          <w:rFonts w:hint="eastAsia" w:ascii="Times New Roman" w:hAnsi="Times New Roman" w:eastAsia="仿宋_GB2312" w:cs="Times New Roman"/>
          <w:color w:val="000000"/>
          <w:sz w:val="32"/>
          <w:szCs w:val="32"/>
        </w:rPr>
        <w:t>18个乡镇范围内的国有建设用地。</w:t>
      </w:r>
    </w:p>
    <w:p w14:paraId="554BAE16">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二、基准地价内涵为正常市场条件下，各用途各土地级别区域内，设定土地开发程度、容积率等条件下的国有出让土地使用权平均价格。</w:t>
      </w:r>
    </w:p>
    <w:p w14:paraId="0C46D283">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土地用途：县城区按照商服用地（不含商务金融用地）、商务金融用地、住宅用地、工矿仓储用地、公共管理与公共服务用地、交通运输用地6类用地进行分类定级和估价；18个乡镇按照商服用地（含商务金融用地）、住宅用地、工矿仓储用地、公共管理与公共服务用地4类用地进行综合定级和估价。</w:t>
      </w:r>
    </w:p>
    <w:p w14:paraId="4C6C43B2">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土地容积率：县城区设定为商服用地（不含商务金融用地）1.6、商务金融用地1.8、住宅用地1.8、工矿仓储用地1.0、公共管理与公共服务用地1.2、交通运输用地1.0；18个乡镇设定为商服用地（含商务金融用地）1.1、住宅用地1.2、工矿仓储用地1.0、公共管理与公共服务用地1.1。</w:t>
      </w:r>
    </w:p>
    <w:p w14:paraId="61AC3E26">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五、土地使用权年限：商服用地40年，住宅用地70年、工矿仓储用地50年、公共管理与公共服务用地50年、交通运输用地50年。</w:t>
      </w:r>
    </w:p>
    <w:p w14:paraId="300C900F">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六、土地开发程度：县城区设定为</w:t>
      </w:r>
      <w:r>
        <w:rPr>
          <w:rFonts w:ascii="Times New Roman" w:hAnsi="Times New Roman" w:eastAsia="仿宋_GB2312" w:cs="Times New Roman"/>
          <w:color w:val="000000"/>
          <w:sz w:val="32"/>
          <w:szCs w:val="32"/>
        </w:rPr>
        <w:t>五通一平（宗地外通路、通电、通讯、通上水、通下水及宗地内场地平整）；</w:t>
      </w:r>
      <w:r>
        <w:rPr>
          <w:rFonts w:hint="eastAsia" w:ascii="Times New Roman" w:hAnsi="Times New Roman" w:eastAsia="仿宋_GB2312" w:cs="Times New Roman"/>
          <w:color w:val="000000"/>
          <w:sz w:val="32"/>
          <w:szCs w:val="32"/>
        </w:rPr>
        <w:t>18个乡镇设定为</w:t>
      </w:r>
      <w:r>
        <w:rPr>
          <w:rFonts w:ascii="Times New Roman" w:hAnsi="Times New Roman" w:eastAsia="仿宋_GB2312" w:cs="Times New Roman"/>
          <w:color w:val="000000"/>
          <w:sz w:val="32"/>
          <w:szCs w:val="32"/>
        </w:rPr>
        <w:t>三通一平（宗地外通路、通电、通上水及宗地内场地平整）。</w:t>
      </w:r>
    </w:p>
    <w:p w14:paraId="0382680A">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七、基准日：2023年1月1日</w:t>
      </w:r>
    </w:p>
    <w:p w14:paraId="16B42E81">
      <w:pPr>
        <w:widowControl/>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14:paraId="5E30E9EF">
      <w:pPr>
        <w:rPr>
          <w:rFonts w:ascii="Times New Roman" w:hAnsi="Times New Roman" w:eastAsia="仿宋_GB2312" w:cs="Times New Roman"/>
          <w:b/>
          <w:color w:val="000000"/>
          <w:sz w:val="36"/>
          <w:szCs w:val="32"/>
        </w:rPr>
      </w:pPr>
      <w:bookmarkStart w:id="0" w:name="_GoBack"/>
      <w:r>
        <w:rPr>
          <w:rFonts w:ascii="Times New Roman" w:hAnsi="Times New Roman" w:eastAsia="仿宋_GB2312" w:cs="Times New Roman"/>
          <w:b/>
          <w:color w:val="000000"/>
          <w:sz w:val="36"/>
          <w:szCs w:val="32"/>
        </w:rPr>
        <w:t>附件</w:t>
      </w:r>
      <w:r>
        <w:rPr>
          <w:rFonts w:hint="eastAsia" w:ascii="Times New Roman" w:hAnsi="Times New Roman" w:eastAsia="仿宋_GB2312" w:cs="Times New Roman"/>
          <w:b/>
          <w:color w:val="000000"/>
          <w:sz w:val="36"/>
          <w:szCs w:val="32"/>
        </w:rPr>
        <w:t>2</w:t>
      </w:r>
    </w:p>
    <w:p w14:paraId="37C88217">
      <w:pPr>
        <w:spacing w:before="156" w:beforeLines="50" w:after="156" w:afterLines="50"/>
        <w:jc w:val="center"/>
        <w:rPr>
          <w:rFonts w:ascii="Times New Roman" w:hAnsi="Times New Roman" w:eastAsia="仿宋_GB2312" w:cs="Times New Roman"/>
          <w:b/>
          <w:color w:val="000000"/>
          <w:sz w:val="36"/>
          <w:szCs w:val="32"/>
        </w:rPr>
      </w:pPr>
      <w:r>
        <w:rPr>
          <w:rFonts w:hint="eastAsia" w:ascii="Times New Roman" w:hAnsi="Times New Roman" w:eastAsia="仿宋_GB2312" w:cs="Times New Roman"/>
          <w:b/>
          <w:color w:val="000000"/>
          <w:sz w:val="36"/>
          <w:szCs w:val="32"/>
        </w:rPr>
        <w:t>息县城区土地级别与基准地价表</w:t>
      </w:r>
    </w:p>
    <w:p w14:paraId="57F86DE2">
      <w:pPr>
        <w:ind w:firstLine="640" w:firstLineChars="200"/>
        <w:jc w:val="righ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单位：元/平方米</w:t>
      </w:r>
    </w:p>
    <w:tbl>
      <w:tblPr>
        <w:tblStyle w:val="4"/>
        <w:tblW w:w="5671" w:type="pct"/>
        <w:jc w:val="center"/>
        <w:tblLayout w:type="autofit"/>
        <w:tblCellMar>
          <w:top w:w="0" w:type="dxa"/>
          <w:left w:w="108" w:type="dxa"/>
          <w:bottom w:w="0" w:type="dxa"/>
          <w:right w:w="108" w:type="dxa"/>
        </w:tblCellMar>
      </w:tblPr>
      <w:tblGrid>
        <w:gridCol w:w="3511"/>
        <w:gridCol w:w="1699"/>
        <w:gridCol w:w="1115"/>
        <w:gridCol w:w="1117"/>
        <w:gridCol w:w="1112"/>
        <w:gridCol w:w="1112"/>
      </w:tblGrid>
      <w:tr w14:paraId="5739A0C0">
        <w:tblPrEx>
          <w:tblCellMar>
            <w:top w:w="0" w:type="dxa"/>
            <w:left w:w="108" w:type="dxa"/>
            <w:bottom w:w="0" w:type="dxa"/>
            <w:right w:w="108" w:type="dxa"/>
          </w:tblCellMar>
        </w:tblPrEx>
        <w:trPr>
          <w:trHeight w:val="928" w:hRule="atLeast"/>
          <w:jc w:val="center"/>
        </w:trPr>
        <w:tc>
          <w:tcPr>
            <w:tcW w:w="1816"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6CF5B169">
            <w:pPr>
              <w:widowControl/>
              <w:ind w:firstLine="2520" w:firstLineChars="900"/>
              <w:rPr>
                <w:rFonts w:hint="eastAsia" w:ascii="宋体" w:hAnsi="宋体" w:eastAsia="宋体" w:cs="Arial"/>
                <w:color w:val="000000"/>
                <w:kern w:val="0"/>
                <w:sz w:val="28"/>
                <w:szCs w:val="21"/>
              </w:rPr>
            </w:pPr>
            <w:r>
              <w:rPr>
                <w:rFonts w:hint="eastAsia" w:ascii="宋体" w:hAnsi="宋体" w:eastAsia="宋体" w:cs="Arial"/>
                <w:color w:val="000000"/>
                <w:kern w:val="0"/>
                <w:sz w:val="28"/>
                <w:szCs w:val="21"/>
              </w:rPr>
              <w:t>级 别</w:t>
            </w:r>
          </w:p>
          <w:p w14:paraId="602335A8">
            <w:pPr>
              <w:widowControl/>
              <w:rPr>
                <w:rFonts w:ascii="宋体" w:hAnsi="宋体" w:eastAsia="宋体" w:cs="Arial"/>
                <w:color w:val="000000"/>
                <w:kern w:val="0"/>
                <w:sz w:val="28"/>
                <w:szCs w:val="21"/>
              </w:rPr>
            </w:pPr>
            <w:r>
              <w:rPr>
                <w:rFonts w:hint="eastAsia" w:ascii="宋体" w:hAnsi="宋体" w:eastAsia="宋体" w:cs="Arial"/>
                <w:color w:val="000000"/>
                <w:kern w:val="0"/>
                <w:sz w:val="28"/>
                <w:szCs w:val="21"/>
              </w:rPr>
              <w:t xml:space="preserve">用 途     </w:t>
            </w:r>
          </w:p>
        </w:tc>
        <w:tc>
          <w:tcPr>
            <w:tcW w:w="879" w:type="pct"/>
            <w:tcBorders>
              <w:top w:val="single" w:color="auto" w:sz="4" w:space="0"/>
              <w:left w:val="nil"/>
              <w:bottom w:val="single" w:color="auto" w:sz="4" w:space="0"/>
              <w:right w:val="single" w:color="auto" w:sz="4" w:space="0"/>
            </w:tcBorders>
            <w:shd w:val="clear" w:color="auto" w:fill="auto"/>
            <w:noWrap/>
            <w:vAlign w:val="center"/>
          </w:tcPr>
          <w:p w14:paraId="043CDA8D">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一级</w:t>
            </w:r>
          </w:p>
        </w:tc>
        <w:tc>
          <w:tcPr>
            <w:tcW w:w="577" w:type="pct"/>
            <w:tcBorders>
              <w:top w:val="single" w:color="auto" w:sz="4" w:space="0"/>
              <w:left w:val="nil"/>
              <w:bottom w:val="single" w:color="auto" w:sz="4" w:space="0"/>
              <w:right w:val="single" w:color="auto" w:sz="4" w:space="0"/>
            </w:tcBorders>
            <w:shd w:val="clear" w:color="auto" w:fill="auto"/>
            <w:noWrap/>
            <w:vAlign w:val="center"/>
          </w:tcPr>
          <w:p w14:paraId="2E6D6FB7">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二级</w:t>
            </w:r>
          </w:p>
        </w:tc>
        <w:tc>
          <w:tcPr>
            <w:tcW w:w="578" w:type="pct"/>
            <w:tcBorders>
              <w:top w:val="single" w:color="auto" w:sz="4" w:space="0"/>
              <w:left w:val="nil"/>
              <w:bottom w:val="single" w:color="auto" w:sz="4" w:space="0"/>
              <w:right w:val="single" w:color="auto" w:sz="4" w:space="0"/>
            </w:tcBorders>
            <w:shd w:val="clear" w:color="auto" w:fill="auto"/>
            <w:noWrap/>
            <w:vAlign w:val="center"/>
          </w:tcPr>
          <w:p w14:paraId="179C545A">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三级</w:t>
            </w:r>
          </w:p>
        </w:tc>
        <w:tc>
          <w:tcPr>
            <w:tcW w:w="575" w:type="pct"/>
            <w:tcBorders>
              <w:top w:val="single" w:color="auto" w:sz="4" w:space="0"/>
              <w:left w:val="nil"/>
              <w:bottom w:val="single" w:color="auto" w:sz="4" w:space="0"/>
              <w:right w:val="single" w:color="auto" w:sz="4" w:space="0"/>
            </w:tcBorders>
            <w:shd w:val="clear" w:color="auto" w:fill="auto"/>
            <w:noWrap/>
            <w:vAlign w:val="center"/>
          </w:tcPr>
          <w:p w14:paraId="08A12647">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四级</w:t>
            </w:r>
          </w:p>
        </w:tc>
        <w:tc>
          <w:tcPr>
            <w:tcW w:w="575" w:type="pct"/>
            <w:tcBorders>
              <w:top w:val="single" w:color="auto" w:sz="4" w:space="0"/>
              <w:left w:val="nil"/>
              <w:bottom w:val="single" w:color="auto" w:sz="4" w:space="0"/>
              <w:right w:val="single" w:color="auto" w:sz="4" w:space="0"/>
            </w:tcBorders>
            <w:vAlign w:val="center"/>
          </w:tcPr>
          <w:p w14:paraId="3B156465">
            <w:pPr>
              <w:widowControl/>
              <w:jc w:val="center"/>
              <w:rPr>
                <w:rFonts w:hint="eastAsia" w:ascii="宋体" w:hAnsi="宋体" w:eastAsia="宋体" w:cs="Arial"/>
                <w:color w:val="000000"/>
                <w:kern w:val="0"/>
                <w:sz w:val="28"/>
                <w:szCs w:val="21"/>
              </w:rPr>
            </w:pPr>
            <w:r>
              <w:rPr>
                <w:rFonts w:hint="eastAsia" w:ascii="宋体" w:hAnsi="宋体" w:eastAsia="宋体" w:cs="Arial"/>
                <w:color w:val="000000"/>
                <w:kern w:val="0"/>
                <w:sz w:val="28"/>
                <w:szCs w:val="21"/>
              </w:rPr>
              <w:t>五级</w:t>
            </w:r>
          </w:p>
        </w:tc>
      </w:tr>
      <w:tr w14:paraId="0328D033">
        <w:tblPrEx>
          <w:tblCellMar>
            <w:top w:w="0" w:type="dxa"/>
            <w:left w:w="108" w:type="dxa"/>
            <w:bottom w:w="0" w:type="dxa"/>
            <w:right w:w="108" w:type="dxa"/>
          </w:tblCellMar>
        </w:tblPrEx>
        <w:trPr>
          <w:trHeight w:val="737" w:hRule="atLeast"/>
          <w:jc w:val="center"/>
        </w:trPr>
        <w:tc>
          <w:tcPr>
            <w:tcW w:w="1816" w:type="pct"/>
            <w:tcBorders>
              <w:top w:val="nil"/>
              <w:left w:val="single" w:color="auto" w:sz="4" w:space="0"/>
              <w:bottom w:val="single" w:color="auto" w:sz="4" w:space="0"/>
              <w:right w:val="single" w:color="auto" w:sz="4" w:space="0"/>
            </w:tcBorders>
            <w:shd w:val="clear" w:color="auto" w:fill="auto"/>
            <w:noWrap/>
            <w:vAlign w:val="center"/>
          </w:tcPr>
          <w:p w14:paraId="400327B4">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商服用地</w:t>
            </w:r>
          </w:p>
        </w:tc>
        <w:tc>
          <w:tcPr>
            <w:tcW w:w="879" w:type="pct"/>
            <w:tcBorders>
              <w:top w:val="nil"/>
              <w:left w:val="nil"/>
              <w:bottom w:val="single" w:color="auto" w:sz="4" w:space="0"/>
              <w:right w:val="single" w:color="auto" w:sz="4" w:space="0"/>
            </w:tcBorders>
            <w:shd w:val="clear" w:color="auto" w:fill="auto"/>
            <w:noWrap/>
            <w:vAlign w:val="center"/>
          </w:tcPr>
          <w:p w14:paraId="558FD554">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2340</w:t>
            </w:r>
          </w:p>
        </w:tc>
        <w:tc>
          <w:tcPr>
            <w:tcW w:w="577" w:type="pct"/>
            <w:tcBorders>
              <w:top w:val="nil"/>
              <w:left w:val="nil"/>
              <w:bottom w:val="single" w:color="auto" w:sz="4" w:space="0"/>
              <w:right w:val="single" w:color="auto" w:sz="4" w:space="0"/>
            </w:tcBorders>
            <w:shd w:val="clear" w:color="auto" w:fill="auto"/>
            <w:noWrap/>
            <w:vAlign w:val="center"/>
          </w:tcPr>
          <w:p w14:paraId="71641C3D">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1560</w:t>
            </w:r>
          </w:p>
        </w:tc>
        <w:tc>
          <w:tcPr>
            <w:tcW w:w="578" w:type="pct"/>
            <w:tcBorders>
              <w:top w:val="nil"/>
              <w:left w:val="nil"/>
              <w:bottom w:val="single" w:color="auto" w:sz="4" w:space="0"/>
              <w:right w:val="single" w:color="auto" w:sz="4" w:space="0"/>
            </w:tcBorders>
            <w:shd w:val="clear" w:color="auto" w:fill="auto"/>
            <w:noWrap/>
            <w:vAlign w:val="center"/>
          </w:tcPr>
          <w:p w14:paraId="195C7778">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1030</w:t>
            </w:r>
          </w:p>
        </w:tc>
        <w:tc>
          <w:tcPr>
            <w:tcW w:w="575" w:type="pct"/>
            <w:tcBorders>
              <w:top w:val="nil"/>
              <w:left w:val="nil"/>
              <w:bottom w:val="single" w:color="auto" w:sz="4" w:space="0"/>
              <w:right w:val="single" w:color="auto" w:sz="4" w:space="0"/>
            </w:tcBorders>
            <w:shd w:val="clear" w:color="auto" w:fill="auto"/>
            <w:noWrap/>
            <w:vAlign w:val="center"/>
          </w:tcPr>
          <w:p w14:paraId="52AD2386">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650</w:t>
            </w:r>
          </w:p>
        </w:tc>
        <w:tc>
          <w:tcPr>
            <w:tcW w:w="575" w:type="pct"/>
            <w:tcBorders>
              <w:top w:val="nil"/>
              <w:left w:val="nil"/>
              <w:bottom w:val="single" w:color="auto" w:sz="4" w:space="0"/>
              <w:right w:val="single" w:color="auto" w:sz="4" w:space="0"/>
            </w:tcBorders>
            <w:vAlign w:val="center"/>
          </w:tcPr>
          <w:p w14:paraId="65592E54">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480</w:t>
            </w:r>
          </w:p>
        </w:tc>
      </w:tr>
      <w:tr w14:paraId="7FD421CE">
        <w:tblPrEx>
          <w:tblCellMar>
            <w:top w:w="0" w:type="dxa"/>
            <w:left w:w="108" w:type="dxa"/>
            <w:bottom w:w="0" w:type="dxa"/>
            <w:right w:w="108" w:type="dxa"/>
          </w:tblCellMar>
        </w:tblPrEx>
        <w:trPr>
          <w:trHeight w:val="737" w:hRule="atLeast"/>
          <w:jc w:val="center"/>
        </w:trPr>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070BA">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商务金融用地</w:t>
            </w:r>
          </w:p>
        </w:tc>
        <w:tc>
          <w:tcPr>
            <w:tcW w:w="879" w:type="pct"/>
            <w:tcBorders>
              <w:top w:val="nil"/>
              <w:left w:val="nil"/>
              <w:bottom w:val="single" w:color="auto" w:sz="4" w:space="0"/>
              <w:right w:val="single" w:color="auto" w:sz="4" w:space="0"/>
            </w:tcBorders>
            <w:shd w:val="clear" w:color="auto" w:fill="auto"/>
            <w:noWrap/>
            <w:vAlign w:val="center"/>
          </w:tcPr>
          <w:p w14:paraId="7CD7075E">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1750</w:t>
            </w:r>
          </w:p>
        </w:tc>
        <w:tc>
          <w:tcPr>
            <w:tcW w:w="577" w:type="pct"/>
            <w:tcBorders>
              <w:top w:val="nil"/>
              <w:left w:val="nil"/>
              <w:bottom w:val="single" w:color="auto" w:sz="4" w:space="0"/>
              <w:right w:val="single" w:color="auto" w:sz="4" w:space="0"/>
            </w:tcBorders>
            <w:shd w:val="clear" w:color="auto" w:fill="auto"/>
            <w:noWrap/>
            <w:vAlign w:val="center"/>
          </w:tcPr>
          <w:p w14:paraId="09C3A93E">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1200</w:t>
            </w:r>
          </w:p>
        </w:tc>
        <w:tc>
          <w:tcPr>
            <w:tcW w:w="578" w:type="pct"/>
            <w:tcBorders>
              <w:top w:val="nil"/>
              <w:left w:val="nil"/>
              <w:bottom w:val="single" w:color="auto" w:sz="4" w:space="0"/>
              <w:right w:val="single" w:color="auto" w:sz="4" w:space="0"/>
            </w:tcBorders>
            <w:shd w:val="clear" w:color="auto" w:fill="auto"/>
            <w:noWrap/>
            <w:vAlign w:val="center"/>
          </w:tcPr>
          <w:p w14:paraId="021C4956">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770</w:t>
            </w:r>
          </w:p>
        </w:tc>
        <w:tc>
          <w:tcPr>
            <w:tcW w:w="575" w:type="pct"/>
            <w:tcBorders>
              <w:top w:val="nil"/>
              <w:left w:val="nil"/>
              <w:bottom w:val="single" w:color="auto" w:sz="4" w:space="0"/>
              <w:right w:val="single" w:color="auto" w:sz="4" w:space="0"/>
            </w:tcBorders>
            <w:shd w:val="clear" w:color="auto" w:fill="auto"/>
            <w:noWrap/>
            <w:vAlign w:val="center"/>
          </w:tcPr>
          <w:p w14:paraId="576328C5">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520</w:t>
            </w:r>
          </w:p>
        </w:tc>
        <w:tc>
          <w:tcPr>
            <w:tcW w:w="575" w:type="pct"/>
            <w:tcBorders>
              <w:top w:val="nil"/>
              <w:left w:val="nil"/>
              <w:bottom w:val="single" w:color="auto" w:sz="4" w:space="0"/>
              <w:right w:val="single" w:color="auto" w:sz="4" w:space="0"/>
            </w:tcBorders>
            <w:vAlign w:val="center"/>
          </w:tcPr>
          <w:p w14:paraId="77DECC9D">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420</w:t>
            </w:r>
          </w:p>
        </w:tc>
      </w:tr>
      <w:tr w14:paraId="43F66A0B">
        <w:tblPrEx>
          <w:tblCellMar>
            <w:top w:w="0" w:type="dxa"/>
            <w:left w:w="108" w:type="dxa"/>
            <w:bottom w:w="0" w:type="dxa"/>
            <w:right w:w="108" w:type="dxa"/>
          </w:tblCellMar>
        </w:tblPrEx>
        <w:trPr>
          <w:trHeight w:val="737" w:hRule="atLeast"/>
          <w:jc w:val="center"/>
        </w:trPr>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974A63">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住宅用地</w:t>
            </w:r>
          </w:p>
        </w:tc>
        <w:tc>
          <w:tcPr>
            <w:tcW w:w="879" w:type="pct"/>
            <w:tcBorders>
              <w:top w:val="nil"/>
              <w:left w:val="nil"/>
              <w:bottom w:val="single" w:color="auto" w:sz="4" w:space="0"/>
              <w:right w:val="single" w:color="auto" w:sz="4" w:space="0"/>
            </w:tcBorders>
            <w:shd w:val="clear" w:color="auto" w:fill="auto"/>
            <w:noWrap/>
            <w:vAlign w:val="center"/>
          </w:tcPr>
          <w:p w14:paraId="594086E1">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1370</w:t>
            </w:r>
          </w:p>
        </w:tc>
        <w:tc>
          <w:tcPr>
            <w:tcW w:w="577" w:type="pct"/>
            <w:tcBorders>
              <w:top w:val="nil"/>
              <w:left w:val="nil"/>
              <w:bottom w:val="single" w:color="auto" w:sz="4" w:space="0"/>
              <w:right w:val="single" w:color="auto" w:sz="4" w:space="0"/>
            </w:tcBorders>
            <w:shd w:val="clear" w:color="auto" w:fill="auto"/>
            <w:noWrap/>
            <w:vAlign w:val="center"/>
          </w:tcPr>
          <w:p w14:paraId="152A8017">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820</w:t>
            </w:r>
          </w:p>
        </w:tc>
        <w:tc>
          <w:tcPr>
            <w:tcW w:w="578" w:type="pct"/>
            <w:tcBorders>
              <w:top w:val="nil"/>
              <w:left w:val="nil"/>
              <w:bottom w:val="single" w:color="auto" w:sz="4" w:space="0"/>
              <w:right w:val="single" w:color="auto" w:sz="4" w:space="0"/>
            </w:tcBorders>
            <w:shd w:val="clear" w:color="auto" w:fill="auto"/>
            <w:noWrap/>
            <w:vAlign w:val="center"/>
          </w:tcPr>
          <w:p w14:paraId="69E6B2EB">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620</w:t>
            </w:r>
          </w:p>
        </w:tc>
        <w:tc>
          <w:tcPr>
            <w:tcW w:w="575" w:type="pct"/>
            <w:tcBorders>
              <w:top w:val="nil"/>
              <w:left w:val="nil"/>
              <w:bottom w:val="single" w:color="auto" w:sz="4" w:space="0"/>
              <w:right w:val="single" w:color="auto" w:sz="4" w:space="0"/>
            </w:tcBorders>
            <w:shd w:val="clear" w:color="auto" w:fill="auto"/>
            <w:noWrap/>
            <w:vAlign w:val="center"/>
          </w:tcPr>
          <w:p w14:paraId="2B5F57F4">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460</w:t>
            </w:r>
          </w:p>
        </w:tc>
        <w:tc>
          <w:tcPr>
            <w:tcW w:w="575" w:type="pct"/>
            <w:tcBorders>
              <w:top w:val="nil"/>
              <w:left w:val="nil"/>
              <w:bottom w:val="single" w:color="auto" w:sz="4" w:space="0"/>
              <w:right w:val="single" w:color="auto" w:sz="4" w:space="0"/>
            </w:tcBorders>
            <w:vAlign w:val="center"/>
          </w:tcPr>
          <w:p w14:paraId="2FBEA60D">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w:t>
            </w:r>
          </w:p>
        </w:tc>
      </w:tr>
      <w:tr w14:paraId="13DA93E3">
        <w:tblPrEx>
          <w:tblCellMar>
            <w:top w:w="0" w:type="dxa"/>
            <w:left w:w="108" w:type="dxa"/>
            <w:bottom w:w="0" w:type="dxa"/>
            <w:right w:w="108" w:type="dxa"/>
          </w:tblCellMar>
        </w:tblPrEx>
        <w:trPr>
          <w:trHeight w:val="737" w:hRule="atLeast"/>
          <w:jc w:val="center"/>
        </w:trPr>
        <w:tc>
          <w:tcPr>
            <w:tcW w:w="1816" w:type="pct"/>
            <w:tcBorders>
              <w:top w:val="single" w:color="auto" w:sz="4" w:space="0"/>
              <w:left w:val="single" w:color="auto" w:sz="4" w:space="0"/>
              <w:bottom w:val="single" w:color="auto" w:sz="4" w:space="0"/>
              <w:right w:val="single" w:color="auto" w:sz="4" w:space="0"/>
            </w:tcBorders>
            <w:shd w:val="clear" w:color="auto" w:fill="auto"/>
            <w:vAlign w:val="center"/>
          </w:tcPr>
          <w:p w14:paraId="451BF194">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工矿仓储用地</w:t>
            </w:r>
          </w:p>
        </w:tc>
        <w:tc>
          <w:tcPr>
            <w:tcW w:w="879" w:type="pct"/>
            <w:tcBorders>
              <w:top w:val="nil"/>
              <w:left w:val="nil"/>
              <w:bottom w:val="single" w:color="auto" w:sz="4" w:space="0"/>
              <w:right w:val="single" w:color="auto" w:sz="4" w:space="0"/>
            </w:tcBorders>
            <w:shd w:val="clear" w:color="auto" w:fill="auto"/>
            <w:noWrap/>
            <w:vAlign w:val="center"/>
          </w:tcPr>
          <w:p w14:paraId="4CAEF49B">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345</w:t>
            </w:r>
          </w:p>
        </w:tc>
        <w:tc>
          <w:tcPr>
            <w:tcW w:w="577" w:type="pct"/>
            <w:tcBorders>
              <w:top w:val="nil"/>
              <w:left w:val="nil"/>
              <w:bottom w:val="single" w:color="auto" w:sz="4" w:space="0"/>
              <w:right w:val="single" w:color="auto" w:sz="4" w:space="0"/>
            </w:tcBorders>
            <w:shd w:val="clear" w:color="auto" w:fill="auto"/>
            <w:noWrap/>
            <w:vAlign w:val="center"/>
          </w:tcPr>
          <w:p w14:paraId="30218654">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285</w:t>
            </w:r>
          </w:p>
        </w:tc>
        <w:tc>
          <w:tcPr>
            <w:tcW w:w="578" w:type="pct"/>
            <w:tcBorders>
              <w:top w:val="nil"/>
              <w:left w:val="nil"/>
              <w:bottom w:val="single" w:color="auto" w:sz="4" w:space="0"/>
              <w:right w:val="single" w:color="auto" w:sz="4" w:space="0"/>
            </w:tcBorders>
            <w:shd w:val="clear" w:color="auto" w:fill="auto"/>
            <w:noWrap/>
            <w:vAlign w:val="center"/>
          </w:tcPr>
          <w:p w14:paraId="0728DC2F">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260</w:t>
            </w:r>
          </w:p>
        </w:tc>
        <w:tc>
          <w:tcPr>
            <w:tcW w:w="575" w:type="pct"/>
            <w:tcBorders>
              <w:top w:val="nil"/>
              <w:left w:val="nil"/>
              <w:bottom w:val="single" w:color="auto" w:sz="4" w:space="0"/>
              <w:right w:val="single" w:color="auto" w:sz="4" w:space="0"/>
            </w:tcBorders>
            <w:shd w:val="clear" w:color="auto" w:fill="auto"/>
            <w:noWrap/>
            <w:vAlign w:val="center"/>
          </w:tcPr>
          <w:p w14:paraId="163CCB29">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w:t>
            </w:r>
          </w:p>
        </w:tc>
        <w:tc>
          <w:tcPr>
            <w:tcW w:w="575" w:type="pct"/>
            <w:tcBorders>
              <w:top w:val="nil"/>
              <w:left w:val="nil"/>
              <w:bottom w:val="single" w:color="auto" w:sz="4" w:space="0"/>
              <w:right w:val="single" w:color="auto" w:sz="4" w:space="0"/>
            </w:tcBorders>
            <w:vAlign w:val="center"/>
          </w:tcPr>
          <w:p w14:paraId="38A9FC41">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w:t>
            </w:r>
          </w:p>
        </w:tc>
      </w:tr>
      <w:tr w14:paraId="272BBE91">
        <w:tblPrEx>
          <w:tblCellMar>
            <w:top w:w="0" w:type="dxa"/>
            <w:left w:w="108" w:type="dxa"/>
            <w:bottom w:w="0" w:type="dxa"/>
            <w:right w:w="108" w:type="dxa"/>
          </w:tblCellMar>
        </w:tblPrEx>
        <w:trPr>
          <w:trHeight w:val="737" w:hRule="atLeast"/>
          <w:jc w:val="center"/>
        </w:trPr>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78A1D">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公共管理与公共服务用地</w:t>
            </w:r>
          </w:p>
        </w:tc>
        <w:tc>
          <w:tcPr>
            <w:tcW w:w="879" w:type="pct"/>
            <w:tcBorders>
              <w:top w:val="nil"/>
              <w:left w:val="nil"/>
              <w:bottom w:val="single" w:color="auto" w:sz="4" w:space="0"/>
              <w:right w:val="single" w:color="auto" w:sz="4" w:space="0"/>
            </w:tcBorders>
            <w:shd w:val="clear" w:color="auto" w:fill="auto"/>
            <w:noWrap/>
            <w:vAlign w:val="center"/>
          </w:tcPr>
          <w:p w14:paraId="14498488">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440</w:t>
            </w:r>
          </w:p>
        </w:tc>
        <w:tc>
          <w:tcPr>
            <w:tcW w:w="577" w:type="pct"/>
            <w:tcBorders>
              <w:top w:val="nil"/>
              <w:left w:val="nil"/>
              <w:bottom w:val="single" w:color="auto" w:sz="4" w:space="0"/>
              <w:right w:val="single" w:color="auto" w:sz="4" w:space="0"/>
            </w:tcBorders>
            <w:shd w:val="clear" w:color="auto" w:fill="auto"/>
            <w:noWrap/>
            <w:vAlign w:val="center"/>
          </w:tcPr>
          <w:p w14:paraId="11A09C00">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360</w:t>
            </w:r>
          </w:p>
        </w:tc>
        <w:tc>
          <w:tcPr>
            <w:tcW w:w="578" w:type="pct"/>
            <w:tcBorders>
              <w:top w:val="nil"/>
              <w:left w:val="nil"/>
              <w:bottom w:val="single" w:color="auto" w:sz="4" w:space="0"/>
              <w:right w:val="single" w:color="auto" w:sz="4" w:space="0"/>
            </w:tcBorders>
            <w:shd w:val="clear" w:color="auto" w:fill="auto"/>
            <w:noWrap/>
            <w:vAlign w:val="center"/>
          </w:tcPr>
          <w:p w14:paraId="6452842D">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310</w:t>
            </w:r>
          </w:p>
        </w:tc>
        <w:tc>
          <w:tcPr>
            <w:tcW w:w="575" w:type="pct"/>
            <w:tcBorders>
              <w:top w:val="nil"/>
              <w:left w:val="nil"/>
              <w:bottom w:val="single" w:color="auto" w:sz="4" w:space="0"/>
              <w:right w:val="single" w:color="auto" w:sz="4" w:space="0"/>
            </w:tcBorders>
            <w:shd w:val="clear" w:color="auto" w:fill="auto"/>
            <w:noWrap/>
            <w:vAlign w:val="center"/>
          </w:tcPr>
          <w:p w14:paraId="643D9AB4">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275</w:t>
            </w:r>
          </w:p>
        </w:tc>
        <w:tc>
          <w:tcPr>
            <w:tcW w:w="575" w:type="pct"/>
            <w:tcBorders>
              <w:top w:val="nil"/>
              <w:left w:val="nil"/>
              <w:bottom w:val="single" w:color="auto" w:sz="4" w:space="0"/>
              <w:right w:val="single" w:color="auto" w:sz="4" w:space="0"/>
            </w:tcBorders>
            <w:vAlign w:val="center"/>
          </w:tcPr>
          <w:p w14:paraId="4A90E9B9">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w:t>
            </w:r>
          </w:p>
        </w:tc>
      </w:tr>
      <w:tr w14:paraId="6670C407">
        <w:tblPrEx>
          <w:tblCellMar>
            <w:top w:w="0" w:type="dxa"/>
            <w:left w:w="108" w:type="dxa"/>
            <w:bottom w:w="0" w:type="dxa"/>
            <w:right w:w="108" w:type="dxa"/>
          </w:tblCellMar>
        </w:tblPrEx>
        <w:trPr>
          <w:trHeight w:val="737" w:hRule="atLeast"/>
          <w:jc w:val="center"/>
        </w:trPr>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4A122">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交通运输用地</w:t>
            </w:r>
          </w:p>
        </w:tc>
        <w:tc>
          <w:tcPr>
            <w:tcW w:w="879" w:type="pct"/>
            <w:tcBorders>
              <w:top w:val="nil"/>
              <w:left w:val="nil"/>
              <w:bottom w:val="single" w:color="auto" w:sz="4" w:space="0"/>
              <w:right w:val="single" w:color="auto" w:sz="4" w:space="0"/>
            </w:tcBorders>
            <w:shd w:val="clear" w:color="auto" w:fill="auto"/>
            <w:noWrap/>
            <w:vAlign w:val="center"/>
          </w:tcPr>
          <w:p w14:paraId="60DA2E1E">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560</w:t>
            </w:r>
          </w:p>
        </w:tc>
        <w:tc>
          <w:tcPr>
            <w:tcW w:w="577" w:type="pct"/>
            <w:tcBorders>
              <w:top w:val="nil"/>
              <w:left w:val="nil"/>
              <w:bottom w:val="single" w:color="auto" w:sz="4" w:space="0"/>
              <w:right w:val="single" w:color="auto" w:sz="4" w:space="0"/>
            </w:tcBorders>
            <w:shd w:val="clear" w:color="auto" w:fill="auto"/>
            <w:noWrap/>
            <w:vAlign w:val="center"/>
          </w:tcPr>
          <w:p w14:paraId="42DE7E35">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410</w:t>
            </w:r>
          </w:p>
        </w:tc>
        <w:tc>
          <w:tcPr>
            <w:tcW w:w="578" w:type="pct"/>
            <w:tcBorders>
              <w:top w:val="nil"/>
              <w:left w:val="nil"/>
              <w:bottom w:val="single" w:color="auto" w:sz="4" w:space="0"/>
              <w:right w:val="single" w:color="auto" w:sz="4" w:space="0"/>
            </w:tcBorders>
            <w:shd w:val="clear" w:color="auto" w:fill="auto"/>
            <w:noWrap/>
            <w:vAlign w:val="center"/>
          </w:tcPr>
          <w:p w14:paraId="4287C885">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345</w:t>
            </w:r>
          </w:p>
        </w:tc>
        <w:tc>
          <w:tcPr>
            <w:tcW w:w="575" w:type="pct"/>
            <w:tcBorders>
              <w:top w:val="nil"/>
              <w:left w:val="nil"/>
              <w:bottom w:val="single" w:color="auto" w:sz="4" w:space="0"/>
              <w:right w:val="single" w:color="auto" w:sz="4" w:space="0"/>
            </w:tcBorders>
            <w:shd w:val="clear" w:color="auto" w:fill="auto"/>
            <w:noWrap/>
            <w:vAlign w:val="center"/>
          </w:tcPr>
          <w:p w14:paraId="789AAACC">
            <w:pPr>
              <w:widowControl/>
              <w:jc w:val="center"/>
              <w:rPr>
                <w:rFonts w:ascii="宋体" w:hAnsi="宋体" w:eastAsia="宋体" w:cs="Arial"/>
                <w:color w:val="000000"/>
                <w:kern w:val="0"/>
                <w:sz w:val="28"/>
                <w:szCs w:val="21"/>
              </w:rPr>
            </w:pPr>
            <w:r>
              <w:rPr>
                <w:rFonts w:ascii="宋体" w:hAnsi="宋体" w:eastAsia="宋体" w:cs="Arial"/>
                <w:color w:val="000000"/>
                <w:kern w:val="0"/>
                <w:sz w:val="28"/>
                <w:szCs w:val="21"/>
              </w:rPr>
              <w:t>290</w:t>
            </w:r>
          </w:p>
        </w:tc>
        <w:tc>
          <w:tcPr>
            <w:tcW w:w="575" w:type="pct"/>
            <w:tcBorders>
              <w:top w:val="nil"/>
              <w:left w:val="nil"/>
              <w:bottom w:val="single" w:color="auto" w:sz="4" w:space="0"/>
              <w:right w:val="single" w:color="auto" w:sz="4" w:space="0"/>
            </w:tcBorders>
            <w:vAlign w:val="center"/>
          </w:tcPr>
          <w:p w14:paraId="5B7B8C46">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w:t>
            </w:r>
          </w:p>
        </w:tc>
      </w:tr>
    </w:tbl>
    <w:p w14:paraId="370BF855">
      <w:pPr>
        <w:rPr>
          <w:rFonts w:ascii="Times New Roman" w:hAnsi="Times New Roman" w:eastAsia="仿宋_GB2312" w:cs="Times New Roman"/>
          <w:b/>
          <w:color w:val="000000"/>
          <w:sz w:val="36"/>
          <w:szCs w:val="32"/>
        </w:rPr>
      </w:pPr>
    </w:p>
    <w:p w14:paraId="552766AC">
      <w:pPr>
        <w:widowControl/>
        <w:jc w:val="left"/>
        <w:rPr>
          <w:rFonts w:ascii="Times New Roman" w:hAnsi="Times New Roman" w:eastAsia="仿宋_GB2312" w:cs="Times New Roman"/>
          <w:b/>
          <w:color w:val="000000"/>
          <w:sz w:val="36"/>
          <w:szCs w:val="32"/>
        </w:rPr>
      </w:pPr>
      <w:r>
        <w:rPr>
          <w:rFonts w:ascii="Times New Roman" w:hAnsi="Times New Roman" w:eastAsia="仿宋_GB2312" w:cs="Times New Roman"/>
          <w:b/>
          <w:color w:val="000000"/>
          <w:sz w:val="36"/>
          <w:szCs w:val="32"/>
        </w:rPr>
        <w:br w:type="page"/>
      </w:r>
    </w:p>
    <w:p w14:paraId="219AF32D">
      <w:pPr>
        <w:rPr>
          <w:rFonts w:ascii="Times New Roman" w:hAnsi="Times New Roman" w:eastAsia="仿宋_GB2312" w:cs="Times New Roman"/>
          <w:b/>
          <w:color w:val="000000"/>
          <w:sz w:val="36"/>
          <w:szCs w:val="32"/>
        </w:rPr>
      </w:pPr>
      <w:r>
        <w:rPr>
          <w:rFonts w:ascii="Times New Roman" w:hAnsi="Times New Roman" w:eastAsia="仿宋_GB2312" w:cs="Times New Roman"/>
          <w:b/>
          <w:color w:val="000000"/>
          <w:sz w:val="36"/>
          <w:szCs w:val="32"/>
        </w:rPr>
        <w:t>附件</w:t>
      </w:r>
      <w:r>
        <w:rPr>
          <w:rFonts w:hint="eastAsia" w:ascii="Times New Roman" w:hAnsi="Times New Roman" w:eastAsia="仿宋_GB2312" w:cs="Times New Roman"/>
          <w:b/>
          <w:color w:val="000000"/>
          <w:sz w:val="36"/>
          <w:szCs w:val="32"/>
        </w:rPr>
        <w:t>3</w:t>
      </w:r>
    </w:p>
    <w:p w14:paraId="0B102531">
      <w:pPr>
        <w:jc w:val="center"/>
        <w:rPr>
          <w:rFonts w:ascii="Times New Roman" w:hAnsi="Times New Roman" w:eastAsia="仿宋_GB2312" w:cs="Times New Roman"/>
          <w:b/>
          <w:color w:val="000000"/>
          <w:sz w:val="36"/>
          <w:szCs w:val="32"/>
        </w:rPr>
      </w:pPr>
      <w:r>
        <w:rPr>
          <w:rFonts w:hint="eastAsia" w:ascii="Times New Roman" w:hAnsi="Times New Roman" w:eastAsia="仿宋_GB2312" w:cs="Times New Roman"/>
          <w:b/>
          <w:color w:val="000000"/>
          <w:sz w:val="36"/>
          <w:szCs w:val="32"/>
        </w:rPr>
        <w:t>息县</w:t>
      </w:r>
      <w:r>
        <w:rPr>
          <w:rFonts w:ascii="Times New Roman" w:hAnsi="Times New Roman" w:eastAsia="仿宋_GB2312" w:cs="Times New Roman"/>
          <w:b/>
          <w:color w:val="000000"/>
          <w:sz w:val="36"/>
          <w:szCs w:val="32"/>
        </w:rPr>
        <w:t>各乡镇</w:t>
      </w:r>
      <w:r>
        <w:rPr>
          <w:rFonts w:hint="eastAsia" w:ascii="Times New Roman" w:hAnsi="Times New Roman" w:eastAsia="仿宋_GB2312" w:cs="Times New Roman"/>
          <w:b/>
          <w:color w:val="000000"/>
          <w:sz w:val="36"/>
          <w:szCs w:val="32"/>
        </w:rPr>
        <w:t>土地级别与基准地价表</w:t>
      </w:r>
    </w:p>
    <w:p w14:paraId="04A3D622">
      <w:pPr>
        <w:ind w:firstLine="640" w:firstLineChars="200"/>
        <w:jc w:val="righ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单位：元/平方米</w:t>
      </w:r>
    </w:p>
    <w:tbl>
      <w:tblPr>
        <w:tblStyle w:val="4"/>
        <w:tblW w:w="9338" w:type="dxa"/>
        <w:tblInd w:w="-318" w:type="dxa"/>
        <w:tblLayout w:type="autofit"/>
        <w:tblCellMar>
          <w:top w:w="0" w:type="dxa"/>
          <w:left w:w="108" w:type="dxa"/>
          <w:bottom w:w="0" w:type="dxa"/>
          <w:right w:w="108" w:type="dxa"/>
        </w:tblCellMar>
      </w:tblPr>
      <w:tblGrid>
        <w:gridCol w:w="1414"/>
        <w:gridCol w:w="990"/>
        <w:gridCol w:w="991"/>
        <w:gridCol w:w="990"/>
        <w:gridCol w:w="991"/>
        <w:gridCol w:w="990"/>
        <w:gridCol w:w="991"/>
        <w:gridCol w:w="990"/>
        <w:gridCol w:w="991"/>
      </w:tblGrid>
      <w:tr w14:paraId="5863C511">
        <w:tblPrEx>
          <w:tblCellMar>
            <w:top w:w="0" w:type="dxa"/>
            <w:left w:w="108" w:type="dxa"/>
            <w:bottom w:w="0" w:type="dxa"/>
            <w:right w:w="108" w:type="dxa"/>
          </w:tblCellMar>
        </w:tblPrEx>
        <w:trPr>
          <w:trHeight w:val="731" w:hRule="atLeast"/>
          <w:tblHeader/>
        </w:trPr>
        <w:tc>
          <w:tcPr>
            <w:tcW w:w="1414"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14:paraId="40AF52F9">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　  级别</w:t>
            </w:r>
          </w:p>
          <w:p w14:paraId="1E784D41">
            <w:pPr>
              <w:widowControl/>
              <w:rPr>
                <w:rFonts w:ascii="Times New Roman" w:hAnsi="Times New Roman" w:eastAsia="宋体" w:cs="Times New Roman"/>
                <w:color w:val="000000"/>
                <w:kern w:val="0"/>
                <w:sz w:val="28"/>
              </w:rPr>
            </w:pPr>
          </w:p>
          <w:p w14:paraId="7A4CA313">
            <w:pPr>
              <w:widowControl/>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乡镇</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1CCF36EB">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商服用地</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01603CC1">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住宅用地</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FBFA03D">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工矿仓储用地</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17C2A2C">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公共管理与公共服务用地</w:t>
            </w:r>
          </w:p>
        </w:tc>
      </w:tr>
      <w:tr w14:paraId="5235B041">
        <w:tblPrEx>
          <w:tblCellMar>
            <w:top w:w="0" w:type="dxa"/>
            <w:left w:w="108" w:type="dxa"/>
            <w:bottom w:w="0" w:type="dxa"/>
            <w:right w:w="108" w:type="dxa"/>
          </w:tblCellMar>
        </w:tblPrEx>
        <w:trPr>
          <w:trHeight w:val="737" w:hRule="atLeast"/>
          <w:tblHeader/>
        </w:trPr>
        <w:tc>
          <w:tcPr>
            <w:tcW w:w="1414" w:type="dxa"/>
            <w:vMerge w:val="continue"/>
            <w:tcBorders>
              <w:top w:val="single" w:color="auto" w:sz="4" w:space="0"/>
              <w:left w:val="single" w:color="auto" w:sz="4" w:space="0"/>
              <w:bottom w:val="single" w:color="auto" w:sz="4" w:space="0"/>
              <w:right w:val="single" w:color="auto" w:sz="4" w:space="0"/>
            </w:tcBorders>
            <w:vAlign w:val="center"/>
          </w:tcPr>
          <w:p w14:paraId="33D91858">
            <w:pPr>
              <w:widowControl/>
              <w:jc w:val="center"/>
              <w:rPr>
                <w:rFonts w:ascii="Times New Roman" w:hAnsi="Times New Roman" w:eastAsia="宋体" w:cs="Times New Roman"/>
                <w:color w:val="000000"/>
                <w:kern w:val="0"/>
                <w:sz w:val="28"/>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5230FA3E">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一级</w:t>
            </w:r>
          </w:p>
        </w:tc>
        <w:tc>
          <w:tcPr>
            <w:tcW w:w="991" w:type="dxa"/>
            <w:tcBorders>
              <w:top w:val="single" w:color="auto" w:sz="4" w:space="0"/>
              <w:left w:val="nil"/>
              <w:bottom w:val="single" w:color="auto" w:sz="4" w:space="0"/>
              <w:right w:val="single" w:color="auto" w:sz="4" w:space="0"/>
            </w:tcBorders>
            <w:shd w:val="clear" w:color="auto" w:fill="auto"/>
            <w:vAlign w:val="center"/>
          </w:tcPr>
          <w:p w14:paraId="05132658">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二级</w:t>
            </w:r>
          </w:p>
        </w:tc>
        <w:tc>
          <w:tcPr>
            <w:tcW w:w="990" w:type="dxa"/>
            <w:tcBorders>
              <w:top w:val="single" w:color="auto" w:sz="4" w:space="0"/>
              <w:left w:val="nil"/>
              <w:bottom w:val="single" w:color="auto" w:sz="4" w:space="0"/>
              <w:right w:val="single" w:color="auto" w:sz="4" w:space="0"/>
            </w:tcBorders>
            <w:shd w:val="clear" w:color="auto" w:fill="auto"/>
            <w:vAlign w:val="center"/>
          </w:tcPr>
          <w:p w14:paraId="6FC2FA46">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一级</w:t>
            </w:r>
          </w:p>
        </w:tc>
        <w:tc>
          <w:tcPr>
            <w:tcW w:w="991" w:type="dxa"/>
            <w:tcBorders>
              <w:top w:val="single" w:color="auto" w:sz="4" w:space="0"/>
              <w:left w:val="nil"/>
              <w:bottom w:val="single" w:color="auto" w:sz="4" w:space="0"/>
              <w:right w:val="single" w:color="auto" w:sz="4" w:space="0"/>
            </w:tcBorders>
            <w:shd w:val="clear" w:color="auto" w:fill="auto"/>
            <w:vAlign w:val="center"/>
          </w:tcPr>
          <w:p w14:paraId="0DF49F2B">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二级</w:t>
            </w:r>
          </w:p>
        </w:tc>
        <w:tc>
          <w:tcPr>
            <w:tcW w:w="990" w:type="dxa"/>
            <w:tcBorders>
              <w:top w:val="single" w:color="auto" w:sz="4" w:space="0"/>
              <w:left w:val="nil"/>
              <w:bottom w:val="single" w:color="auto" w:sz="4" w:space="0"/>
              <w:right w:val="single" w:color="auto" w:sz="4" w:space="0"/>
            </w:tcBorders>
            <w:shd w:val="clear" w:color="auto" w:fill="auto"/>
            <w:vAlign w:val="center"/>
          </w:tcPr>
          <w:p w14:paraId="0403DE79">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一级</w:t>
            </w:r>
          </w:p>
        </w:tc>
        <w:tc>
          <w:tcPr>
            <w:tcW w:w="991" w:type="dxa"/>
            <w:tcBorders>
              <w:top w:val="single" w:color="auto" w:sz="4" w:space="0"/>
              <w:left w:val="nil"/>
              <w:bottom w:val="single" w:color="auto" w:sz="4" w:space="0"/>
              <w:right w:val="single" w:color="auto" w:sz="4" w:space="0"/>
            </w:tcBorders>
            <w:shd w:val="clear" w:color="auto" w:fill="auto"/>
            <w:vAlign w:val="center"/>
          </w:tcPr>
          <w:p w14:paraId="412D4949">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二级</w:t>
            </w:r>
          </w:p>
        </w:tc>
        <w:tc>
          <w:tcPr>
            <w:tcW w:w="990" w:type="dxa"/>
            <w:tcBorders>
              <w:top w:val="single" w:color="auto" w:sz="4" w:space="0"/>
              <w:left w:val="nil"/>
              <w:bottom w:val="single" w:color="auto" w:sz="4" w:space="0"/>
              <w:right w:val="single" w:color="auto" w:sz="4" w:space="0"/>
            </w:tcBorders>
            <w:shd w:val="clear" w:color="auto" w:fill="auto"/>
            <w:vAlign w:val="center"/>
          </w:tcPr>
          <w:p w14:paraId="3CF297CD">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一级</w:t>
            </w:r>
          </w:p>
        </w:tc>
        <w:tc>
          <w:tcPr>
            <w:tcW w:w="991" w:type="dxa"/>
            <w:tcBorders>
              <w:top w:val="single" w:color="auto" w:sz="4" w:space="0"/>
              <w:left w:val="nil"/>
              <w:bottom w:val="single" w:color="auto" w:sz="4" w:space="0"/>
              <w:right w:val="single" w:color="auto" w:sz="4" w:space="0"/>
            </w:tcBorders>
            <w:shd w:val="clear" w:color="auto" w:fill="auto"/>
            <w:vAlign w:val="center"/>
          </w:tcPr>
          <w:p w14:paraId="36E734D6">
            <w:pPr>
              <w:widowControl/>
              <w:jc w:val="center"/>
              <w:rPr>
                <w:rFonts w:ascii="宋体" w:hAnsi="宋体" w:eastAsia="宋体" w:cs="Arial"/>
                <w:color w:val="000000"/>
                <w:kern w:val="0"/>
                <w:sz w:val="28"/>
                <w:szCs w:val="21"/>
              </w:rPr>
            </w:pPr>
            <w:r>
              <w:rPr>
                <w:rFonts w:hint="eastAsia" w:ascii="宋体" w:hAnsi="宋体" w:eastAsia="宋体" w:cs="Arial"/>
                <w:color w:val="000000"/>
                <w:kern w:val="0"/>
                <w:sz w:val="28"/>
                <w:szCs w:val="21"/>
              </w:rPr>
              <w:t>二级</w:t>
            </w:r>
          </w:p>
        </w:tc>
      </w:tr>
      <w:tr w14:paraId="3EB5C105">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2603F">
            <w:pPr>
              <w:widowControl/>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包信镇</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155A0E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780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2D20C1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F70656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420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542B15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687412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A371569">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42674C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275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C96E5C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r>
      <w:tr w14:paraId="714D39B6">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89B6">
            <w:pPr>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夏庄镇</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883275C">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770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F4A881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500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C75CC4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410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17EFFE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9E05D6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6FB2F0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B5EEF9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275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CEBD14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r>
      <w:tr w14:paraId="754B16C2">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925A5">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东岳镇</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0F8948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740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83C1299">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420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C2C9BE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C696D9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5050383">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A71263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215</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0BBD73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270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79B465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235</w:t>
            </w:r>
          </w:p>
        </w:tc>
      </w:tr>
      <w:tr w14:paraId="7A54374A">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103C9">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项店镇</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B053DC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730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B857E9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420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0B3E183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6F7E9C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034623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F50BF6C">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215</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916938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270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66A5F8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235</w:t>
            </w:r>
          </w:p>
        </w:tc>
      </w:tr>
      <w:tr w14:paraId="60FFF368">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EFD5B">
            <w:pPr>
              <w:widowControl/>
              <w:jc w:val="center"/>
              <w:rPr>
                <w:rFonts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小茴店镇</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897E93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750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A89A29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430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E4E8D4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7FC119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020A617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E4222A5">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D4D032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275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0483A5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r>
      <w:tr w14:paraId="73FE6426">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E9966">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曹黄林镇</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B2FB7F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750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0B17DB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430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4316A9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6D20B4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307768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05ADF0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92ADC0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275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C487D5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r>
      <w:tr w14:paraId="22B97728">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04177">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孙庙乡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78C377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610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938A3C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0CEFD11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734A05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8F80CA9">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F0A8E2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2FD4BE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A56E5C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7DBAC9F6">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A296D">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路口乡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D1416C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610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6B9FA5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360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7C61B6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616D81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56C22A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07A1AA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75DB5D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116AB6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37B16554">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D0F15">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彭店乡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3B885F3">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8F795A5">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390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D3490A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49EACA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652C69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09A01C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F42DE2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3503943">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r>
      <w:tr w14:paraId="4322A642">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D9BC1">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杨店乡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8FD2A4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34CE17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380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772074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320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C8E8E2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3F05A1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6BC073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66E401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E9DB48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r>
      <w:tr w14:paraId="37C74C55">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0D16B">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张陶乡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D4EF819">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590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990A53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D1FB39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4392B39">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03C30A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02355C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69D93D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63DB14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5EED7391">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EAD2A">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白土店乡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06A6154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620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C8A0EC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370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76653B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310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BA688B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ED8C52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D0F503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F86187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666559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030BE998">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DBFD1">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岗李店乡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F74994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72834C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400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C7D417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340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C4501D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E63806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A40A76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5D642EE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7675A9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r>
      <w:tr w14:paraId="2D51A3F5">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922A4">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长陵乡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312E1A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667384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0E6E49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4DD5FA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BAB9D3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1BAA05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FA527C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DF2F945">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4267787B">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C510C">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陈棚乡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61E0CE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620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9E1E81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370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A90881A">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310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5C2229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3B4D55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B693B15">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F0C4B4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5AFC00D">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78D9E4D1">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77441">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临河乡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343B323">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590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73C112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66B751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377BE5C">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3CEA271">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093AACC9">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B03456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78B5F75">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3074AC60">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9E75B">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关店乡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24D5C70">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CDFE80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4D4A52F">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300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CD20412">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240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FF2F41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668AF01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B2A9FF6">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D47A43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225</w:t>
            </w:r>
          </w:p>
        </w:tc>
      </w:tr>
      <w:tr w14:paraId="32B0A6C5">
        <w:tblPrEx>
          <w:tblCellMar>
            <w:top w:w="0" w:type="dxa"/>
            <w:left w:w="108" w:type="dxa"/>
            <w:bottom w:w="0" w:type="dxa"/>
            <w:right w:w="108" w:type="dxa"/>
          </w:tblCellMar>
        </w:tblPrEx>
        <w:trPr>
          <w:trHeight w:val="737"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554BE">
            <w:pPr>
              <w:widowControl/>
              <w:jc w:val="center"/>
              <w:rPr>
                <w:rFonts w:hint="eastAsia" w:ascii="Times New Roman" w:hAnsi="Times New Roman" w:eastAsia="宋体" w:cs="Times New Roman"/>
                <w:color w:val="000000"/>
                <w:kern w:val="0"/>
                <w:sz w:val="28"/>
              </w:rPr>
            </w:pPr>
            <w:r>
              <w:rPr>
                <w:rFonts w:hint="eastAsia" w:ascii="Times New Roman" w:hAnsi="Times New Roman" w:eastAsia="宋体" w:cs="Times New Roman"/>
                <w:color w:val="000000"/>
                <w:kern w:val="0"/>
                <w:sz w:val="28"/>
              </w:rPr>
              <w:t>八里岔乡</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26F0BB2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650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C481DC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390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5AC5DD8">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330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70992AF7">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250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F123D8B">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9CFC20E">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210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25474A4">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260</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D0BA473">
            <w:pPr>
              <w:jc w:val="center"/>
              <w:rPr>
                <w:rFonts w:ascii="Times New Roman" w:hAnsi="Times New Roman" w:eastAsia="宋体" w:cs="Times New Roman"/>
                <w:color w:val="000000"/>
                <w:kern w:val="0"/>
                <w:sz w:val="28"/>
              </w:rPr>
            </w:pPr>
            <w:r>
              <w:rPr>
                <w:rFonts w:ascii="Times New Roman" w:hAnsi="Times New Roman" w:eastAsia="宋体" w:cs="Times New Roman"/>
                <w:color w:val="000000"/>
                <w:kern w:val="0"/>
                <w:sz w:val="28"/>
              </w:rPr>
              <w:t>230</w:t>
            </w:r>
          </w:p>
        </w:tc>
      </w:tr>
    </w:tbl>
    <w:p w14:paraId="5BF95724">
      <w:pPr>
        <w:jc w:val="center"/>
        <w:rPr>
          <w:rFonts w:ascii="Times New Roman" w:hAnsi="Times New Roman" w:eastAsia="仿宋_GB2312" w:cs="Times New Roman"/>
          <w:b/>
          <w:color w:val="000000"/>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Y2YzBlYzc2NWUwYmVmMTgwZGNkYzdjMDNkOTIifQ=="/>
  </w:docVars>
  <w:rsids>
    <w:rsidRoot w:val="00A6227F"/>
    <w:rsid w:val="001A158A"/>
    <w:rsid w:val="00291162"/>
    <w:rsid w:val="00361E7B"/>
    <w:rsid w:val="00485D6C"/>
    <w:rsid w:val="007C4687"/>
    <w:rsid w:val="008A0C20"/>
    <w:rsid w:val="008A3F2B"/>
    <w:rsid w:val="009C2D6F"/>
    <w:rsid w:val="009F1AF8"/>
    <w:rsid w:val="00A6227F"/>
    <w:rsid w:val="00B17B22"/>
    <w:rsid w:val="00B36DB5"/>
    <w:rsid w:val="00B37C3C"/>
    <w:rsid w:val="00C158F7"/>
    <w:rsid w:val="00C248B7"/>
    <w:rsid w:val="00C636DB"/>
    <w:rsid w:val="00CB0795"/>
    <w:rsid w:val="00D4081B"/>
    <w:rsid w:val="00D43465"/>
    <w:rsid w:val="00D70C5C"/>
    <w:rsid w:val="00DB2C21"/>
    <w:rsid w:val="00ED33DA"/>
    <w:rsid w:val="00F93135"/>
    <w:rsid w:val="215F392F"/>
    <w:rsid w:val="22EE540E"/>
    <w:rsid w:val="2648059B"/>
    <w:rsid w:val="26886B42"/>
    <w:rsid w:val="423F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编号—列表"/>
    <w:basedOn w:val="1"/>
    <w:next w:val="1"/>
    <w:autoRedefine/>
    <w:qFormat/>
    <w:uiPriority w:val="0"/>
    <w:pPr>
      <w:spacing w:line="500" w:lineRule="exact"/>
      <w:ind w:firstLine="200" w:firstLineChars="200"/>
      <w:jc w:val="center"/>
    </w:pPr>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1474</Words>
  <Characters>1876</Characters>
  <Lines>15</Lines>
  <Paragraphs>4</Paragraphs>
  <TotalTime>17</TotalTime>
  <ScaleCrop>false</ScaleCrop>
  <LinksUpToDate>false</LinksUpToDate>
  <CharactersWithSpaces>1890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2024-07-18T00:51:00Z</dcterms:created>
  <dc:creator>PC</dc:creator>
  <cp:lastModifiedBy>Administrator</cp:lastModifiedBy>
  <dcterms:modified xsi:type="dcterms:W3CDTF">2024-11-01T08:19:50Z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24185FFB9AE84D4A8A63AB70414C5219_12</vt:lpwstr>
  </property>
</Properties>
</file>