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ind w:firstLine="0" w:firstLineChars="0"/>
        <w:jc w:val="center"/>
        <w:rPr>
          <w:rStyle w:val="43"/>
          <w:rFonts w:hAnsiTheme="minorHAnsi" w:cstheme="minorBidi"/>
        </w:rPr>
      </w:pPr>
    </w:p>
    <w:p>
      <w:pPr>
        <w:overflowPunct w:val="0"/>
        <w:ind w:firstLine="0" w:firstLineChars="0"/>
        <w:jc w:val="center"/>
        <w:rPr>
          <w:rStyle w:val="43"/>
          <w:rFonts w:hAnsiTheme="minorHAnsi" w:cstheme="minorBidi"/>
        </w:rPr>
      </w:pPr>
    </w:p>
    <w:p>
      <w:pPr>
        <w:overflowPunct w:val="0"/>
        <w:ind w:firstLine="0" w:firstLineChars="0"/>
        <w:jc w:val="center"/>
        <w:rPr>
          <w:rStyle w:val="43"/>
          <w:rFonts w:hAnsiTheme="minorHAnsi" w:cstheme="minorBidi"/>
        </w:rPr>
      </w:pPr>
      <w:r>
        <w:rPr>
          <w:rStyle w:val="43"/>
          <w:rFonts w:hint="eastAsia" w:hAnsiTheme="minorHAnsi" w:cstheme="minorBidi"/>
        </w:rPr>
        <w:t>信阳交通强市建设规划</w:t>
      </w:r>
    </w:p>
    <w:p>
      <w:pPr>
        <w:overflowPunct w:val="0"/>
        <w:ind w:firstLine="0" w:firstLineChars="0"/>
        <w:jc w:val="center"/>
        <w:rPr>
          <w:rStyle w:val="43"/>
          <w:rFonts w:hAnsiTheme="minorHAnsi" w:cstheme="minorBidi"/>
        </w:rPr>
      </w:pPr>
      <w:r>
        <w:rPr>
          <w:rStyle w:val="43"/>
          <w:rFonts w:hint="eastAsia" w:hAnsiTheme="minorHAnsi" w:cstheme="minorBidi"/>
        </w:rPr>
        <w:t>（202</w:t>
      </w:r>
      <w:r>
        <w:rPr>
          <w:rStyle w:val="43"/>
          <w:rFonts w:hAnsiTheme="minorHAnsi" w:cstheme="minorBidi"/>
        </w:rPr>
        <w:t>4</w:t>
      </w:r>
      <w:r>
        <w:rPr>
          <w:rStyle w:val="43"/>
          <w:rFonts w:hint="eastAsia" w:hAnsiTheme="minorHAnsi" w:cstheme="minorBidi"/>
        </w:rPr>
        <w:t>—2035年）</w:t>
      </w:r>
    </w:p>
    <w:p>
      <w:pPr>
        <w:spacing w:line="600" w:lineRule="exact"/>
        <w:ind w:firstLine="0" w:firstLineChars="0"/>
        <w:jc w:val="center"/>
        <w:rPr>
          <w:rFonts w:ascii="楷体" w:hAnsi="楷体" w:eastAsia="楷体"/>
          <w:bCs/>
          <w:szCs w:val="32"/>
        </w:rPr>
      </w:pPr>
      <w:r>
        <w:rPr>
          <w:rFonts w:hint="eastAsia" w:ascii="楷体" w:hAnsi="楷体" w:eastAsia="楷体"/>
          <w:bCs/>
          <w:szCs w:val="32"/>
        </w:rPr>
        <w:t>（</w:t>
      </w:r>
      <w:r>
        <w:rPr>
          <w:rFonts w:hint="eastAsia" w:ascii="楷体" w:hAnsi="楷体" w:eastAsia="楷体"/>
          <w:szCs w:val="32"/>
          <w:lang w:eastAsia="zh-CN"/>
        </w:rPr>
        <w:t>征求意见</w:t>
      </w:r>
      <w:r>
        <w:rPr>
          <w:rFonts w:hint="eastAsia" w:ascii="楷体" w:hAnsi="楷体" w:eastAsia="楷体"/>
          <w:bCs/>
          <w:szCs w:val="32"/>
        </w:rPr>
        <w:t>稿）</w:t>
      </w:r>
    </w:p>
    <w:p>
      <w:pPr>
        <w:overflowPunct w:val="0"/>
        <w:ind w:firstLine="0" w:firstLineChars="0"/>
        <w:jc w:val="center"/>
        <w:rPr>
          <w:rStyle w:val="43"/>
          <w:rFonts w:hAnsiTheme="minorHAnsi" w:cstheme="minorBidi"/>
        </w:rPr>
      </w:pPr>
    </w:p>
    <w:p>
      <w:pPr>
        <w:overflowPunct w:val="0"/>
        <w:ind w:firstLine="0" w:firstLineChars="0"/>
        <w:jc w:val="center"/>
        <w:rPr>
          <w:rStyle w:val="43"/>
          <w:rFonts w:hAnsiTheme="minorHAnsi" w:cstheme="minorBidi"/>
        </w:rPr>
      </w:pPr>
    </w:p>
    <w:p>
      <w:pPr>
        <w:overflowPunct w:val="0"/>
        <w:ind w:firstLine="0" w:firstLineChars="0"/>
        <w:jc w:val="center"/>
        <w:rPr>
          <w:rStyle w:val="43"/>
          <w:rFonts w:hAnsiTheme="minorHAnsi" w:cstheme="minorBidi"/>
        </w:rPr>
      </w:pPr>
      <w:bookmarkStart w:id="72" w:name="_GoBack"/>
      <w:bookmarkEnd w:id="72"/>
    </w:p>
    <w:p>
      <w:pPr>
        <w:overflowPunct w:val="0"/>
        <w:ind w:firstLine="0" w:firstLineChars="0"/>
        <w:jc w:val="center"/>
        <w:rPr>
          <w:rStyle w:val="43"/>
          <w:rFonts w:hAnsiTheme="minorHAnsi" w:cstheme="minorBidi"/>
        </w:rPr>
      </w:pPr>
    </w:p>
    <w:p>
      <w:pPr>
        <w:overflowPunct w:val="0"/>
        <w:ind w:firstLine="0" w:firstLineChars="0"/>
        <w:jc w:val="center"/>
        <w:rPr>
          <w:rStyle w:val="43"/>
          <w:rFonts w:hAnsiTheme="minorHAnsi" w:cstheme="minorBidi"/>
        </w:rPr>
      </w:pPr>
    </w:p>
    <w:p>
      <w:pPr>
        <w:overflowPunct w:val="0"/>
        <w:ind w:firstLine="0" w:firstLineChars="0"/>
        <w:jc w:val="center"/>
        <w:rPr>
          <w:rStyle w:val="43"/>
          <w:rFonts w:hAnsiTheme="minorHAnsi" w:cstheme="minorBidi"/>
        </w:rPr>
      </w:pPr>
    </w:p>
    <w:p>
      <w:pPr>
        <w:overflowPunct w:val="0"/>
        <w:ind w:firstLine="0" w:firstLineChars="0"/>
        <w:jc w:val="center"/>
        <w:rPr>
          <w:rStyle w:val="43"/>
          <w:rFonts w:hAnsiTheme="minorHAnsi" w:cstheme="minorBidi"/>
        </w:rPr>
      </w:pPr>
    </w:p>
    <w:p>
      <w:pPr>
        <w:ind w:firstLine="0" w:firstLineChars="0"/>
        <w:jc w:val="center"/>
        <w:rPr>
          <w:rFonts w:ascii="楷体" w:hAnsi="楷体" w:eastAsia="楷体"/>
          <w:sz w:val="36"/>
          <w:szCs w:val="24"/>
        </w:rPr>
      </w:pPr>
      <w:r>
        <w:rPr>
          <w:rFonts w:hint="eastAsia" w:ascii="楷体" w:hAnsi="楷体" w:eastAsia="楷体"/>
          <w:sz w:val="36"/>
          <w:szCs w:val="24"/>
        </w:rPr>
        <w:t>信阳市交通运输局</w:t>
      </w:r>
    </w:p>
    <w:p>
      <w:pPr>
        <w:ind w:firstLine="0" w:firstLineChars="0"/>
        <w:jc w:val="center"/>
        <w:rPr>
          <w:rFonts w:ascii="楷体" w:hAnsi="楷体" w:eastAsia="楷体"/>
          <w:sz w:val="36"/>
          <w:szCs w:val="24"/>
        </w:rPr>
      </w:pPr>
      <w:r>
        <w:rPr>
          <w:rFonts w:hint="eastAsia" w:ascii="楷体" w:hAnsi="楷体" w:eastAsia="楷体"/>
          <w:sz w:val="36"/>
          <w:szCs w:val="24"/>
        </w:rPr>
        <w:t>河南省中工设计研究院集团股份有限公司</w:t>
      </w:r>
    </w:p>
    <w:p>
      <w:pPr>
        <w:overflowPunct w:val="0"/>
        <w:ind w:firstLine="0" w:firstLineChars="0"/>
        <w:jc w:val="center"/>
        <w:rPr>
          <w:rFonts w:ascii="楷体" w:hAnsi="楷体" w:eastAsia="楷体"/>
          <w:b/>
          <w:sz w:val="36"/>
          <w:szCs w:val="36"/>
        </w:rPr>
      </w:pPr>
      <w:r>
        <w:rPr>
          <w:rFonts w:hint="eastAsia" w:ascii="楷体" w:hAnsi="楷体" w:eastAsia="楷体"/>
          <w:b/>
          <w:sz w:val="36"/>
          <w:szCs w:val="36"/>
        </w:rPr>
        <w:t>二〇二四年十月</w:t>
      </w:r>
    </w:p>
    <w:p>
      <w:pPr>
        <w:ind w:firstLine="723"/>
        <w:rPr>
          <w:rFonts w:ascii="楷体" w:hAnsi="楷体" w:eastAsia="楷体"/>
          <w:b/>
          <w:sz w:val="36"/>
          <w:szCs w:val="36"/>
        </w:rPr>
      </w:pPr>
    </w:p>
    <w:p>
      <w:pPr>
        <w:ind w:firstLine="720"/>
        <w:rPr>
          <w:rFonts w:ascii="楷体" w:hAnsi="楷体" w:eastAsia="楷体"/>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ascii="Times New Roman" w:hAnsi="Times New Roman" w:eastAsia="仿宋" w:cs="Times New Roman"/>
          <w:b w:val="0"/>
          <w:bCs w:val="0"/>
          <w:color w:val="auto"/>
          <w:kern w:val="2"/>
          <w:sz w:val="32"/>
          <w:szCs w:val="20"/>
          <w:lang w:val="zh-CN"/>
        </w:rPr>
        <w:id w:val="856007773"/>
        <w:docPartObj>
          <w:docPartGallery w:val="Table of Contents"/>
          <w:docPartUnique/>
        </w:docPartObj>
      </w:sdtPr>
      <w:sdtEndPr>
        <w:rPr>
          <w:rFonts w:ascii="Times New Roman" w:hAnsi="Times New Roman" w:eastAsia="仿宋" w:cs="Times New Roman"/>
          <w:b w:val="0"/>
          <w:bCs w:val="0"/>
          <w:color w:val="auto"/>
          <w:kern w:val="2"/>
          <w:sz w:val="32"/>
          <w:szCs w:val="20"/>
          <w:lang w:val="zh-CN"/>
        </w:rPr>
      </w:sdtEndPr>
      <w:sdtContent>
        <w:p>
          <w:pPr>
            <w:pStyle w:val="50"/>
            <w:ind w:firstLine="640"/>
            <w:jc w:val="center"/>
            <w:rPr>
              <w:rStyle w:val="43"/>
              <w:rFonts w:ascii="Times New Roman" w:hAnsi="Times New Roman" w:eastAsia="仿宋" w:cs="Times New Roman"/>
              <w:b/>
              <w:bCs w:val="0"/>
              <w:color w:val="auto"/>
              <w:kern w:val="2"/>
              <w:sz w:val="32"/>
              <w:szCs w:val="32"/>
            </w:rPr>
          </w:pPr>
          <w:r>
            <w:rPr>
              <w:rStyle w:val="43"/>
              <w:rFonts w:hint="eastAsia" w:ascii="Times New Roman" w:hAnsi="Times New Roman" w:eastAsia="仿宋" w:cs="Times New Roman"/>
              <w:b/>
              <w:bCs w:val="0"/>
              <w:color w:val="auto"/>
              <w:kern w:val="2"/>
              <w:sz w:val="32"/>
              <w:szCs w:val="32"/>
            </w:rPr>
            <w:t>目</w:t>
          </w:r>
          <w:r>
            <w:rPr>
              <w:rStyle w:val="43"/>
              <w:rFonts w:ascii="Times New Roman" w:hAnsi="Times New Roman" w:eastAsia="仿宋" w:cs="Times New Roman"/>
              <w:b/>
              <w:bCs w:val="0"/>
              <w:color w:val="auto"/>
              <w:kern w:val="2"/>
              <w:sz w:val="32"/>
              <w:szCs w:val="32"/>
            </w:rPr>
            <w:t xml:space="preserve">  </w:t>
          </w:r>
          <w:r>
            <w:rPr>
              <w:rStyle w:val="43"/>
              <w:rFonts w:hint="eastAsia" w:ascii="Times New Roman" w:hAnsi="Times New Roman" w:eastAsia="仿宋" w:cs="Times New Roman"/>
              <w:b/>
              <w:bCs w:val="0"/>
              <w:color w:val="auto"/>
              <w:kern w:val="2"/>
              <w:sz w:val="32"/>
              <w:szCs w:val="32"/>
            </w:rPr>
            <w:t>录</w:t>
          </w:r>
        </w:p>
        <w:p>
          <w:pPr>
            <w:pStyle w:val="17"/>
            <w:rPr>
              <w:rFonts w:ascii="Times New Roman" w:eastAsia="仿宋"/>
              <w14:ligatures w14:val="standardContextual"/>
            </w:rPr>
          </w:pPr>
          <w:r>
            <w:fldChar w:fldCharType="begin"/>
          </w:r>
          <w:r>
            <w:instrText xml:space="preserve"> TOC \o "1-3" \h \z \u </w:instrText>
          </w:r>
          <w:r>
            <w:fldChar w:fldCharType="separate"/>
          </w:r>
          <w:r>
            <w:fldChar w:fldCharType="begin"/>
          </w:r>
          <w:r>
            <w:instrText xml:space="preserve"> HYPERLINK \l "_Toc181110953" </w:instrText>
          </w:r>
          <w:r>
            <w:fldChar w:fldCharType="separate"/>
          </w:r>
          <w:r>
            <w:rPr>
              <w:rStyle w:val="30"/>
              <w:rFonts w:hint="eastAsia" w:ascii="Times New Roman" w:eastAsia="仿宋"/>
            </w:rPr>
            <w:t>一、概述</w:t>
          </w:r>
          <w:r>
            <w:rPr>
              <w:rFonts w:ascii="Times New Roman" w:eastAsia="仿宋"/>
            </w:rPr>
            <w:tab/>
          </w:r>
          <w:r>
            <w:rPr>
              <w:rFonts w:ascii="Times New Roman" w:eastAsia="仿宋"/>
            </w:rPr>
            <w:fldChar w:fldCharType="begin"/>
          </w:r>
          <w:r>
            <w:rPr>
              <w:rFonts w:ascii="Times New Roman" w:eastAsia="仿宋"/>
            </w:rPr>
            <w:instrText xml:space="preserve"> PAGEREF _Toc181110953 \h </w:instrText>
          </w:r>
          <w:r>
            <w:rPr>
              <w:rFonts w:ascii="Times New Roman" w:eastAsia="仿宋"/>
            </w:rPr>
            <w:fldChar w:fldCharType="separate"/>
          </w:r>
          <w:r>
            <w:rPr>
              <w:rFonts w:ascii="Times New Roman" w:eastAsia="仿宋"/>
            </w:rPr>
            <w:t>1</w:t>
          </w:r>
          <w:r>
            <w:rPr>
              <w:rFonts w:ascii="Times New Roman" w:eastAsia="仿宋"/>
            </w:rPr>
            <w:fldChar w:fldCharType="end"/>
          </w:r>
          <w:r>
            <w:rPr>
              <w:rFonts w:ascii="Times New Roman" w:eastAsia="仿宋"/>
            </w:rPr>
            <w:fldChar w:fldCharType="end"/>
          </w:r>
        </w:p>
        <w:p>
          <w:pPr>
            <w:pStyle w:val="11"/>
            <w:tabs>
              <w:tab w:val="right" w:leader="dot" w:pos="8296"/>
            </w:tabs>
            <w:ind w:left="0" w:leftChars="0" w:firstLine="560"/>
            <w:rPr>
              <w:rFonts w:ascii="Times New Roman" w:hAnsi="Times New Roman" w:eastAsia="仿宋" w:cs="Times New Roman"/>
              <w:sz w:val="28"/>
              <w:szCs w:val="28"/>
              <w14:ligatures w14:val="standardContextual"/>
            </w:rPr>
          </w:pPr>
          <w:r>
            <w:fldChar w:fldCharType="begin"/>
          </w:r>
          <w:r>
            <w:instrText xml:space="preserve"> HYPERLINK \l "_Toc181110954" </w:instrText>
          </w:r>
          <w:r>
            <w:fldChar w:fldCharType="separate"/>
          </w:r>
          <w:r>
            <w:rPr>
              <w:rStyle w:val="30"/>
              <w:rFonts w:hint="eastAsia" w:ascii="Times New Roman" w:hAnsi="Times New Roman" w:eastAsia="仿宋" w:cs="Times New Roman"/>
              <w:sz w:val="28"/>
              <w:szCs w:val="28"/>
            </w:rPr>
            <w:t>（一）规划背景</w:t>
          </w:r>
          <w:r>
            <w:rPr>
              <w:rFonts w:ascii="Times New Roman" w:hAnsi="Times New Roman" w:eastAsia="仿宋" w:cs="Times New Roman"/>
              <w:sz w:val="28"/>
              <w:szCs w:val="28"/>
            </w:rPr>
            <w:tab/>
          </w:r>
          <w:r>
            <w:rPr>
              <w:rFonts w:hint="eastAsia"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_Toc181110954 \h </w:instrText>
          </w:r>
          <w:r>
            <w:rPr>
              <w:rFonts w:hint="eastAsia" w:ascii="Times New Roman" w:hAnsi="Times New Roman" w:eastAsia="仿宋" w:cs="Times New Roman"/>
              <w:sz w:val="28"/>
              <w:szCs w:val="28"/>
            </w:rPr>
            <w:fldChar w:fldCharType="separate"/>
          </w:r>
          <w:r>
            <w:rPr>
              <w:rFonts w:ascii="Times New Roman" w:hAnsi="Times New Roman" w:eastAsia="仿宋" w:cs="Times New Roman"/>
              <w:sz w:val="28"/>
              <w:szCs w:val="28"/>
            </w:rPr>
            <w:t>1</w:t>
          </w:r>
          <w:r>
            <w:rPr>
              <w:rFonts w:hint="eastAsia" w:ascii="Times New Roman" w:hAnsi="Times New Roman" w:eastAsia="仿宋" w:cs="Times New Roman"/>
              <w:sz w:val="28"/>
              <w:szCs w:val="28"/>
            </w:rPr>
            <w:fldChar w:fldCharType="end"/>
          </w:r>
          <w:r>
            <w:rPr>
              <w:rFonts w:hint="eastAsia" w:ascii="Times New Roman" w:hAnsi="Times New Roman" w:eastAsia="仿宋" w:cs="Times New Roman"/>
              <w:sz w:val="28"/>
              <w:szCs w:val="28"/>
            </w:rPr>
            <w:fldChar w:fldCharType="end"/>
          </w:r>
        </w:p>
        <w:p>
          <w:pPr>
            <w:pStyle w:val="11"/>
            <w:tabs>
              <w:tab w:val="right" w:leader="dot" w:pos="8296"/>
            </w:tabs>
            <w:ind w:left="0" w:leftChars="0" w:firstLine="560"/>
            <w:rPr>
              <w:rFonts w:ascii="Times New Roman" w:hAnsi="Times New Roman" w:eastAsia="仿宋" w:cs="Times New Roman"/>
              <w:sz w:val="28"/>
              <w:szCs w:val="28"/>
              <w14:ligatures w14:val="standardContextual"/>
            </w:rPr>
          </w:pPr>
          <w:r>
            <w:fldChar w:fldCharType="begin"/>
          </w:r>
          <w:r>
            <w:instrText xml:space="preserve"> HYPERLINK \l "_Toc181110955" </w:instrText>
          </w:r>
          <w:r>
            <w:fldChar w:fldCharType="separate"/>
          </w:r>
          <w:r>
            <w:rPr>
              <w:rStyle w:val="30"/>
              <w:rFonts w:hint="eastAsia" w:ascii="Times New Roman" w:hAnsi="Times New Roman" w:eastAsia="仿宋" w:cs="Times New Roman"/>
              <w:sz w:val="28"/>
              <w:szCs w:val="28"/>
            </w:rPr>
            <w:t>（二）规划范围</w:t>
          </w:r>
          <w:r>
            <w:rPr>
              <w:rFonts w:ascii="Times New Roman" w:hAnsi="Times New Roman" w:eastAsia="仿宋" w:cs="Times New Roman"/>
              <w:sz w:val="28"/>
              <w:szCs w:val="28"/>
            </w:rPr>
            <w:tab/>
          </w:r>
          <w:r>
            <w:rPr>
              <w:rFonts w:hint="eastAsia"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_Toc181110955 \h </w:instrText>
          </w:r>
          <w:r>
            <w:rPr>
              <w:rFonts w:hint="eastAsia" w:ascii="Times New Roman" w:hAnsi="Times New Roman" w:eastAsia="仿宋" w:cs="Times New Roman"/>
              <w:sz w:val="28"/>
              <w:szCs w:val="28"/>
            </w:rPr>
            <w:fldChar w:fldCharType="separate"/>
          </w:r>
          <w:r>
            <w:rPr>
              <w:rFonts w:ascii="Times New Roman" w:hAnsi="Times New Roman" w:eastAsia="仿宋" w:cs="Times New Roman"/>
              <w:sz w:val="28"/>
              <w:szCs w:val="28"/>
            </w:rPr>
            <w:t>2</w:t>
          </w:r>
          <w:r>
            <w:rPr>
              <w:rFonts w:hint="eastAsia" w:ascii="Times New Roman" w:hAnsi="Times New Roman" w:eastAsia="仿宋" w:cs="Times New Roman"/>
              <w:sz w:val="28"/>
              <w:szCs w:val="28"/>
            </w:rPr>
            <w:fldChar w:fldCharType="end"/>
          </w:r>
          <w:r>
            <w:rPr>
              <w:rFonts w:hint="eastAsia" w:ascii="Times New Roman" w:hAnsi="Times New Roman" w:eastAsia="仿宋" w:cs="Times New Roman"/>
              <w:sz w:val="28"/>
              <w:szCs w:val="28"/>
            </w:rPr>
            <w:fldChar w:fldCharType="end"/>
          </w:r>
        </w:p>
        <w:p>
          <w:pPr>
            <w:pStyle w:val="11"/>
            <w:tabs>
              <w:tab w:val="right" w:leader="dot" w:pos="8296"/>
            </w:tabs>
            <w:ind w:left="0" w:leftChars="0" w:firstLine="560"/>
            <w:rPr>
              <w:rFonts w:ascii="Times New Roman" w:hAnsi="Times New Roman" w:eastAsia="仿宋" w:cs="Times New Roman"/>
              <w:sz w:val="28"/>
              <w:szCs w:val="28"/>
              <w14:ligatures w14:val="standardContextual"/>
            </w:rPr>
          </w:pPr>
          <w:r>
            <w:fldChar w:fldCharType="begin"/>
          </w:r>
          <w:r>
            <w:instrText xml:space="preserve"> HYPERLINK \l "_Toc181110956" </w:instrText>
          </w:r>
          <w:r>
            <w:fldChar w:fldCharType="separate"/>
          </w:r>
          <w:r>
            <w:rPr>
              <w:rStyle w:val="30"/>
              <w:rFonts w:hint="eastAsia" w:ascii="Times New Roman" w:hAnsi="Times New Roman" w:eastAsia="仿宋" w:cs="Times New Roman"/>
              <w:sz w:val="28"/>
              <w:szCs w:val="28"/>
            </w:rPr>
            <w:t>（三）规划依据</w:t>
          </w:r>
          <w:r>
            <w:rPr>
              <w:rFonts w:ascii="Times New Roman" w:hAnsi="Times New Roman" w:eastAsia="仿宋" w:cs="Times New Roman"/>
              <w:sz w:val="28"/>
              <w:szCs w:val="28"/>
            </w:rPr>
            <w:tab/>
          </w:r>
          <w:r>
            <w:rPr>
              <w:rFonts w:hint="eastAsia"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PAGEREF _Toc181110956 \h </w:instrText>
          </w:r>
          <w:r>
            <w:rPr>
              <w:rFonts w:hint="eastAsia" w:ascii="Times New Roman" w:hAnsi="Times New Roman" w:eastAsia="仿宋" w:cs="Times New Roman"/>
              <w:sz w:val="28"/>
              <w:szCs w:val="28"/>
            </w:rPr>
            <w:fldChar w:fldCharType="separate"/>
          </w:r>
          <w:r>
            <w:rPr>
              <w:rFonts w:ascii="Times New Roman" w:hAnsi="Times New Roman" w:eastAsia="仿宋" w:cs="Times New Roman"/>
              <w:sz w:val="28"/>
              <w:szCs w:val="28"/>
            </w:rPr>
            <w:t>2</w:t>
          </w:r>
          <w:r>
            <w:rPr>
              <w:rFonts w:hint="eastAsia" w:ascii="Times New Roman" w:hAnsi="Times New Roman" w:eastAsia="仿宋" w:cs="Times New Roman"/>
              <w:sz w:val="28"/>
              <w:szCs w:val="28"/>
            </w:rPr>
            <w:fldChar w:fldCharType="end"/>
          </w:r>
          <w:r>
            <w:rPr>
              <w:rFonts w:hint="eastAsia" w:ascii="Times New Roman" w:hAnsi="Times New Roman" w:eastAsia="仿宋" w:cs="Times New Roman"/>
              <w:sz w:val="28"/>
              <w:szCs w:val="28"/>
            </w:rPr>
            <w:fldChar w:fldCharType="end"/>
          </w:r>
        </w:p>
        <w:p>
          <w:pPr>
            <w:pStyle w:val="17"/>
            <w:rPr>
              <w:rFonts w:ascii="Times New Roman" w:eastAsia="仿宋"/>
              <w14:ligatures w14:val="standardContextual"/>
            </w:rPr>
          </w:pPr>
          <w:r>
            <w:fldChar w:fldCharType="begin"/>
          </w:r>
          <w:r>
            <w:instrText xml:space="preserve"> HYPERLINK \l "_Toc181110957" </w:instrText>
          </w:r>
          <w:r>
            <w:fldChar w:fldCharType="separate"/>
          </w:r>
          <w:r>
            <w:rPr>
              <w:rStyle w:val="30"/>
              <w:rFonts w:hint="eastAsia" w:ascii="Times New Roman" w:eastAsia="仿宋"/>
            </w:rPr>
            <w:t>二、规划基础</w:t>
          </w:r>
          <w:r>
            <w:rPr>
              <w:rFonts w:ascii="Times New Roman" w:eastAsia="仿宋"/>
            </w:rPr>
            <w:tab/>
          </w:r>
          <w:r>
            <w:rPr>
              <w:rFonts w:ascii="Times New Roman" w:eastAsia="仿宋"/>
            </w:rPr>
            <w:fldChar w:fldCharType="begin"/>
          </w:r>
          <w:r>
            <w:rPr>
              <w:rFonts w:ascii="Times New Roman" w:eastAsia="仿宋"/>
            </w:rPr>
            <w:instrText xml:space="preserve"> PAGEREF _Toc181110957 \h </w:instrText>
          </w:r>
          <w:r>
            <w:rPr>
              <w:rFonts w:ascii="Times New Roman" w:eastAsia="仿宋"/>
            </w:rPr>
            <w:fldChar w:fldCharType="separate"/>
          </w:r>
          <w:r>
            <w:rPr>
              <w:rFonts w:ascii="Times New Roman" w:eastAsia="仿宋"/>
            </w:rPr>
            <w:t>6</w:t>
          </w:r>
          <w:r>
            <w:rPr>
              <w:rFonts w:ascii="Times New Roman" w:eastAsia="仿宋"/>
            </w:rPr>
            <w:fldChar w:fldCharType="end"/>
          </w:r>
          <w:r>
            <w:rPr>
              <w:rFonts w:ascii="Times New Roman" w:eastAsia="仿宋"/>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"_Toc181110958" </w:instrText>
          </w:r>
          <w:r>
            <w:fldChar w:fldCharType="separate"/>
          </w:r>
          <w:r>
            <w:rPr>
              <w:rStyle w:val="30"/>
              <w:rFonts w:hint="eastAsia" w:ascii="Times New Roman" w:hAnsi="Times New Roman" w:eastAsia="仿宋" w:cs="Times New Roman"/>
              <w:sz w:val="28"/>
              <w:szCs w:val="28"/>
            </w:rPr>
            <w:t>（一）发展现状</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_Toc181110958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6</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"_Toc181110959" </w:instrText>
          </w:r>
          <w:r>
            <w:fldChar w:fldCharType="separate"/>
          </w:r>
          <w:r>
            <w:rPr>
              <w:rStyle w:val="30"/>
              <w:rFonts w:hint="eastAsia" w:ascii="Times New Roman" w:hAnsi="Times New Roman" w:eastAsia="仿宋" w:cs="Times New Roman"/>
              <w:sz w:val="28"/>
              <w:szCs w:val="28"/>
            </w:rPr>
            <w:t>（二）存在问题</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_Toc181110959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10</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7"/>
            <w:rPr>
              <w:rFonts w:ascii="Times New Roman" w:eastAsia="仿宋"/>
              <w14:ligatures w14:val="standardContextual"/>
            </w:rPr>
          </w:pPr>
          <w:r>
            <w:fldChar w:fldCharType="begin"/>
          </w:r>
          <w:r>
            <w:instrText xml:space="preserve"> HYPERLINK \l "_Toc181110960" </w:instrText>
          </w:r>
          <w:r>
            <w:fldChar w:fldCharType="separate"/>
          </w:r>
          <w:r>
            <w:rPr>
              <w:rStyle w:val="30"/>
              <w:rFonts w:hint="eastAsia" w:ascii="Times New Roman" w:eastAsia="仿宋"/>
            </w:rPr>
            <w:t>三、发展趋势</w:t>
          </w:r>
          <w:r>
            <w:rPr>
              <w:rFonts w:ascii="Times New Roman" w:eastAsia="仿宋"/>
            </w:rPr>
            <w:tab/>
          </w:r>
          <w:r>
            <w:rPr>
              <w:rFonts w:ascii="Times New Roman" w:eastAsia="仿宋"/>
            </w:rPr>
            <w:fldChar w:fldCharType="begin"/>
          </w:r>
          <w:r>
            <w:rPr>
              <w:rFonts w:ascii="Times New Roman" w:eastAsia="仿宋"/>
            </w:rPr>
            <w:instrText xml:space="preserve"> PAGEREF _Toc181110960 \h </w:instrText>
          </w:r>
          <w:r>
            <w:rPr>
              <w:rFonts w:ascii="Times New Roman" w:eastAsia="仿宋"/>
            </w:rPr>
            <w:fldChar w:fldCharType="separate"/>
          </w:r>
          <w:r>
            <w:rPr>
              <w:rFonts w:ascii="Times New Roman" w:eastAsia="仿宋"/>
            </w:rPr>
            <w:t>11</w:t>
          </w:r>
          <w:r>
            <w:rPr>
              <w:rFonts w:ascii="Times New Roman" w:eastAsia="仿宋"/>
            </w:rPr>
            <w:fldChar w:fldCharType="end"/>
          </w:r>
          <w:r>
            <w:rPr>
              <w:rFonts w:ascii="Times New Roman" w:eastAsia="仿宋"/>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"_Toc181110961" </w:instrText>
          </w:r>
          <w:r>
            <w:fldChar w:fldCharType="separate"/>
          </w:r>
          <w:r>
            <w:rPr>
              <w:rStyle w:val="30"/>
              <w:rFonts w:hint="eastAsia" w:ascii="Times New Roman" w:hAnsi="Times New Roman" w:eastAsia="仿宋" w:cs="Times New Roman"/>
              <w:sz w:val="28"/>
              <w:szCs w:val="28"/>
            </w:rPr>
            <w:t>（一）形势要求</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_Toc181110961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11</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"_Toc181110962" </w:instrText>
          </w:r>
          <w:r>
            <w:fldChar w:fldCharType="separate"/>
          </w:r>
          <w:r>
            <w:rPr>
              <w:rStyle w:val="30"/>
              <w:rFonts w:hint="eastAsia" w:ascii="Times New Roman" w:hAnsi="Times New Roman" w:eastAsia="仿宋" w:cs="Times New Roman"/>
              <w:sz w:val="28"/>
              <w:szCs w:val="28"/>
            </w:rPr>
            <w:t>（二）需求分析</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_Toc181110962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14</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7"/>
            <w:rPr>
              <w:rFonts w:ascii="Times New Roman" w:eastAsia="仿宋"/>
              <w14:ligatures w14:val="standardContextual"/>
            </w:rPr>
          </w:pPr>
          <w:r>
            <w:fldChar w:fldCharType="begin"/>
          </w:r>
          <w:r>
            <w:instrText xml:space="preserve"> HYPERLINK \l "_Toc181110963" </w:instrText>
          </w:r>
          <w:r>
            <w:fldChar w:fldCharType="separate"/>
          </w:r>
          <w:r>
            <w:rPr>
              <w:rStyle w:val="30"/>
              <w:rFonts w:hint="eastAsia" w:ascii="Times New Roman" w:eastAsia="仿宋"/>
            </w:rPr>
            <w:t>四、总体要求</w:t>
          </w:r>
          <w:r>
            <w:rPr>
              <w:rFonts w:ascii="Times New Roman" w:eastAsia="仿宋"/>
            </w:rPr>
            <w:tab/>
          </w:r>
          <w:r>
            <w:rPr>
              <w:rFonts w:ascii="Times New Roman" w:eastAsia="仿宋"/>
            </w:rPr>
            <w:fldChar w:fldCharType="begin"/>
          </w:r>
          <w:r>
            <w:rPr>
              <w:rFonts w:ascii="Times New Roman" w:eastAsia="仿宋"/>
            </w:rPr>
            <w:instrText xml:space="preserve"> PAGEREF _Toc181110963 \h </w:instrText>
          </w:r>
          <w:r>
            <w:rPr>
              <w:rFonts w:ascii="Times New Roman" w:eastAsia="仿宋"/>
            </w:rPr>
            <w:fldChar w:fldCharType="separate"/>
          </w:r>
          <w:r>
            <w:rPr>
              <w:rFonts w:ascii="Times New Roman" w:eastAsia="仿宋"/>
            </w:rPr>
            <w:t>16</w:t>
          </w:r>
          <w:r>
            <w:rPr>
              <w:rFonts w:ascii="Times New Roman" w:eastAsia="仿宋"/>
            </w:rPr>
            <w:fldChar w:fldCharType="end"/>
          </w:r>
          <w:r>
            <w:rPr>
              <w:rFonts w:ascii="Times New Roman" w:eastAsia="仿宋"/>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"_Toc181110964" </w:instrText>
          </w:r>
          <w:r>
            <w:fldChar w:fldCharType="separate"/>
          </w:r>
          <w:r>
            <w:rPr>
              <w:rStyle w:val="30"/>
              <w:rFonts w:hint="eastAsia" w:ascii="Times New Roman" w:hAnsi="Times New Roman" w:eastAsia="仿宋" w:cs="Times New Roman"/>
              <w:sz w:val="28"/>
              <w:szCs w:val="28"/>
            </w:rPr>
            <w:t>（一）指导思想</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_Toc181110964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16</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"_Toc181110965" </w:instrText>
          </w:r>
          <w:r>
            <w:fldChar w:fldCharType="separate"/>
          </w:r>
          <w:r>
            <w:rPr>
              <w:rStyle w:val="30"/>
              <w:rFonts w:hint="eastAsia" w:ascii="Times New Roman" w:hAnsi="Times New Roman" w:eastAsia="仿宋" w:cs="Times New Roman"/>
              <w:sz w:val="28"/>
              <w:szCs w:val="28"/>
            </w:rPr>
            <w:t>（二）基本原则</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_Toc181110965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16</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"_Toc181110966" </w:instrText>
          </w:r>
          <w:r>
            <w:fldChar w:fldCharType="separate"/>
          </w:r>
          <w:r>
            <w:rPr>
              <w:rStyle w:val="30"/>
              <w:rFonts w:hint="eastAsia" w:ascii="Times New Roman" w:hAnsi="Times New Roman" w:eastAsia="仿宋" w:cs="Times New Roman"/>
              <w:sz w:val="28"/>
              <w:szCs w:val="28"/>
            </w:rPr>
            <w:t>（三）发展目标</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_Toc181110966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17</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7"/>
            <w:rPr>
              <w:rFonts w:ascii="Times New Roman" w:eastAsia="仿宋"/>
              <w14:ligatures w14:val="standardContextual"/>
            </w:rPr>
          </w:pPr>
          <w:r>
            <w:fldChar w:fldCharType="begin"/>
          </w:r>
          <w:r>
            <w:instrText xml:space="preserve"> HYPERLINK \l "_Toc181110967" </w:instrText>
          </w:r>
          <w:r>
            <w:fldChar w:fldCharType="separate"/>
          </w:r>
          <w:r>
            <w:rPr>
              <w:rStyle w:val="30"/>
              <w:rFonts w:hint="eastAsia" w:ascii="Times New Roman" w:eastAsia="仿宋"/>
            </w:rPr>
            <w:t>五、规划方案</w:t>
          </w:r>
          <w:r>
            <w:rPr>
              <w:rFonts w:ascii="Times New Roman" w:eastAsia="仿宋"/>
            </w:rPr>
            <w:tab/>
          </w:r>
          <w:r>
            <w:rPr>
              <w:rFonts w:ascii="Times New Roman" w:eastAsia="仿宋"/>
            </w:rPr>
            <w:fldChar w:fldCharType="begin"/>
          </w:r>
          <w:r>
            <w:rPr>
              <w:rFonts w:ascii="Times New Roman" w:eastAsia="仿宋"/>
            </w:rPr>
            <w:instrText xml:space="preserve"> PAGEREF _Toc181110967 \h </w:instrText>
          </w:r>
          <w:r>
            <w:rPr>
              <w:rFonts w:ascii="Times New Roman" w:eastAsia="仿宋"/>
            </w:rPr>
            <w:fldChar w:fldCharType="separate"/>
          </w:r>
          <w:r>
            <w:rPr>
              <w:rFonts w:ascii="Times New Roman" w:eastAsia="仿宋"/>
            </w:rPr>
            <w:t>19</w:t>
          </w:r>
          <w:r>
            <w:rPr>
              <w:rFonts w:ascii="Times New Roman" w:eastAsia="仿宋"/>
            </w:rPr>
            <w:fldChar w:fldCharType="end"/>
          </w:r>
          <w:r>
            <w:rPr>
              <w:rFonts w:ascii="Times New Roman" w:eastAsia="仿宋"/>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"_Toc181110968" </w:instrText>
          </w:r>
          <w:r>
            <w:fldChar w:fldCharType="separate"/>
          </w:r>
          <w:r>
            <w:rPr>
              <w:rStyle w:val="30"/>
              <w:rFonts w:hint="eastAsia" w:ascii="Times New Roman" w:hAnsi="Times New Roman" w:eastAsia="仿宋" w:cs="Times New Roman"/>
              <w:sz w:val="28"/>
              <w:szCs w:val="28"/>
            </w:rPr>
            <w:t>（一）构建高质量综合交通体系</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_Toc181110968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19</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"_Toc181110969" </w:instrText>
          </w:r>
          <w:r>
            <w:fldChar w:fldCharType="separate"/>
          </w:r>
          <w:r>
            <w:rPr>
              <w:rStyle w:val="30"/>
              <w:rFonts w:hint="eastAsia" w:ascii="Times New Roman" w:hAnsi="Times New Roman" w:eastAsia="仿宋" w:cs="Times New Roman"/>
              <w:sz w:val="28"/>
              <w:szCs w:val="28"/>
            </w:rPr>
            <w:t>（二）构建高起点枢纽经济体系</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_Toc181110969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27</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"_Toc181110970" </w:instrText>
          </w:r>
          <w:r>
            <w:fldChar w:fldCharType="separate"/>
          </w:r>
          <w:r>
            <w:rPr>
              <w:rStyle w:val="30"/>
              <w:rFonts w:hint="eastAsia" w:ascii="Times New Roman" w:hAnsi="Times New Roman" w:eastAsia="仿宋" w:cs="Times New Roman"/>
              <w:sz w:val="28"/>
              <w:szCs w:val="28"/>
            </w:rPr>
            <w:t>（三）构建高品质运输服务体系</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_Toc181110970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35</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"_Toc181110971" </w:instrText>
          </w:r>
          <w:r>
            <w:fldChar w:fldCharType="separate"/>
          </w:r>
          <w:r>
            <w:rPr>
              <w:rStyle w:val="30"/>
              <w:rFonts w:hint="eastAsia" w:ascii="Times New Roman" w:hAnsi="Times New Roman" w:eastAsia="仿宋" w:cs="Times New Roman"/>
              <w:sz w:val="28"/>
              <w:szCs w:val="28"/>
            </w:rPr>
            <w:t>（四）构建高规格统筹融合体系</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_Toc181110971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37</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"_Toc181110972" </w:instrText>
          </w:r>
          <w:r>
            <w:fldChar w:fldCharType="separate"/>
          </w:r>
          <w:r>
            <w:rPr>
              <w:rStyle w:val="30"/>
              <w:rFonts w:hint="eastAsia" w:ascii="Times New Roman" w:hAnsi="Times New Roman" w:eastAsia="仿宋" w:cs="Times New Roman"/>
              <w:sz w:val="28"/>
              <w:szCs w:val="28"/>
            </w:rPr>
            <w:t>（五）构建高层次科技创新体系</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_Toc181110972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40</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"_Toc181110973" </w:instrText>
          </w:r>
          <w:r>
            <w:fldChar w:fldCharType="separate"/>
          </w:r>
          <w:r>
            <w:rPr>
              <w:rStyle w:val="30"/>
              <w:rFonts w:hint="eastAsia" w:ascii="Times New Roman" w:hAnsi="Times New Roman" w:eastAsia="仿宋" w:cs="Times New Roman"/>
              <w:sz w:val="28"/>
              <w:szCs w:val="28"/>
            </w:rPr>
            <w:t>（六）构建高标准平安交通体系</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_Toc181110973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43</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"_Toc181110974" </w:instrText>
          </w:r>
          <w:r>
            <w:fldChar w:fldCharType="separate"/>
          </w:r>
          <w:r>
            <w:rPr>
              <w:rStyle w:val="30"/>
              <w:rFonts w:hint="eastAsia" w:ascii="Times New Roman" w:hAnsi="Times New Roman" w:eastAsia="仿宋" w:cs="Times New Roman"/>
              <w:sz w:val="28"/>
              <w:szCs w:val="28"/>
            </w:rPr>
            <w:t>（七）构建高能效绿色低碳体系</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_Toc181110974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45</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"_Toc181110975" </w:instrText>
          </w:r>
          <w:r>
            <w:fldChar w:fldCharType="separate"/>
          </w:r>
          <w:r>
            <w:rPr>
              <w:rStyle w:val="30"/>
              <w:rFonts w:hint="eastAsia" w:ascii="Times New Roman" w:hAnsi="Times New Roman" w:eastAsia="仿宋" w:cs="Times New Roman"/>
              <w:sz w:val="28"/>
              <w:szCs w:val="28"/>
            </w:rPr>
            <w:t>（八）构建高水平交通治理体系</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_Toc181110975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46</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7"/>
            <w:rPr>
              <w:rFonts w:ascii="Times New Roman" w:eastAsia="仿宋"/>
              <w14:ligatures w14:val="standardContextual"/>
            </w:rPr>
          </w:pPr>
          <w:r>
            <w:fldChar w:fldCharType="begin"/>
          </w:r>
          <w:r>
            <w:instrText xml:space="preserve"> HYPERLINK \l "_Toc181110976" </w:instrText>
          </w:r>
          <w:r>
            <w:fldChar w:fldCharType="separate"/>
          </w:r>
          <w:r>
            <w:rPr>
              <w:rStyle w:val="30"/>
              <w:rFonts w:hint="eastAsia" w:ascii="Times New Roman" w:eastAsia="仿宋"/>
            </w:rPr>
            <w:t>六、规划实施安排</w:t>
          </w:r>
          <w:r>
            <w:rPr>
              <w:rFonts w:ascii="Times New Roman" w:eastAsia="仿宋"/>
            </w:rPr>
            <w:tab/>
          </w:r>
          <w:r>
            <w:rPr>
              <w:rFonts w:ascii="Times New Roman" w:eastAsia="仿宋"/>
            </w:rPr>
            <w:fldChar w:fldCharType="begin"/>
          </w:r>
          <w:r>
            <w:rPr>
              <w:rFonts w:ascii="Times New Roman" w:eastAsia="仿宋"/>
            </w:rPr>
            <w:instrText xml:space="preserve"> PAGEREF _Toc181110976 \h </w:instrText>
          </w:r>
          <w:r>
            <w:rPr>
              <w:rFonts w:ascii="Times New Roman" w:eastAsia="仿宋"/>
            </w:rPr>
            <w:fldChar w:fldCharType="separate"/>
          </w:r>
          <w:r>
            <w:rPr>
              <w:rFonts w:ascii="Times New Roman" w:eastAsia="仿宋"/>
            </w:rPr>
            <w:t>48</w:t>
          </w:r>
          <w:r>
            <w:rPr>
              <w:rFonts w:ascii="Times New Roman" w:eastAsia="仿宋"/>
            </w:rPr>
            <w:fldChar w:fldCharType="end"/>
          </w:r>
          <w:r>
            <w:rPr>
              <w:rFonts w:ascii="Times New Roman" w:eastAsia="仿宋"/>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"_Toc181110977" </w:instrText>
          </w:r>
          <w:r>
            <w:fldChar w:fldCharType="separate"/>
          </w:r>
          <w:r>
            <w:rPr>
              <w:rStyle w:val="30"/>
              <w:rFonts w:hint="eastAsia" w:ascii="Times New Roman" w:hAnsi="Times New Roman" w:eastAsia="仿宋" w:cs="Times New Roman"/>
              <w:sz w:val="28"/>
              <w:szCs w:val="28"/>
            </w:rPr>
            <w:t>（一）实施安排原则</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_Toc181110977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48</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Fonts w:ascii="Times New Roman" w:hAnsi="Times New Roman" w:eastAsia="仿宋" w:cs="Times New Roman"/>
              <w:sz w:val="28"/>
              <w:szCs w:val="28"/>
              <w14:ligatures w14:val="standardContextual"/>
            </w:rPr>
          </w:pPr>
          <w:r>
            <w:fldChar w:fldCharType="begin"/>
          </w:r>
          <w:r>
            <w:instrText xml:space="preserve"> HYPERLINK \l "_Toc181110978" </w:instrText>
          </w:r>
          <w:r>
            <w:fldChar w:fldCharType="separate"/>
          </w:r>
          <w:r>
            <w:rPr>
              <w:rStyle w:val="30"/>
              <w:rFonts w:hint="eastAsia" w:ascii="Times New Roman" w:hAnsi="Times New Roman" w:eastAsia="仿宋" w:cs="Times New Roman"/>
              <w:sz w:val="28"/>
              <w:szCs w:val="28"/>
            </w:rPr>
            <w:t>（二）重点实施项目</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_Toc181110978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48</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7"/>
            <w:rPr>
              <w:rFonts w:ascii="Times New Roman" w:eastAsia="仿宋"/>
              <w14:ligatures w14:val="standardContextual"/>
            </w:rPr>
          </w:pPr>
          <w:r>
            <w:fldChar w:fldCharType="begin"/>
          </w:r>
          <w:r>
            <w:instrText xml:space="preserve"> HYPERLINK \l "_Toc181110979" </w:instrText>
          </w:r>
          <w:r>
            <w:fldChar w:fldCharType="separate"/>
          </w:r>
          <w:r>
            <w:rPr>
              <w:rStyle w:val="30"/>
              <w:rFonts w:hint="eastAsia" w:ascii="Times New Roman" w:eastAsia="仿宋"/>
            </w:rPr>
            <w:t>七、环境影响评价</w:t>
          </w:r>
          <w:r>
            <w:rPr>
              <w:rFonts w:ascii="Times New Roman" w:eastAsia="仿宋"/>
            </w:rPr>
            <w:tab/>
          </w:r>
          <w:r>
            <w:rPr>
              <w:rFonts w:ascii="Times New Roman" w:eastAsia="仿宋"/>
            </w:rPr>
            <w:fldChar w:fldCharType="begin"/>
          </w:r>
          <w:r>
            <w:rPr>
              <w:rFonts w:ascii="Times New Roman" w:eastAsia="仿宋"/>
            </w:rPr>
            <w:instrText xml:space="preserve"> PAGEREF _Toc181110979 \h </w:instrText>
          </w:r>
          <w:r>
            <w:rPr>
              <w:rFonts w:ascii="Times New Roman" w:eastAsia="仿宋"/>
            </w:rPr>
            <w:fldChar w:fldCharType="separate"/>
          </w:r>
          <w:r>
            <w:rPr>
              <w:rFonts w:ascii="Times New Roman" w:eastAsia="仿宋"/>
            </w:rPr>
            <w:t>53</w:t>
          </w:r>
          <w:r>
            <w:rPr>
              <w:rFonts w:ascii="Times New Roman" w:eastAsia="仿宋"/>
            </w:rPr>
            <w:fldChar w:fldCharType="end"/>
          </w:r>
          <w:r>
            <w:rPr>
              <w:rFonts w:ascii="Times New Roman" w:eastAsia="仿宋"/>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"_Toc181110980" </w:instrText>
          </w:r>
          <w:r>
            <w:fldChar w:fldCharType="separate"/>
          </w:r>
          <w:r>
            <w:rPr>
              <w:rStyle w:val="30"/>
              <w:rFonts w:hint="eastAsia" w:ascii="Times New Roman" w:hAnsi="Times New Roman" w:eastAsia="仿宋" w:cs="Times New Roman"/>
              <w:sz w:val="28"/>
              <w:szCs w:val="28"/>
            </w:rPr>
            <w:t>（一）规划实施环境影响分析</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_Toc181110980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53</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"_Toc181110981" </w:instrText>
          </w:r>
          <w:r>
            <w:fldChar w:fldCharType="separate"/>
          </w:r>
          <w:r>
            <w:rPr>
              <w:rStyle w:val="30"/>
              <w:rFonts w:hint="eastAsia" w:ascii="Times New Roman" w:hAnsi="Times New Roman" w:eastAsia="仿宋" w:cs="Times New Roman"/>
              <w:sz w:val="28"/>
              <w:szCs w:val="28"/>
            </w:rPr>
            <w:t>（二）规划实施环境影响评价</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_Toc181110981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53</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"_Toc181110982" </w:instrText>
          </w:r>
          <w:r>
            <w:fldChar w:fldCharType="separate"/>
          </w:r>
          <w:r>
            <w:rPr>
              <w:rStyle w:val="30"/>
              <w:rFonts w:hint="eastAsia" w:ascii="Times New Roman" w:hAnsi="Times New Roman" w:eastAsia="仿宋" w:cs="Times New Roman"/>
              <w:sz w:val="28"/>
              <w:szCs w:val="28"/>
            </w:rPr>
            <w:t>（三）环境保护措施</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_Toc181110982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54</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7"/>
            <w:rPr>
              <w:rFonts w:ascii="Times New Roman" w:eastAsia="仿宋"/>
              <w14:ligatures w14:val="standardContextual"/>
            </w:rPr>
          </w:pPr>
          <w:r>
            <w:fldChar w:fldCharType="begin"/>
          </w:r>
          <w:r>
            <w:instrText xml:space="preserve"> HYPERLINK \l "_Toc181110983" </w:instrText>
          </w:r>
          <w:r>
            <w:fldChar w:fldCharType="separate"/>
          </w:r>
          <w:r>
            <w:rPr>
              <w:rStyle w:val="30"/>
              <w:rFonts w:hint="eastAsia" w:ascii="Times New Roman" w:eastAsia="仿宋"/>
            </w:rPr>
            <w:t>八、保障措施</w:t>
          </w:r>
          <w:r>
            <w:rPr>
              <w:rFonts w:ascii="Times New Roman" w:eastAsia="仿宋"/>
            </w:rPr>
            <w:tab/>
          </w:r>
          <w:r>
            <w:rPr>
              <w:rFonts w:ascii="Times New Roman" w:eastAsia="仿宋"/>
            </w:rPr>
            <w:fldChar w:fldCharType="begin"/>
          </w:r>
          <w:r>
            <w:rPr>
              <w:rFonts w:ascii="Times New Roman" w:eastAsia="仿宋"/>
            </w:rPr>
            <w:instrText xml:space="preserve"> PAGEREF _Toc181110983 \h </w:instrText>
          </w:r>
          <w:r>
            <w:rPr>
              <w:rFonts w:ascii="Times New Roman" w:eastAsia="仿宋"/>
            </w:rPr>
            <w:fldChar w:fldCharType="separate"/>
          </w:r>
          <w:r>
            <w:rPr>
              <w:rFonts w:ascii="Times New Roman" w:eastAsia="仿宋"/>
            </w:rPr>
            <w:t>54</w:t>
          </w:r>
          <w:r>
            <w:rPr>
              <w:rFonts w:ascii="Times New Roman" w:eastAsia="仿宋"/>
            </w:rPr>
            <w:fldChar w:fldCharType="end"/>
          </w:r>
          <w:r>
            <w:rPr>
              <w:rFonts w:ascii="Times New Roman" w:eastAsia="仿宋"/>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"_Toc181110984" </w:instrText>
          </w:r>
          <w:r>
            <w:fldChar w:fldCharType="separate"/>
          </w:r>
          <w:r>
            <w:rPr>
              <w:rStyle w:val="30"/>
              <w:rFonts w:hint="eastAsia" w:ascii="Times New Roman" w:hAnsi="Times New Roman" w:eastAsia="仿宋" w:cs="Times New Roman"/>
              <w:sz w:val="28"/>
              <w:szCs w:val="28"/>
            </w:rPr>
            <w:t>（一）加强组织领导</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_Toc181110984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54</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"_Toc181110985" </w:instrText>
          </w:r>
          <w:r>
            <w:fldChar w:fldCharType="separate"/>
          </w:r>
          <w:r>
            <w:rPr>
              <w:rStyle w:val="30"/>
              <w:rFonts w:hint="eastAsia" w:ascii="Times New Roman" w:hAnsi="Times New Roman" w:eastAsia="仿宋" w:cs="Times New Roman"/>
              <w:sz w:val="28"/>
              <w:szCs w:val="28"/>
            </w:rPr>
            <w:t>（二）做好项目管理</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_Toc181110985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55</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"_Toc181110986" </w:instrText>
          </w:r>
          <w:r>
            <w:fldChar w:fldCharType="separate"/>
          </w:r>
          <w:r>
            <w:rPr>
              <w:rStyle w:val="30"/>
              <w:rFonts w:hint="eastAsia" w:ascii="Times New Roman" w:hAnsi="Times New Roman" w:eastAsia="仿宋" w:cs="Times New Roman"/>
              <w:sz w:val="28"/>
              <w:szCs w:val="28"/>
            </w:rPr>
            <w:t>（三）强化要素保障</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_Toc181110986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55</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"_Toc181110987" </w:instrText>
          </w:r>
          <w:r>
            <w:fldChar w:fldCharType="separate"/>
          </w:r>
          <w:r>
            <w:rPr>
              <w:rStyle w:val="30"/>
              <w:rFonts w:hint="eastAsia" w:ascii="Times New Roman" w:hAnsi="Times New Roman" w:eastAsia="仿宋" w:cs="Times New Roman"/>
              <w:sz w:val="28"/>
              <w:szCs w:val="28"/>
            </w:rPr>
            <w:t>（四）开展动态评估</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_Toc181110987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55</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7"/>
            <w:rPr>
              <w:rFonts w:ascii="Times New Roman" w:eastAsia="仿宋"/>
              <w14:ligatures w14:val="standardContextual"/>
            </w:rPr>
          </w:pPr>
          <w:r>
            <w:fldChar w:fldCharType="begin"/>
          </w:r>
          <w:r>
            <w:instrText xml:space="preserve"> HYPERLINK \l "_Toc181110988" </w:instrText>
          </w:r>
          <w:r>
            <w:fldChar w:fldCharType="separate"/>
          </w:r>
          <w:r>
            <w:rPr>
              <w:rStyle w:val="30"/>
              <w:rFonts w:hint="eastAsia" w:ascii="Times New Roman" w:eastAsia="仿宋"/>
              <w:kern w:val="44"/>
            </w:rPr>
            <w:t>附</w:t>
          </w:r>
          <w:r>
            <w:rPr>
              <w:rStyle w:val="30"/>
              <w:rFonts w:ascii="Times New Roman" w:eastAsia="仿宋"/>
              <w:kern w:val="44"/>
            </w:rPr>
            <w:t xml:space="preserve">  </w:t>
          </w:r>
          <w:r>
            <w:rPr>
              <w:rStyle w:val="30"/>
              <w:rFonts w:hint="eastAsia" w:ascii="Times New Roman" w:eastAsia="仿宋"/>
              <w:kern w:val="44"/>
            </w:rPr>
            <w:t>表</w:t>
          </w:r>
          <w:r>
            <w:rPr>
              <w:rFonts w:ascii="Times New Roman" w:eastAsia="仿宋"/>
            </w:rPr>
            <w:tab/>
          </w:r>
          <w:r>
            <w:rPr>
              <w:rFonts w:ascii="Times New Roman" w:eastAsia="仿宋"/>
            </w:rPr>
            <w:fldChar w:fldCharType="begin"/>
          </w:r>
          <w:r>
            <w:rPr>
              <w:rFonts w:ascii="Times New Roman" w:eastAsia="仿宋"/>
            </w:rPr>
            <w:instrText xml:space="preserve"> PAGEREF _Toc181110988 \h </w:instrText>
          </w:r>
          <w:r>
            <w:rPr>
              <w:rFonts w:ascii="Times New Roman" w:eastAsia="仿宋"/>
            </w:rPr>
            <w:fldChar w:fldCharType="separate"/>
          </w:r>
          <w:r>
            <w:rPr>
              <w:rFonts w:ascii="Times New Roman" w:eastAsia="仿宋"/>
            </w:rPr>
            <w:t>57</w:t>
          </w:r>
          <w:r>
            <w:rPr>
              <w:rFonts w:ascii="Times New Roman" w:eastAsia="仿宋"/>
            </w:rPr>
            <w:fldChar w:fldCharType="end"/>
          </w:r>
          <w:r>
            <w:rPr>
              <w:rFonts w:ascii="Times New Roman" w:eastAsia="仿宋"/>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"_Toc181110989" </w:instrText>
          </w:r>
          <w:r>
            <w:fldChar w:fldCharType="separate"/>
          </w:r>
          <w:r>
            <w:rPr>
              <w:rStyle w:val="30"/>
              <w:rFonts w:hint="eastAsia" w:ascii="Times New Roman" w:hAnsi="Times New Roman" w:eastAsia="仿宋" w:cs="Times New Roman"/>
              <w:sz w:val="28"/>
              <w:szCs w:val="28"/>
            </w:rPr>
            <w:t>附表</w:t>
          </w:r>
          <w:r>
            <w:rPr>
              <w:rStyle w:val="30"/>
              <w:rFonts w:ascii="Times New Roman" w:hAnsi="Times New Roman" w:eastAsia="仿宋" w:cs="Times New Roman"/>
              <w:sz w:val="28"/>
              <w:szCs w:val="28"/>
            </w:rPr>
            <w:t xml:space="preserve">1 </w:t>
          </w:r>
          <w:r>
            <w:rPr>
              <w:rStyle w:val="30"/>
              <w:rFonts w:hint="eastAsia" w:ascii="Times New Roman" w:hAnsi="Times New Roman" w:eastAsia="仿宋" w:cs="Times New Roman"/>
              <w:sz w:val="28"/>
              <w:szCs w:val="28"/>
            </w:rPr>
            <w:t>高速公路“</w:t>
          </w:r>
          <w:r>
            <w:rPr>
              <w:rStyle w:val="30"/>
              <w:rFonts w:ascii="Times New Roman" w:hAnsi="Times New Roman" w:eastAsia="仿宋" w:cs="Times New Roman"/>
              <w:sz w:val="28"/>
              <w:szCs w:val="28"/>
            </w:rPr>
            <w:t>多向互联工程</w:t>
          </w:r>
          <w:r>
            <w:rPr>
              <w:rStyle w:val="30"/>
              <w:rFonts w:hint="eastAsia" w:ascii="Times New Roman" w:hAnsi="Times New Roman" w:eastAsia="仿宋" w:cs="Times New Roman"/>
              <w:sz w:val="28"/>
              <w:szCs w:val="28"/>
            </w:rPr>
            <w:t>”项目明细表</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_Toc181110989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57</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"_Toc181110990" </w:instrText>
          </w:r>
          <w:r>
            <w:fldChar w:fldCharType="separate"/>
          </w:r>
          <w:r>
            <w:rPr>
              <w:rStyle w:val="30"/>
              <w:rFonts w:hint="eastAsia" w:ascii="Times New Roman" w:hAnsi="Times New Roman" w:eastAsia="仿宋" w:cs="Times New Roman"/>
              <w:sz w:val="28"/>
              <w:szCs w:val="28"/>
            </w:rPr>
            <w:t>附表</w:t>
          </w:r>
          <w:r>
            <w:rPr>
              <w:rStyle w:val="30"/>
              <w:rFonts w:ascii="Times New Roman" w:hAnsi="Times New Roman" w:eastAsia="仿宋" w:cs="Times New Roman"/>
              <w:sz w:val="28"/>
              <w:szCs w:val="28"/>
            </w:rPr>
            <w:t xml:space="preserve">2 </w:t>
          </w:r>
          <w:r>
            <w:rPr>
              <w:rStyle w:val="30"/>
              <w:rFonts w:hint="eastAsia" w:ascii="Times New Roman" w:hAnsi="Times New Roman" w:eastAsia="仿宋" w:cs="Times New Roman"/>
              <w:sz w:val="28"/>
              <w:szCs w:val="28"/>
            </w:rPr>
            <w:t>干线公路“</w:t>
          </w:r>
          <w:r>
            <w:rPr>
              <w:rStyle w:val="30"/>
              <w:rFonts w:ascii="Times New Roman" w:hAnsi="Times New Roman" w:eastAsia="仿宋" w:cs="Times New Roman"/>
              <w:sz w:val="28"/>
              <w:szCs w:val="28"/>
            </w:rPr>
            <w:t>畅通畅联工程</w:t>
          </w:r>
          <w:r>
            <w:rPr>
              <w:rStyle w:val="30"/>
              <w:rFonts w:hint="eastAsia" w:ascii="Times New Roman" w:hAnsi="Times New Roman" w:eastAsia="仿宋" w:cs="Times New Roman"/>
              <w:sz w:val="28"/>
              <w:szCs w:val="28"/>
            </w:rPr>
            <w:t>”项目明细表</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_Toc181110990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60</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"_Toc181110991" </w:instrText>
          </w:r>
          <w:r>
            <w:fldChar w:fldCharType="separate"/>
          </w:r>
          <w:r>
            <w:rPr>
              <w:rStyle w:val="30"/>
              <w:rFonts w:hint="eastAsia" w:ascii="Times New Roman" w:hAnsi="Times New Roman" w:eastAsia="仿宋" w:cs="Times New Roman"/>
              <w:sz w:val="28"/>
              <w:szCs w:val="28"/>
            </w:rPr>
            <w:t>附表</w:t>
          </w:r>
          <w:r>
            <w:rPr>
              <w:rStyle w:val="30"/>
              <w:rFonts w:ascii="Times New Roman" w:hAnsi="Times New Roman" w:eastAsia="仿宋" w:cs="Times New Roman"/>
              <w:sz w:val="28"/>
              <w:szCs w:val="28"/>
            </w:rPr>
            <w:t xml:space="preserve">3 </w:t>
          </w:r>
          <w:r>
            <w:rPr>
              <w:rStyle w:val="30"/>
              <w:rFonts w:hint="eastAsia" w:ascii="Times New Roman" w:hAnsi="Times New Roman" w:eastAsia="仿宋" w:cs="Times New Roman"/>
              <w:sz w:val="28"/>
              <w:szCs w:val="28"/>
            </w:rPr>
            <w:t>农村公路“</w:t>
          </w:r>
          <w:r>
            <w:rPr>
              <w:rStyle w:val="30"/>
              <w:rFonts w:ascii="Times New Roman" w:hAnsi="Times New Roman" w:eastAsia="仿宋" w:cs="Times New Roman"/>
              <w:sz w:val="28"/>
              <w:szCs w:val="28"/>
            </w:rPr>
            <w:t>提档提质工程</w:t>
          </w:r>
          <w:r>
            <w:rPr>
              <w:rStyle w:val="30"/>
              <w:rFonts w:hint="eastAsia" w:ascii="Times New Roman" w:hAnsi="Times New Roman" w:eastAsia="仿宋" w:cs="Times New Roman"/>
              <w:sz w:val="28"/>
              <w:szCs w:val="28"/>
            </w:rPr>
            <w:t>”项目明细表</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_Toc181110991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68</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"_Toc181110992" </w:instrText>
          </w:r>
          <w:r>
            <w:fldChar w:fldCharType="separate"/>
          </w:r>
          <w:r>
            <w:rPr>
              <w:rStyle w:val="30"/>
              <w:rFonts w:hint="eastAsia" w:ascii="Times New Roman" w:hAnsi="Times New Roman" w:eastAsia="仿宋" w:cs="Times New Roman"/>
              <w:sz w:val="28"/>
              <w:szCs w:val="28"/>
            </w:rPr>
            <w:t>附表</w:t>
          </w:r>
          <w:r>
            <w:rPr>
              <w:rStyle w:val="30"/>
              <w:rFonts w:ascii="Times New Roman" w:hAnsi="Times New Roman" w:eastAsia="仿宋" w:cs="Times New Roman"/>
              <w:sz w:val="28"/>
              <w:szCs w:val="28"/>
            </w:rPr>
            <w:t xml:space="preserve">4 </w:t>
          </w:r>
          <w:r>
            <w:rPr>
              <w:rStyle w:val="30"/>
              <w:rFonts w:hint="eastAsia" w:ascii="Times New Roman" w:hAnsi="Times New Roman" w:eastAsia="仿宋" w:cs="Times New Roman"/>
              <w:sz w:val="28"/>
              <w:szCs w:val="28"/>
            </w:rPr>
            <w:t>内河航运“</w:t>
          </w:r>
          <w:r>
            <w:rPr>
              <w:rStyle w:val="30"/>
              <w:rFonts w:ascii="Times New Roman" w:hAnsi="Times New Roman" w:eastAsia="仿宋" w:cs="Times New Roman"/>
              <w:sz w:val="28"/>
              <w:szCs w:val="28"/>
            </w:rPr>
            <w:t>通江达海工程</w:t>
          </w:r>
          <w:r>
            <w:rPr>
              <w:rStyle w:val="30"/>
              <w:rFonts w:hint="eastAsia" w:ascii="Times New Roman" w:hAnsi="Times New Roman" w:eastAsia="仿宋" w:cs="Times New Roman"/>
              <w:sz w:val="28"/>
              <w:szCs w:val="28"/>
            </w:rPr>
            <w:t>”项目表明细表</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_Toc181110992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69</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Fonts w:ascii="Times New Roman" w:hAnsi="Times New Roman" w:eastAsia="仿宋" w:cs="Times New Roman"/>
              <w:sz w:val="28"/>
              <w:szCs w:val="28"/>
              <w14:ligatures w14:val="standardContextual"/>
            </w:rPr>
          </w:pPr>
          <w:r>
            <w:fldChar w:fldCharType="begin"/>
          </w:r>
          <w:r>
            <w:instrText xml:space="preserve"> HYPERLINK \l "_Toc181110993" </w:instrText>
          </w:r>
          <w:r>
            <w:fldChar w:fldCharType="separate"/>
          </w:r>
          <w:r>
            <w:rPr>
              <w:rStyle w:val="30"/>
              <w:rFonts w:hint="eastAsia" w:ascii="Times New Roman" w:hAnsi="Times New Roman" w:eastAsia="仿宋" w:cs="Times New Roman"/>
              <w:sz w:val="28"/>
              <w:szCs w:val="28"/>
            </w:rPr>
            <w:t>附表</w:t>
          </w:r>
          <w:r>
            <w:rPr>
              <w:rStyle w:val="30"/>
              <w:rFonts w:ascii="Times New Roman" w:hAnsi="Times New Roman" w:eastAsia="仿宋" w:cs="Times New Roman"/>
              <w:sz w:val="28"/>
              <w:szCs w:val="28"/>
            </w:rPr>
            <w:t xml:space="preserve">5 </w:t>
          </w:r>
          <w:r>
            <w:rPr>
              <w:rStyle w:val="30"/>
              <w:rFonts w:hint="eastAsia" w:ascii="Times New Roman" w:hAnsi="Times New Roman" w:eastAsia="仿宋" w:cs="Times New Roman"/>
              <w:sz w:val="28"/>
              <w:szCs w:val="28"/>
            </w:rPr>
            <w:t>运输场站“</w:t>
          </w:r>
          <w:r>
            <w:rPr>
              <w:rStyle w:val="30"/>
              <w:rFonts w:ascii="Times New Roman" w:hAnsi="Times New Roman" w:eastAsia="仿宋" w:cs="Times New Roman"/>
              <w:sz w:val="28"/>
              <w:szCs w:val="28"/>
            </w:rPr>
            <w:t>服务支撑工程</w:t>
          </w:r>
          <w:r>
            <w:rPr>
              <w:rStyle w:val="30"/>
              <w:rFonts w:hint="eastAsia" w:ascii="Times New Roman" w:hAnsi="Times New Roman" w:eastAsia="仿宋" w:cs="Times New Roman"/>
              <w:sz w:val="28"/>
              <w:szCs w:val="28"/>
            </w:rPr>
            <w:t>”项目表明细表</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_Toc181110993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75</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"_Toc181110994" </w:instrText>
          </w:r>
          <w:r>
            <w:fldChar w:fldCharType="separate"/>
          </w:r>
          <w:r>
            <w:rPr>
              <w:rStyle w:val="30"/>
              <w:rFonts w:hint="eastAsia" w:ascii="Times New Roman" w:hAnsi="Times New Roman" w:eastAsia="仿宋" w:cs="Times New Roman"/>
              <w:sz w:val="28"/>
              <w:szCs w:val="28"/>
            </w:rPr>
            <w:t>附表</w:t>
          </w:r>
          <w:r>
            <w:rPr>
              <w:rStyle w:val="30"/>
              <w:rFonts w:ascii="Times New Roman" w:hAnsi="Times New Roman" w:eastAsia="仿宋" w:cs="Times New Roman"/>
              <w:sz w:val="28"/>
              <w:szCs w:val="28"/>
            </w:rPr>
            <w:t xml:space="preserve">6 </w:t>
          </w:r>
          <w:r>
            <w:rPr>
              <w:rStyle w:val="30"/>
              <w:rFonts w:hint="eastAsia" w:ascii="Times New Roman" w:hAnsi="Times New Roman" w:eastAsia="仿宋" w:cs="Times New Roman"/>
              <w:sz w:val="28"/>
              <w:szCs w:val="28"/>
            </w:rPr>
            <w:t>绿色低碳示范工程项目表明细表</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_Toc181110994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79</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"_Toc181110995" </w:instrText>
          </w:r>
          <w:r>
            <w:fldChar w:fldCharType="separate"/>
          </w:r>
          <w:r>
            <w:rPr>
              <w:rStyle w:val="30"/>
              <w:rFonts w:hint="eastAsia" w:ascii="Times New Roman" w:hAnsi="Times New Roman" w:eastAsia="仿宋" w:cs="Times New Roman"/>
              <w:sz w:val="28"/>
              <w:szCs w:val="28"/>
            </w:rPr>
            <w:t>附表</w:t>
          </w:r>
          <w:r>
            <w:rPr>
              <w:rStyle w:val="30"/>
              <w:rFonts w:ascii="Times New Roman" w:hAnsi="Times New Roman" w:eastAsia="仿宋" w:cs="Times New Roman"/>
              <w:sz w:val="28"/>
              <w:szCs w:val="28"/>
            </w:rPr>
            <w:t xml:space="preserve">7 </w:t>
          </w:r>
          <w:r>
            <w:rPr>
              <w:rStyle w:val="30"/>
              <w:rFonts w:hint="eastAsia" w:ascii="Times New Roman" w:hAnsi="Times New Roman" w:eastAsia="仿宋" w:cs="Times New Roman"/>
              <w:sz w:val="28"/>
              <w:szCs w:val="28"/>
            </w:rPr>
            <w:t>智慧交通试点工程项目表明细表</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_Toc181110995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82</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"_Toc181110996" </w:instrText>
          </w:r>
          <w:r>
            <w:fldChar w:fldCharType="separate"/>
          </w:r>
          <w:r>
            <w:rPr>
              <w:rStyle w:val="30"/>
              <w:rFonts w:hint="eastAsia" w:ascii="Times New Roman" w:hAnsi="Times New Roman" w:eastAsia="仿宋" w:cs="Times New Roman"/>
              <w:sz w:val="28"/>
              <w:szCs w:val="28"/>
            </w:rPr>
            <w:t>附表</w:t>
          </w:r>
          <w:r>
            <w:rPr>
              <w:rStyle w:val="30"/>
              <w:rFonts w:ascii="Times New Roman" w:hAnsi="Times New Roman" w:eastAsia="仿宋" w:cs="Times New Roman"/>
              <w:sz w:val="28"/>
              <w:szCs w:val="28"/>
            </w:rPr>
            <w:t xml:space="preserve">8 </w:t>
          </w:r>
          <w:r>
            <w:rPr>
              <w:rStyle w:val="30"/>
              <w:rFonts w:hint="eastAsia" w:ascii="Times New Roman" w:hAnsi="Times New Roman" w:eastAsia="仿宋" w:cs="Times New Roman"/>
              <w:sz w:val="28"/>
              <w:szCs w:val="28"/>
            </w:rPr>
            <w:t>交旅融合出彩工程项目表明细表</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_Toc181110996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86</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Style w:val="30"/>
              <w:rFonts w:ascii="Times New Roman" w:hAnsi="Times New Roman" w:eastAsia="仿宋" w:cs="Times New Roman"/>
              <w:sz w:val="28"/>
              <w:szCs w:val="28"/>
            </w:rPr>
          </w:pPr>
          <w:r>
            <w:fldChar w:fldCharType="begin"/>
          </w:r>
          <w:r>
            <w:instrText xml:space="preserve"> HYPERLINK \l "_Toc181110997" </w:instrText>
          </w:r>
          <w:r>
            <w:fldChar w:fldCharType="separate"/>
          </w:r>
          <w:r>
            <w:rPr>
              <w:rStyle w:val="30"/>
              <w:rFonts w:hint="eastAsia" w:ascii="Times New Roman" w:hAnsi="Times New Roman" w:eastAsia="仿宋" w:cs="Times New Roman"/>
              <w:sz w:val="28"/>
              <w:szCs w:val="28"/>
            </w:rPr>
            <w:t>附表</w:t>
          </w:r>
          <w:r>
            <w:rPr>
              <w:rStyle w:val="30"/>
              <w:rFonts w:ascii="Times New Roman" w:hAnsi="Times New Roman" w:eastAsia="仿宋" w:cs="Times New Roman"/>
              <w:sz w:val="28"/>
              <w:szCs w:val="28"/>
            </w:rPr>
            <w:t xml:space="preserve">9 </w:t>
          </w:r>
          <w:r>
            <w:rPr>
              <w:rStyle w:val="30"/>
              <w:rFonts w:hint="eastAsia" w:ascii="Times New Roman" w:hAnsi="Times New Roman" w:eastAsia="仿宋" w:cs="Times New Roman"/>
              <w:sz w:val="28"/>
              <w:szCs w:val="28"/>
            </w:rPr>
            <w:t>铁路“</w:t>
          </w:r>
          <w:r>
            <w:rPr>
              <w:rStyle w:val="30"/>
              <w:rFonts w:ascii="Times New Roman" w:hAnsi="Times New Roman" w:eastAsia="仿宋" w:cs="Times New Roman"/>
              <w:sz w:val="28"/>
              <w:szCs w:val="28"/>
            </w:rPr>
            <w:t>拓展成网</w:t>
          </w:r>
          <w:r>
            <w:rPr>
              <w:rStyle w:val="30"/>
              <w:rFonts w:hint="eastAsia" w:ascii="Times New Roman" w:hAnsi="Times New Roman" w:eastAsia="仿宋" w:cs="Times New Roman"/>
              <w:sz w:val="28"/>
              <w:szCs w:val="28"/>
            </w:rPr>
            <w:t>”工程项目表明细表</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_Toc181110997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87</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pStyle w:val="11"/>
            <w:tabs>
              <w:tab w:val="right" w:leader="dot" w:pos="8296"/>
            </w:tabs>
            <w:ind w:left="0" w:leftChars="0" w:firstLine="560"/>
            <w:rPr>
              <w:rFonts w:ascii="Times New Roman" w:hAnsi="Times New Roman" w:eastAsia="仿宋" w:cs="Times New Roman"/>
              <w:sz w:val="28"/>
              <w:szCs w:val="28"/>
              <w14:ligatures w14:val="standardContextual"/>
            </w:rPr>
          </w:pPr>
          <w:r>
            <w:fldChar w:fldCharType="begin"/>
          </w:r>
          <w:r>
            <w:instrText xml:space="preserve"> HYPERLINK \l "_Toc181110998" </w:instrText>
          </w:r>
          <w:r>
            <w:fldChar w:fldCharType="separate"/>
          </w:r>
          <w:r>
            <w:rPr>
              <w:rStyle w:val="30"/>
              <w:rFonts w:hint="eastAsia" w:ascii="Times New Roman" w:hAnsi="Times New Roman" w:eastAsia="仿宋" w:cs="Times New Roman"/>
              <w:sz w:val="28"/>
              <w:szCs w:val="28"/>
            </w:rPr>
            <w:t>附表</w:t>
          </w:r>
          <w:r>
            <w:rPr>
              <w:rStyle w:val="30"/>
              <w:rFonts w:ascii="Times New Roman" w:hAnsi="Times New Roman" w:eastAsia="仿宋" w:cs="Times New Roman"/>
              <w:sz w:val="28"/>
              <w:szCs w:val="28"/>
            </w:rPr>
            <w:t xml:space="preserve">10 </w:t>
          </w:r>
          <w:r>
            <w:rPr>
              <w:rStyle w:val="30"/>
              <w:rFonts w:hint="eastAsia" w:ascii="Times New Roman" w:hAnsi="Times New Roman" w:eastAsia="仿宋" w:cs="Times New Roman"/>
              <w:sz w:val="28"/>
              <w:szCs w:val="28"/>
            </w:rPr>
            <w:t>机场“</w:t>
          </w:r>
          <w:r>
            <w:rPr>
              <w:rStyle w:val="30"/>
              <w:rFonts w:ascii="Times New Roman" w:hAnsi="Times New Roman" w:eastAsia="仿宋" w:cs="Times New Roman"/>
              <w:sz w:val="28"/>
              <w:szCs w:val="28"/>
            </w:rPr>
            <w:t>强支增通</w:t>
          </w:r>
          <w:r>
            <w:rPr>
              <w:rStyle w:val="30"/>
              <w:rFonts w:hint="eastAsia" w:ascii="Times New Roman" w:hAnsi="Times New Roman" w:eastAsia="仿宋" w:cs="Times New Roman"/>
              <w:sz w:val="28"/>
              <w:szCs w:val="28"/>
            </w:rPr>
            <w:t>”工程项目表明细表</w:t>
          </w:r>
          <w:r>
            <w:rPr>
              <w:rStyle w:val="30"/>
              <w:rFonts w:ascii="Times New Roman" w:hAnsi="Times New Roman" w:eastAsia="仿宋" w:cs="Times New Roman"/>
              <w:sz w:val="28"/>
              <w:szCs w:val="28"/>
            </w:rPr>
            <w:tab/>
          </w:r>
          <w:r>
            <w:rPr>
              <w:rStyle w:val="30"/>
              <w:rFonts w:hint="eastAsia" w:ascii="Times New Roman" w:hAnsi="Times New Roman" w:eastAsia="仿宋" w:cs="Times New Roman"/>
              <w:sz w:val="28"/>
              <w:szCs w:val="28"/>
            </w:rPr>
            <w:fldChar w:fldCharType="begin"/>
          </w:r>
          <w:r>
            <w:rPr>
              <w:rStyle w:val="30"/>
              <w:rFonts w:ascii="Times New Roman" w:hAnsi="Times New Roman" w:eastAsia="仿宋" w:cs="Times New Roman"/>
              <w:sz w:val="28"/>
              <w:szCs w:val="28"/>
            </w:rPr>
            <w:instrText xml:space="preserve"> PAGEREF _Toc181110998 \h </w:instrText>
          </w:r>
          <w:r>
            <w:rPr>
              <w:rStyle w:val="30"/>
              <w:rFonts w:hint="eastAsia" w:ascii="Times New Roman" w:hAnsi="Times New Roman" w:eastAsia="仿宋" w:cs="Times New Roman"/>
              <w:sz w:val="28"/>
              <w:szCs w:val="28"/>
            </w:rPr>
            <w:fldChar w:fldCharType="separate"/>
          </w:r>
          <w:r>
            <w:rPr>
              <w:rStyle w:val="30"/>
              <w:rFonts w:ascii="Times New Roman" w:hAnsi="Times New Roman" w:eastAsia="仿宋" w:cs="Times New Roman"/>
              <w:sz w:val="28"/>
              <w:szCs w:val="28"/>
            </w:rPr>
            <w:t>88</w:t>
          </w:r>
          <w:r>
            <w:rPr>
              <w:rStyle w:val="30"/>
              <w:rFonts w:hint="eastAsia" w:ascii="Times New Roman" w:hAnsi="Times New Roman" w:eastAsia="仿宋" w:cs="Times New Roman"/>
              <w:sz w:val="28"/>
              <w:szCs w:val="28"/>
            </w:rPr>
            <w:fldChar w:fldCharType="end"/>
          </w:r>
          <w:r>
            <w:rPr>
              <w:rStyle w:val="30"/>
              <w:rFonts w:hint="eastAsia" w:ascii="Times New Roman" w:hAnsi="Times New Roman" w:eastAsia="仿宋" w:cs="Times New Roman"/>
              <w:sz w:val="28"/>
              <w:szCs w:val="28"/>
            </w:rPr>
            <w:fldChar w:fldCharType="end"/>
          </w:r>
        </w:p>
        <w:p>
          <w:pPr>
            <w:ind w:firstLine="0" w:firstLineChars="0"/>
          </w:pPr>
          <w:r>
            <w:rPr>
              <w:b/>
              <w:bCs/>
              <w:sz w:val="28"/>
              <w:szCs w:val="28"/>
              <w:lang w:val="zh-CN"/>
            </w:rPr>
            <w:fldChar w:fldCharType="end"/>
          </w:r>
        </w:p>
      </w:sdtContent>
    </w:sdt>
    <w:p>
      <w:pPr>
        <w:overflowPunct w:val="0"/>
        <w:ind w:firstLine="0" w:firstLineChars="0"/>
        <w:rPr>
          <w:shd w:val="clear" w:color="auto" w:fill="FFFFFF"/>
          <w:lang w:val="zh-CN"/>
        </w:rPr>
        <w:sectPr>
          <w:footerReference r:id="rId11" w:type="default"/>
          <w:pgSz w:w="11906" w:h="16838"/>
          <w:pgMar w:top="1440" w:right="1800" w:bottom="1440" w:left="1800" w:header="851" w:footer="992" w:gutter="0"/>
          <w:pgNumType w:fmt="upperRoman" w:start="1"/>
          <w:cols w:space="425" w:num="1"/>
          <w:docGrid w:type="lines" w:linePitch="435" w:charSpace="0"/>
        </w:sectPr>
      </w:pPr>
      <w:r>
        <w:rPr>
          <w:shd w:val="clear" w:color="auto" w:fill="FFFFFF"/>
          <w:lang w:val="zh-CN"/>
        </w:rPr>
        <w:br w:type="page"/>
      </w:r>
    </w:p>
    <w:p>
      <w:pPr>
        <w:pStyle w:val="2"/>
        <w:ind w:firstLine="643"/>
        <w:rPr>
          <w:shd w:val="clear" w:color="auto" w:fill="FFFFFF"/>
        </w:rPr>
      </w:pPr>
      <w:bookmarkStart w:id="0" w:name="_Toc181110953"/>
      <w:r>
        <w:rPr>
          <w:rFonts w:hint="eastAsia"/>
          <w:shd w:val="clear" w:color="auto" w:fill="FFFFFF"/>
          <w:lang w:val="zh-CN"/>
        </w:rPr>
        <w:t>一、概述</w:t>
      </w:r>
      <w:bookmarkEnd w:id="0"/>
    </w:p>
    <w:p>
      <w:pPr>
        <w:pStyle w:val="4"/>
        <w:ind w:firstLine="643"/>
      </w:pPr>
      <w:bookmarkStart w:id="1" w:name="_Toc181110954"/>
      <w:r>
        <w:rPr>
          <w:rFonts w:hint="eastAsia"/>
        </w:rPr>
        <w:t>（一）规划背景</w:t>
      </w:r>
      <w:bookmarkEnd w:id="1"/>
    </w:p>
    <w:p>
      <w:pPr>
        <w:pStyle w:val="47"/>
        <w:overflowPunct w:val="0"/>
        <w:ind w:firstLine="64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信阳位于鄂豫皖三省交界、大别山革命老区核心区域、淮河上游，承东启西、连南贯北，在300公里半径范围内有郑州、武汉、合肥三个省会城市，是重要的区域性综合交通枢纽和现代物流枢纽。近年来，在省交通运输厅的大力支持下，市委市政府高度重视交通运输工作，抢抓交通运输发展黄金机遇期，加快区域性中心城市和交通枢纽建设，公铁水航“四位一体”的综合交通运输体系初步形成，为信阳市经济社会快速发展提供了重要支撑。</w:t>
      </w:r>
    </w:p>
    <w:p>
      <w:pPr>
        <w:pStyle w:val="47"/>
        <w:overflowPunct w:val="0"/>
        <w:ind w:firstLine="64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党的十九大报告中作出了建设交通强国的重大决策部署，在二十大报告中再次强调加快建设交通强国，充分体现了以习近平同志为核心的党中央对交通运输工作的高度重视和殷切期望。《交通强国建设纲要》作为建设交通强国的顶层设计和系统谋划，提出打造“三张交通网”“两个交通圈”，建成人民满意、保障有力、世界前列的交通强国。2021年2月，党中央、国务院印发《国家综合立体交通网规划纲要》，对未来三十年我国综合立体交通网进行了布局规划，提出构建70万公里左右的国家综合立体交通“一张网”、打造100个左右国家综合交通枢纽城市，建设“六轴七廊八通道”的国家综合立体交通网主骨架。</w:t>
      </w:r>
    </w:p>
    <w:p>
      <w:pPr>
        <w:pStyle w:val="47"/>
        <w:overflowPunct w:val="0"/>
        <w:ind w:firstLine="64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当前和今后一个时期，是</w:t>
      </w:r>
      <w:r>
        <w:rPr>
          <w:rFonts w:ascii="仿宋" w:hAnsi="仿宋"/>
          <w:color w:val="000000" w:themeColor="text1"/>
          <w14:textFill>
            <w14:solidFill>
              <w14:schemeClr w14:val="tx1"/>
            </w14:solidFill>
          </w14:textFill>
        </w:rPr>
        <w:t>全面建设社会主义现代化</w:t>
      </w:r>
      <w:r>
        <w:rPr>
          <w:rFonts w:hint="eastAsia" w:ascii="仿宋" w:hAnsi="仿宋"/>
          <w:color w:val="000000" w:themeColor="text1"/>
          <w14:textFill>
            <w14:solidFill>
              <w14:schemeClr w14:val="tx1"/>
            </w14:solidFill>
          </w14:textFill>
        </w:rPr>
        <w:t>国家</w:t>
      </w:r>
      <w:r>
        <w:rPr>
          <w:rFonts w:ascii="仿宋" w:hAnsi="仿宋"/>
          <w:color w:val="000000" w:themeColor="text1"/>
          <w14:textFill>
            <w14:solidFill>
              <w14:schemeClr w14:val="tx1"/>
            </w14:solidFill>
          </w14:textFill>
        </w:rPr>
        <w:t>新征程的关键时期，也是</w:t>
      </w:r>
      <w:r>
        <w:rPr>
          <w:rFonts w:hint="eastAsia" w:ascii="仿宋" w:hAnsi="仿宋"/>
          <w:color w:val="000000" w:themeColor="text1"/>
          <w14:textFill>
            <w14:solidFill>
              <w14:schemeClr w14:val="tx1"/>
            </w14:solidFill>
          </w14:textFill>
        </w:rPr>
        <w:t>落实《交通强国建设纲要》</w:t>
      </w:r>
      <w:r>
        <w:rPr>
          <w:rFonts w:ascii="仿宋" w:hAnsi="仿宋"/>
          <w:color w:val="000000" w:themeColor="text1"/>
          <w14:textFill>
            <w14:solidFill>
              <w14:schemeClr w14:val="tx1"/>
            </w14:solidFill>
          </w14:textFill>
        </w:rPr>
        <w:t>的重要时期。</w:t>
      </w:r>
      <w:r>
        <w:rPr>
          <w:rFonts w:hint="eastAsia" w:ascii="仿宋" w:hAnsi="仿宋"/>
          <w:color w:val="000000" w:themeColor="text1"/>
          <w14:textFill>
            <w14:solidFill>
              <w14:schemeClr w14:val="tx1"/>
            </w14:solidFill>
          </w14:textFill>
        </w:rPr>
        <w:t>为深入贯彻落实党的二十大精神，进一步做好新时代交通工作，高质量谱写交通强省信阳篇章，推动信阳市交通区位优势向枢纽经济优势转变，根据《交通强国建设纲要》《国家综合立体交通网规划纲要》《河南省加快交通强省建设的实施意见》《河南省综合立体交通网规划（2021-2035）》，结合信阳实际，开展《信阳交通强市建设规划》的编制工作</w:t>
      </w:r>
      <w:r>
        <w:rPr>
          <w:rFonts w:ascii="仿宋" w:hAnsi="仿宋"/>
          <w:color w:val="000000" w:themeColor="text1"/>
          <w14:textFill>
            <w14:solidFill>
              <w14:schemeClr w14:val="tx1"/>
            </w14:solidFill>
          </w14:textFill>
        </w:rPr>
        <w:t>。</w:t>
      </w:r>
    </w:p>
    <w:p>
      <w:pPr>
        <w:pStyle w:val="4"/>
        <w:ind w:firstLine="643"/>
      </w:pPr>
      <w:bookmarkStart w:id="2" w:name="_Toc181110955"/>
      <w:r>
        <w:rPr>
          <w:rFonts w:hint="eastAsia"/>
        </w:rPr>
        <w:t>（二）规划范围</w:t>
      </w:r>
      <w:bookmarkEnd w:id="2"/>
    </w:p>
    <w:p>
      <w:pPr>
        <w:pStyle w:val="47"/>
        <w:overflowPunct w:val="0"/>
        <w:ind w:firstLine="64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规划空间范围为信阳市域，总面积1.89万平方千米，包括2区（浉河区、平桥区）、8县（潢川县、光山县、息县、新县、罗山县、商城县、淮滨县、固始县）。</w:t>
      </w:r>
    </w:p>
    <w:p>
      <w:pPr>
        <w:pStyle w:val="47"/>
        <w:overflowPunct w:val="0"/>
        <w:ind w:firstLine="64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规划对象包括铁路、公路、水运、民航等方式以及城市客运、邮政等，涵盖基础设施、运输服务、科技信息化、绿色交通、安全应急、行业治理等领域。</w:t>
      </w:r>
    </w:p>
    <w:p>
      <w:pPr>
        <w:pStyle w:val="47"/>
        <w:overflowPunct w:val="0"/>
        <w:ind w:firstLine="64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本次规划的期限为202</w:t>
      </w:r>
      <w:r>
        <w:rPr>
          <w:rFonts w:ascii="仿宋" w:hAnsi="仿宋"/>
          <w:color w:val="000000" w:themeColor="text1"/>
          <w14:textFill>
            <w14:solidFill>
              <w14:schemeClr w14:val="tx1"/>
            </w14:solidFill>
          </w14:textFill>
        </w:rPr>
        <w:t>4</w:t>
      </w:r>
      <w:r>
        <w:rPr>
          <w:rFonts w:hint="eastAsia" w:ascii="仿宋" w:hAnsi="仿宋"/>
          <w:color w:val="000000" w:themeColor="text1"/>
          <w14:textFill>
            <w14:solidFill>
              <w14:schemeClr w14:val="tx1"/>
            </w14:solidFill>
          </w14:textFill>
        </w:rPr>
        <w:t>—2035年，近期202</w:t>
      </w:r>
      <w:r>
        <w:rPr>
          <w:rFonts w:ascii="仿宋" w:hAnsi="仿宋"/>
          <w:color w:val="000000" w:themeColor="text1"/>
          <w14:textFill>
            <w14:solidFill>
              <w14:schemeClr w14:val="tx1"/>
            </w14:solidFill>
          </w14:textFill>
        </w:rPr>
        <w:t>4</w:t>
      </w:r>
      <w:r>
        <w:rPr>
          <w:rFonts w:hint="eastAsia" w:ascii="仿宋" w:hAnsi="仿宋"/>
          <w:color w:val="000000" w:themeColor="text1"/>
          <w14:textFill>
            <w14:solidFill>
              <w14:schemeClr w14:val="tx1"/>
            </w14:solidFill>
          </w14:textFill>
        </w:rPr>
        <w:t>—20</w:t>
      </w:r>
      <w:r>
        <w:rPr>
          <w:rFonts w:ascii="仿宋" w:hAnsi="仿宋"/>
          <w:color w:val="000000" w:themeColor="text1"/>
          <w14:textFill>
            <w14:solidFill>
              <w14:schemeClr w14:val="tx1"/>
            </w14:solidFill>
          </w14:textFill>
        </w:rPr>
        <w:t>30</w:t>
      </w:r>
      <w:r>
        <w:rPr>
          <w:rFonts w:hint="eastAsia" w:ascii="仿宋" w:hAnsi="仿宋"/>
          <w:color w:val="000000" w:themeColor="text1"/>
          <w14:textFill>
            <w14:solidFill>
              <w14:schemeClr w14:val="tx1"/>
            </w14:solidFill>
          </w14:textFill>
        </w:rPr>
        <w:t>年，远期20</w:t>
      </w:r>
      <w:r>
        <w:rPr>
          <w:rFonts w:ascii="仿宋" w:hAnsi="仿宋"/>
          <w:color w:val="000000" w:themeColor="text1"/>
          <w14:textFill>
            <w14:solidFill>
              <w14:schemeClr w14:val="tx1"/>
            </w14:solidFill>
          </w14:textFill>
        </w:rPr>
        <w:t>30</w:t>
      </w:r>
      <w:r>
        <w:rPr>
          <w:rFonts w:hint="eastAsia" w:ascii="仿宋" w:hAnsi="仿宋"/>
          <w:color w:val="000000" w:themeColor="text1"/>
          <w14:textFill>
            <w14:solidFill>
              <w14:schemeClr w14:val="tx1"/>
            </w14:solidFill>
          </w14:textFill>
        </w:rPr>
        <w:t>—2035年，远景展望至2</w:t>
      </w:r>
      <w:r>
        <w:rPr>
          <w:rFonts w:ascii="仿宋" w:hAnsi="仿宋"/>
          <w:color w:val="000000" w:themeColor="text1"/>
          <w14:textFill>
            <w14:solidFill>
              <w14:schemeClr w14:val="tx1"/>
            </w14:solidFill>
          </w14:textFill>
        </w:rPr>
        <w:t>050</w:t>
      </w:r>
      <w:r>
        <w:rPr>
          <w:rFonts w:hint="eastAsia" w:ascii="仿宋" w:hAnsi="仿宋"/>
          <w:color w:val="000000" w:themeColor="text1"/>
          <w14:textFill>
            <w14:solidFill>
              <w14:schemeClr w14:val="tx1"/>
            </w14:solidFill>
          </w14:textFill>
        </w:rPr>
        <w:t>年。</w:t>
      </w:r>
    </w:p>
    <w:p>
      <w:pPr>
        <w:pStyle w:val="4"/>
        <w:ind w:firstLine="643"/>
      </w:pPr>
      <w:bookmarkStart w:id="3" w:name="_Toc181110956"/>
      <w:r>
        <w:rPr>
          <w:rFonts w:hint="eastAsia"/>
        </w:rPr>
        <w:t>（三）规划依据</w:t>
      </w:r>
      <w:bookmarkEnd w:id="3"/>
    </w:p>
    <w:p>
      <w:pPr>
        <w:pStyle w:val="47"/>
        <w:overflowPunct w:val="0"/>
        <w:ind w:firstLine="643"/>
        <w:rPr>
          <w:b/>
          <w:bCs/>
          <w:color w:val="000000" w:themeColor="text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国家层面</w:t>
      </w:r>
    </w:p>
    <w:p>
      <w:pPr>
        <w:pStyle w:val="47"/>
        <w:numPr>
          <w:ilvl w:val="0"/>
          <w:numId w:val="4"/>
        </w:numPr>
        <w:overflowPunct w:val="0"/>
        <w:ind w:firstLineChars="0"/>
        <w:rPr>
          <w:b/>
          <w:bCs/>
          <w:color w:val="000000" w:themeColor="text1"/>
          <w14:textFill>
            <w14:solidFill>
              <w14:schemeClr w14:val="tx1"/>
            </w14:solidFill>
          </w14:textFill>
        </w:rPr>
      </w:pPr>
      <w:r>
        <w:rPr>
          <w:rFonts w:hint="eastAsia"/>
          <w:color w:val="000000" w:themeColor="text1"/>
          <w14:textFill>
            <w14:solidFill>
              <w14:schemeClr w14:val="tx1"/>
            </w14:solidFill>
          </w14:textFill>
        </w:rPr>
        <w:t>《交通强国建设纲要》（2</w:t>
      </w:r>
      <w:r>
        <w:rPr>
          <w:color w:val="000000" w:themeColor="text1"/>
          <w14:textFill>
            <w14:solidFill>
              <w14:schemeClr w14:val="tx1"/>
            </w14:solidFill>
          </w14:textFill>
        </w:rPr>
        <w:t>019</w:t>
      </w:r>
      <w:r>
        <w:rPr>
          <w:rFonts w:hint="eastAsia"/>
          <w:color w:val="000000" w:themeColor="text1"/>
          <w14:textFill>
            <w14:solidFill>
              <w14:schemeClr w14:val="tx1"/>
            </w14:solidFill>
          </w14:textFill>
        </w:rPr>
        <w:t>年）</w:t>
      </w:r>
    </w:p>
    <w:p>
      <w:pPr>
        <w:pStyle w:val="47"/>
        <w:numPr>
          <w:ilvl w:val="0"/>
          <w:numId w:val="4"/>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《国家综合立体交通网规划纲要》（</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年）</w:t>
      </w:r>
    </w:p>
    <w:p>
      <w:pPr>
        <w:pStyle w:val="47"/>
        <w:numPr>
          <w:ilvl w:val="0"/>
          <w:numId w:val="5"/>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《中原城市群发展规划》（发改地区〔2016〕2817号）</w:t>
      </w:r>
    </w:p>
    <w:p>
      <w:pPr>
        <w:pStyle w:val="47"/>
        <w:numPr>
          <w:ilvl w:val="0"/>
          <w:numId w:val="5"/>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《关于新时代推动中部地区高质量发展的意见》（中发〔</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号）</w:t>
      </w:r>
    </w:p>
    <w:p>
      <w:pPr>
        <w:pStyle w:val="47"/>
        <w:numPr>
          <w:ilvl w:val="0"/>
          <w:numId w:val="5"/>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《大别山革命老区振兴发展规划》（发改地区〔2015〕1400号）</w:t>
      </w:r>
    </w:p>
    <w:p>
      <w:pPr>
        <w:pStyle w:val="47"/>
        <w:numPr>
          <w:ilvl w:val="0"/>
          <w:numId w:val="5"/>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《大别山革命老区综合交通基础设施“十四五”发展规划》（交规划发〔202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112</w:t>
      </w:r>
      <w:r>
        <w:rPr>
          <w:rFonts w:hint="eastAsia"/>
          <w:color w:val="000000" w:themeColor="text1"/>
          <w14:textFill>
            <w14:solidFill>
              <w14:schemeClr w14:val="tx1"/>
            </w14:solidFill>
          </w14:textFill>
        </w:rPr>
        <w:t>号）</w:t>
      </w:r>
    </w:p>
    <w:p>
      <w:pPr>
        <w:pStyle w:val="47"/>
        <w:numPr>
          <w:ilvl w:val="0"/>
          <w:numId w:val="5"/>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《淮河生态经济带发展规划》（发改地区〔2018〕1588号）</w:t>
      </w:r>
    </w:p>
    <w:p>
      <w:pPr>
        <w:pStyle w:val="47"/>
        <w:numPr>
          <w:ilvl w:val="0"/>
          <w:numId w:val="5"/>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《长江三角洲地区交通运输更高质量一体化发展规划》（发改基础〔2020〕529号）</w:t>
      </w:r>
    </w:p>
    <w:p>
      <w:pPr>
        <w:pStyle w:val="47"/>
        <w:numPr>
          <w:ilvl w:val="0"/>
          <w:numId w:val="5"/>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《中长期铁路网规划》（发改基础〔</w:t>
      </w:r>
      <w:r>
        <w:rPr>
          <w:color w:val="000000" w:themeColor="text1"/>
          <w14:textFill>
            <w14:solidFill>
              <w14:schemeClr w14:val="tx1"/>
            </w14:solidFill>
          </w14:textFill>
        </w:rPr>
        <w:t>2016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1536</w:t>
      </w:r>
      <w:r>
        <w:rPr>
          <w:rFonts w:hint="eastAsia"/>
          <w:color w:val="000000" w:themeColor="text1"/>
          <w14:textFill>
            <w14:solidFill>
              <w14:schemeClr w14:val="tx1"/>
            </w14:solidFill>
          </w14:textFill>
        </w:rPr>
        <w:t>号）</w:t>
      </w:r>
    </w:p>
    <w:p>
      <w:pPr>
        <w:pStyle w:val="47"/>
        <w:numPr>
          <w:ilvl w:val="0"/>
          <w:numId w:val="6"/>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《国家公路网规划</w:t>
      </w:r>
      <w:r>
        <w:rPr>
          <w:color w:val="000000" w:themeColor="text1"/>
          <w14:textFill>
            <w14:solidFill>
              <w14:schemeClr w14:val="tx1"/>
            </w14:solidFill>
          </w14:textFill>
        </w:rPr>
        <w:t>(2013</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-2030</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pStyle w:val="47"/>
        <w:numPr>
          <w:ilvl w:val="0"/>
          <w:numId w:val="6"/>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《农村公路中长期发展规划纲要》（交规划发〔</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21</w:t>
      </w:r>
      <w:r>
        <w:rPr>
          <w:rFonts w:hint="eastAsia"/>
          <w:color w:val="000000" w:themeColor="text1"/>
          <w14:textFill>
            <w14:solidFill>
              <w14:schemeClr w14:val="tx1"/>
            </w14:solidFill>
          </w14:textFill>
        </w:rPr>
        <w:t>号）</w:t>
      </w:r>
    </w:p>
    <w:p>
      <w:pPr>
        <w:pStyle w:val="47"/>
        <w:numPr>
          <w:ilvl w:val="0"/>
          <w:numId w:val="7"/>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《内河航运发展纲要》（交规划发〔</w:t>
      </w:r>
      <w:r>
        <w:rPr>
          <w:color w:val="000000" w:themeColor="text1"/>
          <w14:textFill>
            <w14:solidFill>
              <w14:schemeClr w14:val="tx1"/>
            </w14:solidFill>
          </w14:textFill>
        </w:rPr>
        <w:t>2020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54</w:t>
      </w:r>
      <w:r>
        <w:rPr>
          <w:rFonts w:hint="eastAsia"/>
          <w:color w:val="000000" w:themeColor="text1"/>
          <w14:textFill>
            <w14:solidFill>
              <w14:schemeClr w14:val="tx1"/>
            </w14:solidFill>
          </w14:textFill>
        </w:rPr>
        <w:t>号）</w:t>
      </w:r>
    </w:p>
    <w:p>
      <w:pPr>
        <w:pStyle w:val="47"/>
        <w:numPr>
          <w:ilvl w:val="0"/>
          <w:numId w:val="7"/>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《国家物流枢纽布局和建设规划》（发改经贸〔</w:t>
      </w:r>
      <w:r>
        <w:rPr>
          <w:color w:val="000000" w:themeColor="text1"/>
          <w14:textFill>
            <w14:solidFill>
              <w14:schemeClr w14:val="tx1"/>
            </w14:solidFill>
          </w14:textFill>
        </w:rPr>
        <w:t>2018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1886</w:t>
      </w:r>
      <w:r>
        <w:rPr>
          <w:rFonts w:hint="eastAsia"/>
          <w:color w:val="000000" w:themeColor="text1"/>
          <w14:textFill>
            <w14:solidFill>
              <w14:schemeClr w14:val="tx1"/>
            </w14:solidFill>
          </w14:textFill>
        </w:rPr>
        <w:t>号）</w:t>
      </w:r>
    </w:p>
    <w:p>
      <w:pPr>
        <w:pStyle w:val="47"/>
        <w:numPr>
          <w:ilvl w:val="0"/>
          <w:numId w:val="7"/>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《关于推动“四好农村路”高质量发展的指导意见》（交公路发〔</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96</w:t>
      </w:r>
      <w:r>
        <w:rPr>
          <w:rFonts w:hint="eastAsia"/>
          <w:color w:val="000000" w:themeColor="text1"/>
          <w14:textFill>
            <w14:solidFill>
              <w14:schemeClr w14:val="tx1"/>
            </w14:solidFill>
          </w14:textFill>
        </w:rPr>
        <w:t>号）</w:t>
      </w:r>
    </w:p>
    <w:p>
      <w:pPr>
        <w:pStyle w:val="47"/>
        <w:numPr>
          <w:ilvl w:val="0"/>
          <w:numId w:val="7"/>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《关于巩固拓展交通运输脱贫攻坚成果全面推进乡村振兴的实施意见》（交规划发〔</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51</w:t>
      </w:r>
      <w:r>
        <w:rPr>
          <w:rFonts w:hint="eastAsia"/>
          <w:color w:val="000000" w:themeColor="text1"/>
          <w14:textFill>
            <w14:solidFill>
              <w14:schemeClr w14:val="tx1"/>
            </w14:solidFill>
          </w14:textFill>
        </w:rPr>
        <w:t>号）</w:t>
      </w:r>
    </w:p>
    <w:p>
      <w:pPr>
        <w:pStyle w:val="47"/>
        <w:numPr>
          <w:ilvl w:val="0"/>
          <w:numId w:val="7"/>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《关于推动农村客运高质量发展的指导意见》（交运发〔</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73</w:t>
      </w:r>
      <w:r>
        <w:rPr>
          <w:rFonts w:hint="eastAsia"/>
          <w:color w:val="000000" w:themeColor="text1"/>
          <w14:textFill>
            <w14:solidFill>
              <w14:schemeClr w14:val="tx1"/>
            </w14:solidFill>
          </w14:textFill>
        </w:rPr>
        <w:t>号）</w:t>
      </w:r>
    </w:p>
    <w:p>
      <w:pPr>
        <w:pStyle w:val="47"/>
        <w:numPr>
          <w:ilvl w:val="0"/>
          <w:numId w:val="7"/>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《关于推进交通运输治理体系和治理能力现代化若干问题的意见》（交政研发〔</w:t>
      </w:r>
      <w:r>
        <w:rPr>
          <w:color w:val="000000" w:themeColor="text1"/>
          <w14:textFill>
            <w14:solidFill>
              <w14:schemeClr w14:val="tx1"/>
            </w14:solidFill>
          </w14:textFill>
        </w:rPr>
        <w:t>2020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96</w:t>
      </w:r>
      <w:r>
        <w:rPr>
          <w:rFonts w:hint="eastAsia"/>
          <w:color w:val="000000" w:themeColor="text1"/>
          <w14:textFill>
            <w14:solidFill>
              <w14:schemeClr w14:val="tx1"/>
            </w14:solidFill>
          </w14:textFill>
        </w:rPr>
        <w:t>号）</w:t>
      </w:r>
    </w:p>
    <w:p>
      <w:pPr>
        <w:pStyle w:val="47"/>
        <w:overflowPunct w:val="0"/>
        <w:ind w:firstLine="643"/>
        <w:rPr>
          <w:b/>
          <w:bCs/>
          <w:color w:val="000000" w:themeColor="text1"/>
          <w14:textFill>
            <w14:solidFill>
              <w14:schemeClr w14:val="tx1"/>
            </w14:solidFill>
          </w14:textFill>
        </w:rPr>
      </w:pPr>
      <w:r>
        <w:rPr>
          <w:b/>
          <w:bCs/>
          <w:color w:val="000000" w:themeColor="text1"/>
          <w14:textFill>
            <w14:solidFill>
              <w14:schemeClr w14:val="tx1"/>
            </w14:solidFill>
          </w14:textFill>
        </w:rPr>
        <w:t>2.</w:t>
      </w:r>
      <w:r>
        <w:rPr>
          <w:rFonts w:hint="eastAsia"/>
          <w:b/>
          <w:bCs/>
          <w:color w:val="000000" w:themeColor="text1"/>
          <w14:textFill>
            <w14:solidFill>
              <w14:schemeClr w14:val="tx1"/>
            </w14:solidFill>
          </w14:textFill>
        </w:rPr>
        <w:t>省级层面</w:t>
      </w:r>
    </w:p>
    <w:p>
      <w:pPr>
        <w:pStyle w:val="47"/>
        <w:numPr>
          <w:ilvl w:val="0"/>
          <w:numId w:val="8"/>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《河南省国民经济和社会发展第十四个五年规划和二〇三五年远景目标纲要》（豫政〔</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13</w:t>
      </w:r>
      <w:r>
        <w:rPr>
          <w:rFonts w:hint="eastAsia"/>
          <w:color w:val="000000" w:themeColor="text1"/>
          <w14:textFill>
            <w14:solidFill>
              <w14:schemeClr w14:val="tx1"/>
            </w14:solidFill>
          </w14:textFill>
        </w:rPr>
        <w:t>号）</w:t>
      </w:r>
    </w:p>
    <w:p>
      <w:pPr>
        <w:pStyle w:val="47"/>
        <w:numPr>
          <w:ilvl w:val="0"/>
          <w:numId w:val="8"/>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《河南省综合立体交通网规划（</w:t>
      </w:r>
      <w:r>
        <w:rPr>
          <w:color w:val="000000" w:themeColor="text1"/>
          <w14:textFill>
            <w14:solidFill>
              <w14:schemeClr w14:val="tx1"/>
            </w14:solidFill>
          </w14:textFill>
        </w:rPr>
        <w:t>2021-2035</w:t>
      </w:r>
      <w:r>
        <w:rPr>
          <w:rFonts w:hint="eastAsia"/>
          <w:color w:val="000000" w:themeColor="text1"/>
          <w14:textFill>
            <w14:solidFill>
              <w14:schemeClr w14:val="tx1"/>
            </w14:solidFill>
          </w14:textFill>
        </w:rPr>
        <w:t>年）》</w:t>
      </w:r>
    </w:p>
    <w:p>
      <w:pPr>
        <w:pStyle w:val="47"/>
        <w:numPr>
          <w:ilvl w:val="0"/>
          <w:numId w:val="8"/>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《河南省高速公路网规划（</w:t>
      </w:r>
      <w:r>
        <w:rPr>
          <w:color w:val="000000" w:themeColor="text1"/>
          <w14:textFill>
            <w14:solidFill>
              <w14:schemeClr w14:val="tx1"/>
            </w14:solidFill>
          </w14:textFill>
        </w:rPr>
        <w:t>2021-2035</w:t>
      </w:r>
      <w:r>
        <w:rPr>
          <w:rFonts w:hint="eastAsia"/>
          <w:color w:val="000000" w:themeColor="text1"/>
          <w14:textFill>
            <w14:solidFill>
              <w14:schemeClr w14:val="tx1"/>
            </w14:solidFill>
          </w14:textFill>
        </w:rPr>
        <w:t>年）》（豫政〔</w:t>
      </w:r>
      <w:r>
        <w:rPr>
          <w:color w:val="000000" w:themeColor="text1"/>
          <w14:textFill>
            <w14:solidFill>
              <w14:schemeClr w14:val="tx1"/>
            </w14:solidFill>
          </w14:textFill>
        </w:rPr>
        <w:t>2020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27</w:t>
      </w:r>
      <w:r>
        <w:rPr>
          <w:rFonts w:hint="eastAsia"/>
          <w:color w:val="000000" w:themeColor="text1"/>
          <w14:textFill>
            <w14:solidFill>
              <w14:schemeClr w14:val="tx1"/>
            </w14:solidFill>
          </w14:textFill>
        </w:rPr>
        <w:t>号）</w:t>
      </w:r>
    </w:p>
    <w:p>
      <w:pPr>
        <w:pStyle w:val="47"/>
        <w:numPr>
          <w:ilvl w:val="0"/>
          <w:numId w:val="8"/>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《河南省普通干线公路国土空间规划》</w:t>
      </w:r>
    </w:p>
    <w:p>
      <w:pPr>
        <w:pStyle w:val="47"/>
        <w:numPr>
          <w:ilvl w:val="0"/>
          <w:numId w:val="8"/>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《中原城市群城际轨道交通网规划修编方案（</w:t>
      </w:r>
      <w:r>
        <w:rPr>
          <w:color w:val="000000" w:themeColor="text1"/>
          <w14:textFill>
            <w14:solidFill>
              <w14:schemeClr w14:val="tx1"/>
            </w14:solidFill>
          </w14:textFill>
        </w:rPr>
        <w:t>2018-2035</w:t>
      </w:r>
      <w:r>
        <w:rPr>
          <w:rFonts w:hint="eastAsia"/>
          <w:color w:val="000000" w:themeColor="text1"/>
          <w14:textFill>
            <w14:solidFill>
              <w14:schemeClr w14:val="tx1"/>
            </w14:solidFill>
          </w14:textFill>
        </w:rPr>
        <w:t>年）》</w:t>
      </w:r>
    </w:p>
    <w:p>
      <w:pPr>
        <w:pStyle w:val="47"/>
        <w:numPr>
          <w:ilvl w:val="0"/>
          <w:numId w:val="8"/>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《河南省“十四五”现代综合交通运输体系和枢纽经济发展规划》（2</w:t>
      </w:r>
      <w:r>
        <w:rPr>
          <w:color w:val="000000" w:themeColor="text1"/>
          <w14:textFill>
            <w14:solidFill>
              <w14:schemeClr w14:val="tx1"/>
            </w14:solidFill>
          </w14:textFill>
        </w:rPr>
        <w:t>022</w:t>
      </w:r>
      <w:r>
        <w:rPr>
          <w:rFonts w:hint="eastAsia"/>
          <w:color w:val="000000" w:themeColor="text1"/>
          <w14:textFill>
            <w14:solidFill>
              <w14:schemeClr w14:val="tx1"/>
            </w14:solidFill>
          </w14:textFill>
        </w:rPr>
        <w:t>年）</w:t>
      </w:r>
    </w:p>
    <w:p>
      <w:pPr>
        <w:pStyle w:val="47"/>
        <w:numPr>
          <w:ilvl w:val="0"/>
          <w:numId w:val="8"/>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《关于交通运输服务和支持乡村振兴战略的指导意见》（豫交文〔</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207</w:t>
      </w:r>
      <w:r>
        <w:rPr>
          <w:rFonts w:hint="eastAsia"/>
          <w:color w:val="000000" w:themeColor="text1"/>
          <w14:textFill>
            <w14:solidFill>
              <w14:schemeClr w14:val="tx1"/>
            </w14:solidFill>
          </w14:textFill>
        </w:rPr>
        <w:t>号）</w:t>
      </w:r>
    </w:p>
    <w:p>
      <w:pPr>
        <w:pStyle w:val="47"/>
        <w:numPr>
          <w:ilvl w:val="0"/>
          <w:numId w:val="8"/>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《关于加快推动“四好农村路”高质量发展的实施意见》（豫政办〔</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28</w:t>
      </w:r>
      <w:r>
        <w:rPr>
          <w:rFonts w:hint="eastAsia"/>
          <w:color w:val="000000" w:themeColor="text1"/>
          <w14:textFill>
            <w14:solidFill>
              <w14:schemeClr w14:val="tx1"/>
            </w14:solidFill>
          </w14:textFill>
        </w:rPr>
        <w:t>号）</w:t>
      </w:r>
    </w:p>
    <w:p>
      <w:pPr>
        <w:pStyle w:val="47"/>
        <w:numPr>
          <w:ilvl w:val="0"/>
          <w:numId w:val="8"/>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《河南省现代物流运行体系布局和建设实施方案》（豫发改服务业〔</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533</w:t>
      </w:r>
      <w:r>
        <w:rPr>
          <w:rFonts w:hint="eastAsia"/>
          <w:color w:val="000000" w:themeColor="text1"/>
          <w14:textFill>
            <w14:solidFill>
              <w14:schemeClr w14:val="tx1"/>
            </w14:solidFill>
          </w14:textFill>
        </w:rPr>
        <w:t>号）</w:t>
      </w:r>
    </w:p>
    <w:p>
      <w:pPr>
        <w:pStyle w:val="47"/>
        <w:overflowPunct w:val="0"/>
        <w:ind w:firstLine="643"/>
        <w:rPr>
          <w:b/>
          <w:bCs/>
          <w:color w:val="000000" w:themeColor="text1"/>
          <w14:textFill>
            <w14:solidFill>
              <w14:schemeClr w14:val="tx1"/>
            </w14:solidFill>
          </w14:textFill>
        </w:rPr>
      </w:pPr>
      <w:r>
        <w:rPr>
          <w:b/>
          <w:bCs/>
          <w:color w:val="000000" w:themeColor="text1"/>
          <w14:textFill>
            <w14:solidFill>
              <w14:schemeClr w14:val="tx1"/>
            </w14:solidFill>
          </w14:textFill>
        </w:rPr>
        <w:t>3.</w:t>
      </w:r>
      <w:r>
        <w:rPr>
          <w:rFonts w:hint="eastAsia"/>
          <w:b/>
          <w:bCs/>
          <w:color w:val="000000" w:themeColor="text1"/>
          <w14:textFill>
            <w14:solidFill>
              <w14:schemeClr w14:val="tx1"/>
            </w14:solidFill>
          </w14:textFill>
        </w:rPr>
        <w:t>市级层面</w:t>
      </w:r>
    </w:p>
    <w:p>
      <w:pPr>
        <w:pStyle w:val="47"/>
        <w:numPr>
          <w:ilvl w:val="0"/>
          <w:numId w:val="9"/>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《信阳市国民经济和社会发展第十四个五年规划和二〇三五年远景目标纲要》（信政办〔2024〕8号）</w:t>
      </w:r>
    </w:p>
    <w:p>
      <w:pPr>
        <w:pStyle w:val="47"/>
        <w:numPr>
          <w:ilvl w:val="0"/>
          <w:numId w:val="9"/>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《信阳市国土空间总体规划（202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—2035年）》（信政〔2024〕13号）</w:t>
      </w:r>
    </w:p>
    <w:p>
      <w:pPr>
        <w:pStyle w:val="47"/>
        <w:numPr>
          <w:ilvl w:val="0"/>
          <w:numId w:val="9"/>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《信阳市“十四五”现代综合交通运输体系和枢纽经济发展规划》（信政〔2022〕14号）</w:t>
      </w:r>
    </w:p>
    <w:p>
      <w:pPr>
        <w:pStyle w:val="47"/>
        <w:numPr>
          <w:ilvl w:val="0"/>
          <w:numId w:val="9"/>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《信阳市推进运输结构调整工作实施方案》（信政办〔</w:t>
      </w:r>
      <w:r>
        <w:rPr>
          <w:color w:val="000000" w:themeColor="text1"/>
          <w14:textFill>
            <w14:solidFill>
              <w14:schemeClr w14:val="tx1"/>
            </w14:solidFill>
          </w14:textFill>
        </w:rPr>
        <w:t>2019</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14</w:t>
      </w:r>
      <w:r>
        <w:rPr>
          <w:rFonts w:hint="eastAsia"/>
          <w:color w:val="000000" w:themeColor="text1"/>
          <w14:textFill>
            <w14:solidFill>
              <w14:schemeClr w14:val="tx1"/>
            </w14:solidFill>
          </w14:textFill>
        </w:rPr>
        <w:t>号）</w:t>
      </w:r>
    </w:p>
    <w:p>
      <w:pPr>
        <w:pStyle w:val="47"/>
        <w:numPr>
          <w:ilvl w:val="0"/>
          <w:numId w:val="9"/>
        </w:numPr>
        <w:overflowPunct w:val="0"/>
        <w:ind w:firstLineChars="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支持现代物流强市建设若干措施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信政〔2022〕35号</w:t>
      </w:r>
      <w:r>
        <w:rPr>
          <w:color w:val="000000" w:themeColor="text1"/>
          <w14:textFill>
            <w14:solidFill>
              <w14:schemeClr w14:val="tx1"/>
            </w14:solidFill>
          </w14:textFill>
        </w:rPr>
        <w:t>）</w:t>
      </w:r>
    </w:p>
    <w:p>
      <w:pPr>
        <w:pStyle w:val="47"/>
        <w:numPr>
          <w:ilvl w:val="0"/>
          <w:numId w:val="9"/>
        </w:numPr>
        <w:overflowPunct w:val="0"/>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《信阳市内河航运发展规划（2023-2035年）》（信政〔2023〕24号）</w:t>
      </w:r>
    </w:p>
    <w:p>
      <w:pPr>
        <w:pStyle w:val="47"/>
        <w:numPr>
          <w:ilvl w:val="0"/>
          <w:numId w:val="9"/>
        </w:numPr>
        <w:overflowPunct w:val="0"/>
        <w:ind w:firstLineChars="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信阳市红色大别一号旅游公路发展规划（2023-2030年）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信政文〔2024〕1号</w:t>
      </w:r>
      <w:r>
        <w:rPr>
          <w:color w:val="000000" w:themeColor="text1"/>
          <w14:textFill>
            <w14:solidFill>
              <w14:schemeClr w14:val="tx1"/>
            </w14:solidFill>
          </w14:textFill>
        </w:rPr>
        <w:t>）</w:t>
      </w:r>
    </w:p>
    <w:p>
      <w:pPr>
        <w:pStyle w:val="47"/>
        <w:numPr>
          <w:ilvl w:val="0"/>
          <w:numId w:val="9"/>
        </w:numPr>
        <w:overflowPunct w:val="0"/>
        <w:ind w:firstLineChars="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关于加快内河航运高质量发展的实施意见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（信政办〔</w:t>
      </w:r>
      <w:r>
        <w:rPr>
          <w:color w:val="000000" w:themeColor="text1"/>
          <w14:textFill>
            <w14:solidFill>
              <w14:schemeClr w14:val="tx1"/>
            </w14:solidFill>
          </w14:textFill>
        </w:rPr>
        <w:t>2024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号）</w:t>
      </w:r>
    </w:p>
    <w:p>
      <w:pPr>
        <w:pStyle w:val="47"/>
        <w:numPr>
          <w:ilvl w:val="0"/>
          <w:numId w:val="9"/>
        </w:numPr>
        <w:overflowPunct w:val="0"/>
        <w:ind w:firstLineChars="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信阳市实施物流拉动打造枢纽经济优势工作方案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信政办〔2024〕24号</w:t>
      </w:r>
      <w:r>
        <w:rPr>
          <w:color w:val="000000" w:themeColor="text1"/>
          <w14:textFill>
            <w14:solidFill>
              <w14:schemeClr w14:val="tx1"/>
            </w14:solidFill>
          </w14:textFill>
        </w:rPr>
        <w:t>）</w:t>
      </w:r>
    </w:p>
    <w:p>
      <w:pPr>
        <w:pStyle w:val="9"/>
        <w:ind w:firstLine="198" w:firstLineChars="62"/>
        <w:rPr>
          <w:rFonts w:hint="eastAsia"/>
        </w:rPr>
        <w:sectPr>
          <w:footerReference r:id="rId12" w:type="default"/>
          <w:pgSz w:w="11906" w:h="16838"/>
          <w:pgMar w:top="1440" w:right="1800" w:bottom="1440" w:left="1800" w:header="851" w:footer="992" w:gutter="0"/>
          <w:pgNumType w:start="1"/>
          <w:cols w:space="425" w:num="1"/>
          <w:docGrid w:type="lines" w:linePitch="312" w:charSpace="0"/>
        </w:sectPr>
      </w:pPr>
    </w:p>
    <w:p>
      <w:pPr>
        <w:pStyle w:val="2"/>
        <w:ind w:firstLine="643"/>
      </w:pPr>
      <w:bookmarkStart w:id="4" w:name="_Toc181110957"/>
      <w:r>
        <w:rPr>
          <w:rFonts w:hint="eastAsia"/>
          <w:szCs w:val="20"/>
        </w:rPr>
        <w:t>二、</w:t>
      </w:r>
      <w:r>
        <w:rPr>
          <w:rFonts w:hint="eastAsia"/>
        </w:rPr>
        <w:t>规划基础</w:t>
      </w:r>
      <w:bookmarkEnd w:id="4"/>
    </w:p>
    <w:p>
      <w:pPr>
        <w:pStyle w:val="4"/>
        <w:ind w:firstLine="643"/>
      </w:pPr>
      <w:bookmarkStart w:id="5" w:name="_Toc181110958"/>
      <w:r>
        <w:rPr>
          <w:rFonts w:hint="eastAsia"/>
        </w:rPr>
        <w:t>（一）发展现状</w:t>
      </w:r>
      <w:bookmarkEnd w:id="5"/>
    </w:p>
    <w:p>
      <w:pPr>
        <w:ind w:firstLine="640"/>
      </w:pPr>
      <w:r>
        <w:rPr>
          <w:rFonts w:hint="eastAsia"/>
        </w:rPr>
        <w:t>改革开放特别是党的十八大以来，我</w:t>
      </w:r>
      <w:r>
        <w:t>市坚持</w:t>
      </w:r>
      <w:r>
        <w:rPr>
          <w:rFonts w:hint="eastAsia"/>
        </w:rPr>
        <w:t>“</w:t>
      </w:r>
      <w:r>
        <w:t>城市建设、经济发展、交通先行</w:t>
      </w:r>
      <w:r>
        <w:rPr>
          <w:rFonts w:hint="eastAsia"/>
        </w:rPr>
        <w:t>”</w:t>
      </w:r>
      <w:r>
        <w:t>理念，以</w:t>
      </w:r>
      <w:r>
        <w:rPr>
          <w:rFonts w:hint="eastAsia"/>
        </w:rPr>
        <w:t>交通基础设施建设</w:t>
      </w:r>
      <w:r>
        <w:t>、运输服务水平提升、</w:t>
      </w:r>
      <w:r>
        <w:rPr>
          <w:rFonts w:hint="eastAsia"/>
        </w:rPr>
        <w:t>智慧绿色安全发展</w:t>
      </w:r>
      <w:r>
        <w:t>、</w:t>
      </w:r>
      <w:r>
        <w:rPr>
          <w:rFonts w:hint="eastAsia"/>
        </w:rPr>
        <w:t>行业治理能力增强</w:t>
      </w:r>
      <w:r>
        <w:t>为重点，基本建成水陆空一体的综合交通运输体系</w:t>
      </w:r>
      <w:r>
        <w:rPr>
          <w:rFonts w:hint="eastAsia"/>
        </w:rPr>
        <w:t>，</w:t>
      </w:r>
      <w:r>
        <w:t>区域枢纽功能更加凸显，</w:t>
      </w:r>
      <w:r>
        <w:rPr>
          <w:rFonts w:hint="eastAsia"/>
        </w:rPr>
        <w:t>运输服务能力的不断提升，为信阳经济社会持续健康发展发挥了重要的支撑带动和服务保障作用。</w:t>
      </w:r>
    </w:p>
    <w:p>
      <w:pPr>
        <w:ind w:firstLine="640"/>
        <w:rPr>
          <w:rStyle w:val="37"/>
        </w:rPr>
      </w:pPr>
      <w:r>
        <w:rPr>
          <w:rFonts w:eastAsia="楷体"/>
          <w:szCs w:val="36"/>
        </w:rPr>
        <w:t>交通网络逐步完善。</w:t>
      </w:r>
      <w:r>
        <w:rPr>
          <w:rStyle w:val="37"/>
          <w:rFonts w:hint="eastAsia"/>
        </w:rPr>
        <w:t>截至2023年底，全市公路通车总里程29088公里，公路密度每百平方公里153.7公里，其中高速公路645公里，“五纵三横一环”高速公路网布局日趋完善，普通干线公路2993公里，二级及以上占比达到59.7％，农村公路25451公里，潢川县成功创建“四好农村路”全国示范县，全面实现“县县有国道、乡乡通干线、村村通硬化路”。全市铁路运营里程</w:t>
      </w:r>
      <w:r>
        <w:rPr>
          <w:rStyle w:val="37"/>
        </w:rPr>
        <w:t>542.7</w:t>
      </w:r>
      <w:r>
        <w:rPr>
          <w:rStyle w:val="37"/>
          <w:rFonts w:hint="eastAsia"/>
        </w:rPr>
        <w:t>公里，其中高速铁路营运里程</w:t>
      </w:r>
      <w:r>
        <w:rPr>
          <w:rStyle w:val="37"/>
        </w:rPr>
        <w:t>82.2</w:t>
      </w:r>
      <w:r>
        <w:rPr>
          <w:rStyle w:val="37"/>
          <w:rFonts w:hint="eastAsia"/>
        </w:rPr>
        <w:t>公里，京广高速铁路贯穿南北，“两纵一横”普速铁路网覆盖广泛。全市内河水运通航里程324公里，其中高等级航道通航126公里，淮滨</w:t>
      </w:r>
      <w:r>
        <w:rPr>
          <w:rStyle w:val="37"/>
        </w:rPr>
        <w:t>港区饮马港作业区</w:t>
      </w:r>
      <w:r>
        <w:rPr>
          <w:rStyle w:val="37"/>
          <w:rFonts w:hint="eastAsia"/>
        </w:rPr>
        <w:t>、淮滨</w:t>
      </w:r>
      <w:r>
        <w:rPr>
          <w:rStyle w:val="37"/>
        </w:rPr>
        <w:t>港区中心作业区</w:t>
      </w:r>
      <w:r>
        <w:rPr>
          <w:rStyle w:val="37"/>
          <w:rFonts w:hint="eastAsia"/>
        </w:rPr>
        <w:t>、</w:t>
      </w:r>
      <w:r>
        <w:rPr>
          <w:rStyle w:val="37"/>
        </w:rPr>
        <w:t>固始港区望岗港作业区</w:t>
      </w:r>
      <w:r>
        <w:rPr>
          <w:rStyle w:val="37"/>
          <w:rFonts w:hint="eastAsia"/>
        </w:rPr>
        <w:t>、息县港区闾河口作业区</w:t>
      </w:r>
      <w:r>
        <w:rPr>
          <w:rStyle w:val="37"/>
        </w:rPr>
        <w:t>已建成并投入运营，初步形成信阳东向出海运输通道，</w:t>
      </w:r>
      <w:r>
        <w:rPr>
          <w:rStyle w:val="37"/>
          <w:rFonts w:hint="eastAsia"/>
        </w:rPr>
        <w:t>运输船舶1883艘，运力达568万吨占全省总运力的44.6%。</w:t>
      </w:r>
      <w:r>
        <w:rPr>
          <w:rStyle w:val="37"/>
        </w:rPr>
        <w:t>明港机场</w:t>
      </w:r>
      <w:r>
        <w:rPr>
          <w:rStyle w:val="37"/>
          <w:rFonts w:hint="eastAsia"/>
        </w:rPr>
        <w:t>已开通海口、上海、重庆、深圳、杭州、成都等城市航线</w:t>
      </w:r>
      <w:r>
        <w:rPr>
          <w:rStyle w:val="37"/>
        </w:rPr>
        <w:t>，成为信阳及豫南地区经济建设的助推器。</w:t>
      </w:r>
    </w:p>
    <w:p>
      <w:pPr>
        <w:overflowPunct w:val="0"/>
        <w:ind w:firstLine="640"/>
        <w:rPr>
          <w:rStyle w:val="37"/>
        </w:rPr>
      </w:pPr>
      <w:r>
        <w:rPr>
          <w:rFonts w:eastAsia="楷体"/>
          <w:szCs w:val="36"/>
        </w:rPr>
        <w:t>枢纽</w:t>
      </w:r>
      <w:r>
        <w:rPr>
          <w:rFonts w:hint="eastAsia" w:eastAsia="楷体"/>
          <w:szCs w:val="36"/>
        </w:rPr>
        <w:t>建设稳步推进</w:t>
      </w:r>
      <w:r>
        <w:rPr>
          <w:rFonts w:eastAsia="楷体"/>
          <w:szCs w:val="36"/>
        </w:rPr>
        <w:t>。</w:t>
      </w:r>
      <w:r>
        <w:rPr>
          <w:rFonts w:hint="eastAsia"/>
          <w:szCs w:val="32"/>
        </w:rPr>
        <w:t>信阳汽车客运东站、南湾旅游中心公交枢纽站、潢川汽车客运西站、固始县顺达客运站、淮滨县综合交通运输服务中心、淮滨县客货物流服务中心、罗山县农村物流网络中心投入使用，上天梯枢纽站主体工程基本完成，息县交通枢纽站、新县田铺旅游客运站和潢川经济开发区大别山铁路综合物流园等项目加快建设，客货运输服务保障能力大幅提升</w:t>
      </w:r>
      <w:r>
        <w:rPr>
          <w:szCs w:val="32"/>
        </w:rPr>
        <w:t>。</w:t>
      </w:r>
      <w:r>
        <w:rPr>
          <w:rStyle w:val="37"/>
          <w:rFonts w:hint="eastAsia"/>
        </w:rPr>
        <w:t>截至2023年底，全市已建成客运枢纽场站1个、货运枢纽场站1个，二级以上汽车客运站13个，物流园3个，县级物流分拔中心2个，乡镇综合服务平台32个，公交场站6个。</w:t>
      </w:r>
    </w:p>
    <w:p>
      <w:pPr>
        <w:overflowPunct w:val="0"/>
        <w:ind w:firstLine="640"/>
        <w:rPr>
          <w:rStyle w:val="37"/>
        </w:rPr>
      </w:pPr>
      <w:r>
        <w:rPr>
          <w:rFonts w:hint="eastAsia" w:eastAsia="楷体"/>
          <w:szCs w:val="36"/>
        </w:rPr>
        <w:t>运输服务明显提升。</w:t>
      </w:r>
      <w:r>
        <w:rPr>
          <w:rStyle w:val="37"/>
          <w:rFonts w:hint="eastAsia"/>
        </w:rPr>
        <w:t>中心城区</w:t>
      </w:r>
      <w:r>
        <w:rPr>
          <w:rFonts w:hint="eastAsia"/>
          <w:szCs w:val="24"/>
        </w:rPr>
        <w:t>公交车643辆，万人公交车拥有量达到11标台，常规公交线路达27条，定制线路7条，公交站点500米覆盖率100%；</w:t>
      </w:r>
      <w:r>
        <w:rPr>
          <w:rStyle w:val="37"/>
          <w:rFonts w:hint="eastAsia"/>
        </w:rPr>
        <w:t>信罗交通运输一体化稳步推进，信阳至罗山城际公交开通运营；</w:t>
      </w:r>
      <w:r>
        <w:rPr>
          <w:rStyle w:val="37"/>
        </w:rPr>
        <w:t>全市</w:t>
      </w:r>
      <w:r>
        <w:rPr>
          <w:rFonts w:hint="eastAsia"/>
          <w:szCs w:val="24"/>
        </w:rPr>
        <w:t>具备条件的建制村全部通客车</w:t>
      </w:r>
      <w:r>
        <w:rPr>
          <w:rStyle w:val="37"/>
        </w:rPr>
        <w:t>，</w:t>
      </w:r>
      <w:r>
        <w:rPr>
          <w:rStyle w:val="37"/>
          <w:rFonts w:hint="eastAsia"/>
        </w:rPr>
        <w:t>90个行政村实现农村客运公交化，</w:t>
      </w:r>
      <w:r>
        <w:rPr>
          <w:rFonts w:hint="eastAsia"/>
          <w:szCs w:val="24"/>
        </w:rPr>
        <w:t>新县被确定为全国第三批城乡交通运输一体化示范创建县</w:t>
      </w:r>
      <w:r>
        <w:rPr>
          <w:rStyle w:val="37"/>
          <w:rFonts w:hint="eastAsia"/>
        </w:rPr>
        <w:t>。</w:t>
      </w:r>
      <w:r>
        <w:rPr>
          <w:szCs w:val="32"/>
        </w:rPr>
        <w:t>省定信阳市金牛物流产业集聚区的物流综合能力日益提升，潢川铁路货运综合物流园区规模逐步壮大，光山县电商物流蓬勃发展，</w:t>
      </w:r>
      <w:r>
        <w:rPr>
          <w:rStyle w:val="37"/>
          <w:rFonts w:hint="eastAsia"/>
        </w:rPr>
        <w:t>快递网点覆盖全市所有行政村，实现“县县有分拨、乡乡有网点、村村直通邮”。</w:t>
      </w:r>
    </w:p>
    <w:p>
      <w:pPr>
        <w:overflowPunct w:val="0"/>
        <w:ind w:firstLine="640"/>
        <w:rPr>
          <w:szCs w:val="32"/>
        </w:rPr>
      </w:pPr>
      <w:r>
        <w:rPr>
          <w:rFonts w:hint="eastAsia" w:eastAsia="楷体"/>
          <w:szCs w:val="36"/>
        </w:rPr>
        <w:t>交旅融合出新出彩。</w:t>
      </w:r>
      <w:r>
        <w:rPr>
          <w:rFonts w:hint="eastAsia"/>
          <w:szCs w:val="32"/>
        </w:rPr>
        <w:t>学习江浙地区先进经验，先行谋划“大别山一号旅游公路”示范项目12个200公里，创新打造信阳1号旅游公路（G107宝石桥至豫鄂省界段）和罗山县“初心路”（X032灵山镇至何家冲红二十五军长征出发地）；结合浉河区环湖路提质改造工程，探索“公路主体+交旅融合+路域经济+乡村振兴”新发展路径，形成可复制可推广的试点经验，加快交通运输和旅游业高质量发展。全市1851公里旅游公路成功纳入《河南省旅游公路网规划》，高标准建成红色大别一号旅游公路600公里，国道220线信阳段入选首届河南省“最美国省干线公路”。以优化大别山旅游高速公路设计和开放式服务区建设为突破口，“串珠成链”带动沿线旅游资源开发，打造新时代“沿着高速看中国”的标志性亮点工程。</w:t>
      </w:r>
    </w:p>
    <w:p>
      <w:pPr>
        <w:overflowPunct w:val="0"/>
        <w:ind w:firstLine="640"/>
        <w:rPr>
          <w:bCs/>
          <w:szCs w:val="32"/>
        </w:rPr>
      </w:pPr>
      <w:r>
        <w:rPr>
          <w:rFonts w:hint="eastAsia" w:eastAsia="楷体"/>
          <w:szCs w:val="36"/>
        </w:rPr>
        <w:t>智慧交通有序推进。</w:t>
      </w:r>
      <w:r>
        <w:rPr>
          <w:rStyle w:val="37"/>
          <w:rFonts w:hint="eastAsia"/>
        </w:rPr>
        <w:t>全面深化高速公路收费制度改革，圆满完成取消京港澳、大广、沪陕等高速公路省界收费站工作，</w:t>
      </w:r>
      <w:r>
        <w:rPr>
          <w:rFonts w:hint="eastAsia"/>
          <w:bCs/>
          <w:szCs w:val="32"/>
        </w:rPr>
        <w:t>安罗高速入选交通运输部新基建试点。加快建设普通国省道全要素资产数据库，编制完成《信阳市干线公路智慧交通实施方案》；G107、G312绕信阳市区段智慧交通设施建设方案编制工作有序开展。加快国省干线公路市级视频监控平台建设，新增14处监控设备，数据实时上传省智慧公路数据平台。加强科技执法建设，升级改造交通执法视频监控点和电子抓拍系统，持续推进行业“一中心、四平台”数字大脑建设。</w:t>
      </w:r>
    </w:p>
    <w:p>
      <w:pPr>
        <w:pStyle w:val="9"/>
        <w:ind w:firstLine="640"/>
        <w:rPr>
          <w:rStyle w:val="37"/>
          <w:rFonts w:ascii="仿宋" w:hAnsi="仿宋"/>
        </w:rPr>
      </w:pPr>
      <w:r>
        <w:rPr>
          <w:rFonts w:hint="eastAsia" w:eastAsia="楷体"/>
          <w:szCs w:val="36"/>
        </w:rPr>
        <w:t>节能降碳成效显著。</w:t>
      </w:r>
      <w:r>
        <w:rPr>
          <w:rFonts w:hint="eastAsia" w:ascii="仿宋" w:hAnsi="仿宋"/>
        </w:rPr>
        <w:t>提请市政府出台《信阳市中心城区新能源出租车推广应用工作实施方案》，中心城区出租车新能源更新替代工作加快推进</w:t>
      </w:r>
      <w:r>
        <w:rPr>
          <w:rStyle w:val="37"/>
          <w:rFonts w:hint="eastAsia" w:ascii="仿宋" w:hAnsi="仿宋"/>
        </w:rPr>
        <w:t>。强化道路扬尘治理，建设入城车辆冲洗站，加大柴油车货车执法检查力度，中心城区清扫洒水车坚持常态化作业。加强水污染防治，</w:t>
      </w:r>
      <w:r>
        <w:rPr>
          <w:rFonts w:ascii="仿宋" w:hAnsi="仿宋"/>
          <w:szCs w:val="32"/>
        </w:rPr>
        <w:t>提升高速公路服务区和收费站污水处理能力，</w:t>
      </w:r>
      <w:r>
        <w:rPr>
          <w:rFonts w:hint="eastAsia" w:ascii="仿宋" w:hAnsi="仿宋"/>
          <w:szCs w:val="32"/>
        </w:rPr>
        <w:t>加快</w:t>
      </w:r>
      <w:r>
        <w:rPr>
          <w:rFonts w:ascii="仿宋" w:hAnsi="仿宋"/>
          <w:szCs w:val="32"/>
        </w:rPr>
        <w:t>港口船舶污染物接收设施建设，推进沙河特大桥和谭家河大桥环境污染应急防护设施建设。</w:t>
      </w:r>
      <w:r>
        <w:rPr>
          <w:rStyle w:val="37"/>
          <w:rFonts w:hint="eastAsia" w:ascii="仿宋" w:hAnsi="仿宋"/>
        </w:rPr>
        <w:t>绿色交通试点工作扎实开展，</w:t>
      </w:r>
      <w:r>
        <w:rPr>
          <w:rFonts w:hint="eastAsia" w:ascii="仿宋" w:hAnsi="仿宋"/>
          <w:szCs w:val="32"/>
        </w:rPr>
        <w:t>信阳弘运集团绿色交通运输试点企业项目和息县、新县创建绿色交通试点县项目建设完成正式投入运营，信阳港·淮滨中心港（近）零碳港口绿色低碳交通试点示范项目建设基本完成</w:t>
      </w:r>
      <w:r>
        <w:rPr>
          <w:rStyle w:val="37"/>
          <w:rFonts w:hint="eastAsia" w:ascii="仿宋" w:hAnsi="仿宋"/>
        </w:rPr>
        <w:t>。</w:t>
      </w:r>
    </w:p>
    <w:p>
      <w:pPr>
        <w:pStyle w:val="9"/>
        <w:ind w:firstLine="640"/>
        <w:rPr>
          <w:rStyle w:val="37"/>
          <w:rFonts w:ascii="仿宋" w:hAnsi="仿宋"/>
        </w:rPr>
      </w:pPr>
      <w:r>
        <w:rPr>
          <w:rFonts w:hint="eastAsia" w:eastAsia="楷体"/>
          <w:szCs w:val="36"/>
        </w:rPr>
        <w:t>安全发展稳定向好。</w:t>
      </w:r>
      <w:r>
        <w:rPr>
          <w:rFonts w:eastAsia="仿宋_GB2312"/>
        </w:rPr>
        <w:t>积极修订完善行业应急预案，印发《信阳市交通运输行业安全日应急演练计划方案》，</w:t>
      </w:r>
      <w:r>
        <w:rPr>
          <w:rStyle w:val="37"/>
          <w:rFonts w:hint="eastAsia"/>
        </w:rPr>
        <w:t>建立常态化公路保通、应急运输保障、危化运输事故处置等专业应急队伍。强化安全监管督导，在汛期公路保通、疫情保通保运等工作中，全市高速公路、普通公路、内河水运、在建项目没有一人因灾伤亡。提升本质安全水平，组织开展道路运输安全生产突出问题集中整治“百日行动”，扎实推进普货车辆动态监控系统2G升4G工作，全市危运车辆全部接入省重点车辆联网联控系统，实现4G车载视频接入率100%、电子运单企业覆盖率100%。逐步加大公路安</w:t>
      </w:r>
      <w:r>
        <w:rPr>
          <w:rStyle w:val="37"/>
          <w:rFonts w:hint="eastAsia" w:ascii="仿宋" w:hAnsi="仿宋"/>
        </w:rPr>
        <w:t>防工程投入，</w:t>
      </w:r>
      <w:r>
        <w:rPr>
          <w:rFonts w:ascii="仿宋" w:hAnsi="仿宋"/>
          <w:szCs w:val="32"/>
        </w:rPr>
        <w:t>县乡道和通客车村道安全隐患治理达标率基本达到100%。</w:t>
      </w:r>
    </w:p>
    <w:p>
      <w:pPr>
        <w:pStyle w:val="9"/>
        <w:ind w:firstLine="640"/>
        <w:rPr>
          <w:rStyle w:val="37"/>
        </w:rPr>
      </w:pPr>
      <w:r>
        <w:rPr>
          <w:rFonts w:hint="eastAsia" w:eastAsia="楷体"/>
          <w:szCs w:val="36"/>
        </w:rPr>
        <w:t>治理能力持续增强。</w:t>
      </w:r>
      <w:r>
        <w:rPr>
          <w:rStyle w:val="37"/>
          <w:rFonts w:hint="eastAsia"/>
        </w:rPr>
        <w:t>扎实开展“万人助万企”活动，健全企业联系机制，全面优化交通运输营商环境。严格落实行政审批“三集中三到位”，行政许可等权力事项全部接入交通运输领域政务服务平台，政务服务事项办理流程进一步优化。持续推进放权赋能改革，向各县下放审批权，赋予地方更大改革发展自主权。畅通投诉处理渠道，市12328交通运输服务监督电话系统与市长热线有效融合，答复满意率达100%。全市深入排查整改各类问题，被评为全省交通运输执法领域突出问题专项整治行动先进单位。推广“APP+移动执法+不见面处理”模式，全面落实“一超四罚”。加大交通综合行政执法力度，开展了消灭“百吨王”、中心城区客运市场经营秩序专项整治等行动。</w:t>
      </w:r>
    </w:p>
    <w:p>
      <w:pPr>
        <w:pStyle w:val="4"/>
        <w:ind w:firstLine="643"/>
      </w:pPr>
      <w:bookmarkStart w:id="6" w:name="_Toc181110959"/>
      <w:r>
        <w:rPr>
          <w:rFonts w:hint="eastAsia"/>
        </w:rPr>
        <w:t>（二）存在问题</w:t>
      </w:r>
      <w:bookmarkEnd w:id="6"/>
    </w:p>
    <w:p>
      <w:pPr>
        <w:pStyle w:val="9"/>
        <w:ind w:firstLine="640"/>
        <w:rPr>
          <w:rStyle w:val="37"/>
        </w:rPr>
      </w:pPr>
      <w:r>
        <w:rPr>
          <w:rStyle w:val="37"/>
          <w:rFonts w:hint="eastAsia"/>
        </w:rPr>
        <w:t>信阳市综合立体交通网已具备良好的发展基础，但交通运输发展不平衡不充分问题仍然存在。</w:t>
      </w:r>
      <w:r>
        <w:rPr>
          <w:rFonts w:hint="eastAsia" w:cs="宋体"/>
          <w:b/>
          <w:bCs/>
          <w:kern w:val="0"/>
        </w:rPr>
        <w:t>一是综合交通网络有待完善。</w:t>
      </w:r>
      <w:r>
        <w:rPr>
          <w:rStyle w:val="37"/>
          <w:rFonts w:hint="eastAsia"/>
        </w:rPr>
        <w:t>尚未形成“入群进圈”的多方式、多路径通道体系，与武汉都市圈、长江中游城市群的联系仍需加强。公路水路基础设施“大而不强、长而不优”，水运发展存在短板。</w:t>
      </w:r>
      <w:r>
        <w:rPr>
          <w:rFonts w:hint="eastAsia" w:cs="宋体"/>
          <w:b/>
          <w:bCs/>
          <w:kern w:val="0"/>
        </w:rPr>
        <w:t>二是枢纽布局有待加强。</w:t>
      </w:r>
      <w:r>
        <w:rPr>
          <w:rStyle w:val="37"/>
          <w:rFonts w:hint="eastAsia"/>
        </w:rPr>
        <w:t>缺乏便捷换乘的综合客运枢纽和高效换装的货运枢纽（物流园区），旅客联程联运水平有待提高，货运集疏运体系有待完善。枢纽经济发展有待拓展，难以支撑商贸服务型国家枢纽承载城市的战略定位和发展需要。</w:t>
      </w:r>
      <w:r>
        <w:rPr>
          <w:rStyle w:val="37"/>
          <w:rFonts w:hint="eastAsia"/>
          <w:b/>
          <w:bCs/>
        </w:rPr>
        <w:t>三是运输服务品质有待改善。</w:t>
      </w:r>
      <w:r>
        <w:rPr>
          <w:rStyle w:val="37"/>
          <w:rFonts w:hint="eastAsia"/>
        </w:rPr>
        <w:t>道路货运企业小、散、弱问题突出，多式联运发展亟需加快，运输结构有待优化，各运输方式间信息共享有待增强。</w:t>
      </w:r>
      <w:r>
        <w:rPr>
          <w:rStyle w:val="37"/>
          <w:rFonts w:hint="eastAsia"/>
          <w:b/>
          <w:bCs/>
        </w:rPr>
        <w:t>四是交通高质量发展水平有待提升。</w:t>
      </w:r>
      <w:r>
        <w:rPr>
          <w:rStyle w:val="37"/>
          <w:rFonts w:hint="eastAsia"/>
        </w:rPr>
        <w:t>行业转型任务繁重，要素保障难题有待破解，新一代智能信息技术与交通运输行业深度融合不足，绿色交通发展任重道远。</w:t>
      </w:r>
    </w:p>
    <w:p>
      <w:pPr>
        <w:pStyle w:val="2"/>
        <w:ind w:firstLine="643"/>
      </w:pPr>
      <w:bookmarkStart w:id="7" w:name="_Toc181110960"/>
      <w:r>
        <w:rPr>
          <w:rFonts w:hint="eastAsia"/>
          <w:szCs w:val="20"/>
        </w:rPr>
        <w:t>三、</w:t>
      </w:r>
      <w:r>
        <w:rPr>
          <w:rFonts w:hint="eastAsia"/>
        </w:rPr>
        <w:t>发展趋势</w:t>
      </w:r>
      <w:bookmarkEnd w:id="7"/>
    </w:p>
    <w:p>
      <w:pPr>
        <w:pStyle w:val="4"/>
        <w:ind w:firstLine="643"/>
      </w:pPr>
      <w:bookmarkStart w:id="8" w:name="_Toc181110961"/>
      <w:r>
        <w:rPr>
          <w:rFonts w:hint="eastAsia"/>
        </w:rPr>
        <w:t>（一）形势要求</w:t>
      </w:r>
      <w:bookmarkEnd w:id="8"/>
    </w:p>
    <w:p>
      <w:pPr>
        <w:pStyle w:val="9"/>
        <w:ind w:firstLine="643"/>
        <w:rPr>
          <w:b/>
          <w:bCs/>
        </w:rPr>
      </w:pPr>
      <w:r>
        <w:rPr>
          <w:rFonts w:hint="eastAsia"/>
          <w:b/>
          <w:bCs/>
        </w:rPr>
        <w:t>1.构建“双循环”新发展格局，要求加快打造区域性交通枢纽</w:t>
      </w:r>
    </w:p>
    <w:p>
      <w:pPr>
        <w:pStyle w:val="9"/>
        <w:ind w:firstLine="640"/>
      </w:pPr>
      <w:r>
        <w:rPr>
          <w:rFonts w:hint="eastAsia"/>
        </w:rPr>
        <w:t>加快形成以国内大循环为主体、国内国际双循环相互促进的新发展格局，关键在于经济循环的畅通。要求紧扣优势再造战略，强化对外综合运输通道和枢纽体系建设，加快建设东连长三角城市群、西接关中城市群的通道，完善通道内各方式交通网络，优化客货场站布局，加强枢纽集疏运体系建设，扩大国内国际辐射带动能力，构建重要的区域性互联互通综合交通枢纽。</w:t>
      </w:r>
    </w:p>
    <w:p>
      <w:pPr>
        <w:pStyle w:val="9"/>
        <w:ind w:firstLine="643"/>
        <w:rPr>
          <w:b/>
          <w:bCs/>
        </w:rPr>
      </w:pPr>
      <w:r>
        <w:rPr>
          <w:rFonts w:hint="eastAsia"/>
          <w:b/>
          <w:bCs/>
        </w:rPr>
        <w:t>2</w:t>
      </w:r>
      <w:r>
        <w:rPr>
          <w:b/>
          <w:bCs/>
        </w:rPr>
        <w:t>.</w:t>
      </w:r>
      <w:r>
        <w:rPr>
          <w:rFonts w:hint="eastAsia"/>
          <w:b/>
          <w:bCs/>
        </w:rPr>
        <w:t>把握多重战略叠加机遇，要求发挥交通支撑引领作用</w:t>
      </w:r>
    </w:p>
    <w:p>
      <w:pPr>
        <w:pStyle w:val="9"/>
        <w:ind w:firstLine="640"/>
      </w:pPr>
      <w:r>
        <w:rPr>
          <w:rFonts w:hint="eastAsia"/>
        </w:rPr>
        <w:t>抢抓“一带一路”、中部地区崛起、大别山革命老区振兴、淮河生态经济带发展等战略发展机遇，发挥政策叠加支持作用。要求加快建设现代化高质量综合立体交通网络，打造发达高效的快速网、便捷顺畅的干线网、覆盖广泛的基础网，实现基础设施一体化、运输服务便利化、区域发展协调化、城乡交通均等化、综合水平现代化，在打造“两个更好”示范区和美好生活目的地中发挥交通先行作用。</w:t>
      </w:r>
    </w:p>
    <w:p>
      <w:pPr>
        <w:pStyle w:val="9"/>
        <w:ind w:firstLine="643"/>
        <w:rPr>
          <w:b/>
          <w:bCs/>
        </w:rPr>
      </w:pPr>
      <w:r>
        <w:rPr>
          <w:b/>
          <w:bCs/>
        </w:rPr>
        <w:t>3</w:t>
      </w:r>
      <w:r>
        <w:rPr>
          <w:rFonts w:hint="eastAsia"/>
          <w:b/>
          <w:bCs/>
        </w:rPr>
        <w:t>.贯彻落实交通强国建设，要求推动交通统筹融合发展</w:t>
      </w:r>
    </w:p>
    <w:p>
      <w:pPr>
        <w:pStyle w:val="9"/>
        <w:ind w:firstLine="640"/>
      </w:pPr>
      <w:r>
        <w:rPr>
          <w:rFonts w:hint="eastAsia"/>
        </w:rPr>
        <w:t>建设交通强国是以习近平同志为核心的党中央立足国情、着眼全局、面向未来作出的重大战略决策，是建设现代化经济体系的先行领域。要求坚持系统观念，整体性推进、一体化发展，从跨方式、跨领域、跨区域、跨产业四个维度，推进铁路、公路、水运、民航、邮政等融合发展，推进交通基础设施网与运输服务网、信息网、能源网融合发展，推进区域交通运输协调发展，推进交通与相关产业融合发展。</w:t>
      </w:r>
    </w:p>
    <w:p>
      <w:pPr>
        <w:pStyle w:val="9"/>
        <w:ind w:firstLine="643"/>
        <w:rPr>
          <w:b/>
          <w:bCs/>
        </w:rPr>
      </w:pPr>
      <w:r>
        <w:rPr>
          <w:b/>
          <w:bCs/>
        </w:rPr>
        <w:t>4</w:t>
      </w:r>
      <w:r>
        <w:rPr>
          <w:rFonts w:hint="eastAsia"/>
          <w:b/>
          <w:bCs/>
        </w:rPr>
        <w:t>.大力推进乡村振兴战略，要求促进交通运输均等化</w:t>
      </w:r>
    </w:p>
    <w:p>
      <w:pPr>
        <w:pStyle w:val="9"/>
        <w:ind w:firstLine="640"/>
      </w:pPr>
      <w:r>
        <w:rPr>
          <w:rFonts w:hint="eastAsia"/>
        </w:rPr>
        <w:t>实施乡村振兴战略，是党的十九大做出的重大战略部署，是实现“两个一百年”奋斗目标和中华民族伟大复兴中国梦的必然要求。信阳作为农业大市，要强力支撑乡村振兴战略实施，推动农村公路高品质建设、高效能管理、高质量养护、高水平运营，加快城乡交通运输一体化发展，实现客、货、邮融合发展和人流物流的全面畅通，助力农村旅游、农村产业发展，巩固拓展脱贫攻坚成果同乡村振兴有效衔接。</w:t>
      </w:r>
    </w:p>
    <w:p>
      <w:pPr>
        <w:pStyle w:val="9"/>
        <w:ind w:firstLine="643"/>
        <w:rPr>
          <w:b/>
          <w:bCs/>
        </w:rPr>
      </w:pPr>
      <w:r>
        <w:rPr>
          <w:b/>
          <w:bCs/>
        </w:rPr>
        <w:t>5</w:t>
      </w:r>
      <w:r>
        <w:rPr>
          <w:rFonts w:hint="eastAsia"/>
          <w:b/>
          <w:bCs/>
        </w:rPr>
        <w:t>.深入实施创新驱动战略，要求提升交通科技创新能力</w:t>
      </w:r>
    </w:p>
    <w:p>
      <w:pPr>
        <w:pStyle w:val="9"/>
        <w:ind w:firstLine="640"/>
        <w:rPr>
          <w:rFonts w:ascii="仿宋" w:hAnsi="仿宋"/>
          <w:color w:val="000000"/>
          <w:shd w:val="clear" w:color="auto" w:fill="FFFFFF"/>
        </w:rPr>
      </w:pPr>
      <w:r>
        <w:rPr>
          <w:rFonts w:hint="eastAsia"/>
        </w:rPr>
        <w:t>新一轮科技革命和产业变革突飞猛进，省委、省政府把创新驱动、科教兴省、人才强省战略摆在“十大战略”之首。这要求突出科技创新的引领作用，</w:t>
      </w:r>
      <w:r>
        <w:rPr>
          <w:rFonts w:hint="eastAsia" w:ascii="仿宋" w:hAnsi="仿宋"/>
          <w:color w:val="000000"/>
          <w:shd w:val="clear" w:color="auto" w:fill="FFFFFF"/>
        </w:rPr>
        <w:t>推动现代科技和交通运输建设、运营、服务、管理等有机结合，加强现代信息技术在交通运输领域的应用，深入实施“人才强交”战略，推动交通运输行业治理体系和治理能力现代化，为信阳建设长三角产业协同创新区提供有力支撑。</w:t>
      </w:r>
    </w:p>
    <w:p>
      <w:pPr>
        <w:pStyle w:val="9"/>
        <w:ind w:firstLine="643"/>
        <w:rPr>
          <w:b/>
          <w:bCs/>
        </w:rPr>
      </w:pPr>
      <w:r>
        <w:rPr>
          <w:b/>
          <w:bCs/>
        </w:rPr>
        <w:t>6</w:t>
      </w:r>
      <w:r>
        <w:rPr>
          <w:rFonts w:hint="eastAsia"/>
          <w:b/>
          <w:bCs/>
        </w:rPr>
        <w:t>.助力碳达峰碳中和目标，要求推动绿色低碳交通发展</w:t>
      </w:r>
    </w:p>
    <w:p>
      <w:pPr>
        <w:pStyle w:val="9"/>
        <w:ind w:firstLine="640"/>
      </w:pPr>
      <w:r>
        <w:rPr>
          <w:rFonts w:hint="eastAsia"/>
        </w:rPr>
        <w:t>“碳达峰、碳中和”为我国应对气候变化、绿色低碳发展提供了方向指引，也对交通运输高质量发展提出了更高要求，良好生态环境是信阳打造大别山（豫南）高效生态经济示范区、塑造“美好生活看信阳”品牌的核心竞争力。要求将生态环保理念贯穿于交通建设与发展的全过程，推进资源节约型、环境友好型绿色交通系统建设，节约集约利用土地、水域、空域等资源，强化交通节能减排和污染防治，努力实现交通运输与生态环境和谐发展。</w:t>
      </w:r>
    </w:p>
    <w:p>
      <w:pPr>
        <w:pStyle w:val="4"/>
        <w:ind w:firstLine="643"/>
      </w:pPr>
      <w:bookmarkStart w:id="9" w:name="_Toc181110962"/>
      <w:r>
        <w:rPr>
          <w:rFonts w:hint="eastAsia"/>
        </w:rPr>
        <w:t>（二）</w:t>
      </w:r>
      <w:r>
        <w:t>需求</w:t>
      </w:r>
      <w:r>
        <w:rPr>
          <w:rFonts w:hint="eastAsia"/>
        </w:rPr>
        <w:t>分析</w:t>
      </w:r>
      <w:bookmarkEnd w:id="9"/>
    </w:p>
    <w:p>
      <w:pPr>
        <w:ind w:firstLine="643"/>
        <w:rPr>
          <w:b/>
          <w:bCs/>
          <w:szCs w:val="24"/>
        </w:rPr>
      </w:pPr>
      <w:r>
        <w:rPr>
          <w:rFonts w:hint="eastAsia"/>
          <w:b/>
          <w:bCs/>
          <w:szCs w:val="24"/>
        </w:rPr>
        <w:t>1</w:t>
      </w:r>
      <w:r>
        <w:rPr>
          <w:b/>
          <w:bCs/>
          <w:szCs w:val="24"/>
        </w:rPr>
        <w:t>.</w:t>
      </w:r>
      <w:r>
        <w:rPr>
          <w:rFonts w:hint="eastAsia"/>
          <w:b/>
          <w:bCs/>
          <w:szCs w:val="24"/>
        </w:rPr>
        <w:t>全社会客货运总量持续增长</w:t>
      </w:r>
    </w:p>
    <w:p>
      <w:pPr>
        <w:ind w:firstLine="640"/>
        <w:rPr>
          <w:szCs w:val="24"/>
        </w:rPr>
      </w:pPr>
      <w:r>
        <w:rPr>
          <w:rFonts w:hint="eastAsia"/>
          <w:szCs w:val="24"/>
        </w:rPr>
        <w:t>客运方面，从中长期看，随着信阳市城镇化建设稳步推进，城乡发展协调性不断增强，人民生活水平逐步提升，快速、高品质的出行需求将会大幅增长，高铁、民航需求旺盛，城市交通持续增长，低运量轨道等大容量公共交通将成为城市交通发展的趋势。同时信阳市着力推进“1335”工作布局，加快打造“两个更好”示范区、美好生活目的地，推动旅游业、生态康养产业的发展，旅游出行需求将大幅增加。</w:t>
      </w:r>
    </w:p>
    <w:p>
      <w:pPr>
        <w:ind w:firstLine="640"/>
        <w:rPr>
          <w:szCs w:val="24"/>
        </w:rPr>
      </w:pPr>
      <w:r>
        <w:rPr>
          <w:rFonts w:hint="eastAsia"/>
          <w:szCs w:val="24"/>
        </w:rPr>
        <w:t>货运方面，统筹电子信息、先进装备制造、建材家居三大主导产业壮大和食品加工业、纺织服装业两大传统支柱产业改造提升，大宗货物、资源深加工产品、复合产品、原材料等运输需求将持续稳定增长，为信阳市水路、铁路货运量增长提供动力。新材料、节能环保、生物医药、军民融合等战略新兴产业，对滚装运输、集装箱运输、以及冷链等专业化物流提出新的需求。在主导产业、传统产业、新兴产业、生活物资等多重货运需求带动下，预计信阳市货运需求总量将持续上升。</w:t>
      </w:r>
    </w:p>
    <w:p>
      <w:pPr>
        <w:ind w:firstLine="643"/>
        <w:rPr>
          <w:b/>
          <w:bCs/>
          <w:szCs w:val="24"/>
        </w:rPr>
      </w:pPr>
      <w:r>
        <w:rPr>
          <w:rFonts w:hint="eastAsia"/>
          <w:b/>
          <w:bCs/>
          <w:szCs w:val="24"/>
        </w:rPr>
        <w:t>2</w:t>
      </w:r>
      <w:r>
        <w:rPr>
          <w:b/>
          <w:bCs/>
          <w:szCs w:val="24"/>
        </w:rPr>
        <w:t>.</w:t>
      </w:r>
      <w:r>
        <w:rPr>
          <w:rFonts w:hint="eastAsia"/>
          <w:b/>
          <w:bCs/>
          <w:szCs w:val="24"/>
        </w:rPr>
        <w:t>综合运输结构进一步优化</w:t>
      </w:r>
    </w:p>
    <w:p>
      <w:pPr>
        <w:ind w:firstLine="640"/>
        <w:rPr>
          <w:szCs w:val="24"/>
        </w:rPr>
      </w:pPr>
      <w:r>
        <w:rPr>
          <w:rFonts w:hint="eastAsia"/>
          <w:szCs w:val="24"/>
        </w:rPr>
        <w:t>客运方面，公路旅客运输仍将在较长时间内占据主导地位，但受高铁、民航冲击，营运性客运出行量将持续下降。随着人民生活水平的不断提高，高品质、多样化、个性化的客运出行需求不断增加，信阳与京津冀、长三角、粤港澳大湾区、成渝地区等城市群的联系将更加紧密，客流将明显增长。</w:t>
      </w:r>
    </w:p>
    <w:p>
      <w:pPr>
        <w:ind w:firstLine="640"/>
      </w:pPr>
      <w:r>
        <w:rPr>
          <w:rFonts w:hint="eastAsia"/>
          <w:szCs w:val="24"/>
        </w:rPr>
        <w:t>货运方面，信阳市正在经历向工业化后期发展的阶段，随着产业结构的进一步调整，初级产品比重下降，批量小、轻重量、高附加值的产品比重上升，民航货运将快速起步。伴随全市铁路网不断完善和水运航道能力提升，尤其是南信合、京九高铁和淮河通航项目的建设，将大幅提升沪陕通道和大广通道运输能力，货运量逐步由公路向铁路、水运转移，货物运输规模显著提升，货物运输结构更加合理。</w:t>
      </w:r>
      <w:r>
        <w:br w:type="page"/>
      </w:r>
    </w:p>
    <w:p>
      <w:pPr>
        <w:pStyle w:val="2"/>
        <w:ind w:firstLine="643"/>
      </w:pPr>
      <w:bookmarkStart w:id="10" w:name="_Toc181110963"/>
      <w:r>
        <w:rPr>
          <w:rFonts w:hint="eastAsia"/>
        </w:rPr>
        <w:t>四、总体要求</w:t>
      </w:r>
      <w:bookmarkEnd w:id="10"/>
    </w:p>
    <w:p>
      <w:pPr>
        <w:pStyle w:val="4"/>
        <w:ind w:firstLine="643"/>
      </w:pPr>
      <w:bookmarkStart w:id="11" w:name="_Toc181110964"/>
      <w:r>
        <w:rPr>
          <w:rFonts w:hint="eastAsia"/>
        </w:rPr>
        <w:t>（一）指导思想</w:t>
      </w:r>
      <w:bookmarkEnd w:id="11"/>
    </w:p>
    <w:p>
      <w:pPr>
        <w:pStyle w:val="9"/>
        <w:ind w:firstLine="640"/>
      </w:pPr>
      <w:r>
        <w:rPr>
          <w:rFonts w:hint="eastAsia"/>
        </w:rPr>
        <w:t>以习近平新时代中国特色社会主义思想为指导，全面贯彻落实党的二十大精神和二十届三中全会精神，深入落实总书记视察信阳作出的重要指示，以“两个更好”为统领，以推动高质量发展为主题，以深化供给侧结构性改革为主线，以改革创新为根本动力，围绕信阳市“四个走在前列”和“1335”工作布局，牢牢把握“人享其行、物畅其流”的美好愿景，打造一流设施、一流技术、一流管理、一流服务，加快融入国省交通“主骨架”，打通“大动脉”、畅通“微循环”，构建现代化高质量综合立体交通网，推进信阳交通强市建设，在中国式现代化建设信阳实践中当好开路先锋。</w:t>
      </w:r>
    </w:p>
    <w:p>
      <w:pPr>
        <w:pStyle w:val="4"/>
        <w:ind w:firstLine="643"/>
      </w:pPr>
      <w:bookmarkStart w:id="12" w:name="_Toc181110965"/>
      <w:r>
        <w:rPr>
          <w:rFonts w:hint="eastAsia"/>
        </w:rPr>
        <w:t>（二）</w:t>
      </w:r>
      <w:r>
        <w:t>基本原则</w:t>
      </w:r>
      <w:bookmarkEnd w:id="12"/>
    </w:p>
    <w:p>
      <w:pPr>
        <w:pStyle w:val="9"/>
        <w:ind w:firstLine="643"/>
      </w:pPr>
      <w:r>
        <w:rPr>
          <w:b/>
          <w:bCs/>
        </w:rPr>
        <w:t>统筹融合、协调发展。</w:t>
      </w:r>
      <w:r>
        <w:t>科学合理确定公路、水路、铁路、航空的发展方向和重点，促进各种运输方式之间的高效衔接</w:t>
      </w:r>
      <w:r>
        <w:rPr>
          <w:rFonts w:hint="eastAsia"/>
        </w:rPr>
        <w:t>、</w:t>
      </w:r>
      <w:r>
        <w:t>有机协同</w:t>
      </w:r>
      <w:r>
        <w:rPr>
          <w:rFonts w:hint="eastAsia"/>
        </w:rPr>
        <w:t>。</w:t>
      </w:r>
      <w:r>
        <w:t>引导</w:t>
      </w:r>
      <w:r>
        <w:rPr>
          <w:rFonts w:hint="eastAsia"/>
        </w:rPr>
        <w:t>综合交通</w:t>
      </w:r>
      <w:r>
        <w:t>与旅游业、制造业、流通业等融合发展</w:t>
      </w:r>
      <w:r>
        <w:rPr>
          <w:rFonts w:hint="eastAsia"/>
        </w:rPr>
        <w:t>，</w:t>
      </w:r>
      <w:r>
        <w:t>同时与国土空间、城镇体系、产业布局相适应</w:t>
      </w:r>
      <w:r>
        <w:rPr>
          <w:rFonts w:hint="eastAsia"/>
        </w:rPr>
        <w:t>。</w:t>
      </w:r>
    </w:p>
    <w:p>
      <w:pPr>
        <w:pStyle w:val="9"/>
        <w:ind w:firstLine="643"/>
      </w:pPr>
      <w:r>
        <w:rPr>
          <w:b/>
          <w:bCs/>
        </w:rPr>
        <w:t>高效共享、服务为先。</w:t>
      </w:r>
      <w:r>
        <w:t>推动交通运输从高投入、高速度向高质量、高效益转变，提高综合交通网络效率，降低物流成本。以建设人民满意交通为</w:t>
      </w:r>
      <w:r>
        <w:rPr>
          <w:rFonts w:hint="eastAsia"/>
        </w:rPr>
        <w:t>着力</w:t>
      </w:r>
      <w:r>
        <w:t>点，增强交通服务产业发展能力</w:t>
      </w:r>
      <w:r>
        <w:rPr>
          <w:rFonts w:hint="eastAsia"/>
        </w:rPr>
        <w:t>，</w:t>
      </w:r>
      <w:r>
        <w:t>助力提升信阳产业竞争力和承接产业转移能力。</w:t>
      </w:r>
    </w:p>
    <w:p>
      <w:pPr>
        <w:pStyle w:val="9"/>
        <w:ind w:firstLine="643"/>
      </w:pPr>
      <w:r>
        <w:rPr>
          <w:b/>
          <w:bCs/>
        </w:rPr>
        <w:t>开放合作、创新</w:t>
      </w:r>
      <w:r>
        <w:rPr>
          <w:rFonts w:hint="eastAsia"/>
          <w:b/>
          <w:bCs/>
        </w:rPr>
        <w:t>驱动</w:t>
      </w:r>
      <w:r>
        <w:rPr>
          <w:b/>
          <w:bCs/>
        </w:rPr>
        <w:t>。</w:t>
      </w:r>
      <w:r>
        <w:t>以“一带一路”建设为重点，</w:t>
      </w:r>
      <w:r>
        <w:rPr>
          <w:rFonts w:hint="eastAsia"/>
        </w:rPr>
        <w:t>强化交通基础设施互联互通，加大对外开放合作力度，提升开放型经济发展水平</w:t>
      </w:r>
      <w:r>
        <w:t>。</w:t>
      </w:r>
      <w:r>
        <w:rPr>
          <w:rFonts w:hint="eastAsia"/>
        </w:rPr>
        <w:t>围绕国家创新驱动发展战略，推动5G、大数据、互联网等新技术发展，促进现代交通运输体系数字化、信息化、智能化。</w:t>
      </w:r>
    </w:p>
    <w:p>
      <w:pPr>
        <w:pStyle w:val="9"/>
        <w:ind w:firstLine="643"/>
      </w:pPr>
      <w:r>
        <w:rPr>
          <w:b/>
          <w:bCs/>
        </w:rPr>
        <w:t>安全可靠、生态优先。</w:t>
      </w:r>
      <w:r>
        <w:t>统筹发展和安全</w:t>
      </w:r>
      <w:r>
        <w:rPr>
          <w:rFonts w:hint="eastAsia"/>
        </w:rPr>
        <w:t>，提升交通基础设施本质安全水平，</w:t>
      </w:r>
      <w:r>
        <w:t>提高应对自然灾害、突发事件保障能力。加快发展绿色低碳交通运输方式</w:t>
      </w:r>
      <w:r>
        <w:rPr>
          <w:rFonts w:hint="eastAsia"/>
        </w:rPr>
        <w:t>，</w:t>
      </w:r>
      <w:r>
        <w:t>注重集约利用土地资源，保护环境，</w:t>
      </w:r>
      <w:r>
        <w:rPr>
          <w:rFonts w:hint="eastAsia"/>
        </w:rPr>
        <w:t>促进交通与自然和谐发展，</w:t>
      </w:r>
      <w:r>
        <w:t>把可持续发展作为基本要求。</w:t>
      </w:r>
    </w:p>
    <w:p>
      <w:pPr>
        <w:pStyle w:val="4"/>
        <w:ind w:firstLine="643"/>
      </w:pPr>
      <w:bookmarkStart w:id="13" w:name="_Toc181110966"/>
      <w:r>
        <w:rPr>
          <w:rFonts w:hint="eastAsia"/>
        </w:rPr>
        <w:t>（三）发展目标</w:t>
      </w:r>
      <w:bookmarkEnd w:id="13"/>
    </w:p>
    <w:p>
      <w:pPr>
        <w:pStyle w:val="9"/>
        <w:ind w:firstLine="640"/>
      </w:pPr>
      <w:r>
        <w:rPr>
          <w:rFonts w:hint="eastAsia"/>
        </w:rPr>
        <w:t>到</w:t>
      </w:r>
      <w:r>
        <w:t>2030</w:t>
      </w:r>
      <w:r>
        <w:rPr>
          <w:rFonts w:hint="eastAsia"/>
        </w:rPr>
        <w:t>年，交通强市建设取得重大进展。基本建成“两枢纽、三张网、五通道、八体系”综合立体交通网，</w:t>
      </w:r>
      <w:bookmarkStart w:id="14" w:name="_Hlk127000540"/>
      <w:r>
        <w:rPr>
          <w:rFonts w:hint="eastAsia"/>
        </w:rPr>
        <w:t>形成“一纵一横”的高速铁路网、“五纵四横一环”高速公路网及“一干三支”的内河航道网布局，</w:t>
      </w:r>
      <w:bookmarkEnd w:id="14"/>
      <w:r>
        <w:rPr>
          <w:rFonts w:hint="eastAsia"/>
        </w:rPr>
        <w:t>基本实现县（区）“</w:t>
      </w:r>
      <w:r>
        <w:t>1</w:t>
      </w:r>
      <w:r>
        <w:rPr>
          <w:rFonts w:hint="eastAsia"/>
        </w:rPr>
        <w:t>小时上高铁”、县县双高速、乡镇通二级路、村村通等级路，</w:t>
      </w:r>
      <w:bookmarkStart w:id="15" w:name="_Hlk127000560"/>
      <w:r>
        <w:rPr>
          <w:rFonts w:hint="eastAsia"/>
        </w:rPr>
        <w:t>交通、产业和城市发展初步融合，交通区位优势向经济发展优势转化成效初显。</w:t>
      </w:r>
      <w:bookmarkEnd w:id="15"/>
    </w:p>
    <w:p>
      <w:pPr>
        <w:pStyle w:val="9"/>
        <w:ind w:firstLine="640"/>
      </w:pPr>
      <w:r>
        <w:rPr>
          <w:rFonts w:hint="eastAsia"/>
        </w:rPr>
        <w:t>到2035年，</w:t>
      </w:r>
      <w:bookmarkStart w:id="16" w:name="_Hlk127000578"/>
      <w:r>
        <w:rPr>
          <w:rFonts w:hint="eastAsia"/>
        </w:rPr>
        <w:t>基本实现人民满意、保障有力、水平先进的交通强市。建成区域性互联互通综合交通枢纽，拥有发达的快速网、完善的干线网、广泛的基础网，铁路、公路、航空、水运均衡发展，联通南北、辐射东西的运输通道全面贯通，高品质交通出行圈加速成型，交旅融合发展水平达到全省前列，多式联运发展实现新跨越，交通治理体系和治理能力现代化水平显著提升，交通运输与经济社会发展实现高水平有机融合，“两枢纽、三张网、五通道、八体系”的现代化综合交通体系全面形成，实现1小时通达鄂豫皖省会城市、2小时通达长三角城市群、3小时覆盖大湾区等全国主要城市。</w:t>
      </w:r>
      <w:bookmarkEnd w:id="16"/>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522" w:type="dxa"/>
          </w:tcPr>
          <w:p>
            <w:pPr>
              <w:widowControl/>
              <w:overflowPunct w:val="0"/>
              <w:spacing w:before="120" w:after="120" w:line="240" w:lineRule="auto"/>
              <w:ind w:firstLine="0" w:firstLineChars="0"/>
              <w:jc w:val="center"/>
              <w:rPr>
                <w:color w:val="000000"/>
                <w:kern w:val="0"/>
                <w:szCs w:val="32"/>
              </w:rPr>
            </w:pPr>
            <w:r>
              <w:rPr>
                <w:rFonts w:hint="eastAsia" w:eastAsia="黑体"/>
                <w:color w:val="000000"/>
                <w:kern w:val="0"/>
                <w:sz w:val="24"/>
                <w:szCs w:val="24"/>
              </w:rPr>
              <w:t xml:space="preserve">专栏1 </w:t>
            </w:r>
            <w:r>
              <w:rPr>
                <w:rFonts w:eastAsia="黑体"/>
                <w:color w:val="000000"/>
                <w:kern w:val="0"/>
                <w:sz w:val="24"/>
                <w:szCs w:val="24"/>
              </w:rPr>
              <w:t xml:space="preserve"> </w:t>
            </w:r>
            <w:r>
              <w:rPr>
                <w:rFonts w:hint="eastAsia" w:eastAsia="黑体"/>
                <w:color w:val="000000"/>
                <w:kern w:val="0"/>
                <w:sz w:val="24"/>
                <w:szCs w:val="24"/>
              </w:rPr>
              <w:t>交通强市建设整体布局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（一）“两枢纽、三张网、五通道、八体系”</w:t>
            </w:r>
          </w:p>
          <w:p>
            <w:pPr>
              <w:tabs>
                <w:tab w:val="left" w:pos="2828"/>
              </w:tabs>
              <w:overflowPunct w:val="0"/>
              <w:adjustRightInd w:val="0"/>
              <w:snapToGrid w:val="0"/>
              <w:spacing w:line="520" w:lineRule="exact"/>
              <w:ind w:firstLine="480"/>
              <w:rPr>
                <w:rFonts w:ascii="仿宋" w:hAnsi="仿宋"/>
                <w:bCs/>
                <w:color w:val="000000"/>
                <w:kern w:val="0"/>
                <w:sz w:val="24"/>
                <w:szCs w:val="24"/>
              </w:rPr>
            </w:pPr>
            <w:r>
              <w:rPr>
                <w:rFonts w:hint="eastAsia" w:ascii="仿宋" w:hAnsi="仿宋"/>
                <w:bCs/>
                <w:color w:val="000000"/>
                <w:kern w:val="0"/>
                <w:sz w:val="24"/>
                <w:szCs w:val="24"/>
              </w:rPr>
              <w:t>“两枢纽”：即打造重要的区域性互联互通综合交通枢纽和现代物流枢纽。</w:t>
            </w:r>
          </w:p>
          <w:p>
            <w:pPr>
              <w:tabs>
                <w:tab w:val="left" w:pos="2828"/>
              </w:tabs>
              <w:overflowPunct w:val="0"/>
              <w:adjustRightInd w:val="0"/>
              <w:snapToGrid w:val="0"/>
              <w:spacing w:line="520" w:lineRule="exact"/>
              <w:ind w:firstLine="480"/>
              <w:rPr>
                <w:rFonts w:ascii="仿宋" w:hAnsi="仿宋"/>
                <w:bCs/>
                <w:color w:val="000000"/>
                <w:kern w:val="0"/>
                <w:sz w:val="24"/>
                <w:szCs w:val="24"/>
              </w:rPr>
            </w:pPr>
            <w:r>
              <w:rPr>
                <w:rFonts w:hint="eastAsia" w:ascii="仿宋" w:hAnsi="仿宋"/>
                <w:bCs/>
                <w:color w:val="000000"/>
                <w:kern w:val="0"/>
                <w:sz w:val="24"/>
                <w:szCs w:val="24"/>
              </w:rPr>
              <w:t>“三张网”：即织好发达的快速网、完善的干线网、广泛的基础网。</w:t>
            </w:r>
          </w:p>
          <w:p>
            <w:pPr>
              <w:tabs>
                <w:tab w:val="left" w:pos="2828"/>
              </w:tabs>
              <w:overflowPunct w:val="0"/>
              <w:adjustRightInd w:val="0"/>
              <w:snapToGrid w:val="0"/>
              <w:spacing w:line="520" w:lineRule="exact"/>
              <w:ind w:firstLine="480"/>
              <w:rPr>
                <w:rFonts w:ascii="仿宋" w:hAnsi="仿宋"/>
                <w:bCs/>
                <w:color w:val="000000"/>
                <w:kern w:val="0"/>
                <w:sz w:val="24"/>
                <w:szCs w:val="24"/>
              </w:rPr>
            </w:pPr>
            <w:r>
              <w:rPr>
                <w:rFonts w:hint="eastAsia" w:ascii="仿宋" w:hAnsi="仿宋"/>
                <w:bCs/>
                <w:color w:val="000000"/>
                <w:kern w:val="0"/>
                <w:sz w:val="24"/>
                <w:szCs w:val="24"/>
              </w:rPr>
              <w:t>“五通道”：即完善京港澳、大广、沪陕、沿淮和大别山5个通道。</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ascii="仿宋" w:hAnsi="仿宋"/>
                <w:bCs/>
                <w:color w:val="000000"/>
                <w:kern w:val="0"/>
                <w:sz w:val="24"/>
                <w:szCs w:val="24"/>
              </w:rPr>
              <w:t>“八体系”：即构建高质量综合交通体系、构建高起点枢纽经济体系、构建高品质运输服务体系、构建高规格统筹融合体系、构建高层次科技创新体系、构建高标准平安交通体系、构建高能效绿色低碳体系、构建高水平交通治理体系。</w:t>
            </w:r>
          </w:p>
        </w:tc>
      </w:tr>
    </w:tbl>
    <w:p>
      <w:pPr>
        <w:pStyle w:val="9"/>
        <w:ind w:firstLine="640"/>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811"/>
        <w:gridCol w:w="520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5000" w:type="pct"/>
            <w:gridSpan w:val="4"/>
            <w:vAlign w:val="center"/>
          </w:tcPr>
          <w:p>
            <w:pPr>
              <w:widowControl/>
              <w:overflowPunct w:val="0"/>
              <w:spacing w:before="120" w:after="120" w:line="240" w:lineRule="auto"/>
              <w:ind w:firstLine="0" w:firstLineChars="0"/>
              <w:jc w:val="center"/>
              <w:rPr>
                <w:rFonts w:eastAsia="黑体"/>
                <w:color w:val="000000"/>
                <w:kern w:val="0"/>
                <w:sz w:val="24"/>
                <w:szCs w:val="24"/>
              </w:rPr>
            </w:pPr>
            <w:r>
              <w:rPr>
                <w:rFonts w:hint="eastAsia" w:eastAsia="黑体"/>
                <w:color w:val="000000"/>
                <w:kern w:val="0"/>
                <w:sz w:val="24"/>
                <w:szCs w:val="24"/>
              </w:rPr>
              <w:t>专栏2</w:t>
            </w:r>
            <w:r>
              <w:rPr>
                <w:rFonts w:eastAsia="黑体"/>
                <w:color w:val="000000"/>
                <w:kern w:val="0"/>
                <w:sz w:val="24"/>
                <w:szCs w:val="24"/>
              </w:rPr>
              <w:t xml:space="preserve">  </w:t>
            </w:r>
            <w:r>
              <w:rPr>
                <w:rFonts w:hint="eastAsia" w:eastAsia="黑体"/>
                <w:color w:val="000000"/>
                <w:kern w:val="0"/>
                <w:sz w:val="24"/>
                <w:szCs w:val="24"/>
              </w:rPr>
              <w:t>2035年信阳市交通强市建设主要指标表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478" w:type="pct"/>
            <w:vAlign w:val="center"/>
          </w:tcPr>
          <w:p>
            <w:pPr>
              <w:widowControl/>
              <w:spacing w:line="240" w:lineRule="auto"/>
              <w:ind w:firstLine="0" w:firstLineChars="0"/>
              <w:jc w:val="center"/>
              <w:rPr>
                <w:b/>
                <w:bCs/>
                <w:kern w:val="0"/>
                <w:sz w:val="22"/>
                <w:szCs w:val="22"/>
              </w:rPr>
            </w:pPr>
            <w:r>
              <w:rPr>
                <w:rFonts w:hint="eastAsia"/>
                <w:b/>
                <w:bCs/>
                <w:kern w:val="0"/>
                <w:sz w:val="22"/>
                <w:szCs w:val="22"/>
              </w:rPr>
              <w:t>序号</w:t>
            </w:r>
          </w:p>
        </w:tc>
        <w:tc>
          <w:tcPr>
            <w:tcW w:w="3530" w:type="pct"/>
            <w:gridSpan w:val="2"/>
            <w:vAlign w:val="center"/>
          </w:tcPr>
          <w:p>
            <w:pPr>
              <w:widowControl/>
              <w:spacing w:line="240" w:lineRule="auto"/>
              <w:ind w:firstLine="0" w:firstLineChars="0"/>
              <w:jc w:val="center"/>
              <w:rPr>
                <w:b/>
                <w:bCs/>
                <w:kern w:val="0"/>
                <w:sz w:val="22"/>
                <w:szCs w:val="22"/>
              </w:rPr>
            </w:pPr>
            <w:r>
              <w:rPr>
                <w:rFonts w:hint="eastAsia"/>
                <w:b/>
                <w:bCs/>
                <w:kern w:val="0"/>
                <w:sz w:val="22"/>
                <w:szCs w:val="22"/>
              </w:rPr>
              <w:t>指    标</w:t>
            </w:r>
          </w:p>
        </w:tc>
        <w:tc>
          <w:tcPr>
            <w:tcW w:w="992" w:type="pct"/>
            <w:vAlign w:val="center"/>
          </w:tcPr>
          <w:p>
            <w:pPr>
              <w:widowControl/>
              <w:spacing w:line="240" w:lineRule="auto"/>
              <w:ind w:firstLine="0" w:firstLineChars="0"/>
              <w:jc w:val="center"/>
              <w:rPr>
                <w:b/>
                <w:bCs/>
                <w:kern w:val="0"/>
                <w:sz w:val="22"/>
                <w:szCs w:val="22"/>
              </w:rPr>
            </w:pPr>
            <w:r>
              <w:rPr>
                <w:rFonts w:hint="eastAsia"/>
                <w:b/>
                <w:bCs/>
                <w:kern w:val="0"/>
                <w:sz w:val="22"/>
                <w:szCs w:val="22"/>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478" w:type="pct"/>
            <w:vAlign w:val="center"/>
          </w:tcPr>
          <w:p>
            <w:pPr>
              <w:widowControl/>
              <w:spacing w:line="240" w:lineRule="auto"/>
              <w:ind w:firstLine="0" w:firstLineChars="0"/>
              <w:jc w:val="center"/>
              <w:rPr>
                <w:b/>
                <w:bCs/>
                <w:kern w:val="0"/>
                <w:sz w:val="22"/>
                <w:szCs w:val="22"/>
              </w:rPr>
            </w:pPr>
            <w:r>
              <w:rPr>
                <w:rFonts w:hint="eastAsia"/>
                <w:b/>
                <w:bCs/>
                <w:kern w:val="0"/>
                <w:sz w:val="22"/>
                <w:szCs w:val="22"/>
              </w:rPr>
              <w:t>1</w:t>
            </w:r>
          </w:p>
        </w:tc>
        <w:tc>
          <w:tcPr>
            <w:tcW w:w="476" w:type="pct"/>
            <w:vAlign w:val="center"/>
          </w:tcPr>
          <w:p>
            <w:pPr>
              <w:widowControl/>
              <w:spacing w:line="240" w:lineRule="auto"/>
              <w:ind w:firstLine="0" w:firstLineChars="0"/>
              <w:jc w:val="center"/>
              <w:rPr>
                <w:b/>
                <w:bCs/>
                <w:kern w:val="0"/>
                <w:sz w:val="22"/>
                <w:szCs w:val="22"/>
              </w:rPr>
            </w:pPr>
            <w:r>
              <w:rPr>
                <w:rFonts w:hint="eastAsia"/>
                <w:b/>
                <w:bCs/>
                <w:kern w:val="0"/>
                <w:sz w:val="22"/>
                <w:szCs w:val="22"/>
              </w:rPr>
              <w:t>开放互联</w:t>
            </w:r>
          </w:p>
        </w:tc>
        <w:tc>
          <w:tcPr>
            <w:tcW w:w="3054" w:type="pct"/>
            <w:vAlign w:val="center"/>
          </w:tcPr>
          <w:p>
            <w:pPr>
              <w:widowControl/>
              <w:spacing w:line="240" w:lineRule="auto"/>
              <w:ind w:firstLine="0" w:firstLineChars="0"/>
              <w:jc w:val="center"/>
              <w:rPr>
                <w:kern w:val="0"/>
                <w:sz w:val="22"/>
                <w:szCs w:val="22"/>
              </w:rPr>
            </w:pPr>
            <w:r>
              <w:rPr>
                <w:rFonts w:hint="eastAsia"/>
                <w:kern w:val="0"/>
                <w:sz w:val="22"/>
                <w:szCs w:val="22"/>
              </w:rPr>
              <w:t>利用铁路、高等级航道连通全国主要沿海港口的路径数量（条）</w:t>
            </w:r>
          </w:p>
        </w:tc>
        <w:tc>
          <w:tcPr>
            <w:tcW w:w="992" w:type="pct"/>
            <w:vAlign w:val="center"/>
          </w:tcPr>
          <w:p>
            <w:pPr>
              <w:widowControl/>
              <w:spacing w:line="240" w:lineRule="auto"/>
              <w:ind w:firstLine="0" w:firstLineChars="0"/>
              <w:jc w:val="center"/>
              <w:rPr>
                <w:kern w:val="0"/>
                <w:sz w:val="22"/>
                <w:szCs w:val="22"/>
              </w:rPr>
            </w:pPr>
            <w:r>
              <w:rPr>
                <w:rFonts w:hint="eastAsia"/>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 w:type="pct"/>
            <w:vAlign w:val="center"/>
          </w:tcPr>
          <w:p>
            <w:pPr>
              <w:widowControl/>
              <w:spacing w:line="240" w:lineRule="auto"/>
              <w:ind w:firstLine="0" w:firstLineChars="0"/>
              <w:jc w:val="center"/>
              <w:rPr>
                <w:b/>
                <w:bCs/>
                <w:kern w:val="0"/>
                <w:sz w:val="22"/>
                <w:szCs w:val="22"/>
              </w:rPr>
            </w:pPr>
            <w:r>
              <w:rPr>
                <w:b/>
                <w:bCs/>
                <w:kern w:val="0"/>
                <w:sz w:val="22"/>
                <w:szCs w:val="22"/>
              </w:rPr>
              <w:t>2</w:t>
            </w:r>
          </w:p>
        </w:tc>
        <w:tc>
          <w:tcPr>
            <w:tcW w:w="476" w:type="pct"/>
            <w:vMerge w:val="restart"/>
            <w:vAlign w:val="center"/>
          </w:tcPr>
          <w:p>
            <w:pPr>
              <w:widowControl/>
              <w:spacing w:line="240" w:lineRule="auto"/>
              <w:ind w:firstLine="0" w:firstLineChars="0"/>
              <w:jc w:val="center"/>
              <w:rPr>
                <w:b/>
                <w:bCs/>
                <w:kern w:val="0"/>
                <w:sz w:val="22"/>
                <w:szCs w:val="22"/>
              </w:rPr>
            </w:pPr>
            <w:r>
              <w:rPr>
                <w:rFonts w:hint="eastAsia"/>
                <w:b/>
                <w:bCs/>
                <w:kern w:val="0"/>
                <w:sz w:val="22"/>
                <w:szCs w:val="22"/>
              </w:rPr>
              <w:t>便捷</w:t>
            </w:r>
          </w:p>
          <w:p>
            <w:pPr>
              <w:widowControl/>
              <w:spacing w:line="240" w:lineRule="auto"/>
              <w:ind w:firstLine="0" w:firstLineChars="0"/>
              <w:jc w:val="center"/>
              <w:rPr>
                <w:b/>
                <w:bCs/>
                <w:kern w:val="0"/>
                <w:sz w:val="22"/>
                <w:szCs w:val="22"/>
              </w:rPr>
            </w:pPr>
            <w:r>
              <w:rPr>
                <w:rFonts w:hint="eastAsia"/>
                <w:b/>
                <w:bCs/>
                <w:kern w:val="0"/>
                <w:sz w:val="22"/>
                <w:szCs w:val="22"/>
              </w:rPr>
              <w:t>顺畅</w:t>
            </w:r>
          </w:p>
        </w:tc>
        <w:tc>
          <w:tcPr>
            <w:tcW w:w="3054" w:type="pct"/>
            <w:vAlign w:val="center"/>
          </w:tcPr>
          <w:p>
            <w:pPr>
              <w:widowControl/>
              <w:spacing w:line="240" w:lineRule="auto"/>
              <w:ind w:firstLine="0" w:firstLineChars="0"/>
              <w:jc w:val="center"/>
              <w:rPr>
                <w:kern w:val="0"/>
                <w:sz w:val="22"/>
                <w:szCs w:val="22"/>
              </w:rPr>
            </w:pPr>
            <w:r>
              <w:rPr>
                <w:kern w:val="0"/>
                <w:sz w:val="22"/>
                <w:szCs w:val="22"/>
              </w:rPr>
              <w:t>铁路营业里程（公里）</w:t>
            </w:r>
          </w:p>
        </w:tc>
        <w:tc>
          <w:tcPr>
            <w:tcW w:w="992" w:type="pct"/>
            <w:vAlign w:val="center"/>
          </w:tcPr>
          <w:p>
            <w:pPr>
              <w:widowControl/>
              <w:spacing w:line="240" w:lineRule="auto"/>
              <w:ind w:firstLine="0" w:firstLineChars="0"/>
              <w:jc w:val="center"/>
              <w:rPr>
                <w:kern w:val="0"/>
                <w:sz w:val="22"/>
                <w:szCs w:val="22"/>
              </w:rPr>
            </w:pPr>
            <w:r>
              <w:rPr>
                <w:rFonts w:hint="eastAsia"/>
                <w:kern w:val="0"/>
                <w:sz w:val="22"/>
                <w:szCs w:val="22"/>
              </w:rPr>
              <w:t>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 w:type="pct"/>
            <w:vAlign w:val="center"/>
          </w:tcPr>
          <w:p>
            <w:pPr>
              <w:widowControl/>
              <w:spacing w:line="240" w:lineRule="auto"/>
              <w:ind w:firstLine="0" w:firstLineChars="0"/>
              <w:jc w:val="center"/>
              <w:rPr>
                <w:b/>
                <w:bCs/>
                <w:kern w:val="0"/>
                <w:sz w:val="22"/>
                <w:szCs w:val="22"/>
              </w:rPr>
            </w:pPr>
            <w:r>
              <w:rPr>
                <w:rFonts w:hint="eastAsia"/>
                <w:b/>
                <w:bCs/>
                <w:kern w:val="0"/>
                <w:sz w:val="22"/>
                <w:szCs w:val="22"/>
              </w:rPr>
              <w:t>3</w:t>
            </w:r>
          </w:p>
        </w:tc>
        <w:tc>
          <w:tcPr>
            <w:tcW w:w="476" w:type="pct"/>
            <w:vMerge w:val="continue"/>
            <w:vAlign w:val="center"/>
          </w:tcPr>
          <w:p>
            <w:pPr>
              <w:widowControl/>
              <w:spacing w:line="240" w:lineRule="auto"/>
              <w:ind w:firstLine="0" w:firstLineChars="0"/>
              <w:jc w:val="center"/>
              <w:rPr>
                <w:b/>
                <w:bCs/>
                <w:kern w:val="0"/>
                <w:sz w:val="22"/>
                <w:szCs w:val="22"/>
              </w:rPr>
            </w:pPr>
          </w:p>
        </w:tc>
        <w:tc>
          <w:tcPr>
            <w:tcW w:w="3054" w:type="pct"/>
            <w:vAlign w:val="center"/>
          </w:tcPr>
          <w:p>
            <w:pPr>
              <w:widowControl/>
              <w:spacing w:line="240" w:lineRule="auto"/>
              <w:ind w:firstLine="0" w:firstLineChars="0"/>
              <w:jc w:val="center"/>
              <w:rPr>
                <w:kern w:val="0"/>
                <w:sz w:val="22"/>
                <w:szCs w:val="22"/>
              </w:rPr>
            </w:pPr>
            <w:r>
              <w:rPr>
                <w:kern w:val="0"/>
                <w:sz w:val="22"/>
                <w:szCs w:val="22"/>
              </w:rPr>
              <w:t>高速公路通车里程（公里）</w:t>
            </w:r>
          </w:p>
        </w:tc>
        <w:tc>
          <w:tcPr>
            <w:tcW w:w="992" w:type="pct"/>
            <w:vAlign w:val="center"/>
          </w:tcPr>
          <w:p>
            <w:pPr>
              <w:widowControl/>
              <w:spacing w:line="240" w:lineRule="auto"/>
              <w:ind w:firstLine="0" w:firstLineChars="0"/>
              <w:jc w:val="center"/>
              <w:rPr>
                <w:kern w:val="0"/>
                <w:sz w:val="22"/>
                <w:szCs w:val="22"/>
              </w:rPr>
            </w:pPr>
            <w:bookmarkStart w:id="17" w:name="_Hlk137484439"/>
            <w:r>
              <w:rPr>
                <w:rFonts w:hint="eastAsia"/>
                <w:kern w:val="0"/>
                <w:sz w:val="22"/>
                <w:szCs w:val="22"/>
              </w:rPr>
              <w:t>1291</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 w:type="pct"/>
            <w:vAlign w:val="center"/>
          </w:tcPr>
          <w:p>
            <w:pPr>
              <w:widowControl/>
              <w:spacing w:line="240" w:lineRule="auto"/>
              <w:ind w:firstLine="0" w:firstLineChars="0"/>
              <w:jc w:val="center"/>
              <w:rPr>
                <w:b/>
                <w:bCs/>
                <w:kern w:val="0"/>
                <w:sz w:val="22"/>
                <w:szCs w:val="22"/>
              </w:rPr>
            </w:pPr>
            <w:r>
              <w:rPr>
                <w:b/>
                <w:bCs/>
                <w:kern w:val="0"/>
                <w:sz w:val="22"/>
                <w:szCs w:val="22"/>
              </w:rPr>
              <w:t>4</w:t>
            </w:r>
          </w:p>
        </w:tc>
        <w:tc>
          <w:tcPr>
            <w:tcW w:w="476" w:type="pct"/>
            <w:vMerge w:val="continue"/>
            <w:vAlign w:val="center"/>
          </w:tcPr>
          <w:p>
            <w:pPr>
              <w:widowControl/>
              <w:spacing w:line="240" w:lineRule="auto"/>
              <w:ind w:firstLine="0" w:firstLineChars="0"/>
              <w:jc w:val="center"/>
              <w:rPr>
                <w:b/>
                <w:bCs/>
                <w:kern w:val="0"/>
                <w:sz w:val="22"/>
                <w:szCs w:val="22"/>
              </w:rPr>
            </w:pPr>
          </w:p>
        </w:tc>
        <w:tc>
          <w:tcPr>
            <w:tcW w:w="3054" w:type="pct"/>
            <w:vAlign w:val="center"/>
          </w:tcPr>
          <w:p>
            <w:pPr>
              <w:widowControl/>
              <w:spacing w:line="240" w:lineRule="auto"/>
              <w:ind w:firstLine="0" w:firstLineChars="0"/>
              <w:jc w:val="center"/>
              <w:rPr>
                <w:kern w:val="0"/>
                <w:sz w:val="22"/>
                <w:szCs w:val="22"/>
              </w:rPr>
            </w:pPr>
            <w:r>
              <w:rPr>
                <w:kern w:val="0"/>
                <w:sz w:val="22"/>
                <w:szCs w:val="22"/>
              </w:rPr>
              <w:t>二级及以上公路比重（%）</w:t>
            </w:r>
          </w:p>
        </w:tc>
        <w:tc>
          <w:tcPr>
            <w:tcW w:w="992" w:type="pct"/>
            <w:vAlign w:val="center"/>
          </w:tcPr>
          <w:p>
            <w:pPr>
              <w:widowControl/>
              <w:spacing w:line="240" w:lineRule="auto"/>
              <w:ind w:firstLine="0" w:firstLineChars="0"/>
              <w:jc w:val="center"/>
              <w:rPr>
                <w:kern w:val="0"/>
                <w:sz w:val="22"/>
                <w:szCs w:val="22"/>
              </w:rPr>
            </w:pPr>
            <w:r>
              <w:rPr>
                <w:kern w:val="0"/>
                <w:sz w:val="22"/>
                <w:szCs w:val="22"/>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 w:type="pct"/>
            <w:vAlign w:val="center"/>
          </w:tcPr>
          <w:p>
            <w:pPr>
              <w:widowControl/>
              <w:spacing w:line="240" w:lineRule="auto"/>
              <w:ind w:firstLine="0" w:firstLineChars="0"/>
              <w:jc w:val="center"/>
              <w:rPr>
                <w:b/>
                <w:bCs/>
                <w:kern w:val="0"/>
                <w:sz w:val="22"/>
                <w:szCs w:val="22"/>
              </w:rPr>
            </w:pPr>
            <w:r>
              <w:rPr>
                <w:b/>
                <w:bCs/>
                <w:kern w:val="0"/>
                <w:sz w:val="22"/>
                <w:szCs w:val="22"/>
              </w:rPr>
              <w:t>5</w:t>
            </w:r>
          </w:p>
        </w:tc>
        <w:tc>
          <w:tcPr>
            <w:tcW w:w="476" w:type="pct"/>
            <w:vMerge w:val="continue"/>
            <w:vAlign w:val="center"/>
          </w:tcPr>
          <w:p>
            <w:pPr>
              <w:widowControl/>
              <w:spacing w:line="240" w:lineRule="auto"/>
              <w:ind w:firstLine="0" w:firstLineChars="0"/>
              <w:jc w:val="center"/>
              <w:rPr>
                <w:b/>
                <w:bCs/>
                <w:kern w:val="0"/>
                <w:sz w:val="22"/>
                <w:szCs w:val="22"/>
              </w:rPr>
            </w:pPr>
          </w:p>
        </w:tc>
        <w:tc>
          <w:tcPr>
            <w:tcW w:w="3054" w:type="pct"/>
            <w:vAlign w:val="center"/>
          </w:tcPr>
          <w:p>
            <w:pPr>
              <w:widowControl/>
              <w:spacing w:line="240" w:lineRule="auto"/>
              <w:ind w:firstLine="0" w:firstLineChars="0"/>
              <w:jc w:val="center"/>
              <w:rPr>
                <w:kern w:val="0"/>
                <w:sz w:val="22"/>
                <w:szCs w:val="22"/>
              </w:rPr>
            </w:pPr>
            <w:r>
              <w:rPr>
                <w:rFonts w:hint="eastAsia"/>
                <w:kern w:val="0"/>
                <w:sz w:val="22"/>
                <w:szCs w:val="22"/>
              </w:rPr>
              <w:t>市域内各区县城到达主副中心城区时间</w:t>
            </w:r>
          </w:p>
        </w:tc>
        <w:tc>
          <w:tcPr>
            <w:tcW w:w="992" w:type="pct"/>
            <w:vAlign w:val="center"/>
          </w:tcPr>
          <w:p>
            <w:pPr>
              <w:widowControl/>
              <w:spacing w:line="240" w:lineRule="auto"/>
              <w:ind w:firstLine="0" w:firstLineChars="0"/>
              <w:jc w:val="center"/>
              <w:rPr>
                <w:kern w:val="0"/>
                <w:sz w:val="22"/>
                <w:szCs w:val="22"/>
              </w:rPr>
            </w:pPr>
            <w:r>
              <w:rPr>
                <w:rFonts w:hint="eastAsia"/>
                <w:kern w:val="0"/>
                <w:sz w:val="22"/>
                <w:szCs w:val="22"/>
              </w:rPr>
              <w:t>半小时以内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 w:type="pct"/>
            <w:vAlign w:val="center"/>
          </w:tcPr>
          <w:p>
            <w:pPr>
              <w:widowControl/>
              <w:spacing w:line="240" w:lineRule="auto"/>
              <w:ind w:firstLine="0" w:firstLineChars="0"/>
              <w:jc w:val="center"/>
              <w:rPr>
                <w:b/>
                <w:bCs/>
                <w:kern w:val="0"/>
                <w:sz w:val="22"/>
                <w:szCs w:val="22"/>
              </w:rPr>
            </w:pPr>
            <w:r>
              <w:rPr>
                <w:b/>
                <w:bCs/>
                <w:kern w:val="0"/>
                <w:sz w:val="22"/>
                <w:szCs w:val="22"/>
              </w:rPr>
              <w:t>6</w:t>
            </w:r>
          </w:p>
        </w:tc>
        <w:tc>
          <w:tcPr>
            <w:tcW w:w="476" w:type="pct"/>
            <w:vMerge w:val="continue"/>
            <w:vAlign w:val="center"/>
          </w:tcPr>
          <w:p>
            <w:pPr>
              <w:widowControl/>
              <w:spacing w:line="240" w:lineRule="auto"/>
              <w:ind w:firstLine="0" w:firstLineChars="0"/>
              <w:jc w:val="center"/>
              <w:rPr>
                <w:b/>
                <w:bCs/>
                <w:kern w:val="0"/>
                <w:sz w:val="22"/>
                <w:szCs w:val="22"/>
              </w:rPr>
            </w:pPr>
          </w:p>
        </w:tc>
        <w:tc>
          <w:tcPr>
            <w:tcW w:w="3054" w:type="pct"/>
            <w:vAlign w:val="center"/>
          </w:tcPr>
          <w:p>
            <w:pPr>
              <w:widowControl/>
              <w:spacing w:line="240" w:lineRule="auto"/>
              <w:ind w:firstLine="0" w:firstLineChars="0"/>
              <w:jc w:val="center"/>
              <w:rPr>
                <w:kern w:val="0"/>
                <w:sz w:val="22"/>
                <w:szCs w:val="22"/>
              </w:rPr>
            </w:pPr>
            <w:r>
              <w:rPr>
                <w:rFonts w:hint="eastAsia"/>
                <w:kern w:val="0"/>
                <w:sz w:val="22"/>
                <w:szCs w:val="22"/>
              </w:rPr>
              <w:t>享受1小时内快速交通服务的人口占比（%）</w:t>
            </w:r>
          </w:p>
        </w:tc>
        <w:tc>
          <w:tcPr>
            <w:tcW w:w="992" w:type="pct"/>
            <w:vAlign w:val="center"/>
          </w:tcPr>
          <w:p>
            <w:pPr>
              <w:widowControl/>
              <w:spacing w:line="240" w:lineRule="auto"/>
              <w:ind w:firstLine="0" w:firstLineChars="0"/>
              <w:jc w:val="center"/>
              <w:rPr>
                <w:kern w:val="0"/>
                <w:sz w:val="22"/>
                <w:szCs w:val="22"/>
              </w:rPr>
            </w:pPr>
            <w:r>
              <w:rPr>
                <w:rFonts w:hint="eastAsia"/>
                <w:kern w:val="0"/>
                <w:sz w:val="22"/>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 w:type="pct"/>
            <w:vAlign w:val="center"/>
          </w:tcPr>
          <w:p>
            <w:pPr>
              <w:widowControl/>
              <w:spacing w:line="240" w:lineRule="auto"/>
              <w:ind w:firstLine="0" w:firstLineChars="0"/>
              <w:jc w:val="center"/>
              <w:rPr>
                <w:b/>
                <w:bCs/>
                <w:kern w:val="0"/>
                <w:sz w:val="22"/>
                <w:szCs w:val="22"/>
              </w:rPr>
            </w:pPr>
            <w:r>
              <w:rPr>
                <w:b/>
                <w:bCs/>
                <w:kern w:val="0"/>
                <w:sz w:val="22"/>
                <w:szCs w:val="22"/>
              </w:rPr>
              <w:t>7</w:t>
            </w:r>
          </w:p>
        </w:tc>
        <w:tc>
          <w:tcPr>
            <w:tcW w:w="476" w:type="pct"/>
            <w:vMerge w:val="restart"/>
            <w:vAlign w:val="center"/>
          </w:tcPr>
          <w:p>
            <w:pPr>
              <w:widowControl/>
              <w:spacing w:line="240" w:lineRule="auto"/>
              <w:ind w:firstLine="0" w:firstLineChars="0"/>
              <w:jc w:val="center"/>
              <w:rPr>
                <w:b/>
                <w:bCs/>
                <w:kern w:val="0"/>
                <w:sz w:val="22"/>
                <w:szCs w:val="22"/>
              </w:rPr>
            </w:pPr>
            <w:r>
              <w:rPr>
                <w:rFonts w:hint="eastAsia"/>
                <w:b/>
                <w:bCs/>
                <w:kern w:val="0"/>
                <w:sz w:val="22"/>
                <w:szCs w:val="22"/>
              </w:rPr>
              <w:t>经济</w:t>
            </w:r>
          </w:p>
          <w:p>
            <w:pPr>
              <w:widowControl/>
              <w:spacing w:line="240" w:lineRule="auto"/>
              <w:ind w:firstLine="0" w:firstLineChars="0"/>
              <w:jc w:val="center"/>
              <w:rPr>
                <w:b/>
                <w:bCs/>
                <w:kern w:val="0"/>
                <w:sz w:val="22"/>
                <w:szCs w:val="22"/>
              </w:rPr>
            </w:pPr>
            <w:r>
              <w:rPr>
                <w:rFonts w:hint="eastAsia"/>
                <w:b/>
                <w:bCs/>
                <w:kern w:val="0"/>
                <w:sz w:val="22"/>
                <w:szCs w:val="22"/>
              </w:rPr>
              <w:t>高效</w:t>
            </w:r>
          </w:p>
        </w:tc>
        <w:tc>
          <w:tcPr>
            <w:tcW w:w="3054" w:type="pct"/>
            <w:vAlign w:val="center"/>
          </w:tcPr>
          <w:p>
            <w:pPr>
              <w:widowControl/>
              <w:spacing w:line="240" w:lineRule="auto"/>
              <w:ind w:firstLine="0" w:firstLineChars="0"/>
              <w:jc w:val="center"/>
              <w:rPr>
                <w:kern w:val="0"/>
                <w:sz w:val="22"/>
                <w:szCs w:val="22"/>
              </w:rPr>
            </w:pPr>
            <w:r>
              <w:rPr>
                <w:rFonts w:hint="eastAsia"/>
                <w:kern w:val="0"/>
                <w:sz w:val="22"/>
                <w:szCs w:val="22"/>
              </w:rPr>
              <w:t>综合立体交通主骨架能力利用率（%）</w:t>
            </w:r>
          </w:p>
        </w:tc>
        <w:tc>
          <w:tcPr>
            <w:tcW w:w="992" w:type="pct"/>
            <w:vAlign w:val="center"/>
          </w:tcPr>
          <w:p>
            <w:pPr>
              <w:widowControl/>
              <w:spacing w:line="240" w:lineRule="auto"/>
              <w:ind w:firstLine="0" w:firstLineChars="0"/>
              <w:jc w:val="center"/>
              <w:rPr>
                <w:kern w:val="0"/>
                <w:sz w:val="22"/>
                <w:szCs w:val="22"/>
              </w:rPr>
            </w:pPr>
            <w:r>
              <w:rPr>
                <w:rFonts w:hint="eastAsia"/>
                <w:kern w:val="0"/>
                <w:sz w:val="22"/>
                <w:szCs w:val="22"/>
              </w:rPr>
              <w:t>60%—85%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 w:type="pct"/>
            <w:vAlign w:val="center"/>
          </w:tcPr>
          <w:p>
            <w:pPr>
              <w:widowControl/>
              <w:spacing w:line="240" w:lineRule="auto"/>
              <w:ind w:firstLine="0" w:firstLineChars="0"/>
              <w:jc w:val="center"/>
              <w:rPr>
                <w:b/>
                <w:bCs/>
                <w:kern w:val="0"/>
                <w:sz w:val="22"/>
                <w:szCs w:val="22"/>
              </w:rPr>
            </w:pPr>
            <w:r>
              <w:rPr>
                <w:b/>
                <w:bCs/>
                <w:kern w:val="0"/>
                <w:sz w:val="22"/>
                <w:szCs w:val="22"/>
              </w:rPr>
              <w:t>8</w:t>
            </w:r>
          </w:p>
        </w:tc>
        <w:tc>
          <w:tcPr>
            <w:tcW w:w="476" w:type="pct"/>
            <w:vMerge w:val="continue"/>
            <w:vAlign w:val="center"/>
          </w:tcPr>
          <w:p>
            <w:pPr>
              <w:widowControl/>
              <w:spacing w:line="240" w:lineRule="auto"/>
              <w:ind w:firstLine="0" w:firstLineChars="0"/>
              <w:jc w:val="center"/>
              <w:rPr>
                <w:b/>
                <w:bCs/>
                <w:kern w:val="0"/>
                <w:sz w:val="22"/>
                <w:szCs w:val="22"/>
              </w:rPr>
            </w:pPr>
          </w:p>
        </w:tc>
        <w:tc>
          <w:tcPr>
            <w:tcW w:w="3054" w:type="pct"/>
            <w:vAlign w:val="center"/>
          </w:tcPr>
          <w:p>
            <w:pPr>
              <w:widowControl/>
              <w:spacing w:line="240" w:lineRule="auto"/>
              <w:ind w:firstLine="0" w:firstLineChars="0"/>
              <w:jc w:val="center"/>
              <w:rPr>
                <w:kern w:val="0"/>
                <w:sz w:val="22"/>
                <w:szCs w:val="22"/>
              </w:rPr>
            </w:pPr>
            <w:r>
              <w:rPr>
                <w:rFonts w:hint="eastAsia"/>
                <w:kern w:val="0"/>
                <w:sz w:val="22"/>
                <w:szCs w:val="22"/>
              </w:rPr>
              <w:t>铁路及水运货运量占比（%）</w:t>
            </w:r>
          </w:p>
        </w:tc>
        <w:tc>
          <w:tcPr>
            <w:tcW w:w="992" w:type="pct"/>
            <w:vAlign w:val="center"/>
          </w:tcPr>
          <w:p>
            <w:pPr>
              <w:widowControl/>
              <w:spacing w:line="240" w:lineRule="auto"/>
              <w:ind w:firstLine="0" w:firstLineChars="0"/>
              <w:jc w:val="center"/>
              <w:rPr>
                <w:kern w:val="0"/>
                <w:sz w:val="22"/>
                <w:szCs w:val="22"/>
              </w:rPr>
            </w:pPr>
            <w:r>
              <w:rPr>
                <w:rFonts w:hint="eastAsia"/>
                <w:kern w:val="0"/>
                <w:sz w:val="22"/>
                <w:szCs w:val="22"/>
              </w:rPr>
              <w:t>25%以上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 w:type="pct"/>
            <w:vAlign w:val="center"/>
          </w:tcPr>
          <w:p>
            <w:pPr>
              <w:widowControl/>
              <w:spacing w:line="240" w:lineRule="auto"/>
              <w:ind w:firstLine="0" w:firstLineChars="0"/>
              <w:jc w:val="center"/>
              <w:rPr>
                <w:b/>
                <w:bCs/>
                <w:kern w:val="0"/>
                <w:sz w:val="22"/>
                <w:szCs w:val="22"/>
              </w:rPr>
            </w:pPr>
            <w:r>
              <w:rPr>
                <w:rFonts w:hint="eastAsia"/>
                <w:b/>
                <w:bCs/>
                <w:kern w:val="0"/>
                <w:sz w:val="22"/>
                <w:szCs w:val="22"/>
              </w:rPr>
              <w:t>9</w:t>
            </w:r>
          </w:p>
        </w:tc>
        <w:tc>
          <w:tcPr>
            <w:tcW w:w="476" w:type="pct"/>
            <w:vMerge w:val="restart"/>
            <w:vAlign w:val="center"/>
          </w:tcPr>
          <w:p>
            <w:pPr>
              <w:widowControl/>
              <w:spacing w:line="240" w:lineRule="auto"/>
              <w:ind w:firstLine="0" w:firstLineChars="0"/>
              <w:jc w:val="center"/>
              <w:rPr>
                <w:b/>
                <w:bCs/>
                <w:kern w:val="0"/>
                <w:sz w:val="22"/>
                <w:szCs w:val="22"/>
              </w:rPr>
            </w:pPr>
            <w:r>
              <w:rPr>
                <w:rFonts w:hint="eastAsia"/>
                <w:b/>
                <w:bCs/>
                <w:kern w:val="0"/>
                <w:sz w:val="22"/>
                <w:szCs w:val="22"/>
              </w:rPr>
              <w:t>绿色</w:t>
            </w:r>
          </w:p>
          <w:p>
            <w:pPr>
              <w:widowControl/>
              <w:spacing w:line="240" w:lineRule="auto"/>
              <w:ind w:firstLine="0" w:firstLineChars="0"/>
              <w:jc w:val="center"/>
              <w:rPr>
                <w:b/>
                <w:bCs/>
                <w:kern w:val="0"/>
                <w:sz w:val="22"/>
                <w:szCs w:val="22"/>
              </w:rPr>
            </w:pPr>
            <w:r>
              <w:rPr>
                <w:rFonts w:hint="eastAsia"/>
                <w:b/>
                <w:bCs/>
                <w:kern w:val="0"/>
                <w:sz w:val="22"/>
                <w:szCs w:val="22"/>
              </w:rPr>
              <w:t>集约</w:t>
            </w:r>
          </w:p>
        </w:tc>
        <w:tc>
          <w:tcPr>
            <w:tcW w:w="3054" w:type="pct"/>
            <w:vAlign w:val="center"/>
          </w:tcPr>
          <w:p>
            <w:pPr>
              <w:widowControl/>
              <w:spacing w:line="240" w:lineRule="auto"/>
              <w:ind w:firstLine="0" w:firstLineChars="0"/>
              <w:jc w:val="center"/>
              <w:rPr>
                <w:kern w:val="0"/>
                <w:sz w:val="22"/>
                <w:szCs w:val="22"/>
              </w:rPr>
            </w:pPr>
            <w:r>
              <w:rPr>
                <w:rFonts w:hint="eastAsia"/>
                <w:kern w:val="0"/>
                <w:sz w:val="22"/>
                <w:szCs w:val="22"/>
              </w:rPr>
              <w:t>交通基础设施绿色化建设比例（%）</w:t>
            </w:r>
          </w:p>
        </w:tc>
        <w:tc>
          <w:tcPr>
            <w:tcW w:w="992" w:type="pct"/>
            <w:vAlign w:val="center"/>
          </w:tcPr>
          <w:p>
            <w:pPr>
              <w:widowControl/>
              <w:spacing w:line="240" w:lineRule="auto"/>
              <w:ind w:firstLine="0" w:firstLineChars="0"/>
              <w:jc w:val="center"/>
              <w:rPr>
                <w:kern w:val="0"/>
                <w:sz w:val="22"/>
                <w:szCs w:val="22"/>
              </w:rPr>
            </w:pPr>
            <w:r>
              <w:rPr>
                <w:rFonts w:hint="eastAsia"/>
                <w:kern w:val="0"/>
                <w:sz w:val="22"/>
                <w:szCs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 w:type="pct"/>
            <w:vAlign w:val="center"/>
          </w:tcPr>
          <w:p>
            <w:pPr>
              <w:widowControl/>
              <w:spacing w:line="240" w:lineRule="auto"/>
              <w:ind w:firstLine="0" w:firstLineChars="0"/>
              <w:jc w:val="center"/>
              <w:rPr>
                <w:b/>
                <w:bCs/>
                <w:kern w:val="0"/>
                <w:sz w:val="22"/>
                <w:szCs w:val="22"/>
              </w:rPr>
            </w:pPr>
            <w:r>
              <w:rPr>
                <w:rFonts w:hint="eastAsia"/>
                <w:b/>
                <w:bCs/>
                <w:kern w:val="0"/>
                <w:sz w:val="22"/>
                <w:szCs w:val="22"/>
              </w:rPr>
              <w:t>10</w:t>
            </w:r>
          </w:p>
        </w:tc>
        <w:tc>
          <w:tcPr>
            <w:tcW w:w="476" w:type="pct"/>
            <w:vMerge w:val="continue"/>
            <w:vAlign w:val="center"/>
          </w:tcPr>
          <w:p>
            <w:pPr>
              <w:widowControl/>
              <w:spacing w:line="240" w:lineRule="auto"/>
              <w:ind w:firstLine="0" w:firstLineChars="0"/>
              <w:jc w:val="center"/>
              <w:rPr>
                <w:b/>
                <w:bCs/>
                <w:kern w:val="0"/>
                <w:sz w:val="22"/>
                <w:szCs w:val="22"/>
              </w:rPr>
            </w:pPr>
          </w:p>
        </w:tc>
        <w:tc>
          <w:tcPr>
            <w:tcW w:w="3054" w:type="pct"/>
            <w:vAlign w:val="center"/>
          </w:tcPr>
          <w:p>
            <w:pPr>
              <w:widowControl/>
              <w:spacing w:line="240" w:lineRule="auto"/>
              <w:ind w:firstLine="0" w:firstLineChars="0"/>
              <w:jc w:val="center"/>
              <w:rPr>
                <w:kern w:val="0"/>
                <w:sz w:val="22"/>
                <w:szCs w:val="22"/>
              </w:rPr>
            </w:pPr>
            <w:r>
              <w:rPr>
                <w:rFonts w:hint="eastAsia"/>
                <w:kern w:val="0"/>
                <w:sz w:val="22"/>
                <w:szCs w:val="22"/>
              </w:rPr>
              <w:t>中心城区绿色交通出行比例（%）</w:t>
            </w:r>
          </w:p>
        </w:tc>
        <w:tc>
          <w:tcPr>
            <w:tcW w:w="992" w:type="pct"/>
            <w:vAlign w:val="center"/>
          </w:tcPr>
          <w:p>
            <w:pPr>
              <w:widowControl/>
              <w:spacing w:line="240" w:lineRule="auto"/>
              <w:ind w:firstLine="0" w:firstLineChars="0"/>
              <w:jc w:val="center"/>
              <w:rPr>
                <w:kern w:val="0"/>
                <w:sz w:val="22"/>
                <w:szCs w:val="22"/>
              </w:rPr>
            </w:pPr>
            <w:r>
              <w:rPr>
                <w:rFonts w:hint="eastAsia"/>
                <w:kern w:val="0"/>
                <w:sz w:val="22"/>
                <w:szCs w:val="22"/>
              </w:rPr>
              <w:t>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478" w:type="pct"/>
            <w:vAlign w:val="center"/>
          </w:tcPr>
          <w:p>
            <w:pPr>
              <w:widowControl/>
              <w:spacing w:line="240" w:lineRule="auto"/>
              <w:ind w:firstLine="0" w:firstLineChars="0"/>
              <w:jc w:val="center"/>
              <w:rPr>
                <w:b/>
                <w:bCs/>
                <w:kern w:val="0"/>
                <w:sz w:val="22"/>
                <w:szCs w:val="22"/>
              </w:rPr>
            </w:pPr>
            <w:r>
              <w:rPr>
                <w:rFonts w:hint="eastAsia"/>
                <w:b/>
                <w:bCs/>
                <w:kern w:val="0"/>
                <w:sz w:val="22"/>
                <w:szCs w:val="22"/>
              </w:rPr>
              <w:t>11</w:t>
            </w:r>
          </w:p>
        </w:tc>
        <w:tc>
          <w:tcPr>
            <w:tcW w:w="476" w:type="pct"/>
            <w:vAlign w:val="center"/>
          </w:tcPr>
          <w:p>
            <w:pPr>
              <w:widowControl/>
              <w:spacing w:line="240" w:lineRule="auto"/>
              <w:ind w:firstLine="0" w:firstLineChars="0"/>
              <w:jc w:val="center"/>
              <w:rPr>
                <w:b/>
                <w:bCs/>
                <w:kern w:val="0"/>
                <w:sz w:val="22"/>
                <w:szCs w:val="22"/>
              </w:rPr>
            </w:pPr>
            <w:r>
              <w:rPr>
                <w:rFonts w:hint="eastAsia"/>
                <w:b/>
                <w:bCs/>
                <w:kern w:val="0"/>
                <w:sz w:val="22"/>
                <w:szCs w:val="22"/>
              </w:rPr>
              <w:t>智能</w:t>
            </w:r>
          </w:p>
          <w:p>
            <w:pPr>
              <w:widowControl/>
              <w:spacing w:line="240" w:lineRule="auto"/>
              <w:ind w:firstLine="0" w:firstLineChars="0"/>
              <w:jc w:val="center"/>
              <w:rPr>
                <w:b/>
                <w:bCs/>
                <w:kern w:val="0"/>
                <w:sz w:val="22"/>
                <w:szCs w:val="22"/>
              </w:rPr>
            </w:pPr>
            <w:r>
              <w:rPr>
                <w:rFonts w:hint="eastAsia"/>
                <w:b/>
                <w:bCs/>
                <w:kern w:val="0"/>
                <w:sz w:val="22"/>
                <w:szCs w:val="22"/>
              </w:rPr>
              <w:t>先进</w:t>
            </w:r>
          </w:p>
        </w:tc>
        <w:tc>
          <w:tcPr>
            <w:tcW w:w="3054" w:type="pct"/>
            <w:vAlign w:val="center"/>
          </w:tcPr>
          <w:p>
            <w:pPr>
              <w:widowControl/>
              <w:spacing w:line="240" w:lineRule="auto"/>
              <w:ind w:firstLine="0" w:firstLineChars="0"/>
              <w:jc w:val="center"/>
              <w:rPr>
                <w:kern w:val="0"/>
                <w:sz w:val="22"/>
                <w:szCs w:val="22"/>
              </w:rPr>
            </w:pPr>
            <w:r>
              <w:rPr>
                <w:rFonts w:hint="eastAsia"/>
                <w:kern w:val="0"/>
                <w:sz w:val="22"/>
                <w:szCs w:val="22"/>
              </w:rPr>
              <w:t>交通基础设施数字化率（%）</w:t>
            </w:r>
          </w:p>
        </w:tc>
        <w:tc>
          <w:tcPr>
            <w:tcW w:w="992" w:type="pct"/>
            <w:vAlign w:val="center"/>
          </w:tcPr>
          <w:p>
            <w:pPr>
              <w:widowControl/>
              <w:spacing w:line="240" w:lineRule="auto"/>
              <w:ind w:firstLine="0" w:firstLineChars="0"/>
              <w:jc w:val="center"/>
              <w:rPr>
                <w:kern w:val="0"/>
                <w:sz w:val="22"/>
                <w:szCs w:val="22"/>
              </w:rPr>
            </w:pPr>
            <w:r>
              <w:rPr>
                <w:rFonts w:hint="eastAsia"/>
                <w:kern w:val="0"/>
                <w:sz w:val="22"/>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 w:type="pct"/>
            <w:vAlign w:val="center"/>
          </w:tcPr>
          <w:p>
            <w:pPr>
              <w:widowControl/>
              <w:spacing w:line="240" w:lineRule="auto"/>
              <w:ind w:firstLine="0" w:firstLineChars="0"/>
              <w:jc w:val="center"/>
              <w:rPr>
                <w:b/>
                <w:bCs/>
                <w:kern w:val="0"/>
                <w:sz w:val="22"/>
                <w:szCs w:val="22"/>
              </w:rPr>
            </w:pPr>
            <w:r>
              <w:rPr>
                <w:rFonts w:hint="eastAsia"/>
                <w:b/>
                <w:bCs/>
                <w:kern w:val="0"/>
                <w:sz w:val="22"/>
                <w:szCs w:val="22"/>
              </w:rPr>
              <w:t>1</w:t>
            </w:r>
            <w:r>
              <w:rPr>
                <w:b/>
                <w:bCs/>
                <w:kern w:val="0"/>
                <w:sz w:val="22"/>
                <w:szCs w:val="22"/>
              </w:rPr>
              <w:t>2</w:t>
            </w:r>
          </w:p>
        </w:tc>
        <w:tc>
          <w:tcPr>
            <w:tcW w:w="476" w:type="pct"/>
            <w:vMerge w:val="restart"/>
            <w:vAlign w:val="center"/>
          </w:tcPr>
          <w:p>
            <w:pPr>
              <w:widowControl/>
              <w:spacing w:line="240" w:lineRule="auto"/>
              <w:ind w:firstLine="0" w:firstLineChars="0"/>
              <w:jc w:val="center"/>
              <w:rPr>
                <w:b/>
                <w:bCs/>
                <w:kern w:val="0"/>
                <w:sz w:val="22"/>
                <w:szCs w:val="22"/>
              </w:rPr>
            </w:pPr>
            <w:r>
              <w:rPr>
                <w:rFonts w:hint="eastAsia"/>
                <w:b/>
                <w:bCs/>
                <w:kern w:val="0"/>
                <w:sz w:val="22"/>
                <w:szCs w:val="22"/>
              </w:rPr>
              <w:t>安全</w:t>
            </w:r>
          </w:p>
          <w:p>
            <w:pPr>
              <w:widowControl/>
              <w:spacing w:line="240" w:lineRule="auto"/>
              <w:ind w:firstLine="0" w:firstLineChars="0"/>
              <w:jc w:val="center"/>
              <w:rPr>
                <w:b/>
                <w:bCs/>
                <w:kern w:val="0"/>
                <w:sz w:val="22"/>
                <w:szCs w:val="22"/>
              </w:rPr>
            </w:pPr>
            <w:r>
              <w:rPr>
                <w:rFonts w:hint="eastAsia"/>
                <w:b/>
                <w:bCs/>
                <w:kern w:val="0"/>
                <w:sz w:val="22"/>
                <w:szCs w:val="22"/>
              </w:rPr>
              <w:t>可靠</w:t>
            </w:r>
          </w:p>
        </w:tc>
        <w:tc>
          <w:tcPr>
            <w:tcW w:w="3054" w:type="pct"/>
            <w:vAlign w:val="center"/>
          </w:tcPr>
          <w:p>
            <w:pPr>
              <w:widowControl/>
              <w:spacing w:line="240" w:lineRule="auto"/>
              <w:ind w:firstLine="0" w:firstLineChars="0"/>
              <w:jc w:val="center"/>
              <w:rPr>
                <w:kern w:val="0"/>
                <w:sz w:val="22"/>
                <w:szCs w:val="22"/>
              </w:rPr>
            </w:pPr>
            <w:r>
              <w:rPr>
                <w:rFonts w:hint="eastAsia"/>
                <w:kern w:val="0"/>
                <w:sz w:val="22"/>
                <w:szCs w:val="22"/>
              </w:rPr>
              <w:t>综合立体交通网安全设施完好率（%）</w:t>
            </w:r>
          </w:p>
        </w:tc>
        <w:tc>
          <w:tcPr>
            <w:tcW w:w="992" w:type="pct"/>
            <w:vAlign w:val="center"/>
          </w:tcPr>
          <w:p>
            <w:pPr>
              <w:widowControl/>
              <w:spacing w:line="240" w:lineRule="auto"/>
              <w:ind w:firstLine="0" w:firstLineChars="0"/>
              <w:jc w:val="center"/>
              <w:rPr>
                <w:kern w:val="0"/>
                <w:sz w:val="22"/>
                <w:szCs w:val="22"/>
              </w:rPr>
            </w:pPr>
            <w:r>
              <w:rPr>
                <w:rFonts w:hint="eastAsia"/>
                <w:kern w:val="0"/>
                <w:sz w:val="22"/>
                <w:szCs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8" w:type="pct"/>
            <w:vAlign w:val="center"/>
          </w:tcPr>
          <w:p>
            <w:pPr>
              <w:widowControl/>
              <w:spacing w:line="240" w:lineRule="auto"/>
              <w:ind w:firstLine="0" w:firstLineChars="0"/>
              <w:jc w:val="center"/>
              <w:rPr>
                <w:b/>
                <w:bCs/>
                <w:kern w:val="0"/>
                <w:sz w:val="22"/>
                <w:szCs w:val="22"/>
              </w:rPr>
            </w:pPr>
            <w:r>
              <w:rPr>
                <w:b/>
                <w:bCs/>
                <w:kern w:val="0"/>
                <w:sz w:val="22"/>
                <w:szCs w:val="22"/>
              </w:rPr>
              <w:t>13</w:t>
            </w:r>
          </w:p>
        </w:tc>
        <w:tc>
          <w:tcPr>
            <w:tcW w:w="476" w:type="pct"/>
            <w:vMerge w:val="continue"/>
            <w:vAlign w:val="center"/>
          </w:tcPr>
          <w:p>
            <w:pPr>
              <w:widowControl/>
              <w:spacing w:line="240" w:lineRule="auto"/>
              <w:ind w:firstLine="0" w:firstLineChars="0"/>
              <w:jc w:val="center"/>
              <w:rPr>
                <w:b/>
                <w:bCs/>
                <w:kern w:val="0"/>
                <w:sz w:val="22"/>
                <w:szCs w:val="22"/>
              </w:rPr>
            </w:pPr>
          </w:p>
        </w:tc>
        <w:tc>
          <w:tcPr>
            <w:tcW w:w="3054" w:type="pct"/>
            <w:vAlign w:val="center"/>
          </w:tcPr>
          <w:p>
            <w:pPr>
              <w:widowControl/>
              <w:spacing w:line="240" w:lineRule="auto"/>
              <w:ind w:firstLine="0" w:firstLineChars="0"/>
              <w:jc w:val="center"/>
              <w:rPr>
                <w:kern w:val="0"/>
                <w:sz w:val="22"/>
                <w:szCs w:val="22"/>
              </w:rPr>
            </w:pPr>
            <w:r>
              <w:rPr>
                <w:rFonts w:hint="eastAsia"/>
                <w:kern w:val="0"/>
                <w:sz w:val="22"/>
                <w:szCs w:val="22"/>
              </w:rPr>
              <w:t>重点地区多路径连接比例（%）</w:t>
            </w:r>
          </w:p>
        </w:tc>
        <w:tc>
          <w:tcPr>
            <w:tcW w:w="992" w:type="pct"/>
            <w:vAlign w:val="center"/>
          </w:tcPr>
          <w:p>
            <w:pPr>
              <w:widowControl/>
              <w:spacing w:line="240" w:lineRule="auto"/>
              <w:ind w:firstLine="0" w:firstLineChars="0"/>
              <w:jc w:val="center"/>
              <w:rPr>
                <w:kern w:val="0"/>
                <w:sz w:val="22"/>
                <w:szCs w:val="22"/>
              </w:rPr>
            </w:pPr>
            <w:r>
              <w:rPr>
                <w:rFonts w:hint="eastAsia"/>
                <w:kern w:val="0"/>
                <w:sz w:val="22"/>
                <w:szCs w:val="22"/>
              </w:rPr>
              <w:t>≥95%</w:t>
            </w:r>
          </w:p>
        </w:tc>
      </w:tr>
    </w:tbl>
    <w:p>
      <w:pPr>
        <w:ind w:firstLine="640"/>
        <w:rPr>
          <w:szCs w:val="24"/>
        </w:rPr>
      </w:pPr>
      <w:r>
        <w:rPr>
          <w:rFonts w:hint="eastAsia"/>
          <w:szCs w:val="24"/>
        </w:rPr>
        <w:t>到本世纪中叶，全面建成交通强市。基础设施规模质量、运输服务品质、开放合作水平、安全保障能力、基层交通治理水平等各领域水平迈入全省前列。</w:t>
      </w:r>
    </w:p>
    <w:p>
      <w:pPr>
        <w:pStyle w:val="2"/>
        <w:ind w:firstLine="643"/>
        <w:rPr>
          <w:szCs w:val="20"/>
        </w:rPr>
      </w:pPr>
      <w:bookmarkStart w:id="18" w:name="_Toc181110967"/>
      <w:r>
        <w:rPr>
          <w:rFonts w:hint="eastAsia"/>
        </w:rPr>
        <w:t>五、规划方案</w:t>
      </w:r>
      <w:bookmarkEnd w:id="18"/>
    </w:p>
    <w:p>
      <w:pPr>
        <w:pStyle w:val="4"/>
        <w:ind w:firstLine="643"/>
      </w:pPr>
      <w:bookmarkStart w:id="19" w:name="_Toc181110968"/>
      <w:r>
        <w:rPr>
          <w:rFonts w:hint="eastAsia"/>
        </w:rPr>
        <w:t>（一）构建高质量综合交通体系</w:t>
      </w:r>
      <w:bookmarkEnd w:id="19"/>
    </w:p>
    <w:p>
      <w:pPr>
        <w:ind w:firstLine="643"/>
        <w:rPr>
          <w:b/>
          <w:bCs/>
          <w:szCs w:val="36"/>
        </w:rPr>
      </w:pPr>
      <w:r>
        <w:rPr>
          <w:b/>
          <w:bCs/>
          <w:szCs w:val="36"/>
        </w:rPr>
        <w:t>1.</w:t>
      </w:r>
      <w:r>
        <w:rPr>
          <w:rFonts w:hint="eastAsia"/>
          <w:b/>
          <w:bCs/>
          <w:szCs w:val="36"/>
        </w:rPr>
        <w:t>推进现代公路网畅通</w:t>
      </w:r>
      <w:r>
        <w:rPr>
          <w:b/>
          <w:bCs/>
          <w:szCs w:val="36"/>
        </w:rPr>
        <w:t>。</w:t>
      </w:r>
    </w:p>
    <w:p>
      <w:pPr>
        <w:ind w:firstLine="640"/>
        <w:rPr>
          <w:szCs w:val="36"/>
        </w:rPr>
      </w:pPr>
      <w:r>
        <w:rPr>
          <w:rFonts w:hint="eastAsia"/>
          <w:szCs w:val="36"/>
        </w:rPr>
        <w:t>结合河南省高速公路网规划及区域内的产业发展布局，以提升高速公路主通道能力、打通省际出口通道为重点，</w:t>
      </w:r>
      <w:r>
        <w:rPr>
          <w:szCs w:val="36"/>
        </w:rPr>
        <w:t>实施高速公路</w:t>
      </w:r>
      <w:r>
        <w:rPr>
          <w:rFonts w:hint="eastAsia"/>
          <w:szCs w:val="36"/>
        </w:rPr>
        <w:t>“</w:t>
      </w:r>
      <w:r>
        <w:rPr>
          <w:szCs w:val="36"/>
        </w:rPr>
        <w:t>13445工程</w:t>
      </w:r>
      <w:r>
        <w:rPr>
          <w:rFonts w:hint="eastAsia"/>
          <w:szCs w:val="36"/>
        </w:rPr>
        <w:t>”</w:t>
      </w:r>
      <w:r>
        <w:rPr>
          <w:szCs w:val="36"/>
        </w:rPr>
        <w:t>，</w:t>
      </w:r>
      <w:r>
        <w:rPr>
          <w:rFonts w:hint="eastAsia"/>
          <w:szCs w:val="36"/>
        </w:rPr>
        <w:t>延长阳新高速公路，增加大别山高速公路、沿淮高速公路、淮滨至麻城高速公路等覆盖信阳主要区域的主线高速公路，打通固始至六安、信阳至随州、信阳至襄阳、新县至红安等鄂豫皖交界高速公路，提升大广高速信阳段、沪陕高速信阳段通行能力</w:t>
      </w:r>
      <w:r>
        <w:rPr>
          <w:szCs w:val="36"/>
        </w:rPr>
        <w:t>，谋划研究西南环绕城、</w:t>
      </w:r>
      <w:r>
        <w:rPr>
          <w:rFonts w:hint="eastAsia"/>
          <w:szCs w:val="36"/>
        </w:rPr>
        <w:t>商城至平桥高速公路，</w:t>
      </w:r>
      <w:r>
        <w:rPr>
          <w:szCs w:val="36"/>
        </w:rPr>
        <w:t>打造</w:t>
      </w:r>
      <w:r>
        <w:rPr>
          <w:rFonts w:hint="eastAsia"/>
          <w:szCs w:val="36"/>
        </w:rPr>
        <w:t>“</w:t>
      </w:r>
      <w:r>
        <w:rPr>
          <w:szCs w:val="36"/>
        </w:rPr>
        <w:t>六纵四横一环</w:t>
      </w:r>
      <w:r>
        <w:rPr>
          <w:rFonts w:hint="eastAsia"/>
          <w:szCs w:val="36"/>
        </w:rPr>
        <w:t>两联”</w:t>
      </w:r>
      <w:r>
        <w:rPr>
          <w:szCs w:val="36"/>
        </w:rPr>
        <w:t>高速公路网。</w:t>
      </w:r>
    </w:p>
    <w:p>
      <w:pPr>
        <w:ind w:firstLine="640"/>
        <w:rPr>
          <w:szCs w:val="36"/>
        </w:rPr>
      </w:pPr>
      <w:r>
        <w:rPr>
          <w:rFonts w:hint="eastAsia"/>
          <w:szCs w:val="36"/>
        </w:rPr>
        <w:t>围绕工业园区、物流园区、旅游景区等交通量的快速疏导，以服务大别山革命老区振兴发展、乡村振兴等战略实施为导向，</w:t>
      </w:r>
      <w:r>
        <w:rPr>
          <w:szCs w:val="36"/>
        </w:rPr>
        <w:t>以打通城市节点、畅通环城路和省际</w:t>
      </w:r>
      <w:r>
        <w:rPr>
          <w:rFonts w:hint="eastAsia"/>
          <w:szCs w:val="36"/>
        </w:rPr>
        <w:t>“</w:t>
      </w:r>
      <w:r>
        <w:rPr>
          <w:szCs w:val="36"/>
        </w:rPr>
        <w:t>瓶颈路</w:t>
      </w:r>
      <w:r>
        <w:rPr>
          <w:rFonts w:hint="eastAsia"/>
          <w:szCs w:val="36"/>
        </w:rPr>
        <w:t>”</w:t>
      </w:r>
      <w:r>
        <w:rPr>
          <w:szCs w:val="36"/>
        </w:rPr>
        <w:t>、连通交通枢纽等为重点，实施</w:t>
      </w:r>
      <w:r>
        <w:rPr>
          <w:rFonts w:hint="eastAsia"/>
          <w:szCs w:val="36"/>
        </w:rPr>
        <w:t>普通</w:t>
      </w:r>
      <w:r>
        <w:rPr>
          <w:szCs w:val="36"/>
        </w:rPr>
        <w:t>干线公路</w:t>
      </w:r>
      <w:r>
        <w:rPr>
          <w:rFonts w:hint="eastAsia"/>
          <w:szCs w:val="36"/>
        </w:rPr>
        <w:t>“</w:t>
      </w:r>
      <w:r>
        <w:rPr>
          <w:szCs w:val="36"/>
        </w:rPr>
        <w:t>畅通畅连</w:t>
      </w:r>
      <w:r>
        <w:rPr>
          <w:rFonts w:hint="eastAsia"/>
          <w:szCs w:val="36"/>
        </w:rPr>
        <w:t>”</w:t>
      </w:r>
      <w:r>
        <w:rPr>
          <w:szCs w:val="36"/>
        </w:rPr>
        <w:t>工程，</w:t>
      </w:r>
      <w:r>
        <w:rPr>
          <w:rFonts w:hint="eastAsia"/>
          <w:szCs w:val="36"/>
        </w:rPr>
        <w:t>加快G230、G220、G632等国道主骨架新改建项目，升级改造S337、S338、S2</w:t>
      </w:r>
      <w:r>
        <w:rPr>
          <w:szCs w:val="36"/>
        </w:rPr>
        <w:t>10</w:t>
      </w:r>
      <w:r>
        <w:rPr>
          <w:rFonts w:hint="eastAsia"/>
          <w:szCs w:val="36"/>
        </w:rPr>
        <w:t>、S</w:t>
      </w:r>
      <w:r>
        <w:rPr>
          <w:szCs w:val="36"/>
        </w:rPr>
        <w:t>204</w:t>
      </w:r>
      <w:r>
        <w:rPr>
          <w:rFonts w:hint="eastAsia"/>
          <w:szCs w:val="36"/>
        </w:rPr>
        <w:t>等，</w:t>
      </w:r>
      <w:r>
        <w:rPr>
          <w:szCs w:val="36"/>
        </w:rPr>
        <w:t>提升信阳普通干线公路发展质量</w:t>
      </w:r>
      <w:r>
        <w:rPr>
          <w:rFonts w:hint="eastAsia"/>
          <w:szCs w:val="36"/>
        </w:rPr>
        <w:t>，形成“</w:t>
      </w:r>
      <w:r>
        <w:rPr>
          <w:szCs w:val="36"/>
        </w:rPr>
        <w:t>9</w:t>
      </w:r>
      <w:r>
        <w:rPr>
          <w:rFonts w:hint="eastAsia"/>
          <w:szCs w:val="36"/>
        </w:rPr>
        <w:t>横14纵5联”普通干线公路布局</w:t>
      </w:r>
      <w:r>
        <w:rPr>
          <w:szCs w:val="36"/>
        </w:rPr>
        <w:t>。</w:t>
      </w:r>
    </w:p>
    <w:p>
      <w:pPr>
        <w:ind w:firstLine="640"/>
        <w:rPr>
          <w:szCs w:val="36"/>
        </w:rPr>
      </w:pPr>
      <w:r>
        <w:rPr>
          <w:szCs w:val="36"/>
        </w:rPr>
        <w:t>以巩固脱贫攻坚成果和实施乡村振兴战略为基础，</w:t>
      </w:r>
      <w:r>
        <w:rPr>
          <w:rFonts w:hint="eastAsia"/>
          <w:szCs w:val="36"/>
        </w:rPr>
        <w:t>按照“因地制宜、经济适用、绿色生态”原则，实施好河南省新一轮农村公路提升行动，持续推动“四好农村路”高质量发展，</w:t>
      </w:r>
      <w:r>
        <w:rPr>
          <w:szCs w:val="36"/>
        </w:rPr>
        <w:t>积极创建</w:t>
      </w:r>
      <w:r>
        <w:rPr>
          <w:rFonts w:hint="eastAsia"/>
          <w:szCs w:val="36"/>
        </w:rPr>
        <w:t>国家级“</w:t>
      </w:r>
      <w:r>
        <w:rPr>
          <w:szCs w:val="36"/>
        </w:rPr>
        <w:t>四好农村路</w:t>
      </w:r>
      <w:r>
        <w:rPr>
          <w:rFonts w:hint="eastAsia"/>
          <w:szCs w:val="36"/>
        </w:rPr>
        <w:t>”</w:t>
      </w:r>
      <w:r>
        <w:rPr>
          <w:szCs w:val="36"/>
        </w:rPr>
        <w:t>示范市</w:t>
      </w:r>
      <w:r>
        <w:rPr>
          <w:rFonts w:hint="eastAsia"/>
          <w:szCs w:val="36"/>
        </w:rPr>
        <w:t>。实施农村公路“提档提质”工程，完善路网布局，优化路网结构，加快形成县域内以乡镇为区域中心、建制村为节点，覆盖广泛、互联互通的农村公路网，推进农村公路建设项目向进村入户倾斜，加快乡村旅游路、资源路、产业路建设，促进“农村公路＋旅游”“农村公路＋产业”等融合发展</w:t>
      </w:r>
      <w:r>
        <w:rPr>
          <w:szCs w:val="36"/>
        </w:rPr>
        <w:t>。</w:t>
      </w:r>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522" w:type="dxa"/>
          </w:tcPr>
          <w:p>
            <w:pPr>
              <w:widowControl/>
              <w:overflowPunct w:val="0"/>
              <w:spacing w:before="120" w:after="120" w:line="240" w:lineRule="auto"/>
              <w:ind w:firstLine="0" w:firstLineChars="0"/>
              <w:jc w:val="center"/>
              <w:rPr>
                <w:color w:val="000000"/>
                <w:kern w:val="0"/>
                <w:szCs w:val="32"/>
              </w:rPr>
            </w:pPr>
            <w:r>
              <w:rPr>
                <w:rFonts w:hint="eastAsia" w:eastAsia="黑体"/>
                <w:color w:val="000000"/>
                <w:kern w:val="0"/>
                <w:sz w:val="24"/>
                <w:szCs w:val="24"/>
              </w:rPr>
              <w:t xml:space="preserve">专栏3 </w:t>
            </w:r>
            <w:r>
              <w:rPr>
                <w:rFonts w:eastAsia="黑体"/>
                <w:color w:val="000000"/>
                <w:kern w:val="0"/>
                <w:sz w:val="24"/>
                <w:szCs w:val="24"/>
              </w:rPr>
              <w:t xml:space="preserve"> </w:t>
            </w:r>
            <w:r>
              <w:rPr>
                <w:rFonts w:hint="eastAsia" w:eastAsia="黑体"/>
                <w:color w:val="000000"/>
                <w:kern w:val="0"/>
                <w:sz w:val="24"/>
                <w:szCs w:val="24"/>
              </w:rPr>
              <w:t>公路网布局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（一）高速公路“六纵四横一环两联”布局</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“六纵”：即许信高速、明鸡高速、信随高速，京港澳高速，安罗高速，大广高速，淮麻高速，阳新高速。</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“四横”：即沿淮高速、沪陕高速、沿大别山高速。</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“一环”：即由绕城高速，沿大别山高速、京港澳高速、沪陕高速部分路段组成的绕城高速环线。</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“两联”：即湖北红安至新县高速公路北延线、商城至平桥高速。</w:t>
            </w:r>
          </w:p>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（二）普通国省道“</w:t>
            </w:r>
            <w:r>
              <w:rPr>
                <w:rFonts w:eastAsia="楷体"/>
                <w:b/>
                <w:color w:val="000000"/>
                <w:kern w:val="0"/>
                <w:sz w:val="24"/>
                <w:szCs w:val="24"/>
              </w:rPr>
              <w:t>9</w:t>
            </w:r>
            <w:r>
              <w:rPr>
                <w:rFonts w:hint="eastAsia" w:eastAsia="楷体"/>
                <w:b/>
                <w:color w:val="000000"/>
                <w:kern w:val="0"/>
                <w:sz w:val="24"/>
                <w:szCs w:val="24"/>
              </w:rPr>
              <w:t>横14纵5联”布局</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w:t>
            </w:r>
            <w:r>
              <w:rPr>
                <w:rFonts w:eastAsia="宋体"/>
                <w:bCs/>
                <w:color w:val="000000"/>
                <w:kern w:val="0"/>
                <w:sz w:val="24"/>
                <w:szCs w:val="24"/>
              </w:rPr>
              <w:t>9</w:t>
            </w:r>
            <w:r>
              <w:rPr>
                <w:rFonts w:hint="eastAsia" w:eastAsia="宋体"/>
                <w:bCs/>
                <w:color w:val="000000"/>
                <w:kern w:val="0"/>
                <w:sz w:val="24"/>
                <w:szCs w:val="24"/>
              </w:rPr>
              <w:t>横”：即G312、G328、G</w:t>
            </w:r>
            <w:r>
              <w:rPr>
                <w:rFonts w:eastAsia="宋体"/>
                <w:bCs/>
                <w:color w:val="000000"/>
                <w:kern w:val="0"/>
                <w:sz w:val="24"/>
                <w:szCs w:val="24"/>
              </w:rPr>
              <w:t>632、</w:t>
            </w:r>
            <w:r>
              <w:rPr>
                <w:rFonts w:hint="eastAsia" w:eastAsia="宋体"/>
                <w:bCs/>
                <w:color w:val="000000"/>
                <w:kern w:val="0"/>
                <w:sz w:val="24"/>
                <w:szCs w:val="24"/>
              </w:rPr>
              <w:t>S333、S334、S335、S336、S337、S338。</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“14纵”：即G106、G107、G220、G230、S203、S204、S205、S210、S226、S214、S217、S218、S224、S213。</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eastAsia="宋体"/>
                <w:bCs/>
                <w:color w:val="000000"/>
                <w:kern w:val="0"/>
                <w:sz w:val="24"/>
                <w:szCs w:val="24"/>
              </w:rPr>
              <w:t>“5联”：即S534、S535、S536、S537、S540。</w:t>
            </w:r>
          </w:p>
        </w:tc>
      </w:tr>
    </w:tbl>
    <w:p>
      <w:pPr>
        <w:ind w:firstLine="643"/>
        <w:rPr>
          <w:b/>
          <w:bCs/>
          <w:szCs w:val="36"/>
        </w:rPr>
      </w:pPr>
      <w:r>
        <w:rPr>
          <w:b/>
          <w:bCs/>
          <w:szCs w:val="36"/>
        </w:rPr>
        <w:t>2.</w:t>
      </w:r>
      <w:r>
        <w:rPr>
          <w:rFonts w:hint="eastAsia"/>
          <w:b/>
          <w:bCs/>
          <w:szCs w:val="36"/>
        </w:rPr>
        <w:t>推进干线铁路网联通</w:t>
      </w:r>
      <w:r>
        <w:rPr>
          <w:b/>
          <w:bCs/>
          <w:szCs w:val="36"/>
        </w:rPr>
        <w:t>。</w:t>
      </w:r>
    </w:p>
    <w:p>
      <w:pPr>
        <w:ind w:firstLine="640"/>
        <w:rPr>
          <w:szCs w:val="36"/>
        </w:rPr>
      </w:pPr>
      <w:r>
        <w:rPr>
          <w:rFonts w:hint="eastAsia"/>
          <w:szCs w:val="36"/>
        </w:rPr>
        <w:t>结合《中原城市群多层次轨道交通规划》，强化沪陕、大广通道功能，重点建设京港台高铁、南信合高铁、郑州至信阳城际铁路，规划研究沿淮城际铁路、信阳至固始城际铁路，加快布局信阳“两纵一横”的高速铁路网，填补豫南地区较大的高铁路网空白，实现对外畅达东西部、贯通南北方。打造“两主多辅”铁路客站新格局，优化提升信阳东站、明港站等既有站功能，规划新建豫东南站、固始西站等高铁站，形成覆盖广泛、层次清晰、分工明确的铁路客运体系。</w:t>
      </w:r>
    </w:p>
    <w:p>
      <w:pPr>
        <w:ind w:firstLine="640"/>
        <w:rPr>
          <w:szCs w:val="36"/>
        </w:rPr>
      </w:pPr>
      <w:r>
        <w:rPr>
          <w:rFonts w:hint="eastAsia"/>
          <w:szCs w:val="36"/>
        </w:rPr>
        <w:t>进一步提高现状京广、京九、宁西铁路货运能力，强化运输效率，同时结合国家及区际通道、人口和城镇分布、产业布局、旅游景区分布等，规划研究濮阳至潢川铁路，形成“三纵一横”普速铁路网格局。此外，大力推进淮滨县淮上交通有限公司铁路专用线、潢川开发区大别山多式联运物流园铁路专用线建设，更好发挥铁路在综合交通运输体系中的骨干作用，促进信阳多式联运发展。规划郑州至信阳城际铁路、濮阳至潢川城际铁路、沿淮城际铁路、信阳至固始城际铁路，构建“两纵一横”城际铁路网布局，助力信阳融入中原城市群、长三角城市群。</w:t>
      </w:r>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296" w:type="dxa"/>
          </w:tcPr>
          <w:p>
            <w:pPr>
              <w:widowControl/>
              <w:overflowPunct w:val="0"/>
              <w:spacing w:before="120" w:after="120" w:line="240" w:lineRule="auto"/>
              <w:ind w:firstLine="0" w:firstLineChars="0"/>
              <w:jc w:val="center"/>
              <w:rPr>
                <w:color w:val="000000"/>
                <w:kern w:val="0"/>
                <w:szCs w:val="32"/>
              </w:rPr>
            </w:pPr>
            <w:r>
              <w:rPr>
                <w:rFonts w:hint="eastAsia" w:eastAsia="黑体"/>
                <w:color w:val="000000"/>
                <w:kern w:val="0"/>
                <w:sz w:val="24"/>
                <w:szCs w:val="24"/>
              </w:rPr>
              <w:t xml:space="preserve">专栏4 </w:t>
            </w:r>
            <w:r>
              <w:rPr>
                <w:rFonts w:eastAsia="黑体"/>
                <w:color w:val="000000"/>
                <w:kern w:val="0"/>
                <w:sz w:val="24"/>
                <w:szCs w:val="24"/>
              </w:rPr>
              <w:t xml:space="preserve"> </w:t>
            </w:r>
            <w:r>
              <w:rPr>
                <w:rFonts w:hint="eastAsia" w:eastAsia="黑体"/>
                <w:color w:val="000000"/>
                <w:kern w:val="0"/>
                <w:sz w:val="24"/>
                <w:szCs w:val="24"/>
              </w:rPr>
              <w:t>铁路网布局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（一）高速铁路“两纵一横”布局</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ascii="宋体" w:hAnsi="宋体" w:eastAsia="宋体"/>
                <w:bCs/>
                <w:color w:val="000000"/>
                <w:kern w:val="0"/>
                <w:sz w:val="24"/>
                <w:szCs w:val="24"/>
              </w:rPr>
              <w:t>“纵一”：即京广高铁，衔接郑州都市圈，联通京津冀、粤港澳。</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ascii="宋体" w:hAnsi="宋体" w:eastAsia="宋体"/>
                <w:bCs/>
                <w:color w:val="000000"/>
                <w:kern w:val="0"/>
                <w:sz w:val="24"/>
                <w:szCs w:val="24"/>
              </w:rPr>
              <w:t>“纵二”：即京港台高铁，衔接豫东北，联接京津冀、粤港澳大湾区。</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ascii="宋体" w:hAnsi="宋体" w:eastAsia="宋体"/>
                <w:bCs/>
                <w:color w:val="000000"/>
                <w:kern w:val="0"/>
                <w:sz w:val="24"/>
                <w:szCs w:val="24"/>
              </w:rPr>
              <w:t>“横一”：即南信合高铁，衔接豫西南，联通关中平原、长三角城市群。</w:t>
            </w:r>
          </w:p>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（二）普速铁路“三纵一横”布局</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ascii="宋体" w:hAnsi="宋体" w:eastAsia="宋体"/>
                <w:bCs/>
                <w:color w:val="000000"/>
                <w:kern w:val="0"/>
                <w:sz w:val="24"/>
                <w:szCs w:val="24"/>
              </w:rPr>
              <w:t>“三纵”：即京广铁路、京九铁路、濮阳至潢川铁路。</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ascii="宋体" w:hAnsi="宋体" w:eastAsia="宋体"/>
                <w:bCs/>
                <w:color w:val="000000"/>
                <w:kern w:val="0"/>
                <w:sz w:val="24"/>
                <w:szCs w:val="24"/>
              </w:rPr>
              <w:t>“一横”：即宁西铁路。</w:t>
            </w:r>
          </w:p>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（三）城际铁路“两纵一横”布局</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ascii="宋体" w:hAnsi="宋体" w:eastAsia="宋体"/>
                <w:bCs/>
                <w:color w:val="000000"/>
                <w:kern w:val="0"/>
                <w:sz w:val="24"/>
                <w:szCs w:val="24"/>
              </w:rPr>
              <w:t>“两纵”：即郑州至信阳城际、濮阳至潢川铁路。</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ascii="宋体" w:hAnsi="宋体" w:eastAsia="宋体"/>
                <w:bCs/>
                <w:color w:val="000000"/>
                <w:kern w:val="0"/>
                <w:sz w:val="24"/>
                <w:szCs w:val="24"/>
              </w:rPr>
              <w:t>“一横”：即沿淮城际、信阳至固始城际。</w:t>
            </w:r>
          </w:p>
        </w:tc>
      </w:tr>
    </w:tbl>
    <w:p>
      <w:pPr>
        <w:ind w:firstLine="643"/>
        <w:rPr>
          <w:b/>
          <w:bCs/>
          <w:szCs w:val="36"/>
        </w:rPr>
      </w:pPr>
      <w:r>
        <w:rPr>
          <w:b/>
          <w:bCs/>
          <w:szCs w:val="36"/>
        </w:rPr>
        <w:t>3.</w:t>
      </w:r>
      <w:r>
        <w:rPr>
          <w:rFonts w:hint="eastAsia"/>
          <w:b/>
          <w:bCs/>
          <w:szCs w:val="36"/>
        </w:rPr>
        <w:t>推进内河航运网贯通</w:t>
      </w:r>
      <w:r>
        <w:rPr>
          <w:b/>
          <w:bCs/>
          <w:szCs w:val="36"/>
        </w:rPr>
        <w:t>。</w:t>
      </w:r>
    </w:p>
    <w:p>
      <w:pPr>
        <w:ind w:firstLine="640"/>
        <w:rPr>
          <w:szCs w:val="36"/>
        </w:rPr>
      </w:pPr>
      <w:r>
        <w:rPr>
          <w:rFonts w:hint="eastAsia"/>
          <w:szCs w:val="36"/>
        </w:rPr>
        <w:t>综合考虑航道功能、技术标准和对城市及产业的带动作用，以畅通道、强枢纽、优服务、提智能、促绿色为主线，按照“整体规划、依次推进、系统运行、通江达海、绿色发展”的工作原则，加快实施内河航运“11246”工程，重点推动淮河国家高等级航道达标，构建信阳水运通道主骨架，逐步实施大洪河、史灌河、潢河、白露河、竹竿河、浉河6条支线航道通航工程，拓展航运服务纵深，完善“一干六支”航道布局，主动融入长三角港口群。规划研究竹滠运河工程，推动实现淮河和长江两条水系连接。根据《河南省内河航道与港口布局规划（</w:t>
      </w:r>
      <w:r>
        <w:rPr>
          <w:szCs w:val="36"/>
        </w:rPr>
        <w:t>2022-2035</w:t>
      </w:r>
      <w:r>
        <w:rPr>
          <w:rFonts w:hint="eastAsia"/>
          <w:szCs w:val="36"/>
        </w:rPr>
        <w:t>年）》，考虑信阳市国土空间总体格局及城市发展方向、岸线资源分布、临港产业布局等因素，将信阳港</w:t>
      </w:r>
      <w:bookmarkStart w:id="20" w:name="_Hlk169714353"/>
      <w:r>
        <w:rPr>
          <w:rFonts w:hint="eastAsia"/>
          <w:szCs w:val="36"/>
        </w:rPr>
        <w:t>划分为中心港区、豫东南港区、淮滨港区、固始港区等4个港区，积极拓展现代物流、综合保税、高端制造等港口服务功能，支撑大别山革命老区打造对外开放高地。规划中心港区和淮滨港区大力发展铁水联运，积极对接中欧班列，逐步发展成为设施先进、功能完善、运行高效、安全绿色的现代化集装箱联运枢纽港；规划豫东南港区和固始港区积极发展临港产业，持续拓展现代物流功能，为周边地区经济发展提供优质服务。</w:t>
      </w:r>
      <w:bookmarkEnd w:id="20"/>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522" w:type="dxa"/>
          </w:tcPr>
          <w:p>
            <w:pPr>
              <w:widowControl/>
              <w:overflowPunct w:val="0"/>
              <w:spacing w:before="120" w:after="120" w:line="240" w:lineRule="auto"/>
              <w:ind w:firstLine="0" w:firstLineChars="0"/>
              <w:jc w:val="center"/>
              <w:rPr>
                <w:color w:val="000000"/>
                <w:kern w:val="0"/>
                <w:szCs w:val="32"/>
              </w:rPr>
            </w:pPr>
            <w:r>
              <w:rPr>
                <w:rFonts w:hint="eastAsia" w:eastAsia="黑体"/>
                <w:color w:val="000000"/>
                <w:kern w:val="0"/>
                <w:sz w:val="24"/>
                <w:szCs w:val="24"/>
              </w:rPr>
              <w:t xml:space="preserve">专栏5 </w:t>
            </w:r>
            <w:r>
              <w:rPr>
                <w:rFonts w:eastAsia="黑体"/>
                <w:color w:val="000000"/>
                <w:kern w:val="0"/>
                <w:sz w:val="24"/>
                <w:szCs w:val="24"/>
              </w:rPr>
              <w:t xml:space="preserve"> </w:t>
            </w:r>
            <w:r>
              <w:rPr>
                <w:rFonts w:hint="eastAsia" w:eastAsia="黑体"/>
                <w:color w:val="000000"/>
                <w:kern w:val="0"/>
                <w:sz w:val="24"/>
                <w:szCs w:val="24"/>
              </w:rPr>
              <w:t>水运航道网布局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（一）航道规划思路</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“一干六支”：“一干”为淮河航道，“六支”分别为大洪河、史灌河、潢河、白露河、竹竿河、浉河航道。</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“四道共生”：贯通航运碧道，实现通江达海；构建产业链道，优化产业布局；发展文化驿道，彰显豫风楚韵；打造生态廊道，营造美好家园。</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“轴带联动”：强化淮河通江达海水运大通道主轴功能，构建产业集聚对外开放淮河生态经济带。</w:t>
            </w:r>
          </w:p>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w:t>
            </w:r>
            <w:r>
              <w:rPr>
                <w:rFonts w:eastAsia="楷体"/>
                <w:b/>
                <w:color w:val="000000"/>
                <w:kern w:val="0"/>
                <w:sz w:val="24"/>
                <w:szCs w:val="24"/>
              </w:rPr>
              <w:t>二</w:t>
            </w:r>
            <w:r>
              <w:rPr>
                <w:rFonts w:hint="eastAsia" w:eastAsia="楷体"/>
                <w:b/>
                <w:color w:val="000000"/>
                <w:kern w:val="0"/>
                <w:sz w:val="24"/>
                <w:szCs w:val="24"/>
              </w:rPr>
              <w:t>）</w:t>
            </w:r>
            <w:r>
              <w:rPr>
                <w:rFonts w:eastAsia="楷体"/>
                <w:b/>
                <w:color w:val="000000"/>
                <w:kern w:val="0"/>
                <w:sz w:val="24"/>
                <w:szCs w:val="24"/>
              </w:rPr>
              <w:t>航道</w:t>
            </w:r>
            <w:r>
              <w:rPr>
                <w:rFonts w:hint="eastAsia" w:eastAsia="楷体"/>
                <w:b/>
                <w:color w:val="000000"/>
                <w:kern w:val="0"/>
                <w:sz w:val="24"/>
                <w:szCs w:val="24"/>
              </w:rPr>
              <w:t>等级分布</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规划航道总里程1033公里，其中，“一干六支”航道690公里，其他航道343公里。规划三级及以上航道333公里，四级及以下航道700公里（含旅游航道145公里、库湖区航道198公里）。</w:t>
            </w:r>
          </w:p>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（二）“一港四区”港口布局</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eastAsia="宋体"/>
                <w:bCs/>
                <w:color w:val="000000"/>
                <w:kern w:val="0"/>
                <w:sz w:val="24"/>
                <w:szCs w:val="24"/>
              </w:rPr>
              <w:t>“一港四区”：“一港”为信阳港，“四区”为中心港区、豫东南港区、淮滨港区、固始港区。主要发展货运功能，同时兼顾发展旅游客运功能。</w:t>
            </w:r>
          </w:p>
        </w:tc>
      </w:tr>
    </w:tbl>
    <w:p>
      <w:pPr>
        <w:ind w:firstLine="643"/>
        <w:rPr>
          <w:b/>
          <w:bCs/>
          <w:szCs w:val="36"/>
        </w:rPr>
      </w:pPr>
      <w:r>
        <w:rPr>
          <w:b/>
          <w:bCs/>
          <w:szCs w:val="36"/>
        </w:rPr>
        <w:t>4.</w:t>
      </w:r>
      <w:r>
        <w:rPr>
          <w:rFonts w:hint="eastAsia"/>
          <w:b/>
          <w:bCs/>
          <w:szCs w:val="36"/>
        </w:rPr>
        <w:t>推进</w:t>
      </w:r>
      <w:r>
        <w:rPr>
          <w:b/>
          <w:bCs/>
          <w:szCs w:val="36"/>
        </w:rPr>
        <w:t>机场</w:t>
      </w:r>
      <w:r>
        <w:rPr>
          <w:rFonts w:hint="eastAsia"/>
          <w:b/>
          <w:bCs/>
          <w:szCs w:val="36"/>
        </w:rPr>
        <w:t>空运网融通</w:t>
      </w:r>
      <w:r>
        <w:rPr>
          <w:b/>
          <w:bCs/>
          <w:szCs w:val="36"/>
        </w:rPr>
        <w:t>。</w:t>
      </w:r>
    </w:p>
    <w:p>
      <w:pPr>
        <w:ind w:firstLine="640"/>
        <w:rPr>
          <w:szCs w:val="36"/>
        </w:rPr>
      </w:pPr>
      <w:r>
        <w:rPr>
          <w:rFonts w:hint="eastAsia"/>
          <w:szCs w:val="36"/>
        </w:rPr>
        <w:t>抓住国家大力发展民航运输和扩大低空空域开发的重大机遇，立足鄂豫皖交界地区科学发展和邻边经济高地的功能定位和发展需求，加快建设民航基础设施，优化航线布局，打造“一市两场四通用”民航机场布局。加快实施明港机场（二期）改扩建工程，打造成大别山区域性航空中心；高标准规划建设潢川机场，</w:t>
      </w:r>
      <w:r>
        <w:rPr>
          <w:szCs w:val="36"/>
        </w:rPr>
        <w:t>更好的服务</w:t>
      </w:r>
      <w:r>
        <w:rPr>
          <w:rFonts w:hint="eastAsia"/>
          <w:szCs w:val="36"/>
        </w:rPr>
        <w:t>豫东南</w:t>
      </w:r>
      <w:r>
        <w:rPr>
          <w:szCs w:val="36"/>
        </w:rPr>
        <w:t>高新区未来大量的高端商务出行需求</w:t>
      </w:r>
      <w:r>
        <w:rPr>
          <w:rFonts w:hint="eastAsia"/>
          <w:szCs w:val="36"/>
        </w:rPr>
        <w:t>。规划新增商城、新县、固始、罗山4个通用机场，服务豫南生态经济示范区、大别山革命老区和淮河生态经济带发展，重点发展农林植保、空中游览、短途运输等产业。</w:t>
      </w:r>
    </w:p>
    <w:p>
      <w:pPr>
        <w:ind w:firstLine="640"/>
        <w:rPr>
          <w:szCs w:val="36"/>
        </w:rPr>
      </w:pPr>
      <w:r>
        <w:rPr>
          <w:rFonts w:hint="eastAsia"/>
          <w:szCs w:val="36"/>
        </w:rPr>
        <w:t>完善航空客运功能，巩固区域性航空客运中心地位。拓展航空货运空间，推动明港航空货运仓储建设，重点建设航空物流园，积极申建保税物流中心（B型），完善快件集中监管中心、海关监管仓库等设施，全面提升航空货运保障能力，建设豫南航空物流中心。增强与郑州航空港经济综合实验区对接，打造郑州—卢森堡“空中丝绸之路”豫南地区重要支点。</w:t>
      </w:r>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522" w:type="dxa"/>
          </w:tcPr>
          <w:p>
            <w:pPr>
              <w:widowControl/>
              <w:overflowPunct w:val="0"/>
              <w:spacing w:before="120" w:after="120" w:line="240" w:lineRule="auto"/>
              <w:ind w:firstLine="0" w:firstLineChars="0"/>
              <w:jc w:val="center"/>
              <w:rPr>
                <w:color w:val="000000"/>
                <w:kern w:val="0"/>
                <w:szCs w:val="32"/>
              </w:rPr>
            </w:pPr>
            <w:r>
              <w:rPr>
                <w:rFonts w:hint="eastAsia" w:eastAsia="黑体"/>
                <w:color w:val="000000"/>
                <w:kern w:val="0"/>
                <w:sz w:val="24"/>
                <w:szCs w:val="24"/>
              </w:rPr>
              <w:t xml:space="preserve">专栏6 </w:t>
            </w:r>
            <w:r>
              <w:rPr>
                <w:rFonts w:eastAsia="黑体"/>
                <w:color w:val="000000"/>
                <w:kern w:val="0"/>
                <w:sz w:val="24"/>
                <w:szCs w:val="24"/>
              </w:rPr>
              <w:t xml:space="preserve"> </w:t>
            </w:r>
            <w:r>
              <w:rPr>
                <w:rFonts w:hint="eastAsia" w:eastAsia="黑体"/>
                <w:color w:val="000000"/>
                <w:kern w:val="0"/>
                <w:sz w:val="24"/>
                <w:szCs w:val="24"/>
              </w:rPr>
              <w:t>民航机场布局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2" w:type="dxa"/>
          </w:tcPr>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（一）“一市两场四通用”布局</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“一市”：即信阳市。</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“两场”：即明港机场、潢川机场。</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“四通用”：即商城、新县、固始、罗山4个通用机场。</w:t>
            </w:r>
          </w:p>
        </w:tc>
      </w:tr>
    </w:tbl>
    <w:p>
      <w:pPr>
        <w:ind w:firstLine="643"/>
        <w:rPr>
          <w:b/>
          <w:bCs/>
          <w:szCs w:val="36"/>
        </w:rPr>
      </w:pPr>
      <w:r>
        <w:rPr>
          <w:rFonts w:hint="eastAsia"/>
          <w:b/>
          <w:bCs/>
          <w:szCs w:val="36"/>
        </w:rPr>
        <w:t>5</w:t>
      </w:r>
      <w:r>
        <w:rPr>
          <w:b/>
          <w:bCs/>
          <w:szCs w:val="36"/>
        </w:rPr>
        <w:t>.</w:t>
      </w:r>
      <w:r>
        <w:rPr>
          <w:rFonts w:hint="eastAsia"/>
          <w:b/>
          <w:bCs/>
          <w:szCs w:val="36"/>
        </w:rPr>
        <w:t xml:space="preserve"> 推进城市交通网互通。</w:t>
      </w:r>
    </w:p>
    <w:p>
      <w:pPr>
        <w:ind w:firstLine="640"/>
        <w:rPr>
          <w:szCs w:val="36"/>
        </w:rPr>
      </w:pPr>
      <w:r>
        <w:rPr>
          <w:rFonts w:hint="eastAsia"/>
          <w:szCs w:val="36"/>
        </w:rPr>
        <w:t>完善中心城区路网布局。积极响应建设“重要的区域性互联互通综合交通枢纽、豫鄂皖交界地区的区域性中心城市、中原经济区新兴产业基地和山水宜居城市”的发展目标，加快中心城区“环+井+放射”状骨干路网建设，重点发展城市绿色快捷的公交网络，实现环城直达、区域通达、节点畅达。重点发展城市绿色快捷的公交网络，规划“一横、两纵”快速公交主廊道，探索建设中心城区轨道（有轨或智轨电车）交通网。</w:t>
      </w:r>
    </w:p>
    <w:p>
      <w:pPr>
        <w:ind w:firstLine="640"/>
        <w:rPr>
          <w:szCs w:val="36"/>
        </w:rPr>
      </w:pPr>
      <w:r>
        <w:rPr>
          <w:rFonts w:hint="eastAsia"/>
          <w:szCs w:val="36"/>
        </w:rPr>
        <w:t>构建豫东南高新区交通体系。以建设“花木林海里、青春活力城”为目标，采用多中心—网络化城区路网组织模式，打造跨河高效联动、空间布局协同、组团活力畅达的道路网络，实现与潢川县、光山县一体互联，支撑豫东南高新区的快速集散交流。以轨道交通、公交和慢行网络为抓手，积极推进低运量轨道交通规划建设，构筑以城市轨道交通为骨干、常规公共交通为主体、特色公交和出租车为补充的“四位一体”公共交通体系，建设舒适宜人的绿色生态之城。</w:t>
      </w:r>
    </w:p>
    <w:p>
      <w:pPr>
        <w:ind w:firstLine="640"/>
        <w:rPr>
          <w:szCs w:val="36"/>
        </w:rPr>
      </w:pPr>
      <w:r>
        <w:rPr>
          <w:rFonts w:hint="eastAsia"/>
          <w:szCs w:val="36"/>
        </w:rPr>
        <w:t>聚焦信阳与潢川主副同城发展目标，以“畅通、高效、便捷”为原则，完善主副之间通勤交通网络。有序推进服务两地交流的交通基础设施建设，利用规划南信合高铁运能余量开通市域运营列车，加强潢川县城与中心城区路网精准对接，完善“2高速1国道1快速路”的公路通道，构建主副中心之间通勤交通圈。</w:t>
      </w:r>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296" w:type="dxa"/>
          </w:tcPr>
          <w:p>
            <w:pPr>
              <w:widowControl/>
              <w:overflowPunct w:val="0"/>
              <w:spacing w:before="120" w:after="120" w:line="240" w:lineRule="auto"/>
              <w:ind w:firstLine="0" w:firstLineChars="0"/>
              <w:jc w:val="center"/>
              <w:rPr>
                <w:color w:val="000000"/>
                <w:kern w:val="0"/>
                <w:szCs w:val="32"/>
              </w:rPr>
            </w:pPr>
            <w:r>
              <w:rPr>
                <w:rFonts w:hint="eastAsia" w:eastAsia="黑体"/>
                <w:color w:val="000000"/>
                <w:kern w:val="0"/>
                <w:sz w:val="24"/>
                <w:szCs w:val="24"/>
              </w:rPr>
              <w:t xml:space="preserve">专栏7 </w:t>
            </w:r>
            <w:r>
              <w:rPr>
                <w:rFonts w:eastAsia="黑体"/>
                <w:color w:val="000000"/>
                <w:kern w:val="0"/>
                <w:sz w:val="24"/>
                <w:szCs w:val="24"/>
              </w:rPr>
              <w:t xml:space="preserve"> </w:t>
            </w:r>
            <w:r>
              <w:rPr>
                <w:rFonts w:hint="eastAsia" w:eastAsia="黑体"/>
                <w:color w:val="000000"/>
                <w:kern w:val="0"/>
                <w:sz w:val="24"/>
                <w:szCs w:val="24"/>
              </w:rPr>
              <w:t>城区路网布局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96" w:type="dxa"/>
          </w:tcPr>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（一）“环+井+放射”中心城区路网结构</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“环”：即城市外环、城市内环，外环由G</w:t>
            </w:r>
            <w:r>
              <w:rPr>
                <w:rFonts w:eastAsia="宋体"/>
                <w:bCs/>
                <w:color w:val="000000"/>
                <w:kern w:val="0"/>
                <w:sz w:val="24"/>
                <w:szCs w:val="24"/>
              </w:rPr>
              <w:t>312</w:t>
            </w:r>
            <w:r>
              <w:rPr>
                <w:rFonts w:hint="eastAsia" w:eastAsia="宋体"/>
                <w:bCs/>
                <w:color w:val="000000"/>
                <w:kern w:val="0"/>
                <w:sz w:val="24"/>
                <w:szCs w:val="24"/>
              </w:rPr>
              <w:t>、S</w:t>
            </w:r>
            <w:r>
              <w:rPr>
                <w:rFonts w:eastAsia="宋体"/>
                <w:bCs/>
                <w:color w:val="000000"/>
                <w:kern w:val="0"/>
                <w:sz w:val="24"/>
                <w:szCs w:val="24"/>
              </w:rPr>
              <w:t>224</w:t>
            </w:r>
            <w:r>
              <w:rPr>
                <w:rFonts w:hint="eastAsia" w:eastAsia="宋体"/>
                <w:bCs/>
                <w:color w:val="000000"/>
                <w:kern w:val="0"/>
                <w:sz w:val="24"/>
                <w:szCs w:val="24"/>
              </w:rPr>
              <w:t>及新增西环、南环构成，内环由北环路、鸡公山大街、平桥大道、工十四路构成。</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“井”：即新十八大街、新三十六大街、新七大道、南京大道。</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“放射”：即1</w:t>
            </w:r>
            <w:r>
              <w:rPr>
                <w:rFonts w:eastAsia="宋体"/>
                <w:bCs/>
                <w:color w:val="000000"/>
                <w:kern w:val="0"/>
                <w:sz w:val="24"/>
                <w:szCs w:val="24"/>
              </w:rPr>
              <w:t>2</w:t>
            </w:r>
            <w:r>
              <w:rPr>
                <w:rFonts w:hint="eastAsia" w:eastAsia="宋体"/>
                <w:bCs/>
                <w:color w:val="000000"/>
                <w:kern w:val="0"/>
                <w:sz w:val="24"/>
                <w:szCs w:val="24"/>
              </w:rPr>
              <w:t>条快速路、准快速路向外放射通道。</w:t>
            </w:r>
          </w:p>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（二）“四横四纵”豫东南高新区交通性主干路布局</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“四横”：即苏信大道、恒山大道、嵩山大道、衡山大道。</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“四纵”：即延安大街、井冈山大街、北京大街、上海大街。</w:t>
            </w:r>
          </w:p>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（三）“2高速1国道1快速路”主副之间公路通道</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“2高速”：即沪陕高速、沿淮高速。</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“1国道”：即G</w:t>
            </w:r>
            <w:r>
              <w:rPr>
                <w:rFonts w:eastAsia="宋体"/>
                <w:bCs/>
                <w:color w:val="000000"/>
                <w:kern w:val="0"/>
                <w:sz w:val="24"/>
                <w:szCs w:val="24"/>
              </w:rPr>
              <w:t>312</w:t>
            </w:r>
            <w:r>
              <w:rPr>
                <w:rFonts w:hint="eastAsia" w:eastAsia="宋体"/>
                <w:bCs/>
                <w:color w:val="000000"/>
                <w:kern w:val="0"/>
                <w:sz w:val="24"/>
                <w:szCs w:val="24"/>
              </w:rPr>
              <w:t>。</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eastAsia="宋体"/>
                <w:bCs/>
                <w:color w:val="000000"/>
                <w:kern w:val="0"/>
                <w:sz w:val="24"/>
                <w:szCs w:val="24"/>
              </w:rPr>
              <w:t>“1快速路”：即信阳-高新区快速路（原G</w:t>
            </w:r>
            <w:r>
              <w:rPr>
                <w:rFonts w:eastAsia="宋体"/>
                <w:bCs/>
                <w:color w:val="000000"/>
                <w:kern w:val="0"/>
                <w:sz w:val="24"/>
                <w:szCs w:val="24"/>
              </w:rPr>
              <w:t>312</w:t>
            </w:r>
            <w:r>
              <w:rPr>
                <w:rFonts w:hint="eastAsia" w:eastAsia="宋体"/>
                <w:bCs/>
                <w:color w:val="000000"/>
                <w:kern w:val="0"/>
                <w:sz w:val="24"/>
                <w:szCs w:val="24"/>
              </w:rPr>
              <w:t>）。</w:t>
            </w:r>
          </w:p>
        </w:tc>
      </w:tr>
    </w:tbl>
    <w:p>
      <w:pPr>
        <w:pStyle w:val="4"/>
        <w:ind w:firstLine="643"/>
      </w:pPr>
      <w:bookmarkStart w:id="21" w:name="_Toc181110969"/>
      <w:r>
        <w:rPr>
          <w:rFonts w:hint="eastAsia" w:ascii="楷体_GB2312" w:hAnsi="楷体_GB2312" w:eastAsia="楷体_GB2312" w:cs="楷体_GB2312"/>
        </w:rPr>
        <w:t>（二）构建高起点枢纽经济体系</w:t>
      </w:r>
      <w:bookmarkEnd w:id="21"/>
    </w:p>
    <w:p>
      <w:pPr>
        <w:pStyle w:val="9"/>
        <w:ind w:firstLine="643"/>
        <w:rPr>
          <w:b/>
          <w:bCs/>
          <w:szCs w:val="22"/>
        </w:rPr>
      </w:pPr>
      <w:r>
        <w:rPr>
          <w:rFonts w:hint="eastAsia"/>
          <w:b/>
          <w:bCs/>
          <w:szCs w:val="22"/>
        </w:rPr>
        <w:t>1</w:t>
      </w:r>
      <w:r>
        <w:rPr>
          <w:b/>
          <w:bCs/>
          <w:szCs w:val="22"/>
        </w:rPr>
        <w:t>.</w:t>
      </w:r>
      <w:r>
        <w:rPr>
          <w:rFonts w:hint="eastAsia"/>
          <w:b/>
          <w:bCs/>
          <w:szCs w:val="22"/>
        </w:rPr>
        <w:t>提升交通枢纽地位。</w:t>
      </w:r>
    </w:p>
    <w:p>
      <w:pPr>
        <w:pStyle w:val="9"/>
        <w:ind w:firstLine="640"/>
      </w:pPr>
      <w:r>
        <w:rPr>
          <w:rFonts w:hint="eastAsia"/>
        </w:rPr>
        <w:t>加快重要区域性综合交通枢纽城市、商贸服务型国家物流枢纽承载城市建设，构建“2+2+7”多层级枢纽城市格局，打造信阳中心城区和豫东南高新区2个综合交通枢纽，建设潢川和淮滨2个区域物流枢纽，构建罗山、光山、息县、新县、商城、固始、明港镇等7个区域枢纽节点城市，</w:t>
      </w:r>
      <w:r>
        <w:rPr>
          <w:rFonts w:hint="eastAsia"/>
          <w:szCs w:val="22"/>
        </w:rPr>
        <w:t>推进航空枢纽、内河港口、高铁枢纽、客货运枢纽建设，重点改扩建和新增一批市县级客货站，</w:t>
      </w:r>
      <w:r>
        <w:rPr>
          <w:rFonts w:hint="eastAsia"/>
        </w:rPr>
        <w:t>形成多点联动、区域带动、互联互通的综合交通枢纽空间格局，畅通资源要素流动，增强产业链、供应链耦合组织能力。</w:t>
      </w:r>
    </w:p>
    <w:p>
      <w:pPr>
        <w:pStyle w:val="9"/>
        <w:ind w:firstLine="640"/>
      </w:pPr>
      <w:r>
        <w:rPr>
          <w:rFonts w:hint="eastAsia"/>
        </w:rPr>
        <w:t>按照信阳市总体布局和未来发展方向，结合未来公路客运量预测结果，推动中心城市综合客运枢纽、道路运输场站向城市综合体转化，从枢纽综合体向城市增长极跃升。重点改扩建信运、弘运、明港等一批汽车站，依托火车站、机场等打造立体互联、便捷高效的综合客运枢纽，新增新县田铺、潢川西、息县等3个县级客运站，推动固始县城乡交通一体化等项目建设，着力构建“三主两副多辅”内外衔接客运枢纽布局。强化城市公共交通基础设施建设用地保障，加快推进换乘枢纽、首末站等城市公共交通场站建设。</w:t>
      </w:r>
    </w:p>
    <w:p>
      <w:pPr>
        <w:pStyle w:val="9"/>
        <w:ind w:firstLine="640"/>
      </w:pPr>
      <w:r>
        <w:rPr>
          <w:rFonts w:hint="eastAsia"/>
        </w:rPr>
        <w:t>结合信阳市产业布局、土地规划使用情况、主要交通设施分布等，重点推进潢川经济开发区大别山铁路综合物流园、淮滨物流港园区，实现与产业集聚区、商贸集散地、快递集散交换中心有效对接，构建由两个重要枢纽区域、两个枢纽区域和若干个枢纽港站共同构成的“</w:t>
      </w:r>
      <w:r>
        <w:t>2</w:t>
      </w:r>
      <w:r>
        <w:rPr>
          <w:rFonts w:hint="eastAsia"/>
        </w:rPr>
        <w:t>+2+N”货运枢纽体系。加快完善邮政快递枢纽和农村物流网络节点体系布局，重点建设豫南快递物流园、豫东南邮件处理中心，，加快布局罗山县农村物流网络节点体系、息县客货邮综合服务平台等，推动信阳打造区域性邮政快递枢纽。</w:t>
      </w:r>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296" w:type="dxa"/>
          </w:tcPr>
          <w:p>
            <w:pPr>
              <w:widowControl/>
              <w:overflowPunct w:val="0"/>
              <w:spacing w:before="120" w:after="120" w:line="240" w:lineRule="auto"/>
              <w:ind w:firstLine="0" w:firstLineChars="0"/>
              <w:jc w:val="center"/>
              <w:rPr>
                <w:color w:val="000000"/>
                <w:kern w:val="0"/>
                <w:szCs w:val="32"/>
              </w:rPr>
            </w:pPr>
            <w:r>
              <w:rPr>
                <w:rFonts w:hint="eastAsia" w:eastAsia="黑体"/>
                <w:color w:val="000000"/>
                <w:kern w:val="0"/>
                <w:sz w:val="24"/>
                <w:szCs w:val="24"/>
              </w:rPr>
              <w:t>专栏8</w:t>
            </w:r>
            <w:r>
              <w:rPr>
                <w:rFonts w:eastAsia="黑体"/>
                <w:color w:val="000000"/>
                <w:kern w:val="0"/>
                <w:sz w:val="24"/>
                <w:szCs w:val="24"/>
              </w:rPr>
              <w:t xml:space="preserve"> </w:t>
            </w:r>
            <w:r>
              <w:rPr>
                <w:rFonts w:hint="eastAsia" w:eastAsia="黑体"/>
                <w:color w:val="000000"/>
                <w:kern w:val="0"/>
                <w:sz w:val="24"/>
                <w:szCs w:val="24"/>
              </w:rPr>
              <w:t>枢纽场站布局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（一）“三主两副多辅”客运枢纽布局</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主一”：信阳东站客运枢纽。位于信阳市高新区，京九高铁、南信合高铁、郑州至信阳城际均经过该枢纽，信阳东站旅客换乘中心规划信阳东站+长途客运+公交枢纽，总占地266.8亩，实现高铁城际交通、长途客运、城市公交、私家车、出租车的“无缝对接”和“零距离换乘”，功能定位为区域对外联系的主交通枢纽，满足信阳与郑州都市圈、武汉城市圈、长株潭城市圈、珠三角城市圈等旅客出行需求。</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主二”：豫东南高新区高铁客运枢纽位于豫东南高新区样板区内，京港台、南信合高铁均经过该站，功能定位为区域对外联系的主交通枢纽，集高铁、长途客运、公交、出租等运输服务为一体，服务高新区与长三角、大湾区及国内其他重要城市间的联系，对促进高新区产业布局规划和经济发展具有重要作用。</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主三”：信阳站客运枢纽位于信阳市浉河区民权路与新华东路交汇处，信阳站是京广铁路和宁西铁路的重要交会站，周边布局信运汽车客运站、弘运汽车客运站、北广场汽车客运站，功能定位为区域对外联系的主交通枢纽，主要服务普速铁路旅客及信阳市区道路客运，有利于进一步完善城市功能、巩固枢纽地位、提升城市形象。</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副一”：明港机场客运枢纽。位于平桥区与驻马店市确山县交界处，京九高铁和京九铁路从机场沿线经过并设明港东站及明港站，同时规划明港汽车客运站，形成及机场、高铁、普铁、公路客运于一体的综合型客运枢纽。</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副二”：潢川机场客运枢纽位于豫东南高新区东北角，规划低运量轨道交通T1线延长至潢川机场，布局高新区至机场快速路，在潢川机场集成多种交通，实现体内立体零换乘出租车、机场大巴、长途大巴、社会车辆、T1线等多种交通。</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“多辅”：罗山交通枢纽站、固始汽车站、潢川汽车站、光山汽车站、新县汽车站、息县汽车站、淮滨汽车站、商城汽车站。</w:t>
            </w:r>
          </w:p>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（二）“</w:t>
            </w:r>
            <w:r>
              <w:rPr>
                <w:rFonts w:eastAsia="楷体"/>
                <w:b/>
                <w:color w:val="000000"/>
                <w:kern w:val="0"/>
                <w:sz w:val="24"/>
                <w:szCs w:val="24"/>
              </w:rPr>
              <w:t>2</w:t>
            </w:r>
            <w:r>
              <w:rPr>
                <w:rFonts w:hint="eastAsia" w:eastAsia="楷体"/>
                <w:b/>
                <w:color w:val="000000"/>
                <w:kern w:val="0"/>
                <w:sz w:val="24"/>
                <w:szCs w:val="24"/>
              </w:rPr>
              <w:t>+2+N”货运枢纽布局</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w:t>
            </w:r>
            <w:r>
              <w:rPr>
                <w:rFonts w:eastAsia="宋体"/>
                <w:bCs/>
                <w:color w:val="000000"/>
                <w:kern w:val="0"/>
                <w:sz w:val="24"/>
                <w:szCs w:val="24"/>
              </w:rPr>
              <w:t>2</w:t>
            </w:r>
            <w:r>
              <w:rPr>
                <w:rFonts w:hint="eastAsia" w:eastAsia="宋体"/>
                <w:bCs/>
                <w:color w:val="000000"/>
                <w:kern w:val="0"/>
                <w:sz w:val="24"/>
                <w:szCs w:val="24"/>
              </w:rPr>
              <w:t>”：两个重要枢纽区域。一是信阳中心城区。实施明港机场（二期）改扩建工程，重点发展航空快递集散分拨服务，建成区域性规模最大、功能最全、效率最高的空港快递联运中转分拨中心。完善货运枢纽布局，加快实施信阳西亚现代物流信息中心、信阳同鑫物流配送中心、福安冷链物流中心、农产品应急储备冷链物流中心、羊山新区冷链物流园等项目，持续推进内河码头及铁水联运设施建设。二是豫东南高新区。推动豫东南公路港、潢川机场航空港、潢川经济开发区大别山铁路货运综合物流园、花埠港、淮滨港建设，实施花埠港区、淮滨港区铁路专用线，完善普通干线公路、城市道路等集疏运道路，实施潢河航道工程，积极开展淮麻高速、机场快速路前期工作，优化运输网络和组织方式，全力打造“公铁水空”四位一体多式联运新格局，推动实现豫东南高新区与淮滨中心港区联动发展。</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2”：两个枢纽区域。一是潢川县区域物流枢纽。持续推进潢川经济开发区大别山铁路货运综合物流园、潢川县现代综合物流园建设，加快园区铁路专用线建设，积极探索多式联运发展新举措、新经验，确保大别山（潢川）联通长江经济带多式联运省级示范工程建设取得成效。二是淮滨县区域物流枢纽。持续推进内河码头及铁水联运设施建设，实施淮滨县公铁水一体化淮滨港二期工程、淮滨县矿建材料码头工程，加快建成淮滨港物流园区，布局淮滨县淮上交通有限公司铁路专用线，促进大宗货物及中长距离公路货运向铁路、水路有序转移。</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eastAsia="宋体"/>
                <w:bCs/>
                <w:color w:val="000000"/>
                <w:kern w:val="0"/>
                <w:sz w:val="24"/>
                <w:szCs w:val="24"/>
              </w:rPr>
              <w:t>“N”：多个枢纽港站区。包括综合型的枢纽港站，铁路站、公路站、码头、邮政快递设施等单一运输方式的枢纽港站。</w:t>
            </w:r>
          </w:p>
        </w:tc>
      </w:tr>
    </w:tbl>
    <w:p>
      <w:pPr>
        <w:pStyle w:val="9"/>
        <w:ind w:firstLine="643"/>
        <w:rPr>
          <w:b/>
          <w:bCs/>
        </w:rPr>
      </w:pPr>
      <w:r>
        <w:rPr>
          <w:rFonts w:hint="eastAsia"/>
          <w:b/>
          <w:bCs/>
        </w:rPr>
        <w:t>2</w:t>
      </w:r>
      <w:r>
        <w:rPr>
          <w:b/>
          <w:bCs/>
        </w:rPr>
        <w:t>.</w:t>
      </w:r>
      <w:r>
        <w:rPr>
          <w:rFonts w:hint="eastAsia"/>
          <w:b/>
          <w:bCs/>
        </w:rPr>
        <w:t>完善运输通道布局。</w:t>
      </w:r>
    </w:p>
    <w:p>
      <w:pPr>
        <w:pStyle w:val="9"/>
        <w:ind w:firstLine="640"/>
      </w:pPr>
      <w:r>
        <w:rPr>
          <w:rFonts w:hint="eastAsia"/>
        </w:rPr>
        <w:t>积极参与我省“米+井+人”字形综合运输通道建设，</w:t>
      </w:r>
      <w:r>
        <w:t>以高标准干线铁路、高速公路</w:t>
      </w:r>
      <w:r>
        <w:rPr>
          <w:rFonts w:hint="eastAsia"/>
        </w:rPr>
        <w:t>、</w:t>
      </w:r>
      <w:r>
        <w:t>机场建设为重点，</w:t>
      </w:r>
      <w:r>
        <w:rPr>
          <w:rFonts w:hint="eastAsia"/>
        </w:rPr>
        <w:t>优化沪陕、京港澳、大广“两纵一横”主通道交通资源配置，增强与郑州都市圈、武汉都市圈、皖江城市带等重点节点的高效联通，助力构建多方式、多通道、便捷化的大陆桥走廊，支撑建设综合性、多通道、立体化、大容量、快速化的京津冀—粤港澳主轴。</w:t>
      </w:r>
    </w:p>
    <w:p>
      <w:pPr>
        <w:pStyle w:val="9"/>
        <w:ind w:firstLine="640"/>
      </w:pPr>
      <w:r>
        <w:rPr>
          <w:rFonts w:hint="eastAsia"/>
        </w:rPr>
        <w:t>抢抓</w:t>
      </w:r>
      <w:r>
        <w:t>大别山革命老区振兴发展</w:t>
      </w:r>
      <w:r>
        <w:rPr>
          <w:rFonts w:hint="eastAsia"/>
        </w:rPr>
        <w:t>、</w:t>
      </w:r>
      <w:r>
        <w:t>淮河生态经济带发展国家战略</w:t>
      </w:r>
      <w:r>
        <w:rPr>
          <w:rFonts w:hint="eastAsia"/>
        </w:rPr>
        <w:t>机遇，发挥信阳市鄂豫皖交界的区位优势和交通优势，加快沿淮、沿大别山“两横”辅通道建设，补齐通道内高速铁路、高速公路等快速化运输服务短板，强化不同交通方式衔接融合、联动发展，优化完善通道整体功能，提升对外开放程度，助力信阳市打造</w:t>
      </w:r>
      <w:r>
        <w:t>鄂豫皖省际区域中心城市</w:t>
      </w:r>
      <w:r>
        <w:rPr>
          <w:rFonts w:hint="eastAsia"/>
        </w:rPr>
        <w:t>。</w:t>
      </w:r>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296" w:type="dxa"/>
          </w:tcPr>
          <w:p>
            <w:pPr>
              <w:widowControl/>
              <w:overflowPunct w:val="0"/>
              <w:spacing w:before="120" w:after="120" w:line="240" w:lineRule="auto"/>
              <w:ind w:firstLine="0" w:firstLineChars="0"/>
              <w:jc w:val="center"/>
              <w:rPr>
                <w:color w:val="000000"/>
                <w:kern w:val="0"/>
                <w:szCs w:val="32"/>
              </w:rPr>
            </w:pPr>
            <w:r>
              <w:rPr>
                <w:rFonts w:hint="eastAsia" w:eastAsia="黑体"/>
                <w:color w:val="000000"/>
                <w:kern w:val="0"/>
                <w:sz w:val="24"/>
                <w:szCs w:val="24"/>
              </w:rPr>
              <w:t>专栏9</w:t>
            </w:r>
            <w:r>
              <w:rPr>
                <w:rFonts w:eastAsia="黑体"/>
                <w:color w:val="000000"/>
                <w:kern w:val="0"/>
                <w:sz w:val="24"/>
                <w:szCs w:val="24"/>
              </w:rPr>
              <w:t xml:space="preserve"> </w:t>
            </w:r>
            <w:r>
              <w:rPr>
                <w:rFonts w:hint="eastAsia" w:eastAsia="黑体"/>
                <w:color w:val="000000"/>
                <w:kern w:val="0"/>
                <w:sz w:val="24"/>
                <w:szCs w:val="24"/>
              </w:rPr>
              <w:t>综合运输通道布局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（一）“两纵一横”主通道</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纵一”：京港澳通道。国家京津冀-粤港澳主轴和河南省米字形通道的重要组成部分，由京广高铁、京广铁路、郑州至信阳城际、京港澳高速、许信高速、安罗高速、G107及沿线省道等构成，途径平桥区、浉河区、罗山县，向北联系京津冀城市群，向南联通粤港澳大湾区，是快速联系国家战略城市群的主轴。</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纵二”：大广通道。河南省井字形通道的重要组成部分，由京港台高铁、濮潢高铁、京九铁路、大广高速、淮麻高速、阳新高速、G230、G106及沿线省道等组成构成，通道途径淮滨县、息县、潢川县、固始县、光山县、商城县、新县，是信阳东部地区推动与京津冀城市群、环鄱阳湖城市群、粤港澳大湾区城市群的经济交流与产业协作发展的重要通道。</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一横”：沪陕通道。国家大陆桥通道和河南省井字形通道的重要组成部分，由南信合高铁、宁西铁路、沪陕高速、G312及沿线省道构成，途径浉河区、平桥区、罗山县、息县、光山县、潢川县、商城县、固始县，西通关中平原，东联长三角城市群，是信阳承接东部产业转移的重要通道。</w:t>
            </w:r>
          </w:p>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（二）“两横”辅通道</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横一”：沿淮通道。由沿淮城际铁路、沿淮高速、息邢高速、淮内高速、淮河航道、G328及沿线省道等组成，途径平桥区、罗山县、息县、潢川县、淮滨县、固始县，主要联系东部的阜阳、淮南等市，增强信阳通江达海、对接“海上丝绸之路”能力，服务沿淮生态经济带建设。</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eastAsia="宋体"/>
                <w:bCs/>
                <w:color w:val="000000"/>
                <w:kern w:val="0"/>
                <w:sz w:val="24"/>
                <w:szCs w:val="24"/>
              </w:rPr>
              <w:t>“横二”：沿大别山通道。由沿大别山高速公路、信阳至随州高速公路、信阳至襄阳高速公路、G632及沿线省道组成，途径浉河区、罗山县、新县、商城县，主要承担信阳与随州、襄阳、孝感、六安等的交通联系，是连通红二十五军长征出发地、鸡公山等红绿旅游资源的重要通道，支撑大别山北麓全域旅游示范区创建。</w:t>
            </w:r>
          </w:p>
        </w:tc>
      </w:tr>
    </w:tbl>
    <w:p>
      <w:pPr>
        <w:pStyle w:val="9"/>
        <w:ind w:firstLine="643"/>
        <w:rPr>
          <w:b/>
          <w:bCs/>
          <w:szCs w:val="22"/>
        </w:rPr>
      </w:pPr>
      <w:r>
        <w:rPr>
          <w:b/>
          <w:bCs/>
          <w:szCs w:val="22"/>
        </w:rPr>
        <w:t>3.</w:t>
      </w:r>
      <w:r>
        <w:rPr>
          <w:rFonts w:hint="eastAsia"/>
          <w:b/>
          <w:bCs/>
          <w:szCs w:val="22"/>
        </w:rPr>
        <w:t>推动枢纽经济发展。</w:t>
      </w:r>
    </w:p>
    <w:p>
      <w:pPr>
        <w:pStyle w:val="9"/>
        <w:ind w:firstLine="640"/>
        <w:rPr>
          <w:szCs w:val="22"/>
        </w:rPr>
      </w:pPr>
      <w:r>
        <w:rPr>
          <w:rFonts w:hint="eastAsia"/>
          <w:szCs w:val="22"/>
        </w:rPr>
        <w:t>发挥信阳重要区域性综合交通枢纽功能，依托机场、高铁站、服务区、港口码头等枢纽节点，重点建设信阳航空经济、淮滨临港经济和商贸服务型物流枢纽经济等枢纽经济区，加快交通体系、物流枢纽与区域、城市、产业的互动融合，构建“1+2”的综合交通运输体系和枢纽经济融合互促发展总体布局，打造商贸服务型枢纽经济新城。</w:t>
      </w:r>
    </w:p>
    <w:p>
      <w:pPr>
        <w:pStyle w:val="9"/>
        <w:ind w:firstLine="640"/>
        <w:rPr>
          <w:szCs w:val="22"/>
        </w:rPr>
      </w:pPr>
      <w:r>
        <w:rPr>
          <w:rFonts w:hint="eastAsia"/>
          <w:szCs w:val="22"/>
        </w:rPr>
        <w:t>聚焦全省“一核引领、五区联动、多园协同”的航空经济空间发展格局，按照“产城互动”“产城融合”发展要求，加快构建服务豫南区域经济社会发展的明港空港经济区。统筹产业布局、人口分布和港口布局，处理好生产、生活和生态空间关系，高质量推进临港城市功能区开发，推动“港产城”深度融合发展，按照“宜水则水、宜产则产、宜居则居”的原则，重点建设淮滨、潢川、息县、固始等港口枢纽经济区等。发挥信阳地处鄂豫皖三省交界的区域中心优势，以大宗商品、农产品、电商快递、冷链物流组织为重点，以交易结算、信息服务等为增值服务拓展方向，统筹推进信阳商贸服务型物流枢纽经济区建设。</w:t>
      </w:r>
    </w:p>
    <w:p>
      <w:pPr>
        <w:pStyle w:val="9"/>
        <w:ind w:firstLine="640"/>
        <w:rPr>
          <w:szCs w:val="22"/>
        </w:rPr>
      </w:pPr>
      <w:r>
        <w:rPr>
          <w:rFonts w:hint="eastAsia"/>
          <w:szCs w:val="22"/>
        </w:rPr>
        <w:t>充分发挥信阳对接长三角的桥头堡、淮河生态经济带内陆高质量发展先行区、中部地区崛起的重要生态安全屏障的战略优势，依托京港澳、大广、沿淮、沪陕、沿大别山5条综合运输通道，推动资源要素和产业沿线集聚，加快中原-长三角通道经济带和京港澳通道经济带发展，拓展枢纽经济辐射联动发展空间。加强与南阳、驻马店联动发展，以生态经济为特色，建设大别山（豫南）高效生态经济示范区，推动豫南地区大通道大枢纽发展，支撑豫南枢纽经济协同发展区建设。积极向长三角靠拢，建设“长三角产业协同创新区”，实现协同发展、互补共赢。</w:t>
      </w:r>
    </w:p>
    <w:tbl>
      <w:tblPr>
        <w:tblStyle w:val="5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296" w:type="dxa"/>
          </w:tcPr>
          <w:p>
            <w:pPr>
              <w:widowControl/>
              <w:overflowPunct w:val="0"/>
              <w:spacing w:before="120" w:after="120" w:line="240" w:lineRule="auto"/>
              <w:ind w:firstLine="0" w:firstLineChars="0"/>
              <w:jc w:val="center"/>
              <w:rPr>
                <w:color w:val="000000"/>
                <w:kern w:val="0"/>
                <w:szCs w:val="32"/>
              </w:rPr>
            </w:pPr>
            <w:r>
              <w:rPr>
                <w:rFonts w:hint="eastAsia" w:eastAsia="黑体"/>
                <w:color w:val="000000"/>
                <w:kern w:val="0"/>
                <w:sz w:val="24"/>
                <w:szCs w:val="24"/>
              </w:rPr>
              <w:t>专栏9</w:t>
            </w:r>
            <w:r>
              <w:rPr>
                <w:rFonts w:eastAsia="黑体"/>
                <w:color w:val="000000"/>
                <w:kern w:val="0"/>
                <w:sz w:val="24"/>
                <w:szCs w:val="24"/>
              </w:rPr>
              <w:t xml:space="preserve"> </w:t>
            </w:r>
            <w:r>
              <w:rPr>
                <w:rFonts w:hint="eastAsia" w:eastAsia="黑体"/>
                <w:color w:val="000000"/>
                <w:kern w:val="0"/>
                <w:sz w:val="24"/>
                <w:szCs w:val="24"/>
              </w:rPr>
              <w:t>枢纽经济总体布局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tcPr>
          <w:p>
            <w:pPr>
              <w:tabs>
                <w:tab w:val="left" w:pos="2828"/>
              </w:tabs>
              <w:overflowPunct w:val="0"/>
              <w:adjustRightInd w:val="0"/>
              <w:snapToGrid w:val="0"/>
              <w:spacing w:line="520" w:lineRule="exact"/>
              <w:ind w:firstLine="482"/>
              <w:rPr>
                <w:rFonts w:eastAsia="楷体"/>
                <w:b/>
                <w:color w:val="000000"/>
                <w:kern w:val="0"/>
                <w:sz w:val="24"/>
                <w:szCs w:val="24"/>
              </w:rPr>
            </w:pPr>
            <w:r>
              <w:rPr>
                <w:rFonts w:hint="eastAsia" w:eastAsia="楷体"/>
                <w:b/>
                <w:color w:val="000000"/>
                <w:kern w:val="0"/>
                <w:sz w:val="24"/>
                <w:szCs w:val="24"/>
              </w:rPr>
              <w:t>（一）“1</w:t>
            </w:r>
            <w:r>
              <w:rPr>
                <w:rFonts w:eastAsia="楷体"/>
                <w:b/>
                <w:color w:val="000000"/>
                <w:kern w:val="0"/>
                <w:sz w:val="24"/>
                <w:szCs w:val="24"/>
              </w:rPr>
              <w:t>+2</w:t>
            </w:r>
            <w:r>
              <w:rPr>
                <w:rFonts w:hint="eastAsia" w:eastAsia="楷体"/>
                <w:b/>
                <w:color w:val="000000"/>
                <w:kern w:val="0"/>
                <w:sz w:val="24"/>
                <w:szCs w:val="24"/>
              </w:rPr>
              <w:t>”综合交通运输体系和枢纽经济融合互促发展总体布局</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“1+</w:t>
            </w:r>
            <w:r>
              <w:rPr>
                <w:rFonts w:eastAsia="宋体"/>
                <w:bCs/>
                <w:color w:val="000000"/>
                <w:kern w:val="0"/>
                <w:sz w:val="24"/>
                <w:szCs w:val="24"/>
              </w:rPr>
              <w:t>2</w:t>
            </w:r>
            <w:r>
              <w:rPr>
                <w:rFonts w:hint="eastAsia" w:eastAsia="宋体"/>
                <w:bCs/>
                <w:color w:val="000000"/>
                <w:kern w:val="0"/>
                <w:sz w:val="24"/>
                <w:szCs w:val="24"/>
              </w:rPr>
              <w:t>”：1个核心发展区、2个协同发展区。</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1”：信阳市区枢纽经济核心发展区。利用枢纽强大货物集散能力，以产业集聚区、大型物流园区为重要支撑，依托明港机场、轨道交通、高等级公路、内河航运等一体衔接的综合立体交通网，发挥信阳东高铁综合枢纽、信阳北公铁水空综合枢纽、大别山综合物流港、开放式服务区等承载平台叠加优势，联动信罗同城化发展，扩展枢纽经济辐射空间，提升资源要素聚集力、整合力、配置力，带动先进制造业、现代物流、现代金融、科技创新、会展商务等集聚融合发展，提升产业链、供应链现代化水平，增强对大别山革命老区振兴发展的带动引领作用。</w:t>
            </w:r>
          </w:p>
          <w:p>
            <w:pPr>
              <w:tabs>
                <w:tab w:val="left" w:pos="2828"/>
              </w:tabs>
              <w:overflowPunct w:val="0"/>
              <w:adjustRightInd w:val="0"/>
              <w:snapToGrid w:val="0"/>
              <w:spacing w:line="520" w:lineRule="exact"/>
              <w:ind w:firstLine="480"/>
              <w:rPr>
                <w:rFonts w:eastAsia="宋体"/>
                <w:bCs/>
                <w:color w:val="000000"/>
                <w:kern w:val="0"/>
                <w:sz w:val="24"/>
                <w:szCs w:val="24"/>
              </w:rPr>
            </w:pPr>
            <w:r>
              <w:rPr>
                <w:rFonts w:hint="eastAsia" w:eastAsia="宋体"/>
                <w:bCs/>
                <w:color w:val="000000"/>
                <w:kern w:val="0"/>
                <w:sz w:val="24"/>
                <w:szCs w:val="24"/>
              </w:rPr>
              <w:t>潢川枢纽经济协同发展区。完善区域性综合交通枢纽功能，依托铁路运输优势和良好的大宗物资物流业务基础，充分发挥潢川机场、大别山潢川铁路货运综合物流园、豫东南高铁枢纽、东方国际陆港和潢川港区功能，抢抓苏信合作机遇，重点布局苏新产业合作园、国际多式联运区、粮食仓储交易区、危险品储存交易区、仓储配送区、大宗商品交易物流区等平台，高质量推进商贸流通载体和现代物流枢纽通道建设，构建“空铁公水”多式联运服务系统，强化资源要素集聚能力，推动现代服务业和先进制造业、文化旅游业等融合发展，不断增强潢川枢纽经济辐射能级，带动光山一体化组团式发展，高标准高质量谋划建设豫东南高新技术开发区，提高信阳对东部地区的辐射力。</w:t>
            </w:r>
          </w:p>
          <w:p>
            <w:pPr>
              <w:tabs>
                <w:tab w:val="left" w:pos="2828"/>
              </w:tabs>
              <w:overflowPunct w:val="0"/>
              <w:adjustRightInd w:val="0"/>
              <w:snapToGrid w:val="0"/>
              <w:spacing w:line="520" w:lineRule="exact"/>
              <w:ind w:firstLine="480"/>
              <w:rPr>
                <w:rFonts w:ascii="宋体" w:hAnsi="宋体" w:eastAsia="宋体"/>
                <w:bCs/>
                <w:color w:val="000000"/>
                <w:kern w:val="0"/>
                <w:sz w:val="24"/>
                <w:szCs w:val="24"/>
              </w:rPr>
            </w:pPr>
            <w:r>
              <w:rPr>
                <w:rFonts w:hint="eastAsia" w:eastAsia="宋体"/>
                <w:bCs/>
                <w:color w:val="000000"/>
                <w:kern w:val="0"/>
                <w:sz w:val="24"/>
                <w:szCs w:val="24"/>
              </w:rPr>
              <w:t>淮滨枢纽经济协同发展区。充分发挥淮滨内河水运优势，依托淮滨港中心港区，布局“两高一支撑”主导产业体系，以淮滨县造船产业集聚区为载体，形成沿淮最大的船舶制造基地，以建设信阳淮滨保税物流中心为突破口，提升对外开放水平，打造河南省融入“一带一路”的新窗口，持续深化与下游港口战略协作和非洲等国的合作交流，全力推进“淮滨港—非洲路易港”豫非贸易直通港建设，推动淮滨交通区位优势向枢纽经济优势转变，做大做强流通贸易，开创“滨淮福地、临港强县”建设新局面。</w:t>
            </w:r>
          </w:p>
        </w:tc>
      </w:tr>
    </w:tbl>
    <w:p>
      <w:pPr>
        <w:pStyle w:val="4"/>
        <w:ind w:firstLine="199" w:firstLineChars="62"/>
      </w:pPr>
      <w:bookmarkStart w:id="22" w:name="_Toc181110970"/>
      <w:r>
        <w:rPr>
          <w:rFonts w:hint="eastAsia"/>
        </w:rPr>
        <w:t>（三）构建高品质运输服务体系</w:t>
      </w:r>
      <w:bookmarkEnd w:id="22"/>
    </w:p>
    <w:p>
      <w:pPr>
        <w:ind w:firstLine="643"/>
        <w:rPr>
          <w:b/>
          <w:bCs/>
        </w:rPr>
      </w:pPr>
      <w:r>
        <w:rPr>
          <w:b/>
          <w:bCs/>
        </w:rPr>
        <w:t>1.</w:t>
      </w:r>
      <w:r>
        <w:rPr>
          <w:rFonts w:hint="eastAsia"/>
          <w:b/>
          <w:bCs/>
        </w:rPr>
        <w:t>提升客运服务能力品质。</w:t>
      </w:r>
    </w:p>
    <w:p>
      <w:pPr>
        <w:ind w:firstLine="640"/>
      </w:pPr>
      <w:r>
        <w:rPr>
          <w:rFonts w:hint="eastAsia"/>
        </w:rPr>
        <w:t>加强铁路站、公路客运枢纽、机场与城市公交网络协同整合，优化配置交通运输资源，推动各种运输方式在运营时刻、组织调度、运力安排等方面协同衔接，提升旅客联程运输服务能力。加快道路客运转型升级，推进等级客运站向服务综合体转型。提升定制客运服务质量，打造旅客联程运输服务示范工程。做好适老化出行服务等民生实事。</w:t>
      </w:r>
    </w:p>
    <w:p>
      <w:pPr>
        <w:ind w:firstLine="640"/>
      </w:pPr>
      <w:r>
        <w:rPr>
          <w:rFonts w:hint="eastAsia"/>
        </w:rPr>
        <w:t>完善城市公共交通支持政策，全面开展城市公交高质量发展动态绩效评价，深入开展国家公交都市创建。积极稳妥深化出租汽车行业改革，有序推动全市巡游车数字化平台建设，鼓励县（区）因地制宜探索改革路径。以信罗同城、豫东南高新技术产业开发区为重点，推动信阳-罗山、豫东南高新技术产业开发区-潢川-光山等城际班线公交化改造，探索建立跨区域协同机制，构建区域一体化公共交通体系。</w:t>
      </w:r>
    </w:p>
    <w:p>
      <w:pPr>
        <w:ind w:firstLine="640"/>
      </w:pPr>
      <w:r>
        <w:rPr>
          <w:rFonts w:hint="eastAsia"/>
        </w:rPr>
        <w:t>大力推行城乡客运公交化改造，推动城市公交线路向周边乡镇、建制村延伸，鼓励发展“县设枢纽、镇有平台、村通站点”的全域公交网络，促进城乡客运一体化发展。培育农村客运定制班、网上约车等服务新业态，打造以“公交化运营+旅游专线”为主、以定制客运为辅、以“预约班车”为补充的村村通客车“升级版”模式，切实改善农村出行条件。</w:t>
      </w:r>
    </w:p>
    <w:p>
      <w:pPr>
        <w:ind w:firstLine="643"/>
        <w:rPr>
          <w:b/>
          <w:bCs/>
        </w:rPr>
      </w:pPr>
      <w:r>
        <w:rPr>
          <w:rFonts w:hint="eastAsia"/>
          <w:b/>
          <w:bCs/>
        </w:rPr>
        <w:t>2</w:t>
      </w:r>
      <w:r>
        <w:rPr>
          <w:b/>
          <w:bCs/>
        </w:rPr>
        <w:t>.</w:t>
      </w:r>
      <w:r>
        <w:rPr>
          <w:rFonts w:hint="eastAsia"/>
          <w:b/>
          <w:bCs/>
        </w:rPr>
        <w:t>推动货运物流转型发展。</w:t>
      </w:r>
    </w:p>
    <w:p>
      <w:pPr>
        <w:ind w:firstLine="640"/>
      </w:pPr>
      <w:r>
        <w:rPr>
          <w:rFonts w:hint="eastAsia"/>
        </w:rPr>
        <w:t>加快多式联运重点工程建设。加快推进国家级多式联运示范工程创建，依托淮滨中心港打造内外贸并举、专业化集装箱集散、现代化物流发展的多功能港口，逐步发展成为国际集装箱运输体系的内支线港，以公铁水联运体系为依托，打造成为河南省最具规模、影响力广的现代化综合性水路二类开放口岸和物流枢纽；依托潢川开发区大别山多式联运物流园打造集冷冻、分拣、加工、销售等功能于一体的智慧冷链物流园区，提供“一站式”集装箱冷链多式联运服务。</w:t>
      </w:r>
    </w:p>
    <w:p>
      <w:pPr>
        <w:ind w:firstLine="640"/>
      </w:pPr>
      <w:r>
        <w:rPr>
          <w:rFonts w:hint="eastAsia"/>
        </w:rPr>
        <w:t>强化重要节点集疏运体系建设。挖掘航空、铁路、水运发展潜力，实施铁路专用线“进企入园”工程，逐步推进淮滨县淮上交通有限公司、潢川火车北站至花埠作业区、息县淮河新区等铁路专用线建设。充分发挥公路运输衔接其他运输方式的优势，构筑“周边广辐射、城乡全覆盖、衔接大交通、快速集疏运”的普通公路网络。根据连接区域、交通功能等的不同，规划形成“两纵三横九连多衔接”的集疏运通道布局形态；梳理直接衔接机场、港口码头、产业集聚区、高速出入口等重要节点的集疏运道路，打通集疏运体系的“最后一公里”，使运输生产的全过程保持高效连续，实现资源利用的最大化。</w:t>
      </w:r>
    </w:p>
    <w:p>
      <w:pPr>
        <w:ind w:firstLine="640"/>
      </w:pPr>
      <w:r>
        <w:rPr>
          <w:rFonts w:hint="eastAsia"/>
        </w:rPr>
        <w:t>推进多式联运创新协同发展。推动明港机场创新航空货运业务模式，发展“空港+高速”式“门到门”陆空联运快件物流；依托信阳东站探索高铁货运，开展“高铁+高速”式“门到门”公铁联运快件运输；鼓励依托枢纽创新“多式联运+区域分拨+城市配送”组织模式，促进货物高效转运。加强枢纽内多方式中转换装平台建设，推广托盘、周转箱、集装箱、集装袋等标准化装备器具应用，推动设备循环共用。推进物流枢纽、骨干物流企业信息互联互通，推动部门间、区域间、方式间信息资源开放共享。推进各方式设施设备的标准化与协同应用，加快推广多式联运“一单制”全链条服务模式。</w:t>
      </w:r>
    </w:p>
    <w:p>
      <w:pPr>
        <w:pStyle w:val="4"/>
        <w:ind w:firstLine="643"/>
      </w:pPr>
      <w:bookmarkStart w:id="23" w:name="_Toc181110971"/>
      <w:r>
        <w:rPr>
          <w:rFonts w:hint="eastAsia"/>
        </w:rPr>
        <w:t>（四）构建高规格统筹融合体系</w:t>
      </w:r>
      <w:bookmarkEnd w:id="23"/>
    </w:p>
    <w:p>
      <w:pPr>
        <w:ind w:firstLine="643"/>
        <w:rPr>
          <w:b/>
          <w:bCs/>
          <w:szCs w:val="36"/>
        </w:rPr>
      </w:pPr>
      <w:r>
        <w:rPr>
          <w:b/>
          <w:bCs/>
          <w:szCs w:val="36"/>
        </w:rPr>
        <w:t>1.</w:t>
      </w:r>
      <w:r>
        <w:rPr>
          <w:rFonts w:hint="eastAsia"/>
          <w:b/>
          <w:bCs/>
          <w:szCs w:val="36"/>
        </w:rPr>
        <w:t>推进交通与旅游融合发展。</w:t>
      </w:r>
    </w:p>
    <w:p>
      <w:pPr>
        <w:ind w:firstLine="640"/>
      </w:pPr>
      <w:r>
        <w:rPr>
          <w:rFonts w:hint="eastAsia"/>
          <w:szCs w:val="24"/>
        </w:rPr>
        <w:t>深化交旅融合发展，重点建设建设我市剩余红色大别一号旅游公路507公里，构筑2000公里以上“通景、链景、融景”的旅游公路网，推进交旅文创出彩。整顿违法设置的非公路标志标牌，完善主要通景公路旅游交通标识。加快旅游风景道5G基站和重要节点网络布局，实现沿线信号网络全覆盖，推进智慧交通和智慧旅游深度衔接。重视旅游公路安防工程，完善旅游公路安防设施和应急体系，提高突发事件应急能力，打造放心路、放心桥。</w:t>
      </w:r>
    </w:p>
    <w:p>
      <w:pPr>
        <w:ind w:firstLine="640"/>
      </w:pPr>
      <w:r>
        <w:rPr>
          <w:rFonts w:hint="eastAsia"/>
          <w:szCs w:val="24"/>
        </w:rPr>
        <w:t>完善旅游公路配套服务设施。规划绿道14条约320公里，形成覆盖主要旅游乡镇和旅游区的绿道“慢游”系统，拓展游憩空间。结合沿大别山高速沿线资源，规划布局4个开放式主题特色服务区，推动高速公路服务区转型升级。结合旅游公路建设，配套布局驿站4</w:t>
      </w:r>
      <w:r>
        <w:rPr>
          <w:szCs w:val="24"/>
        </w:rPr>
        <w:t>2</w:t>
      </w:r>
      <w:r>
        <w:rPr>
          <w:rFonts w:hint="eastAsia"/>
          <w:szCs w:val="24"/>
        </w:rPr>
        <w:t>个、观景台3</w:t>
      </w:r>
      <w:r>
        <w:rPr>
          <w:szCs w:val="24"/>
        </w:rPr>
        <w:t>7</w:t>
      </w:r>
      <w:r>
        <w:rPr>
          <w:rFonts w:hint="eastAsia"/>
          <w:szCs w:val="24"/>
        </w:rPr>
        <w:t>个、营地1</w:t>
      </w:r>
      <w:r>
        <w:rPr>
          <w:szCs w:val="24"/>
        </w:rPr>
        <w:t>7</w:t>
      </w:r>
      <w:r>
        <w:rPr>
          <w:rFonts w:hint="eastAsia"/>
          <w:szCs w:val="24"/>
        </w:rPr>
        <w:t>个，提供游客集散、旅游资讯、餐饮住宿、风景观赏、休闲游憩、应急救助等服务。</w:t>
      </w:r>
    </w:p>
    <w:p>
      <w:pPr>
        <w:pStyle w:val="9"/>
        <w:ind w:firstLine="640"/>
      </w:pPr>
      <w:r>
        <w:rPr>
          <w:rFonts w:hint="eastAsia"/>
        </w:rPr>
        <w:t>推动交通旅游全方位融合发展。鼓励开通机场、铁路站至景区（点）的旅游专线和旅游直通车，推出公交旅游观光线路，推广“交通+门票”等一站式票务服务。着力发展淮河航运旅游，开展水路旅游客运精品航线试点创建，提升淮河区域水运旅游影响力。探索“航空+旅游”融合模式，推进航空运动、航空教育、航空娱乐等业务发展，丰富低空飞行旅游产品。</w:t>
      </w:r>
    </w:p>
    <w:p>
      <w:pPr>
        <w:ind w:firstLine="643"/>
        <w:rPr>
          <w:b/>
          <w:bCs/>
          <w:szCs w:val="22"/>
        </w:rPr>
      </w:pPr>
      <w:r>
        <w:rPr>
          <w:b/>
          <w:bCs/>
          <w:szCs w:val="22"/>
        </w:rPr>
        <w:t>2.</w:t>
      </w:r>
      <w:r>
        <w:rPr>
          <w:rFonts w:hint="eastAsia"/>
          <w:b/>
          <w:bCs/>
          <w:szCs w:val="22"/>
        </w:rPr>
        <w:t>推进交通与快递物流融合发展。</w:t>
      </w:r>
    </w:p>
    <w:p>
      <w:pPr>
        <w:pStyle w:val="9"/>
        <w:ind w:firstLine="640"/>
      </w:pPr>
      <w:r>
        <w:rPr>
          <w:rFonts w:hint="eastAsia"/>
        </w:rPr>
        <w:t>推进交通与邮政快递融合发展。推动铁路、机场等枢纽场站建设邮政快递专用处理场所、运输通道、装卸设施，逐步实现邮件快件集中安检、集中上机（车），提升邮政快件中转运输效率。大力发展航空快递、高铁快递，推动邮件快件多式联运。全面推广新县客货邮融合发展模式，加快完善县乡村三级物流网络体系，推进乡村邮政快递网点、综合服务站、汽车站等设施资源整合共享，加快城乡交通运输一体化示范县创建。</w:t>
      </w:r>
    </w:p>
    <w:p>
      <w:pPr>
        <w:pStyle w:val="9"/>
        <w:ind w:firstLine="640"/>
      </w:pPr>
      <w:r>
        <w:rPr>
          <w:rFonts w:hint="eastAsia"/>
        </w:rPr>
        <w:t>推进交通与现代物流融合发展。打造以大别山铁路</w:t>
      </w:r>
      <w:r>
        <w:t>货运</w:t>
      </w:r>
      <w:r>
        <w:rPr>
          <w:rFonts w:hint="eastAsia"/>
        </w:rPr>
        <w:t>综合物流园为代表的</w:t>
      </w:r>
      <w:r>
        <w:t>铁路物流基地</w:t>
      </w:r>
      <w:r>
        <w:rPr>
          <w:rFonts w:hint="eastAsia"/>
        </w:rPr>
        <w:t>，建设冷链物流网络，强化不同运输方式冷链设施衔接，发展铁路集装箱冷链服务。依托“一干六支”航道，吸引航运要素集聚，大力发展大宗货物水上运输。围绕明港机场、潢川机场，加快航空物流发展，加强国际航空货运能力建设。推动大数据、区块链、人工智能、5G等新技术在运输、仓储、装卸等物流环节中的应用，推动建立跨境物流信息平台。</w:t>
      </w:r>
    </w:p>
    <w:p>
      <w:pPr>
        <w:ind w:firstLine="643"/>
        <w:rPr>
          <w:b/>
          <w:bCs/>
          <w:szCs w:val="36"/>
        </w:rPr>
      </w:pPr>
      <w:r>
        <w:rPr>
          <w:b/>
          <w:bCs/>
          <w:szCs w:val="36"/>
        </w:rPr>
        <w:t>3.</w:t>
      </w:r>
      <w:r>
        <w:rPr>
          <w:rFonts w:hint="eastAsia"/>
          <w:b/>
          <w:bCs/>
          <w:szCs w:val="36"/>
        </w:rPr>
        <w:t>推进交通与制造等产业融合发展。</w:t>
      </w:r>
    </w:p>
    <w:p>
      <w:pPr>
        <w:pStyle w:val="9"/>
        <w:ind w:firstLine="640"/>
      </w:pPr>
      <w:r>
        <w:rPr>
          <w:rFonts w:hint="eastAsia"/>
        </w:rPr>
        <w:t>强化交通运输对装备制造、电子电器消费品制造等产业的带动引领，推动各类经济要素沿通道、枢纽集聚布局，做好交通枢纽和产业发展的空间预留、用地功能管控、开发时序协调，打造依托综合交通枢纽的城市综合体和产业综合区。推动交通运输与生产制造、流通环节资源整合，优化重点制造业供应链物流组织。</w:t>
      </w:r>
    </w:p>
    <w:p>
      <w:pPr>
        <w:pStyle w:val="9"/>
        <w:ind w:firstLine="640"/>
      </w:pPr>
      <w:r>
        <w:rPr>
          <w:rFonts w:hint="eastAsia"/>
        </w:rPr>
        <w:t>补齐国际物流基础设施短板，配置集装箱作业设施设备，依托潢川站铁路货场，与国际物流枢纽开展业务合作，谋划开行中欧班列，提升信阳国际物流运作水平。充分发挥信阳区位和交通通道优势，挖掘采购交易和商品集散潜力，通过与全国商贸服务型国家物流枢纽及商贸节点业务对接，在全国范围内进行商品高效分拨，提升国家商贸流通服务水平。</w:t>
      </w:r>
    </w:p>
    <w:p>
      <w:pPr>
        <w:pStyle w:val="4"/>
        <w:ind w:firstLine="643"/>
      </w:pPr>
      <w:bookmarkStart w:id="24" w:name="_Toc181110972"/>
      <w:r>
        <w:rPr>
          <w:rFonts w:hint="eastAsia"/>
        </w:rPr>
        <w:t>（五）构建高层次科技创新体系</w:t>
      </w:r>
      <w:bookmarkEnd w:id="24"/>
    </w:p>
    <w:p>
      <w:pPr>
        <w:pStyle w:val="9"/>
        <w:ind w:firstLine="643"/>
        <w:rPr>
          <w:b/>
          <w:bCs/>
        </w:rPr>
      </w:pPr>
      <w:r>
        <w:rPr>
          <w:rFonts w:hint="eastAsia"/>
          <w:b/>
          <w:bCs/>
        </w:rPr>
        <w:t>1</w:t>
      </w:r>
      <w:r>
        <w:rPr>
          <w:b/>
          <w:bCs/>
        </w:rPr>
        <w:t>.</w:t>
      </w:r>
      <w:r>
        <w:rPr>
          <w:rFonts w:hint="eastAsia"/>
          <w:b/>
          <w:bCs/>
        </w:rPr>
        <w:t>建设新型基础设施。</w:t>
      </w:r>
    </w:p>
    <w:p>
      <w:pPr>
        <w:pStyle w:val="9"/>
        <w:ind w:firstLine="640"/>
      </w:pPr>
      <w:r>
        <w:rPr>
          <w:rFonts w:hint="eastAsia"/>
        </w:rPr>
        <w:t>依据《河南省智慧高速公路建设技术指南（试行）》，研究突破高速公路智能化、车路协同等关键技术，结合功能定位、环境特点、交通流等因素，重点推进安罗、沿大别山等智慧高速项目，建设全天候通行、全路段感知、全过程管控的智慧高速公路。融合文化、旅游、物流等产业，以全要素感知为底层设计思路，以AI智能摄像头、毫米波雷达、Wi-Fi探针以及ETC设备为感知手段，在沿大别山高速沿线探索打造交旅融合、电商物流等主题式智慧服务区，实现安全管控、高效智能、管理决策、绿色节能四大功能。</w:t>
      </w:r>
    </w:p>
    <w:p>
      <w:pPr>
        <w:pStyle w:val="9"/>
        <w:ind w:firstLine="640"/>
      </w:pPr>
      <w:r>
        <w:rPr>
          <w:rFonts w:hint="eastAsia"/>
        </w:rPr>
        <w:t>整合现有设施和信息资源，深化北斗高精度定位、卫星遥感、大数据分析等技术在公路交通领域创新应用，推动公路感知网络和公路基础设施同步规划、同步设计、同步建设。持续推动智慧公路建设，提高路网通行效率和安全水平。推广应用农村公路技术状况自动化检测技术，完善农村公路病害库，支撑“四好农村路”高质量发展，助力乡村振兴战略实施。运用多项创新技术，推进跨淮河公路特大桥梁、大别山长大隧道数字化建设，实现桥隧运维养护智慧运营。</w:t>
      </w:r>
    </w:p>
    <w:p>
      <w:pPr>
        <w:pStyle w:val="9"/>
        <w:ind w:firstLine="640"/>
      </w:pPr>
      <w:bookmarkStart w:id="25" w:name="_Hlk139989823"/>
      <w:r>
        <w:rPr>
          <w:rFonts w:hint="eastAsia"/>
        </w:rPr>
        <w:t>推动淮河、史灌河等高等级航道数字化建设，实现航道动态监测、数据分析应用、养护联网管理、航道信息便捷服务等</w:t>
      </w:r>
      <w:bookmarkEnd w:id="25"/>
      <w:r>
        <w:rPr>
          <w:rFonts w:hint="eastAsia"/>
        </w:rPr>
        <w:t>。秉承“智能、开放、安全、经济”的港口发展理念，依托信阳港中心港区、淮滨港区，综合功能定位、区位因素等特征，打造“淮上云”智慧信息化平台，实现港口业务运营模式的全新升级转型。优化港口智慧物流服务平台功能，实现港口内部管理集约化、外部服务一体化、生产作业智能化、港口经营生态化。深化船舶碰撞桥梁隐患治理，建设桥梁主动防撞预警系统，提高通航保障服务水平。</w:t>
      </w:r>
    </w:p>
    <w:p>
      <w:pPr>
        <w:pStyle w:val="9"/>
        <w:ind w:firstLine="643"/>
        <w:rPr>
          <w:b/>
          <w:bCs/>
        </w:rPr>
      </w:pPr>
      <w:r>
        <w:rPr>
          <w:rFonts w:hint="eastAsia"/>
          <w:b/>
          <w:bCs/>
        </w:rPr>
        <w:t>2</w:t>
      </w:r>
      <w:r>
        <w:rPr>
          <w:b/>
          <w:bCs/>
        </w:rPr>
        <w:t>.</w:t>
      </w:r>
      <w:r>
        <w:rPr>
          <w:rFonts w:hint="eastAsia"/>
          <w:b/>
          <w:bCs/>
        </w:rPr>
        <w:t>加快交通数字转型。</w:t>
      </w:r>
    </w:p>
    <w:p>
      <w:pPr>
        <w:pStyle w:val="9"/>
        <w:ind w:firstLine="640"/>
      </w:pPr>
      <w:r>
        <w:rPr>
          <w:rFonts w:hint="eastAsia"/>
        </w:rPr>
        <w:t>以全省实施“综合交通运输大数据”交通强国建设试点为契机，重点推进5G、北斗等信息技术在交通运输领域应用。加快建设我市交通大脑、交通运行监测调度中心综合应用平台、指挥中心等，构建数字化资源共享与智慧应用平台，实现铁路、公路、水运、民航等公共资源信息互联共享。加快基于北斗的运输监管与服务、路网运行监测、智慧工地、结构安全健康监测和安全应急救援等系统建设。</w:t>
      </w:r>
    </w:p>
    <w:p>
      <w:pPr>
        <w:pStyle w:val="9"/>
        <w:ind w:firstLine="640"/>
      </w:pPr>
      <w:r>
        <w:rPr>
          <w:rFonts w:hint="eastAsia"/>
        </w:rPr>
        <w:t>普及北斗系统在城市公共交通、道路运输、船舶设备等领域的应用，建设中心城区5G+智慧公交项目，完善“一体系、一云脑、一平台”及相关配套设施，支持县区智能公交一体化项目建设，实现“两客一危”、网约车、重型载货汽车及半挂牵引车等车辆全面部署北斗卫星定位导航装置，探索B</w:t>
      </w:r>
      <w:r>
        <w:t>RT</w:t>
      </w:r>
      <w:r>
        <w:rPr>
          <w:rFonts w:hint="eastAsia"/>
        </w:rPr>
        <w:t>快速公交、智轨等新型运输方式。推进卫星遥感在公路勘测设计、路网提取、交通设施形变监测和公路灾害损毁评估等方面的应用。加快高速公路、普通公路重点路段、重要综合客货运枢纽、港航的5G网络建设。</w:t>
      </w:r>
    </w:p>
    <w:p>
      <w:pPr>
        <w:pStyle w:val="9"/>
        <w:ind w:firstLine="640"/>
      </w:pPr>
      <w:r>
        <w:rPr>
          <w:rFonts w:hint="eastAsia"/>
        </w:rPr>
        <w:t>推动公众出行服务数字化，打造数字化交通出行助手，开发“信阳交通”手机APP，实现城市公共交通出行信息查询、出行诱导等一站式出行服务。引导客运企业加强与景区、旅游企业、物流配送企业间的协同运作，应用信息技术开拓新兴业务，丰富数字化运输服务新业态。加快综合客运枢纽智慧化改造，拓展枢纽内智能终端应用，推动客运售票、检票、登乘等环节电子化、无感化，重点打造信阳汽车客运东站智慧枢纽。</w:t>
      </w:r>
    </w:p>
    <w:p>
      <w:pPr>
        <w:pStyle w:val="9"/>
        <w:ind w:firstLine="640"/>
      </w:pPr>
      <w:r>
        <w:rPr>
          <w:rFonts w:hint="eastAsia"/>
        </w:rPr>
        <w:t>加快货运物流发展信息化，依托淮滨港、潢川经济开发区大别山铁路综合物流园等多式联运示范工程，探索应用集装箱多式联运电子运单，打通多式联运全过程物流信息链。强化互联网、自动化等技术在货运枢纽、港口、货运机场、公铁场站的广泛应用，完善货运枢纽安全生产智能预警、车辆货物自动匹配、园区装备智能调度等功能，推进枢纽间信息共享和业务协作。推进网络货运等“互联网＋”高效物流新业态发展，提升供需精准匹配度，减少运输车辆空载率。</w:t>
      </w:r>
    </w:p>
    <w:p>
      <w:pPr>
        <w:pStyle w:val="4"/>
        <w:ind w:firstLine="643"/>
      </w:pPr>
      <w:bookmarkStart w:id="26" w:name="_Toc181110973"/>
      <w:r>
        <w:rPr>
          <w:rFonts w:hint="eastAsia"/>
        </w:rPr>
        <w:t>（六）构建高标准平安交通体系</w:t>
      </w:r>
      <w:bookmarkEnd w:id="26"/>
    </w:p>
    <w:p>
      <w:pPr>
        <w:pStyle w:val="9"/>
        <w:ind w:firstLine="643"/>
        <w:rPr>
          <w:b/>
          <w:bCs/>
        </w:rPr>
      </w:pPr>
      <w:r>
        <w:rPr>
          <w:rFonts w:hint="eastAsia"/>
          <w:b/>
          <w:bCs/>
        </w:rPr>
        <w:t>1.提升交通基础设施本质安全水平。</w:t>
      </w:r>
    </w:p>
    <w:p>
      <w:pPr>
        <w:pStyle w:val="9"/>
        <w:ind w:firstLine="640"/>
      </w:pPr>
      <w:r>
        <w:rPr>
          <w:rFonts w:hint="eastAsia"/>
          <w:szCs w:val="32"/>
        </w:rPr>
        <w:t>加强安全生命防护工程建设，持续加强危桥、急弯陡坡、临水临崖等路段安全防范，及时处置坍塌、路基塌方以及路面破损严重、道路警示指示标志标识不全和安全防护缺失等安全隐患，基本完成乡道及以上行政等级公路安全隐患治理，基本消除现有危桥。</w:t>
      </w:r>
      <w:r>
        <w:rPr>
          <w:rFonts w:hint="eastAsia"/>
        </w:rPr>
        <w:t>推广使用新材料新技术新工艺，提升基础设施质量和耐久性，增强交通基础设施服务可靠性。完善丰富项目建设质量安全管理手段，实行建设、勘察、设计、施工、监理、检测六方质量责任终身制。</w:t>
      </w:r>
    </w:p>
    <w:p>
      <w:pPr>
        <w:pStyle w:val="9"/>
        <w:ind w:firstLine="643"/>
        <w:rPr>
          <w:b/>
          <w:bCs/>
        </w:rPr>
      </w:pPr>
      <w:r>
        <w:rPr>
          <w:rFonts w:hint="eastAsia"/>
          <w:b/>
          <w:bCs/>
        </w:rPr>
        <w:t>2.加强交通运输安全管理。</w:t>
      </w:r>
    </w:p>
    <w:p>
      <w:pPr>
        <w:pStyle w:val="22"/>
        <w:widowControl w:val="0"/>
        <w:spacing w:before="0" w:beforeAutospacing="0" w:after="0" w:afterAutospacing="0"/>
        <w:ind w:firstLine="640"/>
        <w:jc w:val="both"/>
        <w:rPr>
          <w:rFonts w:ascii="Times New Roman" w:hAnsi="Times New Roman" w:eastAsia="仿宋" w:cs="Times New Roman"/>
          <w:kern w:val="2"/>
          <w:sz w:val="32"/>
        </w:rPr>
      </w:pPr>
      <w:r>
        <w:rPr>
          <w:rFonts w:hint="eastAsia" w:ascii="Times New Roman" w:hAnsi="Times New Roman" w:eastAsia="仿宋" w:cs="Times New Roman"/>
          <w:kern w:val="2"/>
          <w:sz w:val="32"/>
        </w:rPr>
        <w:t>加强重点领域重点时段监管，持续强化“两客一危”、客运场站、城市公共交通等重点领域的安全监管。推进综合交通运输监管系统建设，充分运用大数据等技术，推动交通运输各领域数据与公安、安监等部门安全生产监管信息共享，加强对行业风险的跟踪预警，提升监管精准化、智能化水平。加快推进交通运输企业安全生产信用管理，建立企业安全生产承诺制度、安全生产不良信用记录和“黑名单”制度、安全生产诚信报告和执法信息公示制度，对失信企业采取公开曝光、联合惩戒等综合治理举措。</w:t>
      </w:r>
    </w:p>
    <w:p>
      <w:pPr>
        <w:pStyle w:val="9"/>
        <w:ind w:firstLine="643"/>
        <w:rPr>
          <w:b/>
          <w:bCs/>
        </w:rPr>
      </w:pPr>
      <w:r>
        <w:rPr>
          <w:rFonts w:hint="eastAsia"/>
          <w:b/>
          <w:bCs/>
        </w:rPr>
        <w:t>3.完善交通运输应急保障体系。</w:t>
      </w:r>
    </w:p>
    <w:p>
      <w:pPr>
        <w:overflowPunct w:val="0"/>
        <w:topLinePunct/>
        <w:ind w:firstLine="640"/>
      </w:pPr>
      <w:r>
        <w:rPr>
          <w:rFonts w:hint="eastAsia"/>
          <w:szCs w:val="32"/>
        </w:rPr>
        <w:t>完善公路、桥梁、场站等重要结构物视频监控体系，加强重点交通基础设施安全运行监测与预警系统建设，精准监测、预警低能见度、路面结冰等恶劣气象事件，及时排查安全隐患，保障运输安全。</w:t>
      </w:r>
      <w:r>
        <w:rPr>
          <w:rFonts w:hint="eastAsia"/>
        </w:rPr>
        <w:t>加强应急救援能力建设，建立公路、轨道交通、道路运输等领域专业应急救援队伍，完善应急救援基地、设施、装备。健全水上搜救机制，建设集指挥、协调、应急、搜救于一体的信阳水上搜救中心。建立健全多部门联动、多方式协同、多主体参与的综合交通应急运输管理协调机制，完善综合交通应急运输保障联动预案体系。推动应急演练常态化、实战化，重点开展公路保通保畅、灾害险情、事故救援处置等预案演练，做到岗位、人员、过程全覆盖。</w:t>
      </w:r>
    </w:p>
    <w:p>
      <w:pPr>
        <w:pStyle w:val="4"/>
        <w:ind w:firstLine="643"/>
      </w:pPr>
      <w:bookmarkStart w:id="27" w:name="_Toc181110974"/>
      <w:r>
        <w:rPr>
          <w:rFonts w:hint="eastAsia"/>
        </w:rPr>
        <w:t>（七）构建高能效绿色低碳体系</w:t>
      </w:r>
      <w:bookmarkEnd w:id="27"/>
    </w:p>
    <w:p>
      <w:pPr>
        <w:ind w:firstLine="643"/>
        <w:rPr>
          <w:b/>
          <w:bCs/>
          <w:szCs w:val="36"/>
        </w:rPr>
      </w:pPr>
      <w:r>
        <w:rPr>
          <w:rFonts w:hint="eastAsia"/>
          <w:b/>
          <w:bCs/>
          <w:szCs w:val="36"/>
        </w:rPr>
        <w:t>1</w:t>
      </w:r>
      <w:r>
        <w:rPr>
          <w:b/>
          <w:bCs/>
          <w:szCs w:val="36"/>
        </w:rPr>
        <w:t>.</w:t>
      </w:r>
      <w:r>
        <w:rPr>
          <w:rFonts w:hint="eastAsia"/>
          <w:b/>
          <w:bCs/>
          <w:szCs w:val="36"/>
        </w:rPr>
        <w:t>集约高效利用资源。</w:t>
      </w:r>
    </w:p>
    <w:p>
      <w:pPr>
        <w:ind w:firstLine="640"/>
        <w:rPr>
          <w:szCs w:val="36"/>
        </w:rPr>
      </w:pPr>
      <w:r>
        <w:rPr>
          <w:szCs w:val="36"/>
        </w:rPr>
        <w:t>统筹交通线路、枢纽等设施布局，集约利用土地、通道线位等资源</w:t>
      </w:r>
      <w:r>
        <w:rPr>
          <w:rFonts w:hint="eastAsia"/>
          <w:szCs w:val="36"/>
        </w:rPr>
        <w:t>。提高交通基础设施建设和运营的资源利用效率，降低交通建、管、养、运过程中的水资源和材料消耗强度。加强老旧设施更新利用，推广使用新工艺和新设备，提高废旧建材循环利用水平，提高不可再生资源的综合利用效率。强化快递包装治理，推进邮件快件包装绿色化、减量化，引导企业使用符合环保标准的包装，减少包装物料用量和二次包装，杜绝过度包装，鼓励企业参与社会化包装回收体系建设，建立包装物共享使用平台。</w:t>
      </w:r>
    </w:p>
    <w:p>
      <w:pPr>
        <w:ind w:firstLine="643"/>
        <w:rPr>
          <w:b/>
          <w:bCs/>
          <w:szCs w:val="36"/>
        </w:rPr>
      </w:pPr>
      <w:r>
        <w:rPr>
          <w:b/>
          <w:bCs/>
          <w:szCs w:val="36"/>
        </w:rPr>
        <w:t>2.</w:t>
      </w:r>
      <w:r>
        <w:rPr>
          <w:rFonts w:hint="eastAsia"/>
          <w:b/>
          <w:bCs/>
          <w:szCs w:val="36"/>
        </w:rPr>
        <w:t>强化交通生态环境保护。</w:t>
      </w:r>
    </w:p>
    <w:p>
      <w:pPr>
        <w:ind w:firstLine="640"/>
        <w:rPr>
          <w:szCs w:val="36"/>
        </w:rPr>
      </w:pPr>
      <w:r>
        <w:rPr>
          <w:rFonts w:hint="eastAsia"/>
          <w:szCs w:val="36"/>
        </w:rPr>
        <w:t>严守生态保护红线，严格落实生态保护和水土保持措施，实施生态修复、地质环境治理恢复与土地复恳，将生态文明和环境保护理念贯穿交通基础设施规划、建设、运营和养护全过程。持续改善路域环境，有效发挥绿化、固碳功能，提升交通设施生态功能和景观品质，结合信阳丰富旅游资源，建设淮河、大别山等集交通、生态、文旅、休闲等功能于一体的特色生态廊道。</w:t>
      </w:r>
    </w:p>
    <w:p>
      <w:pPr>
        <w:ind w:firstLine="643"/>
        <w:rPr>
          <w:b/>
          <w:bCs/>
          <w:szCs w:val="36"/>
        </w:rPr>
      </w:pPr>
      <w:r>
        <w:rPr>
          <w:b/>
          <w:bCs/>
          <w:szCs w:val="36"/>
        </w:rPr>
        <w:t>3.</w:t>
      </w:r>
      <w:r>
        <w:rPr>
          <w:rFonts w:hint="eastAsia"/>
          <w:b/>
          <w:bCs/>
          <w:szCs w:val="36"/>
        </w:rPr>
        <w:t>推进交通节能减排。</w:t>
      </w:r>
    </w:p>
    <w:p>
      <w:pPr>
        <w:ind w:firstLine="640"/>
        <w:rPr>
          <w:szCs w:val="36"/>
        </w:rPr>
      </w:pPr>
      <w:r>
        <w:rPr>
          <w:szCs w:val="32"/>
        </w:rPr>
        <w:t>持续优化货运结构，</w:t>
      </w:r>
      <w:r>
        <w:rPr>
          <w:rFonts w:hint="eastAsia"/>
          <w:szCs w:val="32"/>
        </w:rPr>
        <w:t>以淮滨公铁水一体化枢纽、潢川大别山铁路货运综合物流园区等枢纽为支撑，鼓励大宗货物及中长距离货运向铁路、水路转移，推动铁水、公铁、公水等专业化联运发展。</w:t>
      </w:r>
      <w:r>
        <w:rPr>
          <w:rFonts w:hint="eastAsia"/>
          <w:szCs w:val="36"/>
        </w:rPr>
        <w:t>加强交通能源结构调整，促进清洁能源车辆在城市公交、出租汽车、城市配送、邮政快递、港口短驳等领域的全面应用。</w:t>
      </w:r>
      <w:r>
        <w:rPr>
          <w:szCs w:val="36"/>
        </w:rPr>
        <w:t>大力普及纯电动出租车、公交车、邮政快递运输车，沿干线路网布点共享单车存放设施、充电桩等，增加定制化、共享化客运供给。</w:t>
      </w:r>
    </w:p>
    <w:p>
      <w:pPr>
        <w:pStyle w:val="4"/>
        <w:ind w:firstLine="643"/>
      </w:pPr>
      <w:bookmarkStart w:id="28" w:name="_Toc181110975"/>
      <w:r>
        <w:rPr>
          <w:rFonts w:hint="eastAsia"/>
        </w:rPr>
        <w:t>（八）构建高水平交通治理体系</w:t>
      </w:r>
      <w:bookmarkEnd w:id="28"/>
    </w:p>
    <w:p>
      <w:pPr>
        <w:ind w:firstLine="643"/>
        <w:rPr>
          <w:szCs w:val="36"/>
        </w:rPr>
      </w:pPr>
      <w:r>
        <w:rPr>
          <w:rFonts w:hint="eastAsia"/>
          <w:b/>
          <w:bCs/>
          <w:szCs w:val="36"/>
        </w:rPr>
        <w:t>1</w:t>
      </w:r>
      <w:r>
        <w:rPr>
          <w:b/>
          <w:bCs/>
          <w:szCs w:val="36"/>
        </w:rPr>
        <w:t>.</w:t>
      </w:r>
      <w:r>
        <w:rPr>
          <w:rFonts w:hint="eastAsia"/>
          <w:b/>
          <w:bCs/>
          <w:szCs w:val="36"/>
        </w:rPr>
        <w:t>深化体制机制改革。</w:t>
      </w:r>
    </w:p>
    <w:p>
      <w:pPr>
        <w:ind w:firstLine="640"/>
        <w:rPr>
          <w:szCs w:val="36"/>
        </w:rPr>
      </w:pPr>
      <w:r>
        <w:rPr>
          <w:rFonts w:hint="eastAsia"/>
          <w:szCs w:val="36"/>
        </w:rPr>
        <w:t>深入推进综合交通运输管理体制改革，建立综合交通运输领域重大政策沟通协调机制。以大数据、信息共享为基础，构建综合交通运输新型治理机制。</w:t>
      </w:r>
      <w:r>
        <w:rPr>
          <w:szCs w:val="36"/>
        </w:rPr>
        <w:t>着力推进交通运输行政执法体制改革，</w:t>
      </w:r>
      <w:r>
        <w:rPr>
          <w:rFonts w:hint="eastAsia"/>
          <w:szCs w:val="36"/>
        </w:rPr>
        <w:t>完善行政执法程序，加强行政执法信息化建设</w:t>
      </w:r>
      <w:r>
        <w:rPr>
          <w:szCs w:val="36"/>
        </w:rPr>
        <w:t>。强化政务信息公开，推进行政管理集中、透明、便民、高效，接受社会监督。</w:t>
      </w:r>
      <w:r>
        <w:rPr>
          <w:rFonts w:hint="eastAsia"/>
          <w:szCs w:val="36"/>
        </w:rPr>
        <w:t>加强交通运输人才队伍建设，完善人才引进、培养、激励、使用和评估相协调的体制机制。</w:t>
      </w:r>
      <w:r>
        <w:rPr>
          <w:szCs w:val="36"/>
        </w:rPr>
        <w:t>完善干部考核评价体系及人才选拔机制，强化行业人才管理，为综合运输体系建设提供有力的智力支持</w:t>
      </w:r>
      <w:r>
        <w:rPr>
          <w:rFonts w:hint="eastAsia"/>
          <w:szCs w:val="36"/>
        </w:rPr>
        <w:t>。加强干部队伍建设，不断提升干部队伍的主动服务意识和管理能力。</w:t>
      </w:r>
    </w:p>
    <w:p>
      <w:pPr>
        <w:ind w:firstLine="643"/>
        <w:rPr>
          <w:szCs w:val="36"/>
        </w:rPr>
      </w:pPr>
      <w:r>
        <w:rPr>
          <w:rFonts w:hint="eastAsia"/>
          <w:b/>
          <w:bCs/>
          <w:szCs w:val="36"/>
        </w:rPr>
        <w:t>2</w:t>
      </w:r>
      <w:r>
        <w:rPr>
          <w:b/>
          <w:bCs/>
          <w:szCs w:val="36"/>
        </w:rPr>
        <w:t>.</w:t>
      </w:r>
      <w:r>
        <w:rPr>
          <w:rFonts w:hint="eastAsia"/>
          <w:b/>
          <w:bCs/>
          <w:szCs w:val="36"/>
        </w:rPr>
        <w:t>加强法治交通建设。</w:t>
      </w:r>
    </w:p>
    <w:p>
      <w:pPr>
        <w:ind w:firstLine="640"/>
        <w:rPr>
          <w:szCs w:val="36"/>
        </w:rPr>
      </w:pPr>
      <w:r>
        <w:rPr>
          <w:rFonts w:hint="eastAsia"/>
          <w:szCs w:val="36"/>
        </w:rPr>
        <w:t>加强法治政府部门建设，把公众参与、专家论证、风险评估、合法性审查、集体讨论决定确定为重大行政决策法定程序。深化交通运输综合行政执法改革，建立完善与立体交通相适应的综合法治体制机制，全面推行和实施行政执法公示制度、全过程记录制度、重大执法决定法制审核制度。全面落实权责清单制度，推进系统内部权责清单工作规范化、法定化，依法依规落实法无授权不可为，法定责任必须为，做到权责清晰一致、职权相应统一，推动改革政策措施真正落地到位。</w:t>
      </w:r>
    </w:p>
    <w:p>
      <w:pPr>
        <w:ind w:firstLine="643"/>
        <w:rPr>
          <w:b/>
          <w:bCs/>
          <w:szCs w:val="36"/>
        </w:rPr>
      </w:pPr>
      <w:r>
        <w:rPr>
          <w:rFonts w:hint="eastAsia"/>
          <w:b/>
          <w:bCs/>
          <w:szCs w:val="36"/>
        </w:rPr>
        <w:t>3</w:t>
      </w:r>
      <w:r>
        <w:rPr>
          <w:b/>
          <w:bCs/>
          <w:szCs w:val="36"/>
        </w:rPr>
        <w:t>.</w:t>
      </w:r>
      <w:r>
        <w:rPr>
          <w:rFonts w:hint="eastAsia"/>
          <w:b/>
          <w:bCs/>
          <w:szCs w:val="36"/>
        </w:rPr>
        <w:t>推进信用体系建设。</w:t>
      </w:r>
    </w:p>
    <w:p>
      <w:pPr>
        <w:ind w:firstLine="640"/>
        <w:rPr>
          <w:szCs w:val="36"/>
        </w:rPr>
      </w:pPr>
      <w:r>
        <w:rPr>
          <w:rFonts w:hint="eastAsia"/>
          <w:szCs w:val="32"/>
        </w:rPr>
        <w:t>结合国家交通运输信用体系框架，助力河南省“信用交通省”建设，应用5G、大数据、云计算、物联网等技术手段，强化信阳市交通运输信用体系建设，推进信用信息全领域覆盖、规范化归集、系统化共享、规模化应用。加大信用信息归集力度，推动信用评价工作，评价结果和质量信誉考核、诚信考核结果依法依规及时向社会公布，并及时报送至上级信用信息系统。加强行业诚信文化建设和宣传，推动信用交通走进车、船、路、港、站、场，走进从业人员和基层群众，引导行业协会、社会信用服务机构参与行业信用建设。</w:t>
      </w:r>
    </w:p>
    <w:p>
      <w:pPr>
        <w:pStyle w:val="2"/>
        <w:ind w:firstLine="643"/>
      </w:pPr>
      <w:bookmarkStart w:id="29" w:name="_Toc181110976"/>
      <w:r>
        <w:rPr>
          <w:rFonts w:hint="eastAsia"/>
        </w:rPr>
        <w:t>六、规划实施安排</w:t>
      </w:r>
      <w:bookmarkEnd w:id="29"/>
    </w:p>
    <w:p>
      <w:pPr>
        <w:pStyle w:val="4"/>
        <w:ind w:firstLine="643"/>
      </w:pPr>
      <w:bookmarkStart w:id="30" w:name="_Toc181110977"/>
      <w:r>
        <w:rPr>
          <w:rFonts w:hint="eastAsia"/>
        </w:rPr>
        <w:t>（一）实施安排原则</w:t>
      </w:r>
      <w:bookmarkEnd w:id="30"/>
    </w:p>
    <w:p>
      <w:pPr>
        <w:ind w:firstLine="640"/>
        <w:rPr>
          <w:szCs w:val="36"/>
        </w:rPr>
      </w:pPr>
      <w:r>
        <w:rPr>
          <w:rFonts w:hint="eastAsia"/>
          <w:szCs w:val="36"/>
        </w:rPr>
        <w:t>结合信阳市实际情况，规划提出以下几项优先建设原则：</w:t>
      </w:r>
    </w:p>
    <w:p>
      <w:pPr>
        <w:ind w:firstLine="640"/>
        <w:rPr>
          <w:szCs w:val="36"/>
        </w:rPr>
      </w:pPr>
      <w:r>
        <w:rPr>
          <w:rFonts w:hint="eastAsia"/>
          <w:szCs w:val="36"/>
        </w:rPr>
        <w:t>（1）对快速路网的形成尤其是对促进信阳与郑州、武汉、合肥融合起决定性作用的项目；</w:t>
      </w:r>
    </w:p>
    <w:p>
      <w:pPr>
        <w:ind w:firstLine="640"/>
        <w:rPr>
          <w:szCs w:val="36"/>
        </w:rPr>
      </w:pPr>
      <w:r>
        <w:rPr>
          <w:rFonts w:hint="eastAsia"/>
          <w:szCs w:val="36"/>
        </w:rPr>
        <w:t>（2）对促进空港、铁路港、出海港、公路港联动发展有重要作用的项目；</w:t>
      </w:r>
    </w:p>
    <w:p>
      <w:pPr>
        <w:ind w:firstLine="640"/>
        <w:rPr>
          <w:szCs w:val="36"/>
        </w:rPr>
      </w:pPr>
      <w:r>
        <w:rPr>
          <w:rFonts w:hint="eastAsia"/>
          <w:szCs w:val="36"/>
        </w:rPr>
        <w:t>（3）对带动产业开发有重要作用的项目；</w:t>
      </w:r>
    </w:p>
    <w:p>
      <w:pPr>
        <w:ind w:firstLine="640"/>
        <w:rPr>
          <w:szCs w:val="36"/>
        </w:rPr>
      </w:pPr>
      <w:r>
        <w:rPr>
          <w:rFonts w:hint="eastAsia"/>
          <w:szCs w:val="36"/>
        </w:rPr>
        <w:t>（4）对拉动旅游开发发挥重要作用的项目。</w:t>
      </w:r>
    </w:p>
    <w:p>
      <w:pPr>
        <w:pStyle w:val="4"/>
        <w:ind w:firstLine="643"/>
      </w:pPr>
      <w:bookmarkStart w:id="31" w:name="_Toc181110978"/>
      <w:r>
        <w:rPr>
          <w:rFonts w:hint="eastAsia"/>
        </w:rPr>
        <w:t>（二）重点实施项目</w:t>
      </w:r>
      <w:bookmarkEnd w:id="31"/>
    </w:p>
    <w:p>
      <w:pPr>
        <w:ind w:firstLine="640"/>
        <w:rPr>
          <w:szCs w:val="36"/>
        </w:rPr>
      </w:pPr>
      <w:r>
        <w:rPr>
          <w:rFonts w:hint="eastAsia"/>
          <w:szCs w:val="36"/>
        </w:rPr>
        <w:t>以实施“十大工程”为重点，建设便捷高效的综合立体交通网。全市共谋划交通重点项目401个，总投资约6370亿元。近期到2030年，重点建设项目238个，其中续建项目40个，新开工项目198个，总投资2957亿元以上。远期到2035年，规划建设项目163个，总投资3413亿元以上。</w:t>
      </w:r>
    </w:p>
    <w:p>
      <w:pPr>
        <w:pStyle w:val="9"/>
        <w:ind w:firstLine="643"/>
        <w:rPr>
          <w:b/>
          <w:bCs/>
        </w:rPr>
      </w:pPr>
      <w:r>
        <w:rPr>
          <w:rFonts w:hint="eastAsia"/>
          <w:b/>
          <w:bCs/>
        </w:rPr>
        <w:t>1</w:t>
      </w:r>
      <w:r>
        <w:rPr>
          <w:b/>
          <w:bCs/>
        </w:rPr>
        <w:t>.高速公路“多向互联工程”</w:t>
      </w:r>
    </w:p>
    <w:p>
      <w:pPr>
        <w:ind w:firstLine="640"/>
        <w:rPr>
          <w:szCs w:val="36"/>
        </w:rPr>
      </w:pPr>
      <w:r>
        <w:rPr>
          <w:rFonts w:hint="eastAsia"/>
          <w:szCs w:val="36"/>
        </w:rPr>
        <w:t>到2030年，加快推进明鸡、鸡商、阳新（一期）、信随、固霍等5个续建项目，新开工沿淮高速、上蔡至淮滨高速公路、阳新（二期）高速公路项目、淮滨至麻城（豫鄂界）高速公路、信阳至襄阳（豫鄂界）高速公路，新建京港澳高速3个出入口、沪陕高速7个出入口。到2035年，规划建设信阳西南环绕城高速公路、沪陕高速、大广高速信阳段扩容改造、商城至平桥高速公路、湖北红安至新县高速公路北延线、大广高速新增2个出入口、濮阳至阳新高速新增2个出入口、淮内高速新增1个出入口。</w:t>
      </w:r>
    </w:p>
    <w:p>
      <w:pPr>
        <w:pStyle w:val="9"/>
        <w:ind w:firstLine="643"/>
        <w:rPr>
          <w:b/>
          <w:bCs/>
        </w:rPr>
      </w:pPr>
      <w:r>
        <w:rPr>
          <w:rFonts w:hint="eastAsia"/>
          <w:b/>
          <w:bCs/>
        </w:rPr>
        <w:t>2</w:t>
      </w:r>
      <w:r>
        <w:rPr>
          <w:b/>
          <w:bCs/>
        </w:rPr>
        <w:t>.</w:t>
      </w:r>
      <w:r>
        <w:rPr>
          <w:rFonts w:hint="eastAsia"/>
          <w:b/>
          <w:bCs/>
        </w:rPr>
        <w:t>普通干线公路“畅通畅连工程”</w:t>
      </w:r>
    </w:p>
    <w:p>
      <w:pPr>
        <w:ind w:firstLine="640"/>
        <w:rPr>
          <w:szCs w:val="36"/>
        </w:rPr>
      </w:pPr>
      <w:r>
        <w:rPr>
          <w:rFonts w:hint="eastAsia"/>
          <w:szCs w:val="36"/>
        </w:rPr>
        <w:t>到2030年，加快推进G230息县境改建工程、S334息县白土店乡至彭店乡段改建工程、G220线栏杆至王店乡白露河桥段改建工程、S335线淮滨县至淮息交界段公路改建工程、S536线盛湾公园至光新交界段改建工程5个续建项目，新开工G230线新县巴棚至豫鄂省界段战备公路改建工程、S210线苏河至卡房段改造提升工程等59个项目。到2035年，规划建设G632叶集至信阳改建工程、S213线G107路口至谭家河改建工程、S337董家河镇段改建工程等63个项目。</w:t>
      </w:r>
    </w:p>
    <w:p>
      <w:pPr>
        <w:pStyle w:val="9"/>
        <w:ind w:firstLine="643"/>
        <w:rPr>
          <w:b/>
          <w:bCs/>
        </w:rPr>
      </w:pPr>
      <w:r>
        <w:rPr>
          <w:rFonts w:hint="eastAsia"/>
          <w:b/>
          <w:bCs/>
        </w:rPr>
        <w:t>3</w:t>
      </w:r>
      <w:r>
        <w:rPr>
          <w:b/>
          <w:bCs/>
        </w:rPr>
        <w:t>.</w:t>
      </w:r>
      <w:r>
        <w:rPr>
          <w:rFonts w:hint="eastAsia"/>
          <w:b/>
          <w:bCs/>
        </w:rPr>
        <w:t>农村公路“提档提质工程”</w:t>
      </w:r>
    </w:p>
    <w:p>
      <w:pPr>
        <w:ind w:firstLine="640"/>
        <w:rPr>
          <w:szCs w:val="36"/>
        </w:rPr>
      </w:pPr>
      <w:r>
        <w:rPr>
          <w:rFonts w:hint="eastAsia"/>
          <w:szCs w:val="36"/>
        </w:rPr>
        <w:t>到2035年，全力推进农村公路次差路提升7</w:t>
      </w:r>
      <w:r>
        <w:rPr>
          <w:szCs w:val="36"/>
        </w:rPr>
        <w:t>100</w:t>
      </w:r>
      <w:r>
        <w:rPr>
          <w:rFonts w:hint="eastAsia"/>
          <w:szCs w:val="36"/>
        </w:rPr>
        <w:t>公里、建制村通4.5米以上道路10</w:t>
      </w:r>
      <w:r>
        <w:rPr>
          <w:szCs w:val="36"/>
        </w:rPr>
        <w:t>00</w:t>
      </w:r>
      <w:r>
        <w:rPr>
          <w:rFonts w:hint="eastAsia"/>
          <w:szCs w:val="36"/>
        </w:rPr>
        <w:t>公里、新增危桥改造13800延米、安防工程处治隐患路段35</w:t>
      </w:r>
      <w:r>
        <w:rPr>
          <w:szCs w:val="36"/>
        </w:rPr>
        <w:t>0</w:t>
      </w:r>
      <w:r>
        <w:rPr>
          <w:rFonts w:hint="eastAsia"/>
          <w:szCs w:val="36"/>
        </w:rPr>
        <w:t>0公里4个打包项目建设。</w:t>
      </w:r>
    </w:p>
    <w:p>
      <w:pPr>
        <w:pStyle w:val="9"/>
        <w:ind w:firstLine="643"/>
        <w:rPr>
          <w:b/>
          <w:bCs/>
        </w:rPr>
      </w:pPr>
      <w:r>
        <w:rPr>
          <w:rFonts w:hint="eastAsia"/>
          <w:b/>
          <w:bCs/>
        </w:rPr>
        <w:t>4</w:t>
      </w:r>
      <w:r>
        <w:rPr>
          <w:b/>
          <w:bCs/>
        </w:rPr>
        <w:t>.</w:t>
      </w:r>
      <w:r>
        <w:rPr>
          <w:rFonts w:hint="eastAsia"/>
          <w:b/>
          <w:bCs/>
        </w:rPr>
        <w:t>内河航运“通江达海工程”</w:t>
      </w:r>
    </w:p>
    <w:p>
      <w:pPr>
        <w:ind w:firstLine="640"/>
        <w:rPr>
          <w:szCs w:val="36"/>
        </w:rPr>
      </w:pPr>
      <w:r>
        <w:rPr>
          <w:rFonts w:hint="eastAsia"/>
          <w:szCs w:val="36"/>
        </w:rPr>
        <w:t>到2030年，加快推进淮河淮滨至息县段航运工程、淮河淮滨至三河尖航道提升工程2个续建项目，新开工建设淮河淮滨至三河尖航道升级工程、史灌河三河尖至固始县城段航运工程、洪河新蔡至洪河口航运工程、淮河息县至长台关航运工程（息县至罗山段）等8个航道项目。到2035年，规划建设鲇鱼山库区45公里航道疏浚、安全航标设置项目、竹竿河航运工程、浉河航运工程、闾河旅游航道工程（大广高速桥～闾河口）等12个航道项目。</w:t>
      </w:r>
    </w:p>
    <w:p>
      <w:pPr>
        <w:ind w:firstLine="640"/>
        <w:rPr>
          <w:szCs w:val="36"/>
        </w:rPr>
      </w:pPr>
      <w:r>
        <w:rPr>
          <w:rFonts w:hint="eastAsia"/>
          <w:szCs w:val="36"/>
        </w:rPr>
        <w:t>到2030年，加快推进信阳港固始港区中心作业区一期工程续建项目，新开工建设南湾湖风景区新旅游码头、出山店旅游码头等7个港区码头项目；加快推进G328固始丰港高庄至淮阜高速连接线工程、淮滨县淮上交通有限公司专用铁路项目、潢川火车北站至花埠作业区铁路专用线等18个港口集疏运功能提升项目；实施淮滨县中原粮食和储备物资中心、潢川县临港经济区、淮河新区物流园区、淮河新区产业园区等15个临港产业项目及淮水北送枢纽工程。到2035年，规划建设游河盐山寺旅游码头；实施淮河新区港至曹黄林火车站公路连接工程、S204线固始境往流镇张圩村至县城魏敬公园段连接工程、S203（原S204）固始县三河尖北至固始县桥沟街道段连接工程、淮滨县饮马港码头至淮河物流港通道工程等20个港口集疏运提升项目；谋划建设竹滠运河工程。</w:t>
      </w:r>
    </w:p>
    <w:p>
      <w:pPr>
        <w:pStyle w:val="9"/>
        <w:ind w:firstLine="643"/>
        <w:rPr>
          <w:b/>
          <w:bCs/>
        </w:rPr>
      </w:pPr>
      <w:r>
        <w:rPr>
          <w:rFonts w:hint="eastAsia"/>
          <w:b/>
          <w:bCs/>
        </w:rPr>
        <w:t>5</w:t>
      </w:r>
      <w:r>
        <w:rPr>
          <w:b/>
          <w:bCs/>
        </w:rPr>
        <w:t>.</w:t>
      </w:r>
      <w:r>
        <w:rPr>
          <w:rFonts w:hint="eastAsia"/>
          <w:b/>
          <w:bCs/>
        </w:rPr>
        <w:t>运输场站“服务支撑工程”</w:t>
      </w:r>
    </w:p>
    <w:p>
      <w:pPr>
        <w:ind w:firstLine="640"/>
        <w:rPr>
          <w:szCs w:val="36"/>
        </w:rPr>
      </w:pPr>
      <w:r>
        <w:rPr>
          <w:rFonts w:hint="eastAsia"/>
          <w:szCs w:val="36"/>
        </w:rPr>
        <w:t>到2030年，加快推进罗山县农村物流网络节点体系建设、新县田铺旅游客运站、潢川县汽车客运西站、固始县顺达客运站、息县交通枢纽站、豫南快递物流园等13个续建项目，新开工浉河区乡镇交通综合服务平台、固始县旅游集散中心、固始县城西城市大型停车场及配套工程、固始县公共交通场站（仓储园区）站、城北公交停保场、湖东公交枢纽站等31个项目。到2035年，规划建设淮滨县交通运输综合智慧监管智慧中心、弘运汽车客运枢纽站、商城县城乡交通客货邮融合一体化、物流仓储园、公路港大型综合物流园区、科创总部基地公共配送中心等18个项目。</w:t>
      </w:r>
    </w:p>
    <w:p>
      <w:pPr>
        <w:pStyle w:val="9"/>
        <w:ind w:firstLine="643"/>
        <w:rPr>
          <w:b/>
          <w:bCs/>
        </w:rPr>
      </w:pPr>
      <w:r>
        <w:rPr>
          <w:rFonts w:hint="eastAsia"/>
          <w:b/>
          <w:bCs/>
        </w:rPr>
        <w:t>6</w:t>
      </w:r>
      <w:r>
        <w:rPr>
          <w:b/>
          <w:bCs/>
        </w:rPr>
        <w:t>.</w:t>
      </w:r>
      <w:r>
        <w:rPr>
          <w:rFonts w:hint="eastAsia"/>
          <w:b/>
          <w:bCs/>
        </w:rPr>
        <w:t>绿色低碳示范工程</w:t>
      </w:r>
    </w:p>
    <w:p>
      <w:pPr>
        <w:ind w:firstLine="640"/>
        <w:rPr>
          <w:szCs w:val="36"/>
        </w:rPr>
      </w:pPr>
      <w:r>
        <w:rPr>
          <w:rFonts w:hint="eastAsia"/>
          <w:szCs w:val="36"/>
        </w:rPr>
        <w:t>到2030年，加快推进潢川经济开发区多式联运项目、沿大别山高速公路绿色低碳示范项目2个续建项目，新开工环湖路公交提升改造、淮滨港集装箱码头、固始县城乡交通一体化新能源车辆购置、信阳港淮滨中心港区“散改集”等20个项目。到2035年，规划建设固始县城乡智慧交通绿色低碳示范项目、中心城区公交绿色低碳充电设施工程、中心城区公交充电站改扩建等6个项目。</w:t>
      </w:r>
    </w:p>
    <w:p>
      <w:pPr>
        <w:pStyle w:val="9"/>
        <w:ind w:firstLine="643"/>
        <w:rPr>
          <w:b/>
          <w:bCs/>
        </w:rPr>
      </w:pPr>
      <w:r>
        <w:rPr>
          <w:rFonts w:hint="eastAsia"/>
          <w:b/>
          <w:bCs/>
        </w:rPr>
        <w:t>7</w:t>
      </w:r>
      <w:r>
        <w:rPr>
          <w:b/>
          <w:bCs/>
        </w:rPr>
        <w:t>.</w:t>
      </w:r>
      <w:r>
        <w:rPr>
          <w:rFonts w:hint="eastAsia"/>
          <w:b/>
          <w:bCs/>
        </w:rPr>
        <w:t>智慧交通试点工程</w:t>
      </w:r>
    </w:p>
    <w:p>
      <w:pPr>
        <w:ind w:firstLine="640"/>
        <w:rPr>
          <w:szCs w:val="36"/>
        </w:rPr>
      </w:pPr>
      <w:r>
        <w:rPr>
          <w:rFonts w:hint="eastAsia"/>
          <w:szCs w:val="36"/>
        </w:rPr>
        <w:t>到2030年，加快推进信阳汽车客运东站综合信息服务平台、G107、G312绕信阳市区段智慧公路、信阳市5G+智慧公交建设项目、安罗高速上蔡至豫鄂省界段智慧高速公路工程、沿大别山高速公路明港至鸡公山段智慧高速公路工程等1</w:t>
      </w:r>
      <w:r>
        <w:rPr>
          <w:szCs w:val="36"/>
        </w:rPr>
        <w:t>2</w:t>
      </w:r>
      <w:r>
        <w:rPr>
          <w:rFonts w:hint="eastAsia"/>
          <w:szCs w:val="36"/>
        </w:rPr>
        <w:t>个续建项目，新开工淮滨县智慧交通信息化设备更新、淮滨县兔子湖智能交通建设、信阳市中心城区出租车服务中心、新县非现场执法系统建设等9个项目建设。到2035年，规划建设潢川县智能公交一体化建设项目、浉河区旅游公路智能交通建设项目、BRT快速公交、信阳东高铁站至南湾湖风景区智轨等7个项目。</w:t>
      </w:r>
    </w:p>
    <w:p>
      <w:pPr>
        <w:pStyle w:val="9"/>
        <w:ind w:firstLine="643"/>
        <w:rPr>
          <w:b/>
          <w:bCs/>
        </w:rPr>
      </w:pPr>
      <w:r>
        <w:rPr>
          <w:rFonts w:hint="eastAsia"/>
          <w:b/>
          <w:bCs/>
        </w:rPr>
        <w:t>8</w:t>
      </w:r>
      <w:r>
        <w:rPr>
          <w:b/>
          <w:bCs/>
        </w:rPr>
        <w:t>.</w:t>
      </w:r>
      <w:r>
        <w:rPr>
          <w:rFonts w:hint="eastAsia"/>
          <w:b/>
          <w:bCs/>
        </w:rPr>
        <w:t>交旅融合出彩工程</w:t>
      </w:r>
    </w:p>
    <w:p>
      <w:pPr>
        <w:widowControl/>
        <w:ind w:firstLine="640"/>
        <w:jc w:val="left"/>
        <w:rPr>
          <w:szCs w:val="36"/>
        </w:rPr>
      </w:pPr>
      <w:r>
        <w:rPr>
          <w:rFonts w:hint="eastAsia"/>
          <w:szCs w:val="36"/>
        </w:rPr>
        <w:t>到</w:t>
      </w:r>
      <w:r>
        <w:rPr>
          <w:szCs w:val="36"/>
        </w:rPr>
        <w:t>20</w:t>
      </w:r>
      <w:r>
        <w:rPr>
          <w:rFonts w:hint="eastAsia"/>
          <w:szCs w:val="36"/>
        </w:rPr>
        <w:t>30年，加快推进浉河、平桥、罗山、光山等10个县区507公里旅游公路建设。到</w:t>
      </w:r>
      <w:r>
        <w:rPr>
          <w:szCs w:val="36"/>
        </w:rPr>
        <w:t>2035</w:t>
      </w:r>
      <w:r>
        <w:rPr>
          <w:rFonts w:hint="eastAsia"/>
          <w:szCs w:val="36"/>
        </w:rPr>
        <w:t>年，规划建设出山店水库水运旅游客运、南湾水库水运旅游客运提升、浉河水上公交、罗山红色大别一号旅游公路山店至S218、浉河区低空飞行训练体验基地等5个项目。</w:t>
      </w:r>
    </w:p>
    <w:p>
      <w:pPr>
        <w:pStyle w:val="9"/>
        <w:ind w:firstLine="643"/>
        <w:rPr>
          <w:b/>
          <w:bCs/>
        </w:rPr>
      </w:pPr>
      <w:r>
        <w:rPr>
          <w:rFonts w:hint="eastAsia"/>
          <w:b/>
          <w:bCs/>
        </w:rPr>
        <w:t>9</w:t>
      </w:r>
      <w:r>
        <w:rPr>
          <w:b/>
          <w:bCs/>
        </w:rPr>
        <w:t>.</w:t>
      </w:r>
      <w:r>
        <w:rPr>
          <w:rFonts w:hint="eastAsia"/>
          <w:b/>
          <w:bCs/>
        </w:rPr>
        <w:t>铁路“拓展成网”工程</w:t>
      </w:r>
    </w:p>
    <w:p>
      <w:pPr>
        <w:ind w:firstLine="640"/>
        <w:rPr>
          <w:szCs w:val="36"/>
        </w:rPr>
      </w:pPr>
      <w:r>
        <w:rPr>
          <w:rFonts w:hint="eastAsia"/>
          <w:szCs w:val="36"/>
        </w:rPr>
        <w:t>到2030年，加快推进南信合高铁、京港台高铁阜阳至黄冈段2个项目建设。到2035年，规划建设郑州至信阳城际铁路、濮阳至潢川高铁、沿淮城际铁路、信阳至固始轨道交通、随州至信阳高铁等</w:t>
      </w:r>
      <w:r>
        <w:rPr>
          <w:szCs w:val="36"/>
        </w:rPr>
        <w:t>5</w:t>
      </w:r>
      <w:r>
        <w:rPr>
          <w:rFonts w:hint="eastAsia"/>
          <w:szCs w:val="36"/>
        </w:rPr>
        <w:t>个项目。</w:t>
      </w:r>
    </w:p>
    <w:p>
      <w:pPr>
        <w:pStyle w:val="9"/>
        <w:ind w:firstLine="643"/>
        <w:rPr>
          <w:b/>
          <w:bCs/>
        </w:rPr>
      </w:pPr>
      <w:r>
        <w:rPr>
          <w:rFonts w:hint="eastAsia"/>
          <w:b/>
          <w:bCs/>
        </w:rPr>
        <w:t>1</w:t>
      </w:r>
      <w:r>
        <w:rPr>
          <w:b/>
          <w:bCs/>
        </w:rPr>
        <w:t>0.</w:t>
      </w:r>
      <w:r>
        <w:rPr>
          <w:rFonts w:hint="eastAsia"/>
          <w:b/>
          <w:bCs/>
        </w:rPr>
        <w:t>机场“强支增通”工程</w:t>
      </w:r>
    </w:p>
    <w:p>
      <w:pPr>
        <w:ind w:firstLine="640"/>
        <w:rPr>
          <w:rFonts w:ascii="Calibri" w:hAnsi="Calibri"/>
          <w:szCs w:val="22"/>
        </w:rPr>
      </w:pPr>
      <w:r>
        <w:rPr>
          <w:rFonts w:hint="eastAsia"/>
          <w:szCs w:val="36"/>
        </w:rPr>
        <w:t>到2030年，加快推进潢川机场、商城通用机场、新县通用机场3个项目建设。到2035年，规划建设固始、罗山、淮滨、息县、明港机场二期改扩建等</w:t>
      </w:r>
      <w:r>
        <w:rPr>
          <w:szCs w:val="36"/>
        </w:rPr>
        <w:t>5</w:t>
      </w:r>
      <w:r>
        <w:rPr>
          <w:rFonts w:hint="eastAsia"/>
          <w:szCs w:val="36"/>
        </w:rPr>
        <w:t>个机场项目。</w:t>
      </w:r>
    </w:p>
    <w:p>
      <w:pPr>
        <w:pStyle w:val="2"/>
        <w:ind w:firstLine="643"/>
      </w:pPr>
      <w:bookmarkStart w:id="32" w:name="_Toc181110979"/>
      <w:r>
        <w:rPr>
          <w:rFonts w:hint="eastAsia"/>
        </w:rPr>
        <w:t>七、环境影响评价</w:t>
      </w:r>
      <w:bookmarkEnd w:id="32"/>
    </w:p>
    <w:p>
      <w:pPr>
        <w:pStyle w:val="4"/>
        <w:ind w:firstLine="643"/>
      </w:pPr>
      <w:bookmarkStart w:id="33" w:name="_Toc475689533"/>
      <w:bookmarkStart w:id="34" w:name="_Toc181110980"/>
      <w:bookmarkStart w:id="35" w:name="_Toc79518348"/>
      <w:r>
        <w:rPr>
          <w:rFonts w:hint="eastAsia"/>
        </w:rPr>
        <w:t>（一）规划实施环境影响分析</w:t>
      </w:r>
      <w:bookmarkEnd w:id="33"/>
      <w:bookmarkEnd w:id="34"/>
      <w:bookmarkEnd w:id="35"/>
    </w:p>
    <w:p>
      <w:pPr>
        <w:ind w:firstLine="640"/>
        <w:rPr>
          <w:szCs w:val="32"/>
        </w:rPr>
      </w:pPr>
      <w:r>
        <w:rPr>
          <w:rFonts w:hint="eastAsia"/>
          <w:szCs w:val="32"/>
        </w:rPr>
        <w:t>规划实施后，绿色交通发展水平将持续提升，新能源车辆占比进一步提高，综合运输结构得到优化，大宗货物“公转铁”、“公转水”持续推进，绿色交通出行比例有所提高，交通运输综合能耗下降，交通运输对空气质量的影响降低，空气质量得到改善。但部分交通线路可能会毗邻自然保护区、风景名胜区、饮用水源地、自然文化遗产等生态敏感区，对生态系统、资源承载能力造成一定的影响；</w:t>
      </w:r>
      <w:r>
        <w:rPr>
          <w:szCs w:val="32"/>
        </w:rPr>
        <w:t>运输装备运营和服务系统运行时向周边环境排放污染物，会对环境质量产生一定程度上</w:t>
      </w:r>
      <w:r>
        <w:rPr>
          <w:rFonts w:hint="eastAsia"/>
          <w:szCs w:val="32"/>
        </w:rPr>
        <w:t>的</w:t>
      </w:r>
      <w:r>
        <w:rPr>
          <w:szCs w:val="32"/>
        </w:rPr>
        <w:t>影响。</w:t>
      </w:r>
    </w:p>
    <w:p>
      <w:pPr>
        <w:pStyle w:val="4"/>
        <w:ind w:firstLine="643"/>
      </w:pPr>
      <w:bookmarkStart w:id="36" w:name="_Toc475689534"/>
      <w:bookmarkStart w:id="37" w:name="_Toc79518349"/>
      <w:bookmarkStart w:id="38" w:name="_Toc181110981"/>
      <w:r>
        <w:rPr>
          <w:rFonts w:hint="eastAsia"/>
        </w:rPr>
        <w:t>（二）规划实施环境影响评价</w:t>
      </w:r>
      <w:bookmarkEnd w:id="36"/>
      <w:bookmarkEnd w:id="37"/>
      <w:bookmarkEnd w:id="38"/>
    </w:p>
    <w:p>
      <w:pPr>
        <w:ind w:firstLine="640"/>
        <w:rPr>
          <w:szCs w:val="32"/>
        </w:rPr>
      </w:pPr>
      <w:r>
        <w:rPr>
          <w:szCs w:val="32"/>
        </w:rPr>
        <w:t>规划与国家、河南省、信阳市相关政策和发展战略规划保持一致，与《淮河生态经济带发展规划》、</w:t>
      </w:r>
      <w:r>
        <w:rPr>
          <w:rFonts w:hint="eastAsia"/>
          <w:szCs w:val="32"/>
        </w:rPr>
        <w:t>《</w:t>
      </w:r>
      <w:r>
        <w:rPr>
          <w:szCs w:val="32"/>
        </w:rPr>
        <w:t>大别山革命老区振兴</w:t>
      </w:r>
      <w:r>
        <w:rPr>
          <w:rFonts w:hint="eastAsia"/>
          <w:szCs w:val="32"/>
        </w:rPr>
        <w:t>发展</w:t>
      </w:r>
      <w:r>
        <w:rPr>
          <w:szCs w:val="32"/>
        </w:rPr>
        <w:t>规划》、《信阳市城市总体规划（2015-2030年）》、</w:t>
      </w:r>
      <w:r>
        <w:rPr>
          <w:snapToGrid w:val="0"/>
          <w:szCs w:val="22"/>
        </w:rPr>
        <w:t>《信阳市国民经济和社会发展第十四个五年规划纲要》</w:t>
      </w:r>
      <w:r>
        <w:rPr>
          <w:szCs w:val="32"/>
        </w:rPr>
        <w:t>等有效衔接。规划坚持绿色发展理念，以建成资源节约型、环境友好型行业为目标，强化节能减排、环境保护和资源节约集约利用，加大清洁能源、新能源载运工具推广应用，加快建</w:t>
      </w:r>
      <w:r>
        <w:rPr>
          <w:rFonts w:hint="eastAsia"/>
          <w:szCs w:val="32"/>
        </w:rPr>
        <w:t>设</w:t>
      </w:r>
      <w:r>
        <w:rPr>
          <w:szCs w:val="32"/>
        </w:rPr>
        <w:t>绿色循环低碳交通运输体系。规划项目对大气、噪声、水等环境的影响均在可控范围之内，能够满足规划环境影响评价技术要求。</w:t>
      </w:r>
    </w:p>
    <w:p>
      <w:pPr>
        <w:pStyle w:val="4"/>
        <w:ind w:firstLine="643"/>
      </w:pPr>
      <w:bookmarkStart w:id="39" w:name="_Toc475689535"/>
      <w:bookmarkStart w:id="40" w:name="_Toc79518350"/>
      <w:bookmarkStart w:id="41" w:name="_Toc181110982"/>
      <w:r>
        <w:rPr>
          <w:rFonts w:hint="eastAsia"/>
        </w:rPr>
        <w:t>（三）环境保护措施</w:t>
      </w:r>
      <w:bookmarkEnd w:id="39"/>
      <w:bookmarkEnd w:id="40"/>
      <w:bookmarkEnd w:id="41"/>
    </w:p>
    <w:p>
      <w:pPr>
        <w:ind w:firstLine="640"/>
        <w:rPr>
          <w:kern w:val="0"/>
          <w:szCs w:val="32"/>
        </w:rPr>
      </w:pPr>
      <w:r>
        <w:rPr>
          <w:szCs w:val="32"/>
        </w:rPr>
        <w:t>优化基础设施布局结构，</w:t>
      </w:r>
      <w:r>
        <w:rPr>
          <w:rFonts w:hint="eastAsia"/>
          <w:szCs w:val="32"/>
        </w:rPr>
        <w:t>调整</w:t>
      </w:r>
      <w:r>
        <w:rPr>
          <w:szCs w:val="32"/>
        </w:rPr>
        <w:t>交通运输结构，优先发展公共交通，推广新能源、清洁能源装备应用，加快构建绿色低碳的交通运输行业。</w:t>
      </w:r>
      <w:r>
        <w:rPr>
          <w:rFonts w:hint="eastAsia"/>
          <w:szCs w:val="32"/>
        </w:rPr>
        <w:t>优化交通线路走向，尽量利用既有交通廊道，禁止穿越自然保护区等核心区，尽量避绕环境敏感点、人口聚集地等</w:t>
      </w:r>
      <w:r>
        <w:rPr>
          <w:szCs w:val="32"/>
        </w:rPr>
        <w:t>。合理安排工期、工序，切实采取措施，防止水土流失，做好地形、地貌、生态环境恢复和土地复垦工作。大力推广环保新技术，促进污水、废气和固体废弃物循环使用和综合利用。严格执行交通建设项目环境影响评价制度，全面开展工程环保设计、工程环境监理和施工运营期环境监测，加大对建设项目环</w:t>
      </w:r>
      <w:r>
        <w:rPr>
          <w:rFonts w:ascii="仿宋" w:hAnsi="仿宋"/>
          <w:szCs w:val="32"/>
        </w:rPr>
        <w:t>境保护“三同时”执行</w:t>
      </w:r>
      <w:r>
        <w:rPr>
          <w:szCs w:val="32"/>
        </w:rPr>
        <w:t>情况的监督力度。</w:t>
      </w:r>
    </w:p>
    <w:p>
      <w:pPr>
        <w:pStyle w:val="2"/>
        <w:ind w:firstLine="643"/>
      </w:pPr>
      <w:bookmarkStart w:id="42" w:name="_Toc181110983"/>
      <w:r>
        <w:rPr>
          <w:rFonts w:hint="eastAsia"/>
        </w:rPr>
        <w:t>八、保障措施</w:t>
      </w:r>
      <w:bookmarkEnd w:id="42"/>
    </w:p>
    <w:p>
      <w:pPr>
        <w:pStyle w:val="4"/>
        <w:ind w:firstLine="643"/>
      </w:pPr>
      <w:bookmarkStart w:id="43" w:name="_Toc181110984"/>
      <w:r>
        <w:rPr>
          <w:rFonts w:hint="eastAsia"/>
        </w:rPr>
        <w:t>（一）加强组织领导</w:t>
      </w:r>
      <w:bookmarkEnd w:id="43"/>
    </w:p>
    <w:p>
      <w:pPr>
        <w:pStyle w:val="9"/>
        <w:ind w:firstLine="640"/>
      </w:pPr>
      <w:r>
        <w:rPr>
          <w:rFonts w:hint="eastAsia"/>
        </w:rPr>
        <w:t>充分发挥党总揽全局、协调各方的领导核心作用，始终把党的领导贯穿到加快建设交通强市全过程。</w:t>
      </w:r>
      <w:r>
        <w:rPr>
          <w:rFonts w:hint="eastAsia"/>
          <w:lang w:eastAsia="zh-CN"/>
        </w:rPr>
        <w:t>加强</w:t>
      </w:r>
      <w:r>
        <w:rPr>
          <w:rFonts w:hint="eastAsia"/>
        </w:rPr>
        <w:t>交通强市建设工作</w:t>
      </w:r>
      <w:r>
        <w:rPr>
          <w:rFonts w:hint="eastAsia"/>
          <w:lang w:eastAsia="zh-CN"/>
        </w:rPr>
        <w:t>协同联动，实行项目化、</w:t>
      </w:r>
      <w:r>
        <w:rPr>
          <w:rFonts w:hint="eastAsia"/>
        </w:rPr>
        <w:t>清单化</w:t>
      </w:r>
      <w:r>
        <w:rPr>
          <w:rFonts w:hint="eastAsia"/>
          <w:lang w:eastAsia="zh-CN"/>
        </w:rPr>
        <w:t>推进</w:t>
      </w:r>
      <w:r>
        <w:rPr>
          <w:rFonts w:hint="eastAsia"/>
        </w:rPr>
        <w:t>，</w:t>
      </w:r>
      <w:r>
        <w:rPr>
          <w:rFonts w:hint="eastAsia"/>
          <w:lang w:eastAsia="zh-CN"/>
        </w:rPr>
        <w:t>统筹推动</w:t>
      </w:r>
      <w:r>
        <w:rPr>
          <w:rFonts w:hint="eastAsia"/>
        </w:rPr>
        <w:t>重大规划、重大项目、重大政策、重大改革的</w:t>
      </w:r>
      <w:r>
        <w:rPr>
          <w:rFonts w:hint="eastAsia"/>
          <w:lang w:eastAsia="zh-CN"/>
        </w:rPr>
        <w:t>落地</w:t>
      </w:r>
      <w:r>
        <w:rPr>
          <w:rFonts w:hint="eastAsia"/>
        </w:rPr>
        <w:t>落实。</w:t>
      </w:r>
    </w:p>
    <w:p>
      <w:pPr>
        <w:pStyle w:val="4"/>
        <w:ind w:firstLine="643"/>
      </w:pPr>
      <w:bookmarkStart w:id="44" w:name="_Toc181110985"/>
      <w:r>
        <w:rPr>
          <w:rFonts w:hint="eastAsia"/>
        </w:rPr>
        <w:t>（二）做好项目管理</w:t>
      </w:r>
      <w:bookmarkEnd w:id="44"/>
    </w:p>
    <w:p>
      <w:pPr>
        <w:pStyle w:val="9"/>
        <w:ind w:firstLine="640"/>
      </w:pPr>
      <w:r>
        <w:rPr>
          <w:rFonts w:hint="eastAsia"/>
        </w:rPr>
        <w:t>进一步推进公路水运交通基础设施项目前期工作多部门“联评联审”，切实提高项目前期工作审批效率。推行普通公路“建养一体化”建设模式和分期建设模式。建立健全项目监督检查机制，优化交通基础设施建设全过程管理。</w:t>
      </w:r>
    </w:p>
    <w:p>
      <w:pPr>
        <w:pStyle w:val="4"/>
        <w:ind w:firstLine="643"/>
      </w:pPr>
      <w:bookmarkStart w:id="45" w:name="_Toc181110986"/>
      <w:r>
        <w:rPr>
          <w:rFonts w:hint="eastAsia"/>
        </w:rPr>
        <w:t>（三）强化要素保障</w:t>
      </w:r>
      <w:bookmarkEnd w:id="45"/>
    </w:p>
    <w:p>
      <w:pPr>
        <w:pStyle w:val="9"/>
        <w:ind w:firstLine="640"/>
      </w:pPr>
      <w:r>
        <w:rPr>
          <w:rFonts w:hint="eastAsia"/>
        </w:rPr>
        <w:t>积极争取中央和省政策资金支持，落实市级和县级交通运输领域财政事权和支出责任。依法合规引导社会资本积极参与交通基础设施建设，探索企业债券融资、资产证券化、债转股等方式。统筹做好国土空间规划对接，做好规划范围内或在建交通基础设施的空间预留。优先保障交通基础设施要素指标，压实自然资源、林业、生态环境、水利、行政审批等行政主管部门责任。</w:t>
      </w:r>
    </w:p>
    <w:p>
      <w:pPr>
        <w:pStyle w:val="4"/>
        <w:ind w:firstLine="643"/>
      </w:pPr>
      <w:bookmarkStart w:id="46" w:name="_Toc181110987"/>
      <w:r>
        <w:rPr>
          <w:rFonts w:hint="eastAsia"/>
        </w:rPr>
        <w:t>（四）开展动态评估</w:t>
      </w:r>
      <w:bookmarkEnd w:id="46"/>
    </w:p>
    <w:p>
      <w:pPr>
        <w:pStyle w:val="9"/>
        <w:ind w:firstLine="640"/>
      </w:pPr>
      <w:r>
        <w:t>加强本规划实施进展统计与监测工作，定期开展规划评估，依据国家、省级和</w:t>
      </w:r>
      <w:r>
        <w:rPr>
          <w:rFonts w:hint="eastAsia"/>
        </w:rPr>
        <w:t>市</w:t>
      </w:r>
      <w:r>
        <w:t>级发展规划进行动态调整</w:t>
      </w:r>
      <w:r>
        <w:rPr>
          <w:rFonts w:hint="eastAsia"/>
        </w:rPr>
        <w:t>。对年度重点工作实施台账化管理，</w:t>
      </w:r>
      <w:r>
        <w:rPr>
          <w:rFonts w:hint="eastAsia"/>
          <w:lang w:eastAsia="zh-CN"/>
        </w:rPr>
        <w:t>推动</w:t>
      </w:r>
      <w:r>
        <w:rPr>
          <w:rFonts w:hint="eastAsia"/>
        </w:rPr>
        <w:t>各职能部门及各县（区）政府、豫东南高新区管委会参与综合交通运输建设职责落实。</w:t>
      </w:r>
    </w:p>
    <w:p>
      <w:pPr>
        <w:pStyle w:val="9"/>
        <w:ind w:firstLine="640"/>
        <w:sectPr>
          <w:pgSz w:w="11906" w:h="16838"/>
          <w:pgMar w:top="1440" w:right="1800" w:bottom="1440" w:left="1800" w:header="851" w:footer="992" w:gutter="0"/>
          <w:cols w:space="425" w:num="1"/>
          <w:docGrid w:type="lines" w:linePitch="435" w:charSpace="0"/>
        </w:sectPr>
      </w:pPr>
    </w:p>
    <w:p>
      <w:pPr>
        <w:keepNext/>
        <w:keepLines/>
        <w:adjustRightInd w:val="0"/>
        <w:spacing w:before="240" w:after="240"/>
        <w:ind w:firstLine="0" w:firstLineChars="0"/>
        <w:jc w:val="left"/>
        <w:outlineLvl w:val="0"/>
        <w:rPr>
          <w:rFonts w:eastAsia="黑体"/>
          <w:b/>
          <w:bCs/>
          <w:kern w:val="44"/>
          <w:sz w:val="36"/>
          <w:szCs w:val="44"/>
        </w:rPr>
      </w:pPr>
      <w:bookmarkStart w:id="47" w:name="_Toc128424860"/>
      <w:bookmarkStart w:id="48" w:name="_Toc181110988"/>
      <w:bookmarkStart w:id="49" w:name="_Hlk132468695"/>
      <w:r>
        <w:rPr>
          <w:rFonts w:hint="eastAsia" w:eastAsia="黑体"/>
          <w:b/>
          <w:bCs/>
          <w:kern w:val="44"/>
          <w:sz w:val="36"/>
          <w:szCs w:val="44"/>
        </w:rPr>
        <w:t xml:space="preserve">附 </w:t>
      </w:r>
      <w:r>
        <w:rPr>
          <w:rFonts w:eastAsia="黑体"/>
          <w:b/>
          <w:bCs/>
          <w:kern w:val="44"/>
          <w:sz w:val="36"/>
          <w:szCs w:val="44"/>
        </w:rPr>
        <w:t xml:space="preserve"> </w:t>
      </w:r>
      <w:r>
        <w:rPr>
          <w:rFonts w:hint="eastAsia" w:eastAsia="黑体"/>
          <w:b/>
          <w:bCs/>
          <w:kern w:val="44"/>
          <w:sz w:val="36"/>
          <w:szCs w:val="44"/>
        </w:rPr>
        <w:t>表</w:t>
      </w:r>
      <w:bookmarkEnd w:id="47"/>
      <w:bookmarkEnd w:id="48"/>
    </w:p>
    <w:p>
      <w:pPr>
        <w:keepNext/>
        <w:keepLines/>
        <w:adjustRightInd w:val="0"/>
        <w:spacing w:before="163" w:beforeLines="50" w:after="163" w:afterLines="50"/>
        <w:ind w:firstLine="0" w:firstLineChars="0"/>
        <w:jc w:val="left"/>
        <w:outlineLvl w:val="1"/>
        <w:rPr>
          <w:rFonts w:eastAsia="黑体"/>
          <w:b/>
          <w:bCs/>
          <w:sz w:val="30"/>
          <w:szCs w:val="32"/>
        </w:rPr>
      </w:pPr>
      <w:bookmarkStart w:id="50" w:name="_Toc66178065"/>
      <w:bookmarkStart w:id="51" w:name="_Toc181110989"/>
      <w:bookmarkStart w:id="52" w:name="_Toc128424861"/>
      <w:r>
        <w:rPr>
          <w:rFonts w:hint="eastAsia" w:eastAsia="黑体"/>
          <w:b/>
          <w:bCs/>
          <w:sz w:val="30"/>
          <w:szCs w:val="32"/>
        </w:rPr>
        <w:t>附表1</w:t>
      </w:r>
      <w:r>
        <w:rPr>
          <w:rFonts w:eastAsia="黑体"/>
          <w:b/>
          <w:bCs/>
          <w:sz w:val="30"/>
          <w:szCs w:val="32"/>
        </w:rPr>
        <w:t xml:space="preserve"> </w:t>
      </w:r>
      <w:bookmarkEnd w:id="50"/>
      <w:r>
        <w:rPr>
          <w:rFonts w:hint="eastAsia" w:eastAsia="黑体"/>
          <w:b/>
          <w:bCs/>
          <w:sz w:val="30"/>
          <w:szCs w:val="32"/>
        </w:rPr>
        <w:t>高速公路“多向互联工程”项目明细表</w:t>
      </w:r>
      <w:bookmarkEnd w:id="51"/>
      <w:bookmarkEnd w:id="52"/>
    </w:p>
    <w:tbl>
      <w:tblPr>
        <w:tblStyle w:val="24"/>
        <w:tblW w:w="5000" w:type="pct"/>
        <w:tblInd w:w="0" w:type="dxa"/>
        <w:tblLayout w:type="autofit"/>
        <w:tblCellMar>
          <w:top w:w="0" w:type="dxa"/>
          <w:left w:w="108" w:type="dxa"/>
          <w:bottom w:w="0" w:type="dxa"/>
          <w:right w:w="108" w:type="dxa"/>
        </w:tblCellMar>
      </w:tblPr>
      <w:tblGrid>
        <w:gridCol w:w="696"/>
        <w:gridCol w:w="4532"/>
        <w:gridCol w:w="1391"/>
        <w:gridCol w:w="1442"/>
        <w:gridCol w:w="4789"/>
        <w:gridCol w:w="1135"/>
        <w:gridCol w:w="233"/>
      </w:tblGrid>
      <w:tr>
        <w:tblPrEx>
          <w:tblCellMar>
            <w:top w:w="0" w:type="dxa"/>
            <w:left w:w="108" w:type="dxa"/>
            <w:bottom w:w="0" w:type="dxa"/>
            <w:right w:w="108" w:type="dxa"/>
          </w:tblCellMar>
        </w:tblPrEx>
        <w:trPr>
          <w:gridAfter w:val="1"/>
          <w:wAfter w:w="82" w:type="pct"/>
          <w:trHeight w:val="301" w:hRule="atLeast"/>
          <w:tblHeader/>
        </w:trPr>
        <w:tc>
          <w:tcPr>
            <w:tcW w:w="245"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序号</w:t>
            </w:r>
          </w:p>
        </w:tc>
        <w:tc>
          <w:tcPr>
            <w:tcW w:w="1594"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项目名称</w:t>
            </w:r>
          </w:p>
        </w:tc>
        <w:tc>
          <w:tcPr>
            <w:tcW w:w="489"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建设性质</w:t>
            </w:r>
          </w:p>
        </w:tc>
        <w:tc>
          <w:tcPr>
            <w:tcW w:w="507"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建设年限</w:t>
            </w:r>
          </w:p>
        </w:tc>
        <w:tc>
          <w:tcPr>
            <w:tcW w:w="168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建设规模</w:t>
            </w:r>
            <w:r>
              <w:rPr>
                <w:rFonts w:eastAsiaTheme="minorEastAsia"/>
                <w:b/>
                <w:bCs/>
                <w:color w:val="000000"/>
                <w:kern w:val="0"/>
                <w:sz w:val="22"/>
                <w:szCs w:val="22"/>
              </w:rPr>
              <w:br w:type="textWrapping"/>
            </w:r>
            <w:r>
              <w:rPr>
                <w:rFonts w:hint="eastAsia" w:eastAsiaTheme="minorEastAsia"/>
                <w:b/>
                <w:bCs/>
                <w:color w:val="000000"/>
                <w:kern w:val="0"/>
                <w:sz w:val="22"/>
                <w:szCs w:val="22"/>
              </w:rPr>
              <w:t>（公里）</w:t>
            </w:r>
          </w:p>
        </w:tc>
        <w:tc>
          <w:tcPr>
            <w:tcW w:w="39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总投资</w:t>
            </w:r>
            <w:r>
              <w:rPr>
                <w:rFonts w:eastAsiaTheme="minorEastAsia"/>
                <w:b/>
                <w:bCs/>
                <w:color w:val="000000"/>
                <w:kern w:val="0"/>
                <w:sz w:val="22"/>
                <w:szCs w:val="22"/>
              </w:rPr>
              <w:br w:type="textWrapping"/>
            </w:r>
            <w:r>
              <w:rPr>
                <w:rFonts w:hint="eastAsia" w:eastAsiaTheme="minorEastAsia"/>
                <w:b/>
                <w:bCs/>
                <w:color w:val="000000"/>
                <w:kern w:val="0"/>
                <w:sz w:val="22"/>
                <w:szCs w:val="22"/>
              </w:rPr>
              <w:t>（亿元）</w:t>
            </w:r>
          </w:p>
        </w:tc>
      </w:tr>
      <w:tr>
        <w:tblPrEx>
          <w:tblCellMar>
            <w:top w:w="0" w:type="dxa"/>
            <w:left w:w="108" w:type="dxa"/>
            <w:bottom w:w="0" w:type="dxa"/>
            <w:right w:w="108" w:type="dxa"/>
          </w:tblCellMar>
        </w:tblPrEx>
        <w:trPr>
          <w:trHeight w:val="301" w:hRule="atLeast"/>
          <w:tblHeader/>
        </w:trPr>
        <w:tc>
          <w:tcPr>
            <w:tcW w:w="245"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1594"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489"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507"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1684"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399"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82" w:type="pct"/>
            <w:tcBorders>
              <w:top w:val="nil"/>
              <w:left w:val="nil"/>
              <w:bottom w:val="nil"/>
              <w:right w:val="nil"/>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p>
        </w:tc>
      </w:tr>
      <w:tr>
        <w:tblPrEx>
          <w:tblCellMar>
            <w:top w:w="0" w:type="dxa"/>
            <w:left w:w="108" w:type="dxa"/>
            <w:bottom w:w="0" w:type="dxa"/>
            <w:right w:w="108" w:type="dxa"/>
          </w:tblCellMar>
        </w:tblPrEx>
        <w:trPr>
          <w:trHeight w:val="401" w:hRule="atLeast"/>
        </w:trPr>
        <w:tc>
          <w:tcPr>
            <w:tcW w:w="2835" w:type="pct"/>
            <w:gridSpan w:val="4"/>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高速公路项目</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1269.3</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1511.38</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835" w:type="pct"/>
            <w:gridSpan w:val="4"/>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eastAsiaTheme="minorEastAsia"/>
                <w:b/>
                <w:bCs/>
                <w:color w:val="000000"/>
                <w:kern w:val="0"/>
                <w:sz w:val="22"/>
                <w:szCs w:val="22"/>
              </w:rPr>
            </w:pPr>
            <w:r>
              <w:rPr>
                <w:rFonts w:hint="eastAsia" w:eastAsiaTheme="minorEastAsia"/>
                <w:b/>
                <w:bCs/>
                <w:color w:val="000000"/>
                <w:kern w:val="0"/>
                <w:sz w:val="22"/>
                <w:szCs w:val="22"/>
              </w:rPr>
              <w:t>一、近期建设项目（</w:t>
            </w:r>
            <w:r>
              <w:rPr>
                <w:rFonts w:eastAsiaTheme="minorEastAsia"/>
                <w:b/>
                <w:bCs/>
                <w:color w:val="000000"/>
                <w:kern w:val="0"/>
                <w:sz w:val="22"/>
                <w:szCs w:val="22"/>
              </w:rPr>
              <w:t>9</w:t>
            </w:r>
            <w:r>
              <w:rPr>
                <w:rFonts w:hint="eastAsia" w:eastAsiaTheme="minorEastAsia"/>
                <w:b/>
                <w:bCs/>
                <w:color w:val="000000"/>
                <w:kern w:val="0"/>
                <w:sz w:val="22"/>
                <w:szCs w:val="22"/>
              </w:rPr>
              <w:t>个）</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655.2</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834.38</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沿大别山高速明港至鸡公山段</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2021-2024</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96.5</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131.97</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沿大别山高速鸡公山至商城段</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2021-2024</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123.3</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159.02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阳新高速商城至豫鄂省界段（一期）</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2021-2024</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37.4</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49.04</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信阳至随州（豫鄂界）高速公路</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2021-2024</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8.3</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12.19</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5</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固始至豫皖省界高速公路</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2021-2025</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38.6</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46.96</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阳新高速商城至豫鄂省界段（二期）</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2024-2027</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35.5</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52.2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7</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沿淮高速公路</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2024-2027</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179</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215</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8</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上蔡至淮滨高速公路</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2024-2027</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18.8</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26</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9</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信阳至襄阳（豫鄂界）高速公路</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2025-2029</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7.8</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10</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10</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淮滨至麻城（豫鄂界）高速公路</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2030-2033</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110</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835" w:type="pct"/>
            <w:gridSpan w:val="4"/>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rPr>
                <w:rFonts w:eastAsiaTheme="minorEastAsia"/>
                <w:b/>
                <w:bCs/>
                <w:color w:val="000000"/>
                <w:kern w:val="0"/>
                <w:sz w:val="22"/>
                <w:szCs w:val="22"/>
              </w:rPr>
            </w:pPr>
            <w:r>
              <w:rPr>
                <w:rFonts w:hint="eastAsia" w:eastAsiaTheme="minorEastAsia"/>
                <w:b/>
                <w:bCs/>
                <w:color w:val="000000"/>
                <w:kern w:val="0"/>
                <w:sz w:val="22"/>
                <w:szCs w:val="22"/>
              </w:rPr>
              <w:t>二、远期建设项目（</w:t>
            </w:r>
            <w:r>
              <w:rPr>
                <w:rFonts w:eastAsiaTheme="minorEastAsia"/>
                <w:b/>
                <w:bCs/>
                <w:color w:val="000000"/>
                <w:kern w:val="0"/>
                <w:sz w:val="22"/>
                <w:szCs w:val="22"/>
              </w:rPr>
              <w:t>10</w:t>
            </w:r>
            <w:r>
              <w:rPr>
                <w:rFonts w:hint="eastAsia" w:eastAsiaTheme="minorEastAsia"/>
                <w:b/>
                <w:bCs/>
                <w:color w:val="000000"/>
                <w:kern w:val="0"/>
                <w:sz w:val="22"/>
                <w:szCs w:val="22"/>
              </w:rPr>
              <w:t>个）</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614.1</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677</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11</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西南环绕城高速公路（信襄、信随东延线）</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52</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68</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大广高速信阳段扩容改造</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133.3</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135</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沪陕高速信阳段扩容改造</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225.8</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230</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14</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商城至平桥高速</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143</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172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湖北红安至新县高速公路北延线</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60</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72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4519" w:type="pct"/>
            <w:gridSpan w:val="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既有高速公路出入口项目</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29.5</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4519" w:type="pct"/>
            <w:gridSpan w:val="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left"/>
              <w:rPr>
                <w:rFonts w:eastAsiaTheme="minorEastAsia"/>
                <w:b/>
                <w:bCs/>
                <w:color w:val="000000"/>
                <w:kern w:val="0"/>
                <w:sz w:val="22"/>
                <w:szCs w:val="22"/>
              </w:rPr>
            </w:pPr>
            <w:r>
              <w:rPr>
                <w:rFonts w:hint="eastAsia" w:eastAsiaTheme="minorEastAsia"/>
                <w:b/>
                <w:bCs/>
                <w:color w:val="000000"/>
                <w:kern w:val="0"/>
                <w:sz w:val="22"/>
                <w:szCs w:val="22"/>
              </w:rPr>
              <w:t>一、近期建设项目（</w:t>
            </w:r>
            <w:r>
              <w:rPr>
                <w:rFonts w:eastAsiaTheme="minorEastAsia"/>
                <w:b/>
                <w:bCs/>
                <w:color w:val="000000"/>
                <w:kern w:val="0"/>
                <w:sz w:val="22"/>
                <w:szCs w:val="22"/>
              </w:rPr>
              <w:t>4</w:t>
            </w:r>
            <w:r>
              <w:rPr>
                <w:rFonts w:hint="eastAsia" w:eastAsiaTheme="minorEastAsia"/>
                <w:b/>
                <w:bCs/>
                <w:color w:val="000000"/>
                <w:kern w:val="0"/>
                <w:sz w:val="22"/>
                <w:szCs w:val="22"/>
              </w:rPr>
              <w:t>个）</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19.85</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16</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沪陕高速新增豫东南高新区出入口</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2025-2027</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与南昌大街交叉</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17</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京港澳新增郝堂出入口</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2026-2028</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京港澳新增</w:t>
            </w:r>
            <w:r>
              <w:rPr>
                <w:rFonts w:eastAsiaTheme="minorEastAsia"/>
                <w:color w:val="000000"/>
                <w:kern w:val="0"/>
                <w:sz w:val="22"/>
                <w:szCs w:val="22"/>
              </w:rPr>
              <w:t>2</w:t>
            </w:r>
            <w:r>
              <w:rPr>
                <w:rFonts w:hint="eastAsia" w:eastAsiaTheme="minorEastAsia"/>
                <w:color w:val="000000"/>
                <w:kern w:val="0"/>
                <w:sz w:val="22"/>
                <w:szCs w:val="22"/>
              </w:rPr>
              <w:t>个出入口</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2026-2028</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与</w:t>
            </w:r>
            <w:r>
              <w:rPr>
                <w:rFonts w:eastAsiaTheme="minorEastAsia"/>
                <w:color w:val="000000"/>
                <w:kern w:val="0"/>
                <w:sz w:val="22"/>
                <w:szCs w:val="22"/>
              </w:rPr>
              <w:t>S213</w:t>
            </w:r>
            <w:r>
              <w:rPr>
                <w:rFonts w:hint="eastAsia" w:eastAsiaTheme="minorEastAsia"/>
                <w:color w:val="000000"/>
                <w:kern w:val="0"/>
                <w:sz w:val="22"/>
                <w:szCs w:val="22"/>
              </w:rPr>
              <w:t>、黑马石大道交叉</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3.35</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620"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19</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沪陕高速公路新增</w:t>
            </w:r>
            <w:r>
              <w:rPr>
                <w:rFonts w:eastAsiaTheme="minorEastAsia"/>
                <w:color w:val="000000"/>
                <w:kern w:val="0"/>
                <w:sz w:val="22"/>
                <w:szCs w:val="22"/>
              </w:rPr>
              <w:t>6</w:t>
            </w:r>
            <w:r>
              <w:rPr>
                <w:rFonts w:hint="eastAsia" w:eastAsiaTheme="minorEastAsia"/>
                <w:color w:val="000000"/>
                <w:kern w:val="0"/>
                <w:sz w:val="22"/>
                <w:szCs w:val="22"/>
              </w:rPr>
              <w:t>个出入口</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2026-2030</w:t>
            </w:r>
          </w:p>
        </w:tc>
        <w:tc>
          <w:tcPr>
            <w:tcW w:w="1684"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与</w:t>
            </w:r>
            <w:r>
              <w:rPr>
                <w:rFonts w:eastAsiaTheme="minorEastAsia"/>
                <w:color w:val="000000"/>
                <w:kern w:val="0"/>
                <w:sz w:val="22"/>
                <w:szCs w:val="22"/>
              </w:rPr>
              <w:t>S203</w:t>
            </w:r>
            <w:r>
              <w:rPr>
                <w:rFonts w:hint="eastAsia" w:eastAsiaTheme="minorEastAsia"/>
                <w:color w:val="000000"/>
                <w:kern w:val="0"/>
                <w:sz w:val="22"/>
                <w:szCs w:val="22"/>
              </w:rPr>
              <w:t>、</w:t>
            </w:r>
            <w:r>
              <w:rPr>
                <w:rFonts w:eastAsiaTheme="minorEastAsia"/>
                <w:color w:val="000000"/>
                <w:kern w:val="0"/>
                <w:sz w:val="22"/>
                <w:szCs w:val="22"/>
              </w:rPr>
              <w:t>S214</w:t>
            </w:r>
            <w:r>
              <w:rPr>
                <w:rFonts w:hint="eastAsia" w:eastAsiaTheme="minorEastAsia"/>
                <w:color w:val="000000"/>
                <w:kern w:val="0"/>
                <w:sz w:val="22"/>
                <w:szCs w:val="22"/>
              </w:rPr>
              <w:t>、</w:t>
            </w:r>
            <w:r>
              <w:rPr>
                <w:rFonts w:eastAsiaTheme="minorEastAsia"/>
                <w:color w:val="000000"/>
                <w:kern w:val="0"/>
                <w:sz w:val="22"/>
                <w:szCs w:val="22"/>
              </w:rPr>
              <w:t>G312</w:t>
            </w:r>
            <w:r>
              <w:rPr>
                <w:rFonts w:hint="eastAsia" w:eastAsiaTheme="minorEastAsia"/>
                <w:color w:val="000000"/>
                <w:kern w:val="0"/>
                <w:sz w:val="22"/>
                <w:szCs w:val="22"/>
              </w:rPr>
              <w:t>、工二十六路、新十八大街、</w:t>
            </w:r>
            <w:r>
              <w:rPr>
                <w:rFonts w:eastAsiaTheme="minorEastAsia"/>
                <w:color w:val="000000"/>
                <w:kern w:val="0"/>
                <w:sz w:val="22"/>
                <w:szCs w:val="22"/>
              </w:rPr>
              <w:t>S333</w:t>
            </w:r>
            <w:r>
              <w:rPr>
                <w:rFonts w:hint="eastAsia" w:eastAsiaTheme="minorEastAsia"/>
                <w:color w:val="000000"/>
                <w:kern w:val="0"/>
                <w:sz w:val="22"/>
                <w:szCs w:val="22"/>
              </w:rPr>
              <w:t>交叉</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12.5</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39" w:hRule="atLeast"/>
        </w:trPr>
        <w:tc>
          <w:tcPr>
            <w:tcW w:w="4519" w:type="pct"/>
            <w:gridSpan w:val="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left"/>
              <w:rPr>
                <w:rFonts w:eastAsiaTheme="minorEastAsia"/>
                <w:b/>
                <w:bCs/>
                <w:color w:val="000000"/>
                <w:kern w:val="0"/>
                <w:sz w:val="22"/>
                <w:szCs w:val="22"/>
              </w:rPr>
            </w:pPr>
            <w:r>
              <w:rPr>
                <w:rFonts w:hint="eastAsia" w:eastAsiaTheme="minorEastAsia"/>
                <w:b/>
                <w:bCs/>
                <w:color w:val="000000"/>
                <w:kern w:val="0"/>
                <w:sz w:val="22"/>
                <w:szCs w:val="22"/>
              </w:rPr>
              <w:t>二、远期建设项目（</w:t>
            </w:r>
            <w:r>
              <w:rPr>
                <w:rFonts w:eastAsiaTheme="minorEastAsia"/>
                <w:b/>
                <w:bCs/>
                <w:color w:val="000000"/>
                <w:kern w:val="0"/>
                <w:sz w:val="22"/>
                <w:szCs w:val="22"/>
              </w:rPr>
              <w:t>3</w:t>
            </w:r>
            <w:r>
              <w:rPr>
                <w:rFonts w:hint="eastAsia" w:eastAsiaTheme="minorEastAsia"/>
                <w:b/>
                <w:bCs/>
                <w:color w:val="000000"/>
                <w:kern w:val="0"/>
                <w:sz w:val="22"/>
                <w:szCs w:val="22"/>
              </w:rPr>
              <w:t>个）</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9.65</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大广高速新增</w:t>
            </w:r>
            <w:r>
              <w:rPr>
                <w:rFonts w:eastAsiaTheme="minorEastAsia"/>
                <w:color w:val="000000"/>
                <w:kern w:val="0"/>
                <w:sz w:val="22"/>
                <w:szCs w:val="22"/>
              </w:rPr>
              <w:t>2</w:t>
            </w:r>
            <w:r>
              <w:rPr>
                <w:rFonts w:hint="eastAsia" w:eastAsiaTheme="minorEastAsia"/>
                <w:color w:val="000000"/>
                <w:kern w:val="0"/>
                <w:sz w:val="22"/>
                <w:szCs w:val="22"/>
              </w:rPr>
              <w:t>个出入口</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与</w:t>
            </w:r>
            <w:r>
              <w:rPr>
                <w:rFonts w:eastAsiaTheme="minorEastAsia"/>
                <w:color w:val="000000"/>
                <w:kern w:val="0"/>
                <w:sz w:val="22"/>
                <w:szCs w:val="22"/>
              </w:rPr>
              <w:t>S226</w:t>
            </w:r>
            <w:r>
              <w:rPr>
                <w:rFonts w:hint="eastAsia" w:eastAsiaTheme="minorEastAsia"/>
                <w:color w:val="000000"/>
                <w:kern w:val="0"/>
                <w:sz w:val="22"/>
                <w:szCs w:val="22"/>
              </w:rPr>
              <w:t>、</w:t>
            </w:r>
            <w:r>
              <w:rPr>
                <w:rFonts w:eastAsiaTheme="minorEastAsia"/>
                <w:color w:val="000000"/>
                <w:kern w:val="0"/>
                <w:sz w:val="22"/>
                <w:szCs w:val="22"/>
              </w:rPr>
              <w:t>S337</w:t>
            </w:r>
            <w:r>
              <w:rPr>
                <w:rFonts w:hint="eastAsia" w:eastAsiaTheme="minorEastAsia"/>
                <w:color w:val="000000"/>
                <w:kern w:val="0"/>
                <w:sz w:val="22"/>
                <w:szCs w:val="22"/>
              </w:rPr>
              <w:t>交叉</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3.65</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21</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濮阳至阳新高速新增</w:t>
            </w:r>
            <w:r>
              <w:rPr>
                <w:rFonts w:eastAsiaTheme="minorEastAsia"/>
                <w:color w:val="000000"/>
                <w:kern w:val="0"/>
                <w:sz w:val="22"/>
                <w:szCs w:val="22"/>
              </w:rPr>
              <w:t>2</w:t>
            </w:r>
            <w:r>
              <w:rPr>
                <w:rFonts w:hint="eastAsia" w:eastAsiaTheme="minorEastAsia"/>
                <w:color w:val="000000"/>
                <w:kern w:val="0"/>
                <w:sz w:val="22"/>
                <w:szCs w:val="22"/>
              </w:rPr>
              <w:t>个出入口</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与</w:t>
            </w:r>
            <w:r>
              <w:rPr>
                <w:rFonts w:eastAsiaTheme="minorEastAsia"/>
                <w:color w:val="000000"/>
                <w:kern w:val="0"/>
                <w:sz w:val="22"/>
                <w:szCs w:val="22"/>
              </w:rPr>
              <w:t>S205</w:t>
            </w:r>
            <w:r>
              <w:rPr>
                <w:rFonts w:hint="eastAsia" w:eastAsiaTheme="minorEastAsia"/>
                <w:color w:val="000000"/>
                <w:kern w:val="0"/>
                <w:sz w:val="22"/>
                <w:szCs w:val="22"/>
              </w:rPr>
              <w:t>、</w:t>
            </w:r>
            <w:r>
              <w:rPr>
                <w:rFonts w:eastAsiaTheme="minorEastAsia"/>
                <w:color w:val="000000"/>
                <w:kern w:val="0"/>
                <w:sz w:val="22"/>
                <w:szCs w:val="22"/>
              </w:rPr>
              <w:t>S534</w:t>
            </w:r>
            <w:r>
              <w:rPr>
                <w:rFonts w:hint="eastAsia" w:eastAsiaTheme="minorEastAsia"/>
                <w:color w:val="000000"/>
                <w:kern w:val="0"/>
                <w:sz w:val="22"/>
                <w:szCs w:val="22"/>
              </w:rPr>
              <w:t>交叉</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22</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淮内高速新增</w:t>
            </w:r>
            <w:r>
              <w:rPr>
                <w:rFonts w:eastAsiaTheme="minorEastAsia"/>
                <w:color w:val="000000"/>
                <w:kern w:val="0"/>
                <w:sz w:val="22"/>
                <w:szCs w:val="22"/>
              </w:rPr>
              <w:t>1</w:t>
            </w:r>
            <w:r>
              <w:rPr>
                <w:rFonts w:hint="eastAsia" w:eastAsiaTheme="minorEastAsia"/>
                <w:color w:val="000000"/>
                <w:kern w:val="0"/>
                <w:sz w:val="22"/>
                <w:szCs w:val="22"/>
              </w:rPr>
              <w:t>个出入口</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与</w:t>
            </w:r>
            <w:r>
              <w:rPr>
                <w:rFonts w:eastAsiaTheme="minorEastAsia"/>
                <w:color w:val="000000"/>
                <w:kern w:val="0"/>
                <w:sz w:val="22"/>
                <w:szCs w:val="22"/>
              </w:rPr>
              <w:t>S336</w:t>
            </w:r>
            <w:r>
              <w:rPr>
                <w:rFonts w:hint="eastAsia" w:eastAsiaTheme="minorEastAsia"/>
                <w:color w:val="000000"/>
                <w:kern w:val="0"/>
                <w:sz w:val="22"/>
                <w:szCs w:val="22"/>
              </w:rPr>
              <w:t>交叉</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4519" w:type="pct"/>
            <w:gridSpan w:val="5"/>
            <w:tcBorders>
              <w:top w:val="nil"/>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服务区改造提升</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16.52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4519" w:type="pct"/>
            <w:gridSpan w:val="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left"/>
              <w:rPr>
                <w:rFonts w:eastAsiaTheme="minorEastAsia"/>
                <w:b/>
                <w:bCs/>
                <w:color w:val="000000"/>
                <w:kern w:val="0"/>
                <w:sz w:val="22"/>
                <w:szCs w:val="22"/>
              </w:rPr>
            </w:pPr>
            <w:r>
              <w:rPr>
                <w:rFonts w:hint="eastAsia" w:eastAsiaTheme="minorEastAsia"/>
                <w:b/>
                <w:bCs/>
                <w:color w:val="000000"/>
                <w:kern w:val="0"/>
                <w:sz w:val="22"/>
                <w:szCs w:val="22"/>
              </w:rPr>
              <w:t>一、近期建设项目（</w:t>
            </w:r>
            <w:r>
              <w:rPr>
                <w:rFonts w:eastAsiaTheme="minorEastAsia"/>
                <w:b/>
                <w:bCs/>
                <w:color w:val="000000"/>
                <w:kern w:val="0"/>
                <w:sz w:val="22"/>
                <w:szCs w:val="22"/>
              </w:rPr>
              <w:t>5</w:t>
            </w:r>
            <w:r>
              <w:rPr>
                <w:rFonts w:hint="eastAsia" w:eastAsiaTheme="minorEastAsia"/>
                <w:b/>
                <w:bCs/>
                <w:color w:val="000000"/>
                <w:kern w:val="0"/>
                <w:sz w:val="22"/>
                <w:szCs w:val="22"/>
              </w:rPr>
              <w:t>个）</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6.68</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23</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鸡商高速汤泉池服务区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2025-2028</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24</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沪陕高速光山服务区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2025-2028</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25</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许信高速邢集服务区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2025-2028</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26</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沪陕高速罗山服务区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2025-2028</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0.39</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27</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京港澳高速灵山（灵山东）服务区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2025-2028</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0.29</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4519" w:type="pct"/>
            <w:gridSpan w:val="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left"/>
              <w:rPr>
                <w:rFonts w:eastAsiaTheme="minorEastAsia"/>
                <w:b/>
                <w:bCs/>
                <w:color w:val="000000"/>
                <w:kern w:val="0"/>
                <w:sz w:val="22"/>
                <w:szCs w:val="22"/>
              </w:rPr>
            </w:pPr>
            <w:r>
              <w:rPr>
                <w:rFonts w:hint="eastAsia" w:eastAsiaTheme="minorEastAsia"/>
                <w:b/>
                <w:bCs/>
                <w:color w:val="000000"/>
                <w:kern w:val="0"/>
                <w:sz w:val="22"/>
                <w:szCs w:val="22"/>
              </w:rPr>
              <w:t>二、远期建设项目（</w:t>
            </w:r>
            <w:r>
              <w:rPr>
                <w:rFonts w:eastAsiaTheme="minorEastAsia"/>
                <w:b/>
                <w:bCs/>
                <w:color w:val="000000"/>
                <w:kern w:val="0"/>
                <w:sz w:val="22"/>
                <w:szCs w:val="22"/>
              </w:rPr>
              <w:t>9</w:t>
            </w:r>
            <w:r>
              <w:rPr>
                <w:rFonts w:hint="eastAsia" w:eastAsiaTheme="minorEastAsia"/>
                <w:b/>
                <w:bCs/>
                <w:color w:val="000000"/>
                <w:kern w:val="0"/>
                <w:sz w:val="22"/>
                <w:szCs w:val="22"/>
              </w:rPr>
              <w:t>个）</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4.92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28</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沪陕高速商城服务区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29</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大广高速息县服务区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0.35</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30</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京港澳高速信阳服务区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0.6</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31</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沪陕高速信阳西服务区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0.52</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32</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濮商高速固始服务区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0.45</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33</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安罗高速罗山北服务区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0.55</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34</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淮内高速息县北服务区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0.36</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35</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大广高速泗店服务区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0.24</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36</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大广高速槐店服务区</w:t>
            </w:r>
          </w:p>
        </w:tc>
        <w:tc>
          <w:tcPr>
            <w:tcW w:w="48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507"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684"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改造为开放式服务区</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1.53</w:t>
            </w:r>
          </w:p>
        </w:tc>
        <w:tc>
          <w:tcPr>
            <w:tcW w:w="82" w:type="pct"/>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4519" w:type="pct"/>
            <w:gridSpan w:val="5"/>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合计</w:t>
            </w:r>
          </w:p>
        </w:tc>
        <w:tc>
          <w:tcPr>
            <w:tcW w:w="39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1557.4</w:t>
            </w:r>
          </w:p>
        </w:tc>
        <w:tc>
          <w:tcPr>
            <w:tcW w:w="82" w:type="pct"/>
            <w:vAlign w:val="center"/>
          </w:tcPr>
          <w:p>
            <w:pPr>
              <w:widowControl/>
              <w:spacing w:line="240" w:lineRule="auto"/>
              <w:ind w:firstLine="0" w:firstLineChars="0"/>
              <w:jc w:val="left"/>
              <w:rPr>
                <w:rFonts w:eastAsiaTheme="minorEastAsia"/>
                <w:kern w:val="0"/>
                <w:sz w:val="20"/>
              </w:rPr>
            </w:pPr>
          </w:p>
        </w:tc>
      </w:tr>
    </w:tbl>
    <w:p>
      <w:pPr>
        <w:adjustRightInd w:val="0"/>
        <w:ind w:firstLine="480"/>
        <w:rPr>
          <w:rFonts w:eastAsia="宋体"/>
          <w:sz w:val="24"/>
          <w:szCs w:val="21"/>
        </w:rPr>
      </w:pPr>
      <w:r>
        <w:rPr>
          <w:rFonts w:eastAsia="宋体"/>
          <w:sz w:val="24"/>
          <w:szCs w:val="21"/>
        </w:rPr>
        <w:br w:type="page"/>
      </w:r>
    </w:p>
    <w:p>
      <w:pPr>
        <w:keepNext/>
        <w:keepLines/>
        <w:adjustRightInd w:val="0"/>
        <w:spacing w:before="163" w:beforeLines="50" w:after="163" w:afterLines="50"/>
        <w:ind w:firstLine="0" w:firstLineChars="0"/>
        <w:jc w:val="left"/>
        <w:outlineLvl w:val="1"/>
        <w:rPr>
          <w:rFonts w:eastAsia="黑体"/>
          <w:b/>
          <w:bCs/>
          <w:sz w:val="30"/>
          <w:szCs w:val="32"/>
        </w:rPr>
      </w:pPr>
      <w:bookmarkStart w:id="53" w:name="_Toc66178066"/>
      <w:bookmarkStart w:id="54" w:name="_Toc128424862"/>
      <w:bookmarkStart w:id="55" w:name="_Toc181110990"/>
      <w:r>
        <w:rPr>
          <w:rFonts w:hint="eastAsia" w:eastAsia="黑体"/>
          <w:b/>
          <w:bCs/>
          <w:sz w:val="30"/>
          <w:szCs w:val="32"/>
        </w:rPr>
        <w:t>附表</w:t>
      </w:r>
      <w:r>
        <w:rPr>
          <w:rFonts w:eastAsia="黑体"/>
          <w:b/>
          <w:bCs/>
          <w:sz w:val="30"/>
          <w:szCs w:val="32"/>
        </w:rPr>
        <w:t xml:space="preserve">2 </w:t>
      </w:r>
      <w:bookmarkEnd w:id="53"/>
      <w:r>
        <w:rPr>
          <w:rFonts w:hint="eastAsia" w:eastAsia="黑体"/>
          <w:b/>
          <w:bCs/>
          <w:sz w:val="30"/>
          <w:szCs w:val="32"/>
        </w:rPr>
        <w:t>干线公路“畅通畅联工程”项目明细表</w:t>
      </w:r>
      <w:bookmarkEnd w:id="54"/>
      <w:bookmarkEnd w:id="55"/>
    </w:p>
    <w:tbl>
      <w:tblPr>
        <w:tblStyle w:val="24"/>
        <w:tblW w:w="13996" w:type="dxa"/>
        <w:tblInd w:w="0" w:type="dxa"/>
        <w:tblLayout w:type="fixed"/>
        <w:tblCellMar>
          <w:top w:w="0" w:type="dxa"/>
          <w:left w:w="108" w:type="dxa"/>
          <w:bottom w:w="0" w:type="dxa"/>
          <w:right w:w="108" w:type="dxa"/>
        </w:tblCellMar>
      </w:tblPr>
      <w:tblGrid>
        <w:gridCol w:w="658"/>
        <w:gridCol w:w="5853"/>
        <w:gridCol w:w="1134"/>
        <w:gridCol w:w="1417"/>
        <w:gridCol w:w="1134"/>
        <w:gridCol w:w="1134"/>
        <w:gridCol w:w="1330"/>
        <w:gridCol w:w="1100"/>
        <w:gridCol w:w="236"/>
      </w:tblGrid>
      <w:tr>
        <w:tblPrEx>
          <w:tblCellMar>
            <w:top w:w="0" w:type="dxa"/>
            <w:left w:w="108" w:type="dxa"/>
            <w:bottom w:w="0" w:type="dxa"/>
            <w:right w:w="108" w:type="dxa"/>
          </w:tblCellMar>
        </w:tblPrEx>
        <w:trPr>
          <w:gridAfter w:val="1"/>
          <w:wAfter w:w="236" w:type="dxa"/>
          <w:trHeight w:val="304" w:hRule="atLeast"/>
          <w:tblHeader/>
        </w:trPr>
        <w:tc>
          <w:tcPr>
            <w:tcW w:w="658"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序号</w:t>
            </w:r>
          </w:p>
        </w:tc>
        <w:tc>
          <w:tcPr>
            <w:tcW w:w="5853"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项目名称</w:t>
            </w:r>
          </w:p>
        </w:tc>
        <w:tc>
          <w:tcPr>
            <w:tcW w:w="1134"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建设性质</w:t>
            </w:r>
          </w:p>
        </w:tc>
        <w:tc>
          <w:tcPr>
            <w:tcW w:w="1417"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建设年限</w:t>
            </w:r>
          </w:p>
        </w:tc>
        <w:tc>
          <w:tcPr>
            <w:tcW w:w="113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建设规模（公里）</w:t>
            </w:r>
          </w:p>
        </w:tc>
        <w:tc>
          <w:tcPr>
            <w:tcW w:w="113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总投资（亿元）</w:t>
            </w:r>
          </w:p>
        </w:tc>
        <w:tc>
          <w:tcPr>
            <w:tcW w:w="133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责任单位</w:t>
            </w:r>
          </w:p>
        </w:tc>
        <w:tc>
          <w:tcPr>
            <w:tcW w:w="1100" w:type="dxa"/>
            <w:vMerge w:val="restart"/>
            <w:tcBorders>
              <w:top w:val="single" w:color="auto" w:sz="8" w:space="0"/>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通道功能</w:t>
            </w:r>
          </w:p>
        </w:tc>
      </w:tr>
      <w:tr>
        <w:trPr>
          <w:trHeight w:val="608" w:hRule="atLeast"/>
          <w:tblHeader/>
        </w:trPr>
        <w:tc>
          <w:tcPr>
            <w:tcW w:w="65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kern w:val="0"/>
                <w:sz w:val="22"/>
                <w:szCs w:val="22"/>
              </w:rPr>
            </w:pPr>
          </w:p>
        </w:tc>
        <w:tc>
          <w:tcPr>
            <w:tcW w:w="585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kern w:val="0"/>
                <w:sz w:val="22"/>
                <w:szCs w:val="22"/>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kern w:val="0"/>
                <w:sz w:val="22"/>
                <w:szCs w:val="22"/>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kern w:val="0"/>
                <w:sz w:val="22"/>
                <w:szCs w:val="22"/>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eastAsiaTheme="minorEastAsia"/>
                <w:b/>
                <w:bCs/>
                <w:kern w:val="0"/>
                <w:sz w:val="22"/>
                <w:szCs w:val="22"/>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eastAsiaTheme="minorEastAsia"/>
                <w:b/>
                <w:bCs/>
                <w:kern w:val="0"/>
                <w:sz w:val="22"/>
                <w:szCs w:val="22"/>
              </w:rPr>
            </w:pPr>
          </w:p>
        </w:tc>
        <w:tc>
          <w:tcPr>
            <w:tcW w:w="133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kern w:val="0"/>
                <w:sz w:val="22"/>
                <w:szCs w:val="22"/>
              </w:rPr>
            </w:pPr>
          </w:p>
        </w:tc>
        <w:tc>
          <w:tcPr>
            <w:tcW w:w="1100" w:type="dxa"/>
            <w:vMerge w:val="continue"/>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left"/>
              <w:rPr>
                <w:rFonts w:eastAsiaTheme="minorEastAsia"/>
                <w:b/>
                <w:bCs/>
                <w:kern w:val="0"/>
                <w:sz w:val="22"/>
                <w:szCs w:val="22"/>
              </w:rPr>
            </w:pPr>
          </w:p>
        </w:tc>
        <w:tc>
          <w:tcPr>
            <w:tcW w:w="236" w:type="dxa"/>
            <w:tcBorders>
              <w:top w:val="nil"/>
              <w:left w:val="nil"/>
              <w:bottom w:val="nil"/>
              <w:right w:val="nil"/>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p>
        </w:tc>
      </w:tr>
      <w:tr>
        <w:tblPrEx>
          <w:tblCellMar>
            <w:top w:w="0" w:type="dxa"/>
            <w:left w:w="108" w:type="dxa"/>
            <w:bottom w:w="0" w:type="dxa"/>
            <w:right w:w="108" w:type="dxa"/>
          </w:tblCellMar>
        </w:tblPrEx>
        <w:trPr>
          <w:trHeight w:val="401" w:hRule="atLeast"/>
        </w:trPr>
        <w:tc>
          <w:tcPr>
            <w:tcW w:w="9062" w:type="dxa"/>
            <w:gridSpan w:val="4"/>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eastAsiaTheme="minorEastAsia"/>
                <w:b/>
                <w:bCs/>
                <w:kern w:val="0"/>
                <w:sz w:val="22"/>
                <w:szCs w:val="22"/>
              </w:rPr>
            </w:pPr>
            <w:r>
              <w:rPr>
                <w:rFonts w:hint="eastAsia" w:eastAsiaTheme="minorEastAsia"/>
                <w:b/>
                <w:bCs/>
                <w:kern w:val="0"/>
                <w:sz w:val="22"/>
                <w:szCs w:val="22"/>
              </w:rPr>
              <w:t>一、近期建设项目（</w:t>
            </w:r>
            <w:r>
              <w:rPr>
                <w:rFonts w:eastAsiaTheme="minorEastAsia"/>
                <w:b/>
                <w:bCs/>
                <w:kern w:val="0"/>
                <w:sz w:val="22"/>
                <w:szCs w:val="22"/>
              </w:rPr>
              <w:t>64</w:t>
            </w:r>
            <w:r>
              <w:rPr>
                <w:rFonts w:hint="eastAsia" w:eastAsiaTheme="minorEastAsia"/>
                <w:b/>
                <w:bCs/>
                <w:kern w:val="0"/>
                <w:sz w:val="22"/>
                <w:szCs w:val="22"/>
              </w:rPr>
              <w:t>个）</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eastAsiaTheme="minorEastAsia"/>
                <w:b/>
                <w:bCs/>
                <w:kern w:val="0"/>
                <w:sz w:val="22"/>
                <w:szCs w:val="22"/>
              </w:rPr>
              <w:t>1080.97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eastAsiaTheme="minorEastAsia"/>
                <w:b/>
                <w:bCs/>
                <w:kern w:val="0"/>
                <w:sz w:val="22"/>
                <w:szCs w:val="22"/>
              </w:rPr>
              <w:t>251.14</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　</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G230</w:t>
            </w:r>
            <w:r>
              <w:rPr>
                <w:rFonts w:hint="eastAsia" w:eastAsiaTheme="minorEastAsia"/>
                <w:kern w:val="0"/>
                <w:sz w:val="22"/>
                <w:szCs w:val="22"/>
              </w:rPr>
              <w:t>（原</w:t>
            </w:r>
            <w:r>
              <w:rPr>
                <w:rFonts w:eastAsiaTheme="minorEastAsia"/>
                <w:kern w:val="0"/>
                <w:sz w:val="22"/>
                <w:szCs w:val="22"/>
              </w:rPr>
              <w:t>S213</w:t>
            </w:r>
            <w:r>
              <w:rPr>
                <w:rFonts w:hint="eastAsia" w:eastAsiaTheme="minorEastAsia"/>
                <w:kern w:val="0"/>
                <w:sz w:val="22"/>
                <w:szCs w:val="22"/>
              </w:rPr>
              <w:t>）线息县境改建工程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续建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2021-2025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51.94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G220</w:t>
            </w:r>
            <w:r>
              <w:rPr>
                <w:rFonts w:hint="eastAsia" w:eastAsiaTheme="minorEastAsia"/>
                <w:kern w:val="0"/>
                <w:sz w:val="22"/>
                <w:szCs w:val="22"/>
              </w:rPr>
              <w:t>栏杆至王店乡白露河桥段改建工程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续建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2022-2024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27.29</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3.32</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S335</w:t>
            </w:r>
            <w:r>
              <w:rPr>
                <w:rFonts w:hint="eastAsia" w:eastAsiaTheme="minorEastAsia"/>
                <w:kern w:val="0"/>
                <w:sz w:val="22"/>
                <w:szCs w:val="22"/>
              </w:rPr>
              <w:t>淮滨县至淮息交界段公路改建工程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续建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2022-2024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26.77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3.03</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S334</w:t>
            </w:r>
            <w:r>
              <w:rPr>
                <w:rFonts w:hint="eastAsia" w:eastAsiaTheme="minorEastAsia"/>
                <w:kern w:val="0"/>
                <w:sz w:val="22"/>
                <w:szCs w:val="22"/>
              </w:rPr>
              <w:t>息县白土店乡至彭店乡段改建工程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续建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2023-2024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2.34</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S536</w:t>
            </w:r>
            <w:r>
              <w:rPr>
                <w:rFonts w:hint="eastAsia" w:eastAsiaTheme="minorEastAsia"/>
                <w:kern w:val="0"/>
                <w:sz w:val="22"/>
                <w:szCs w:val="22"/>
              </w:rPr>
              <w:t>盛湾公园至光新交界段改建工程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续建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2023-2025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35.1</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1.17</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S210</w:t>
            </w:r>
            <w:r>
              <w:rPr>
                <w:rFonts w:hint="eastAsia" w:eastAsiaTheme="minorEastAsia"/>
                <w:kern w:val="0"/>
                <w:sz w:val="22"/>
                <w:szCs w:val="22"/>
              </w:rPr>
              <w:t>苏河至卡房段改造提升工程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2024-2024</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0.33</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G328</w:t>
            </w:r>
            <w:r>
              <w:rPr>
                <w:rFonts w:hint="eastAsia" w:eastAsiaTheme="minorEastAsia"/>
                <w:kern w:val="0"/>
                <w:sz w:val="22"/>
                <w:szCs w:val="22"/>
              </w:rPr>
              <w:t>淮滨县</w:t>
            </w:r>
            <w:r>
              <w:rPr>
                <w:rFonts w:eastAsiaTheme="minorEastAsia"/>
                <w:kern w:val="0"/>
                <w:sz w:val="22"/>
                <w:szCs w:val="22"/>
              </w:rPr>
              <w:t>S334</w:t>
            </w:r>
            <w:r>
              <w:rPr>
                <w:rFonts w:hint="eastAsia" w:eastAsiaTheme="minorEastAsia"/>
                <w:kern w:val="0"/>
                <w:sz w:val="22"/>
                <w:szCs w:val="22"/>
              </w:rPr>
              <w:t>与</w:t>
            </w:r>
            <w:r>
              <w:rPr>
                <w:rFonts w:eastAsiaTheme="minorEastAsia"/>
                <w:kern w:val="0"/>
                <w:sz w:val="22"/>
                <w:szCs w:val="22"/>
              </w:rPr>
              <w:t>G328</w:t>
            </w:r>
            <w:r>
              <w:rPr>
                <w:rFonts w:hint="eastAsia" w:eastAsiaTheme="minorEastAsia"/>
                <w:kern w:val="0"/>
                <w:sz w:val="22"/>
                <w:szCs w:val="22"/>
              </w:rPr>
              <w:t>淮内高速栏杆周营出入口连接线新建工程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2024-2024</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0.87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0.22</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S203</w:t>
            </w:r>
            <w:r>
              <w:rPr>
                <w:rFonts w:hint="eastAsia" w:eastAsiaTheme="minorEastAsia"/>
                <w:kern w:val="0"/>
                <w:sz w:val="22"/>
                <w:szCs w:val="22"/>
              </w:rPr>
              <w:t>武庙集至豫皖南交界段改建工程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2024-2024</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S210</w:t>
            </w:r>
            <w:r>
              <w:rPr>
                <w:rFonts w:hint="eastAsia" w:eastAsiaTheme="minorEastAsia"/>
                <w:kern w:val="0"/>
                <w:sz w:val="22"/>
                <w:szCs w:val="22"/>
              </w:rPr>
              <w:t>潢光一体化新建工程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 xml:space="preserve">1.0 </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豫东南</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G312</w:t>
            </w:r>
            <w:r>
              <w:rPr>
                <w:rFonts w:hint="eastAsia" w:eastAsiaTheme="minorEastAsia"/>
                <w:kern w:val="0"/>
                <w:sz w:val="22"/>
                <w:szCs w:val="22"/>
              </w:rPr>
              <w:t>潢川县城区至沪陕高速连接线改建工程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7.6</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4.56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G230</w:t>
            </w:r>
            <w:r>
              <w:rPr>
                <w:rFonts w:hint="eastAsia" w:eastAsiaTheme="minorEastAsia"/>
                <w:color w:val="000000"/>
                <w:kern w:val="0"/>
                <w:sz w:val="22"/>
                <w:szCs w:val="22"/>
              </w:rPr>
              <w:t>新县巴棚至豫鄂省界段战备公路改建工程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14</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2.8</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S335</w:t>
            </w:r>
            <w:r>
              <w:rPr>
                <w:rFonts w:hint="eastAsia" w:eastAsiaTheme="minorEastAsia"/>
                <w:kern w:val="0"/>
                <w:sz w:val="22"/>
                <w:szCs w:val="22"/>
              </w:rPr>
              <w:t>肖王镇至胡店道路改建工程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1.5</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平桥区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13</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S218</w:t>
            </w:r>
            <w:r>
              <w:rPr>
                <w:rFonts w:hint="eastAsia" w:eastAsiaTheme="minorEastAsia"/>
                <w:kern w:val="0"/>
                <w:sz w:val="22"/>
                <w:szCs w:val="22"/>
              </w:rPr>
              <w:t>罗山十里塘至槐店段改建工程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0.31</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14</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G106</w:t>
            </w:r>
            <w:r>
              <w:rPr>
                <w:rFonts w:hint="eastAsia" w:eastAsiaTheme="minorEastAsia"/>
                <w:kern w:val="0"/>
                <w:sz w:val="22"/>
                <w:szCs w:val="22"/>
              </w:rPr>
              <w:t>潢川县城区至沪陕高速连接线改建工程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7.2</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4.56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15</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S217</w:t>
            </w:r>
            <w:r>
              <w:rPr>
                <w:rFonts w:hint="eastAsia" w:eastAsiaTheme="minorEastAsia"/>
                <w:kern w:val="0"/>
                <w:sz w:val="22"/>
                <w:szCs w:val="22"/>
              </w:rPr>
              <w:t>孙铁铺至滕岗段改建工程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13.2</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0.726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16</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S226</w:t>
            </w:r>
            <w:r>
              <w:rPr>
                <w:rFonts w:hint="eastAsia" w:eastAsiaTheme="minorEastAsia"/>
                <w:color w:val="000000"/>
                <w:kern w:val="0"/>
                <w:sz w:val="22"/>
                <w:szCs w:val="22"/>
              </w:rPr>
              <w:t>孙庙乡至谯楼段新建工程（城区段改线）</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1.7</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17</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S337</w:t>
            </w:r>
            <w:r>
              <w:rPr>
                <w:rFonts w:hint="eastAsia" w:eastAsiaTheme="minorEastAsia"/>
                <w:kern w:val="0"/>
                <w:sz w:val="22"/>
                <w:szCs w:val="22"/>
              </w:rPr>
              <w:t>固商交界至北环起点段改造工程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10.2</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0.37</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18</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S337</w:t>
            </w:r>
            <w:r>
              <w:rPr>
                <w:rFonts w:hint="eastAsia" w:eastAsiaTheme="minorEastAsia"/>
                <w:kern w:val="0"/>
                <w:sz w:val="22"/>
                <w:szCs w:val="22"/>
              </w:rPr>
              <w:t>县城北环段改造工程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14.9</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0.58</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19</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G220</w:t>
            </w:r>
            <w:r>
              <w:rPr>
                <w:rFonts w:hint="eastAsia" w:eastAsiaTheme="minorEastAsia"/>
                <w:kern w:val="0"/>
                <w:sz w:val="22"/>
                <w:szCs w:val="22"/>
              </w:rPr>
              <w:t>豫皖界至平安大道至</w:t>
            </w:r>
            <w:r>
              <w:rPr>
                <w:rFonts w:eastAsiaTheme="minorEastAsia"/>
                <w:kern w:val="0"/>
                <w:sz w:val="22"/>
                <w:szCs w:val="22"/>
              </w:rPr>
              <w:t>G328</w:t>
            </w:r>
            <w:r>
              <w:rPr>
                <w:rFonts w:hint="eastAsia" w:eastAsiaTheme="minorEastAsia"/>
                <w:kern w:val="0"/>
                <w:sz w:val="22"/>
                <w:szCs w:val="22"/>
              </w:rPr>
              <w:t>铁路桥段新建工程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4.11</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2.9</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G230</w:t>
            </w:r>
            <w:r>
              <w:rPr>
                <w:rFonts w:hint="eastAsia" w:eastAsiaTheme="minorEastAsia"/>
                <w:kern w:val="0"/>
                <w:sz w:val="22"/>
                <w:szCs w:val="22"/>
              </w:rPr>
              <w:t>光山县寨河段改建工程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3.9</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0.54</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21</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G230</w:t>
            </w:r>
            <w:r>
              <w:rPr>
                <w:rFonts w:hint="eastAsia" w:eastAsiaTheme="minorEastAsia"/>
                <w:kern w:val="0"/>
                <w:sz w:val="22"/>
                <w:szCs w:val="22"/>
              </w:rPr>
              <w:t>光山县泼河段改建工程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0.65</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22</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G230</w:t>
            </w:r>
            <w:r>
              <w:rPr>
                <w:rFonts w:hint="eastAsia" w:eastAsiaTheme="minorEastAsia"/>
                <w:kern w:val="0"/>
                <w:sz w:val="22"/>
                <w:szCs w:val="22"/>
              </w:rPr>
              <w:t>光山县绕城段改建工程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18</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8.5</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S203</w:t>
            </w:r>
            <w:r>
              <w:rPr>
                <w:rFonts w:hint="eastAsia" w:eastAsiaTheme="minorEastAsia"/>
                <w:kern w:val="0"/>
                <w:sz w:val="22"/>
                <w:szCs w:val="22"/>
              </w:rPr>
              <w:t>河南固始三河尖至安徽阜阳（阜南曹集）</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7.78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12.72</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24</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S238</w:t>
            </w:r>
            <w:r>
              <w:rPr>
                <w:rFonts w:hint="eastAsia" w:eastAsiaTheme="minorEastAsia"/>
                <w:kern w:val="0"/>
                <w:sz w:val="22"/>
                <w:szCs w:val="22"/>
              </w:rPr>
              <w:t>阜南许堂至王家坝（淮河特大桥及接线）改建工程（</w:t>
            </w:r>
            <w:r>
              <w:rPr>
                <w:rFonts w:eastAsiaTheme="minorEastAsia"/>
                <w:kern w:val="0"/>
                <w:sz w:val="22"/>
                <w:szCs w:val="22"/>
              </w:rPr>
              <w:t>S204</w:t>
            </w:r>
            <w:r>
              <w:rPr>
                <w:rFonts w:hint="eastAsia" w:eastAsiaTheme="minorEastAsia"/>
                <w:kern w:val="0"/>
                <w:sz w:val="22"/>
                <w:szCs w:val="22"/>
              </w:rPr>
              <w:t>往流）</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12.96</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24.22</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25</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S335</w:t>
            </w:r>
            <w:r>
              <w:rPr>
                <w:rFonts w:hint="eastAsia" w:eastAsiaTheme="minorEastAsia"/>
                <w:kern w:val="0"/>
                <w:sz w:val="22"/>
                <w:szCs w:val="22"/>
              </w:rPr>
              <w:t>高梁店街道至湖北省随州市交界段修复养护工程</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0.0595</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平桥区</w:t>
            </w:r>
          </w:p>
        </w:tc>
        <w:tc>
          <w:tcPr>
            <w:tcW w:w="1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26</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S205</w:t>
            </w:r>
            <w:r>
              <w:rPr>
                <w:rFonts w:hint="eastAsia" w:eastAsiaTheme="minorEastAsia"/>
                <w:kern w:val="0"/>
                <w:sz w:val="22"/>
                <w:szCs w:val="22"/>
              </w:rPr>
              <w:t>白雀至泼河改建工程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23.3</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1.8</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27</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S214</w:t>
            </w:r>
            <w:r>
              <w:rPr>
                <w:rFonts w:hint="eastAsia" w:eastAsiaTheme="minorEastAsia"/>
                <w:kern w:val="0"/>
                <w:sz w:val="22"/>
                <w:szCs w:val="22"/>
              </w:rPr>
              <w:t>淮滨县赵集至马集段改建工程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2026-2027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17.533</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1.87</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28</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S204</w:t>
            </w:r>
            <w:r>
              <w:rPr>
                <w:rFonts w:hint="eastAsia" w:eastAsiaTheme="minorEastAsia"/>
                <w:color w:val="000000"/>
                <w:kern w:val="0"/>
                <w:sz w:val="22"/>
                <w:szCs w:val="22"/>
              </w:rPr>
              <w:t>金刚台镇阳新高速出入口至商城县城段改造工程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0.77</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29</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S226</w:t>
            </w:r>
            <w:r>
              <w:rPr>
                <w:rFonts w:hint="eastAsia" w:eastAsiaTheme="minorEastAsia"/>
                <w:color w:val="000000"/>
                <w:kern w:val="0"/>
                <w:sz w:val="22"/>
                <w:szCs w:val="22"/>
              </w:rPr>
              <w:t>线渡淮大桥至任店段</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8.4</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30</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G312</w:t>
            </w:r>
            <w:r>
              <w:rPr>
                <w:rFonts w:hint="eastAsia" w:eastAsiaTheme="minorEastAsia"/>
                <w:kern w:val="0"/>
                <w:sz w:val="22"/>
                <w:szCs w:val="22"/>
              </w:rPr>
              <w:t>线固始县孙家沟至黎集街段改建工程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2026-2027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31</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S338</w:t>
            </w:r>
            <w:r>
              <w:rPr>
                <w:rFonts w:hint="eastAsia" w:eastAsiaTheme="minorEastAsia"/>
                <w:color w:val="000000"/>
                <w:kern w:val="0"/>
                <w:sz w:val="22"/>
                <w:szCs w:val="22"/>
              </w:rPr>
              <w:t>商城县伏山乡豫皖省界至余集镇西杨湾段新建工程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2025-2026</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34.8</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7.66</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32</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S226</w:t>
            </w:r>
            <w:r>
              <w:rPr>
                <w:rFonts w:hint="eastAsia" w:eastAsiaTheme="minorEastAsia"/>
                <w:kern w:val="0"/>
                <w:sz w:val="22"/>
                <w:szCs w:val="22"/>
              </w:rPr>
              <w:t>商城县城至苏仙石乡豫皖省界段新建工程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23.87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5.25</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33</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S338</w:t>
            </w:r>
            <w:r>
              <w:rPr>
                <w:rFonts w:hint="eastAsia" w:eastAsiaTheme="minorEastAsia"/>
                <w:kern w:val="0"/>
                <w:sz w:val="22"/>
                <w:szCs w:val="22"/>
              </w:rPr>
              <w:t>商城县余集镇区段改建工程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6.42</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1.59</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34</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S338</w:t>
            </w:r>
            <w:r>
              <w:rPr>
                <w:rFonts w:hint="eastAsia" w:eastAsiaTheme="minorEastAsia"/>
                <w:kern w:val="0"/>
                <w:sz w:val="22"/>
                <w:szCs w:val="22"/>
              </w:rPr>
              <w:t>八里王里河至丁李湾段二级公路改建工程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4.9</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0.47</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35</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S338</w:t>
            </w:r>
            <w:r>
              <w:rPr>
                <w:rFonts w:hint="eastAsia" w:eastAsiaTheme="minorEastAsia"/>
                <w:kern w:val="0"/>
                <w:sz w:val="22"/>
                <w:szCs w:val="22"/>
              </w:rPr>
              <w:t>沙窝至浒湾段改造提升工程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23.3</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0.5</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36</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G107</w:t>
            </w:r>
            <w:r>
              <w:rPr>
                <w:rFonts w:hint="eastAsia" w:eastAsiaTheme="minorEastAsia"/>
                <w:kern w:val="0"/>
                <w:sz w:val="22"/>
                <w:szCs w:val="22"/>
              </w:rPr>
              <w:t>驻信交界至龙井段（含明港淮河特大桥）一级公路新建工程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18.5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15.58</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公路中心</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市际通道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37</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安徽临泉洪河大桥至淮滨境</w:t>
            </w:r>
            <w:r>
              <w:rPr>
                <w:rFonts w:eastAsiaTheme="minorEastAsia"/>
                <w:kern w:val="0"/>
                <w:sz w:val="22"/>
                <w:szCs w:val="22"/>
              </w:rPr>
              <w:t>G328</w:t>
            </w:r>
            <w:r>
              <w:rPr>
                <w:rFonts w:hint="eastAsia" w:eastAsiaTheme="minorEastAsia"/>
                <w:kern w:val="0"/>
                <w:sz w:val="22"/>
                <w:szCs w:val="22"/>
              </w:rPr>
              <w:t>连接线工程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2026-2027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2.322</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0.71</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38</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S224</w:t>
            </w:r>
            <w:r>
              <w:rPr>
                <w:rFonts w:hint="eastAsia" w:eastAsiaTheme="minorEastAsia"/>
                <w:kern w:val="0"/>
                <w:sz w:val="22"/>
                <w:szCs w:val="22"/>
              </w:rPr>
              <w:t>罗山县铁铺乡耿楼村至豫鄂省界段改建工程</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2026-2027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1.449</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0.15</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罗山县</w:t>
            </w:r>
          </w:p>
        </w:tc>
        <w:tc>
          <w:tcPr>
            <w:tcW w:w="11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39</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S217</w:t>
            </w:r>
            <w:r>
              <w:rPr>
                <w:rFonts w:hint="eastAsia" w:eastAsiaTheme="minorEastAsia"/>
                <w:color w:val="000000"/>
                <w:kern w:val="0"/>
                <w:sz w:val="22"/>
                <w:szCs w:val="22"/>
              </w:rPr>
              <w:t>息县梅寨至孙铁铺段改建工程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4.62</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0.18</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40</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S210</w:t>
            </w:r>
            <w:r>
              <w:rPr>
                <w:rFonts w:hint="eastAsia" w:eastAsiaTheme="minorEastAsia"/>
                <w:color w:val="000000"/>
                <w:kern w:val="0"/>
                <w:sz w:val="22"/>
                <w:szCs w:val="22"/>
              </w:rPr>
              <w:t>南向店至光新交界段改建工程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5.38</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0.38</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41</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S536</w:t>
            </w:r>
            <w:r>
              <w:rPr>
                <w:rFonts w:hint="eastAsia" w:eastAsiaTheme="minorEastAsia"/>
                <w:color w:val="000000"/>
                <w:kern w:val="0"/>
                <w:sz w:val="22"/>
                <w:szCs w:val="22"/>
              </w:rPr>
              <w:t>砖桥至凉亭段</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8.07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0.56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42</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G220</w:t>
            </w:r>
            <w:r>
              <w:rPr>
                <w:rFonts w:hint="eastAsia" w:eastAsiaTheme="minorEastAsia"/>
                <w:color w:val="000000"/>
                <w:kern w:val="0"/>
                <w:sz w:val="22"/>
                <w:szCs w:val="22"/>
              </w:rPr>
              <w:t>淮滨县栏杆刘老寨</w:t>
            </w:r>
            <w:r>
              <w:rPr>
                <w:rFonts w:eastAsiaTheme="minorEastAsia"/>
                <w:color w:val="000000"/>
                <w:kern w:val="0"/>
                <w:sz w:val="22"/>
                <w:szCs w:val="22"/>
              </w:rPr>
              <w:t>-</w:t>
            </w:r>
            <w:r>
              <w:rPr>
                <w:rFonts w:hint="eastAsia" w:eastAsiaTheme="minorEastAsia"/>
                <w:color w:val="000000"/>
                <w:kern w:val="0"/>
                <w:sz w:val="22"/>
                <w:szCs w:val="22"/>
              </w:rPr>
              <w:t>淮内高速北站连接线工程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1.53</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0.54</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43</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S337</w:t>
            </w:r>
            <w:r>
              <w:rPr>
                <w:rFonts w:hint="eastAsia" w:eastAsiaTheme="minorEastAsia"/>
                <w:color w:val="000000"/>
                <w:kern w:val="0"/>
                <w:sz w:val="22"/>
                <w:szCs w:val="22"/>
              </w:rPr>
              <w:t>固始境豫皖交界至祖师庙乡茶园村段改造工程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原级改造</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10</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0.46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44</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color w:val="000000"/>
                <w:kern w:val="0"/>
                <w:sz w:val="22"/>
                <w:szCs w:val="22"/>
              </w:rPr>
              <w:t>S210</w:t>
            </w:r>
            <w:r>
              <w:rPr>
                <w:rFonts w:hint="eastAsia" w:eastAsiaTheme="minorEastAsia"/>
                <w:color w:val="000000"/>
                <w:kern w:val="0"/>
                <w:sz w:val="22"/>
                <w:szCs w:val="22"/>
              </w:rPr>
              <w:t>张庄徐营至潢川界改建工程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10.4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45</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S204</w:t>
            </w:r>
            <w:r>
              <w:rPr>
                <w:rFonts w:hint="eastAsia" w:eastAsiaTheme="minorEastAsia"/>
                <w:color w:val="000000"/>
                <w:kern w:val="0"/>
                <w:sz w:val="22"/>
                <w:szCs w:val="22"/>
              </w:rPr>
              <w:t>固始县秀水街道魏敬公园至洪埠乡高皇村段改建工程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46</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G312</w:t>
            </w:r>
            <w:r>
              <w:rPr>
                <w:rFonts w:hint="eastAsia" w:eastAsiaTheme="minorEastAsia"/>
                <w:kern w:val="0"/>
                <w:sz w:val="22"/>
                <w:szCs w:val="22"/>
              </w:rPr>
              <w:t>豫皖界至罗山东铺段新建工程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2026-2029</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136.8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100</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公路中心</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47</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G328</w:t>
            </w:r>
            <w:r>
              <w:rPr>
                <w:rFonts w:hint="eastAsia" w:eastAsiaTheme="minorEastAsia"/>
                <w:color w:val="000000"/>
                <w:kern w:val="0"/>
                <w:sz w:val="22"/>
                <w:szCs w:val="22"/>
              </w:rPr>
              <w:t>豫皖省界至陈集镇段改建工程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升级改造</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2027-2027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1.6</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48</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淮内高速淮滨北站</w:t>
            </w:r>
            <w:r>
              <w:rPr>
                <w:rFonts w:eastAsiaTheme="minorEastAsia"/>
                <w:color w:val="000000"/>
                <w:kern w:val="0"/>
                <w:sz w:val="22"/>
                <w:szCs w:val="22"/>
              </w:rPr>
              <w:t>-S334</w:t>
            </w:r>
            <w:r>
              <w:rPr>
                <w:rFonts w:hint="eastAsia" w:eastAsiaTheme="minorEastAsia"/>
                <w:color w:val="000000"/>
                <w:kern w:val="0"/>
                <w:sz w:val="22"/>
                <w:szCs w:val="22"/>
              </w:rPr>
              <w:t>淮滨县固城乡邓营村连接线</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2027-2027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0.853</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0.2</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49</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S338</w:t>
            </w:r>
            <w:r>
              <w:rPr>
                <w:rFonts w:hint="eastAsia" w:eastAsiaTheme="minorEastAsia"/>
                <w:color w:val="000000"/>
                <w:kern w:val="0"/>
                <w:sz w:val="22"/>
                <w:szCs w:val="22"/>
              </w:rPr>
              <w:t>李家寨镇（清水村至谢桥村）段改建工程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2027-2028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2.56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50</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S204</w:t>
            </w:r>
            <w:r>
              <w:rPr>
                <w:rFonts w:hint="eastAsia" w:eastAsiaTheme="minorEastAsia"/>
                <w:color w:val="000000"/>
                <w:kern w:val="0"/>
                <w:sz w:val="22"/>
                <w:szCs w:val="22"/>
              </w:rPr>
              <w:t>固始县城魏敬公园段至马达河段改造工程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原级改造</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2028-2029</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32.525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51</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G220</w:t>
            </w:r>
            <w:r>
              <w:rPr>
                <w:rFonts w:hint="eastAsia" w:eastAsiaTheme="minorEastAsia"/>
                <w:kern w:val="0"/>
                <w:sz w:val="22"/>
                <w:szCs w:val="22"/>
              </w:rPr>
              <w:t>淮滨县豫皖界王家岗洪河桥至</w:t>
            </w:r>
            <w:r>
              <w:rPr>
                <w:rFonts w:eastAsiaTheme="minorEastAsia"/>
                <w:kern w:val="0"/>
                <w:sz w:val="22"/>
                <w:szCs w:val="22"/>
              </w:rPr>
              <w:t>G328</w:t>
            </w:r>
            <w:r>
              <w:rPr>
                <w:rFonts w:hint="eastAsia" w:eastAsiaTheme="minorEastAsia"/>
                <w:kern w:val="0"/>
                <w:sz w:val="22"/>
                <w:szCs w:val="22"/>
              </w:rPr>
              <w:t>淮滨港区</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2028-2029</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3.87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52</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G328</w:t>
            </w:r>
            <w:r>
              <w:rPr>
                <w:rFonts w:hint="eastAsia" w:eastAsiaTheme="minorEastAsia"/>
                <w:kern w:val="0"/>
                <w:sz w:val="22"/>
                <w:szCs w:val="22"/>
              </w:rPr>
              <w:t>火车站至淮滨中心港连接通道建设项目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2028-2029</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53</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S214</w:t>
            </w:r>
            <w:r>
              <w:rPr>
                <w:rFonts w:hint="eastAsia" w:eastAsiaTheme="minorEastAsia"/>
                <w:kern w:val="0"/>
                <w:sz w:val="22"/>
                <w:szCs w:val="22"/>
              </w:rPr>
              <w:t>淮滨县马集镇至淮潢界改建工程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2028-2030</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54</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S336</w:t>
            </w:r>
            <w:r>
              <w:rPr>
                <w:rFonts w:hint="eastAsia" w:eastAsiaTheme="minorEastAsia"/>
                <w:kern w:val="0"/>
                <w:sz w:val="22"/>
                <w:szCs w:val="22"/>
              </w:rPr>
              <w:t>洋河路口</w:t>
            </w:r>
            <w:r>
              <w:rPr>
                <w:rFonts w:eastAsiaTheme="minorEastAsia"/>
                <w:kern w:val="0"/>
                <w:sz w:val="22"/>
                <w:szCs w:val="22"/>
              </w:rPr>
              <w:t>-</w:t>
            </w:r>
            <w:r>
              <w:rPr>
                <w:rFonts w:hint="eastAsia" w:eastAsiaTheme="minorEastAsia"/>
                <w:kern w:val="0"/>
                <w:sz w:val="22"/>
                <w:szCs w:val="22"/>
              </w:rPr>
              <w:t>五里镇公路改建工程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2028-2030</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6.9</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平桥区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55</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G220</w:t>
            </w:r>
            <w:r>
              <w:rPr>
                <w:rFonts w:hint="eastAsia" w:eastAsiaTheme="minorEastAsia"/>
                <w:kern w:val="0"/>
                <w:sz w:val="22"/>
                <w:szCs w:val="22"/>
              </w:rPr>
              <w:t>商城县城至汪岗段新建工程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2029-2030</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10.94</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56</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S205</w:t>
            </w:r>
            <w:r>
              <w:rPr>
                <w:rFonts w:hint="eastAsia" w:eastAsiaTheme="minorEastAsia"/>
                <w:kern w:val="0"/>
                <w:sz w:val="22"/>
                <w:szCs w:val="22"/>
              </w:rPr>
              <w:t>泼河至光新县界改建工程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2029-2030</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14.191</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57</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S213</w:t>
            </w:r>
            <w:r>
              <w:rPr>
                <w:rFonts w:hint="eastAsia" w:eastAsiaTheme="minorEastAsia"/>
                <w:kern w:val="0"/>
                <w:sz w:val="22"/>
                <w:szCs w:val="22"/>
              </w:rPr>
              <w:t>洋河至陆庙段一级公路改建工程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2029-2030</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7.4</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羊山新区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58</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S540</w:t>
            </w:r>
            <w:r>
              <w:rPr>
                <w:rFonts w:hint="eastAsia" w:eastAsiaTheme="minorEastAsia"/>
                <w:kern w:val="0"/>
                <w:sz w:val="22"/>
                <w:szCs w:val="22"/>
              </w:rPr>
              <w:t>楠杆至子路至彭新镇段改建工程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2029-2031</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59</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S203</w:t>
            </w:r>
            <w:r>
              <w:rPr>
                <w:rFonts w:hint="eastAsia" w:eastAsiaTheme="minorEastAsia"/>
                <w:kern w:val="0"/>
                <w:sz w:val="22"/>
                <w:szCs w:val="22"/>
              </w:rPr>
              <w:t>固始境陈集至黎集段改建工程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2029-2032</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44.53</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60</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G328</w:t>
            </w:r>
            <w:r>
              <w:rPr>
                <w:rFonts w:hint="eastAsia" w:eastAsiaTheme="minorEastAsia"/>
                <w:kern w:val="0"/>
                <w:sz w:val="22"/>
                <w:szCs w:val="22"/>
              </w:rPr>
              <w:t>淮河大桥至谷堆白露河桥专用快速通道改建工程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2030-2031</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12.8</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61</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G328</w:t>
            </w:r>
            <w:r>
              <w:rPr>
                <w:rFonts w:hint="eastAsia" w:eastAsiaTheme="minorEastAsia"/>
                <w:kern w:val="0"/>
                <w:sz w:val="22"/>
                <w:szCs w:val="22"/>
              </w:rPr>
              <w:t>淮河特大桥至</w:t>
            </w:r>
            <w:r>
              <w:rPr>
                <w:rFonts w:eastAsiaTheme="minorEastAsia"/>
                <w:kern w:val="0"/>
                <w:sz w:val="22"/>
                <w:szCs w:val="22"/>
              </w:rPr>
              <w:t>G220</w:t>
            </w:r>
            <w:r>
              <w:rPr>
                <w:rFonts w:hint="eastAsia" w:eastAsiaTheme="minorEastAsia"/>
                <w:kern w:val="0"/>
                <w:sz w:val="22"/>
                <w:szCs w:val="22"/>
              </w:rPr>
              <w:t>王店快速通道改建工程</w:t>
            </w:r>
            <w:r>
              <w:rPr>
                <w:rFonts w:eastAsiaTheme="minorEastAsia"/>
                <w:kern w:val="0"/>
                <w:sz w:val="22"/>
                <w:szCs w:val="22"/>
              </w:rPr>
              <w:t xml:space="preserve">  </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2030-2031</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18.95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62</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S210</w:t>
            </w:r>
            <w:r>
              <w:rPr>
                <w:rFonts w:hint="eastAsia" w:eastAsiaTheme="minorEastAsia"/>
                <w:kern w:val="0"/>
                <w:sz w:val="22"/>
                <w:szCs w:val="22"/>
              </w:rPr>
              <w:t>潢踅路升级改造工程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2030-2032</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63</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S536</w:t>
            </w:r>
            <w:r>
              <w:rPr>
                <w:rFonts w:hint="eastAsia" w:eastAsiaTheme="minorEastAsia"/>
                <w:kern w:val="0"/>
                <w:sz w:val="22"/>
                <w:szCs w:val="22"/>
              </w:rPr>
              <w:t>潢上路升级改造工程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2030-2032</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64</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潢川县机场联络线项目（</w:t>
            </w:r>
            <w:r>
              <w:rPr>
                <w:rFonts w:eastAsiaTheme="minorEastAsia"/>
                <w:kern w:val="0"/>
                <w:sz w:val="22"/>
                <w:szCs w:val="22"/>
              </w:rPr>
              <w:t>S214</w:t>
            </w:r>
            <w:r>
              <w:rPr>
                <w:rFonts w:hint="eastAsia" w:eastAsiaTheme="minorEastAsia"/>
                <w:kern w:val="0"/>
                <w:sz w:val="22"/>
                <w:szCs w:val="22"/>
              </w:rPr>
              <w:t>桃双路）</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2030-2032</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55.33</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9062" w:type="dxa"/>
            <w:gridSpan w:val="4"/>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eastAsiaTheme="minorEastAsia"/>
                <w:b/>
                <w:bCs/>
                <w:kern w:val="0"/>
                <w:sz w:val="22"/>
                <w:szCs w:val="22"/>
              </w:rPr>
            </w:pPr>
            <w:r>
              <w:rPr>
                <w:rFonts w:hint="eastAsia" w:eastAsiaTheme="minorEastAsia"/>
                <w:b/>
                <w:bCs/>
                <w:kern w:val="0"/>
                <w:sz w:val="22"/>
                <w:szCs w:val="22"/>
              </w:rPr>
              <w:t>二、远期建设项目（</w:t>
            </w:r>
            <w:r>
              <w:rPr>
                <w:rFonts w:eastAsiaTheme="minorEastAsia"/>
                <w:b/>
                <w:bCs/>
                <w:kern w:val="0"/>
                <w:sz w:val="22"/>
                <w:szCs w:val="22"/>
              </w:rPr>
              <w:t>63</w:t>
            </w:r>
            <w:r>
              <w:rPr>
                <w:rFonts w:hint="eastAsia" w:eastAsiaTheme="minorEastAsia"/>
                <w:b/>
                <w:bCs/>
                <w:kern w:val="0"/>
                <w:sz w:val="22"/>
                <w:szCs w:val="22"/>
              </w:rPr>
              <w:t>个）</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eastAsiaTheme="minorEastAsia"/>
                <w:b/>
                <w:bCs/>
                <w:kern w:val="0"/>
                <w:sz w:val="22"/>
                <w:szCs w:val="22"/>
              </w:rPr>
              <w:t>1307.23</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eastAsiaTheme="minorEastAsia"/>
                <w:b/>
                <w:bCs/>
                <w:kern w:val="0"/>
                <w:sz w:val="22"/>
                <w:szCs w:val="22"/>
              </w:rPr>
              <w:t>345.27</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　</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65</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S213</w:t>
            </w:r>
            <w:r>
              <w:rPr>
                <w:rFonts w:hint="eastAsia" w:eastAsiaTheme="minorEastAsia"/>
                <w:color w:val="000000"/>
                <w:kern w:val="0"/>
                <w:sz w:val="22"/>
                <w:szCs w:val="22"/>
              </w:rPr>
              <w:t>十三里桥至谭家河段改建工程</w:t>
            </w:r>
            <w:r>
              <w:rPr>
                <w:rFonts w:eastAsiaTheme="minorEastAsia"/>
                <w:color w:val="000000"/>
                <w:kern w:val="0"/>
                <w:sz w:val="22"/>
                <w:szCs w:val="22"/>
              </w:rPr>
              <w:t>+C70:C120</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30.25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1.31</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66</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S337</w:t>
            </w:r>
            <w:r>
              <w:rPr>
                <w:rFonts w:hint="eastAsia" w:eastAsiaTheme="minorEastAsia"/>
                <w:color w:val="000000"/>
                <w:kern w:val="0"/>
                <w:sz w:val="22"/>
                <w:szCs w:val="22"/>
              </w:rPr>
              <w:t>董家河镇（楼房村至孔畈村）段改建工程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19.6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3.13</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67</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S213</w:t>
            </w:r>
            <w:r>
              <w:rPr>
                <w:rFonts w:hint="eastAsia" w:eastAsiaTheme="minorEastAsia"/>
                <w:color w:val="000000"/>
                <w:kern w:val="0"/>
                <w:sz w:val="22"/>
                <w:szCs w:val="22"/>
              </w:rPr>
              <w:t>线绕十三里桥镇区新建工程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3.806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0.89</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68</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S540</w:t>
            </w:r>
            <w:r>
              <w:rPr>
                <w:rFonts w:hint="eastAsia" w:eastAsiaTheme="minorEastAsia"/>
                <w:color w:val="000000"/>
                <w:kern w:val="0"/>
                <w:sz w:val="22"/>
                <w:szCs w:val="22"/>
              </w:rPr>
              <w:t>提升改造项目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65.5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9.8</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罗山县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69</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S337</w:t>
            </w:r>
            <w:r>
              <w:rPr>
                <w:rFonts w:hint="eastAsia" w:eastAsiaTheme="minorEastAsia"/>
                <w:color w:val="000000"/>
                <w:kern w:val="0"/>
                <w:sz w:val="22"/>
                <w:szCs w:val="22"/>
              </w:rPr>
              <w:t>北向店乡绕集镇道路改建工程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70</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S337</w:t>
            </w:r>
            <w:r>
              <w:rPr>
                <w:rFonts w:hint="eastAsia" w:eastAsiaTheme="minorEastAsia"/>
                <w:color w:val="000000"/>
                <w:kern w:val="0"/>
                <w:sz w:val="22"/>
                <w:szCs w:val="22"/>
              </w:rPr>
              <w:t>光山至潢川段道路改建工程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8.8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0.85</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光山、潢川县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71</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大别山铁路物流园连接线项目（</w:t>
            </w:r>
            <w:r>
              <w:rPr>
                <w:rFonts w:eastAsiaTheme="minorEastAsia"/>
                <w:color w:val="000000"/>
                <w:kern w:val="0"/>
                <w:sz w:val="22"/>
                <w:szCs w:val="22"/>
              </w:rPr>
              <w:t>G312</w:t>
            </w:r>
            <w:r>
              <w:rPr>
                <w:rFonts w:hint="eastAsia" w:eastAsiaTheme="minorEastAsia"/>
                <w:color w:val="000000"/>
                <w:kern w:val="0"/>
                <w:sz w:val="22"/>
                <w:szCs w:val="22"/>
              </w:rPr>
              <w:t>东外环）</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6.335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72</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S533</w:t>
            </w:r>
            <w:r>
              <w:rPr>
                <w:rFonts w:hint="eastAsia" w:eastAsiaTheme="minorEastAsia"/>
                <w:color w:val="000000"/>
                <w:kern w:val="0"/>
                <w:sz w:val="22"/>
                <w:szCs w:val="22"/>
              </w:rPr>
              <w:t>正阳岳城息县界至</w:t>
            </w:r>
            <w:r>
              <w:rPr>
                <w:rFonts w:eastAsiaTheme="minorEastAsia"/>
                <w:color w:val="000000"/>
                <w:kern w:val="0"/>
                <w:sz w:val="22"/>
                <w:szCs w:val="22"/>
              </w:rPr>
              <w:t>G106</w:t>
            </w:r>
            <w:r>
              <w:rPr>
                <w:rFonts w:hint="eastAsia" w:eastAsiaTheme="minorEastAsia"/>
                <w:color w:val="000000"/>
                <w:kern w:val="0"/>
                <w:sz w:val="22"/>
                <w:szCs w:val="22"/>
              </w:rPr>
              <w:t>连接线升级改建工程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8.256</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1.65</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73</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S334</w:t>
            </w:r>
            <w:r>
              <w:rPr>
                <w:rFonts w:hint="eastAsia" w:eastAsiaTheme="minorEastAsia"/>
                <w:color w:val="000000"/>
                <w:kern w:val="0"/>
                <w:sz w:val="22"/>
                <w:szCs w:val="22"/>
              </w:rPr>
              <w:t>淮息县界至息县岗李店乡改建工程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74</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S335</w:t>
            </w:r>
            <w:r>
              <w:rPr>
                <w:rFonts w:hint="eastAsia" w:eastAsiaTheme="minorEastAsia"/>
                <w:color w:val="000000"/>
                <w:kern w:val="0"/>
                <w:sz w:val="22"/>
                <w:szCs w:val="22"/>
              </w:rPr>
              <w:t>项店镇经任大寨至临河街南至关店段升级改建工程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23.3</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4.66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75</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S226</w:t>
            </w:r>
            <w:r>
              <w:rPr>
                <w:rFonts w:hint="eastAsia" w:eastAsiaTheme="minorEastAsia"/>
                <w:color w:val="000000"/>
                <w:kern w:val="0"/>
                <w:sz w:val="22"/>
                <w:szCs w:val="22"/>
              </w:rPr>
              <w:t>孙庙乡政府至安罗高速连接线改建工程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4.216</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0.84</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76</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S336</w:t>
            </w:r>
            <w:r>
              <w:rPr>
                <w:rFonts w:hint="eastAsia" w:eastAsiaTheme="minorEastAsia"/>
                <w:color w:val="000000"/>
                <w:kern w:val="0"/>
                <w:sz w:val="22"/>
                <w:szCs w:val="22"/>
              </w:rPr>
              <w:t>城区至陡河沿大桥段升级改建工程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6.4</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1.28</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77</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S335</w:t>
            </w:r>
            <w:r>
              <w:rPr>
                <w:rFonts w:hint="eastAsia" w:eastAsiaTheme="minorEastAsia"/>
                <w:color w:val="000000"/>
                <w:kern w:val="0"/>
                <w:sz w:val="22"/>
                <w:szCs w:val="22"/>
              </w:rPr>
              <w:t>周花园至正阳息县交界段升级改建工程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10.2</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2.04</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78</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G328</w:t>
            </w:r>
            <w:r>
              <w:rPr>
                <w:rFonts w:hint="eastAsia" w:eastAsiaTheme="minorEastAsia"/>
                <w:color w:val="000000"/>
                <w:kern w:val="0"/>
                <w:sz w:val="22"/>
                <w:szCs w:val="22"/>
              </w:rPr>
              <w:t>淮滨谷堆乡周庄</w:t>
            </w:r>
            <w:r>
              <w:rPr>
                <w:rFonts w:eastAsiaTheme="minorEastAsia"/>
                <w:color w:val="000000"/>
                <w:kern w:val="0"/>
                <w:sz w:val="22"/>
                <w:szCs w:val="22"/>
              </w:rPr>
              <w:t>-</w:t>
            </w:r>
            <w:r>
              <w:rPr>
                <w:rFonts w:hint="eastAsia" w:eastAsiaTheme="minorEastAsia"/>
                <w:color w:val="000000"/>
                <w:kern w:val="0"/>
                <w:sz w:val="22"/>
                <w:szCs w:val="22"/>
              </w:rPr>
              <w:t>固城乡楚寨改线工程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2.6</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79</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S334</w:t>
            </w:r>
            <w:r>
              <w:rPr>
                <w:rFonts w:hint="eastAsia" w:eastAsiaTheme="minorEastAsia"/>
                <w:color w:val="000000"/>
                <w:kern w:val="0"/>
                <w:sz w:val="22"/>
                <w:szCs w:val="22"/>
              </w:rPr>
              <w:t>改线工程（路线调整）</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33.915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5</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80</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S336</w:t>
            </w:r>
            <w:r>
              <w:rPr>
                <w:rFonts w:hint="eastAsia" w:eastAsiaTheme="minorEastAsia"/>
                <w:color w:val="000000"/>
                <w:kern w:val="0"/>
                <w:sz w:val="22"/>
                <w:szCs w:val="22"/>
              </w:rPr>
              <w:t>改线工程（路线调整、包括新建淮河特大桥）</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39</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81</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G220</w:t>
            </w:r>
            <w:r>
              <w:rPr>
                <w:rFonts w:hint="eastAsia" w:eastAsiaTheme="minorEastAsia"/>
                <w:color w:val="000000"/>
                <w:kern w:val="0"/>
                <w:sz w:val="22"/>
                <w:szCs w:val="22"/>
              </w:rPr>
              <w:t>豫皖界至平安大道</w:t>
            </w:r>
            <w:r>
              <w:rPr>
                <w:rFonts w:eastAsiaTheme="minorEastAsia"/>
                <w:color w:val="000000"/>
                <w:kern w:val="0"/>
                <w:sz w:val="22"/>
                <w:szCs w:val="22"/>
              </w:rPr>
              <w:t>-G328</w:t>
            </w:r>
            <w:r>
              <w:rPr>
                <w:rFonts w:hint="eastAsia" w:eastAsiaTheme="minorEastAsia"/>
                <w:color w:val="000000"/>
                <w:kern w:val="0"/>
                <w:sz w:val="22"/>
                <w:szCs w:val="22"/>
              </w:rPr>
              <w:t>铁路桥段新建工程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4.106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2.91</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82</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淮滨县平安大道西段（刘老寨</w:t>
            </w:r>
            <w:r>
              <w:rPr>
                <w:rFonts w:eastAsiaTheme="minorEastAsia"/>
                <w:color w:val="000000"/>
                <w:kern w:val="0"/>
                <w:sz w:val="22"/>
                <w:szCs w:val="22"/>
              </w:rPr>
              <w:t>-X006)</w:t>
            </w:r>
            <w:r>
              <w:rPr>
                <w:rFonts w:hint="eastAsia" w:eastAsiaTheme="minorEastAsia"/>
                <w:color w:val="000000"/>
                <w:kern w:val="0"/>
                <w:sz w:val="22"/>
                <w:szCs w:val="22"/>
              </w:rPr>
              <w:t>建设项目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4.778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1.76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83</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G328淮</w:t>
            </w:r>
            <w:r>
              <w:rPr>
                <w:rFonts w:hint="eastAsia" w:eastAsiaTheme="minorEastAsia"/>
                <w:color w:val="000000"/>
                <w:kern w:val="0"/>
                <w:sz w:val="22"/>
                <w:szCs w:val="22"/>
              </w:rPr>
              <w:t>河特大桥至</w:t>
            </w:r>
            <w:r>
              <w:rPr>
                <w:rFonts w:eastAsiaTheme="minorEastAsia"/>
                <w:color w:val="000000"/>
                <w:kern w:val="0"/>
                <w:sz w:val="22"/>
                <w:szCs w:val="22"/>
              </w:rPr>
              <w:t xml:space="preserve">G220 </w:t>
            </w:r>
            <w:r>
              <w:rPr>
                <w:rFonts w:hint="eastAsia" w:eastAsiaTheme="minorEastAsia"/>
                <w:color w:val="000000"/>
                <w:kern w:val="0"/>
                <w:sz w:val="22"/>
                <w:szCs w:val="22"/>
              </w:rPr>
              <w:t>王店快速通道改建工程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18.95</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12.15</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84</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S205</w:t>
            </w:r>
            <w:r>
              <w:rPr>
                <w:rFonts w:hint="eastAsia" w:eastAsiaTheme="minorEastAsia"/>
                <w:color w:val="000000"/>
                <w:kern w:val="0"/>
                <w:sz w:val="22"/>
                <w:szCs w:val="22"/>
              </w:rPr>
              <w:t>商城县双铺镇双园路至观庙镇商光交界段新建工程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36.9</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7.4</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85</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G220</w:t>
            </w:r>
            <w:r>
              <w:rPr>
                <w:rFonts w:hint="eastAsia" w:eastAsiaTheme="minorEastAsia"/>
                <w:color w:val="000000"/>
                <w:kern w:val="0"/>
                <w:sz w:val="22"/>
                <w:szCs w:val="22"/>
              </w:rPr>
              <w:t>商城县长竹园乡汪冲至武畈新建工程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0.7</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86</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G106</w:t>
            </w:r>
            <w:r>
              <w:rPr>
                <w:rFonts w:hint="eastAsia" w:eastAsiaTheme="minorEastAsia"/>
                <w:color w:val="000000"/>
                <w:kern w:val="0"/>
                <w:sz w:val="22"/>
                <w:szCs w:val="22"/>
              </w:rPr>
              <w:t>新县沙窝镇（新光桥至豫鄂省界）段新建工程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13.4</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10</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87</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S338</w:t>
            </w:r>
            <w:r>
              <w:rPr>
                <w:rFonts w:hint="eastAsia" w:eastAsiaTheme="minorEastAsia"/>
                <w:color w:val="000000"/>
                <w:kern w:val="0"/>
                <w:sz w:val="22"/>
                <w:szCs w:val="22"/>
              </w:rPr>
              <w:t>吴陈河至苏河段拓宽改造工程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26.7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7.1</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88</w:t>
            </w:r>
          </w:p>
        </w:tc>
        <w:tc>
          <w:tcPr>
            <w:tcW w:w="585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S338</w:t>
            </w:r>
            <w:r>
              <w:rPr>
                <w:rFonts w:hint="eastAsia" w:eastAsiaTheme="minorEastAsia"/>
                <w:color w:val="000000"/>
                <w:kern w:val="0"/>
                <w:sz w:val="22"/>
                <w:szCs w:val="22"/>
              </w:rPr>
              <w:t>新县沙窝镇（街道）至浒湾乡（黄墩村）段改建工程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23.543</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89</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S335</w:t>
            </w:r>
            <w:r>
              <w:rPr>
                <w:rFonts w:hint="eastAsia" w:eastAsiaTheme="minorEastAsia"/>
                <w:kern w:val="0"/>
                <w:sz w:val="22"/>
                <w:szCs w:val="22"/>
              </w:rPr>
              <w:t>豫皖界至</w:t>
            </w:r>
            <w:r>
              <w:rPr>
                <w:rFonts w:eastAsiaTheme="minorEastAsia"/>
                <w:kern w:val="0"/>
                <w:sz w:val="22"/>
                <w:szCs w:val="22"/>
              </w:rPr>
              <w:t>G328</w:t>
            </w:r>
            <w:r>
              <w:rPr>
                <w:rFonts w:hint="eastAsia" w:eastAsiaTheme="minorEastAsia"/>
                <w:kern w:val="0"/>
                <w:sz w:val="22"/>
                <w:szCs w:val="22"/>
              </w:rPr>
              <w:t>段新建工程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3.23</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1.99</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90</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S535</w:t>
            </w:r>
            <w:r>
              <w:rPr>
                <w:rFonts w:hint="eastAsia" w:eastAsiaTheme="minorEastAsia"/>
                <w:kern w:val="0"/>
                <w:sz w:val="22"/>
                <w:szCs w:val="22"/>
              </w:rPr>
              <w:t>固始境石佛店乡双圩子至郭陆滩镇段工程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升级改造</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13.932</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3.9</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91</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S336</w:t>
            </w:r>
            <w:r>
              <w:rPr>
                <w:rFonts w:hint="eastAsia" w:eastAsiaTheme="minorEastAsia"/>
                <w:kern w:val="0"/>
                <w:sz w:val="22"/>
                <w:szCs w:val="22"/>
              </w:rPr>
              <w:t>固始境杨集乡盛小洼西北至泉河辅乡张岗村县界工程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49.6</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20.7</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92</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S217</w:t>
            </w:r>
            <w:r>
              <w:rPr>
                <w:rFonts w:hint="eastAsia" w:eastAsiaTheme="minorEastAsia"/>
                <w:kern w:val="0"/>
                <w:sz w:val="22"/>
                <w:szCs w:val="22"/>
              </w:rPr>
              <w:t>新县苏河镇（新县光山交界至长塘埂村）段改建工程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0.5</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93</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S337</w:t>
            </w:r>
            <w:r>
              <w:rPr>
                <w:rFonts w:hint="eastAsia" w:eastAsiaTheme="minorEastAsia"/>
                <w:kern w:val="0"/>
                <w:sz w:val="22"/>
                <w:szCs w:val="22"/>
              </w:rPr>
              <w:t>浉河区东双河镇段改建工程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2.1</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1.4</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94</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S334</w:t>
            </w:r>
            <w:r>
              <w:rPr>
                <w:rFonts w:hint="eastAsia" w:eastAsiaTheme="minorEastAsia"/>
                <w:kern w:val="0"/>
                <w:sz w:val="22"/>
                <w:szCs w:val="22"/>
              </w:rPr>
              <w:t>豫皖省界王围孜</w:t>
            </w:r>
            <w:r>
              <w:rPr>
                <w:rFonts w:eastAsiaTheme="minorEastAsia"/>
                <w:kern w:val="0"/>
                <w:sz w:val="22"/>
                <w:szCs w:val="22"/>
              </w:rPr>
              <w:t>-X006</w:t>
            </w:r>
            <w:r>
              <w:rPr>
                <w:rFonts w:hint="eastAsia" w:eastAsiaTheme="minorEastAsia"/>
                <w:kern w:val="0"/>
                <w:sz w:val="22"/>
                <w:szCs w:val="22"/>
              </w:rPr>
              <w:t>赵前线小吴岗段改线新建工程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1.95</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64"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95</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G632</w:t>
            </w:r>
            <w:r>
              <w:rPr>
                <w:rFonts w:hint="eastAsia" w:eastAsiaTheme="minorEastAsia"/>
                <w:kern w:val="0"/>
                <w:sz w:val="22"/>
                <w:szCs w:val="22"/>
              </w:rPr>
              <w:t>叶集至信阳改建工程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227</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68.1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公路中心</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376"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96</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S213G107</w:t>
            </w:r>
            <w:r>
              <w:rPr>
                <w:rFonts w:hint="eastAsia" w:eastAsiaTheme="minorEastAsia"/>
                <w:kern w:val="0"/>
                <w:sz w:val="22"/>
                <w:szCs w:val="22"/>
              </w:rPr>
              <w:t>路口至谭家河改建工程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17.6</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3.52</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97</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S338</w:t>
            </w:r>
            <w:r>
              <w:rPr>
                <w:rFonts w:hint="eastAsia" w:eastAsiaTheme="minorEastAsia"/>
                <w:kern w:val="0"/>
                <w:sz w:val="22"/>
                <w:szCs w:val="22"/>
              </w:rPr>
              <w:t>吴家店</w:t>
            </w:r>
            <w:r>
              <w:rPr>
                <w:rFonts w:eastAsiaTheme="minorEastAsia"/>
                <w:kern w:val="0"/>
                <w:sz w:val="22"/>
                <w:szCs w:val="22"/>
              </w:rPr>
              <w:t>G312-</w:t>
            </w:r>
            <w:r>
              <w:rPr>
                <w:rFonts w:hint="eastAsia" w:eastAsiaTheme="minorEastAsia"/>
                <w:kern w:val="0"/>
                <w:sz w:val="22"/>
                <w:szCs w:val="22"/>
              </w:rPr>
              <w:t>驼店</w:t>
            </w:r>
            <w:r>
              <w:rPr>
                <w:rFonts w:eastAsiaTheme="minorEastAsia"/>
                <w:kern w:val="0"/>
                <w:sz w:val="22"/>
                <w:szCs w:val="22"/>
              </w:rPr>
              <w:t>-</w:t>
            </w:r>
            <w:r>
              <w:rPr>
                <w:rFonts w:hint="eastAsia" w:eastAsiaTheme="minorEastAsia"/>
                <w:kern w:val="0"/>
                <w:sz w:val="22"/>
                <w:szCs w:val="22"/>
              </w:rPr>
              <w:t>董家河公路</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2.86</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98</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S338</w:t>
            </w:r>
            <w:r>
              <w:rPr>
                <w:rFonts w:hint="eastAsia" w:eastAsiaTheme="minorEastAsia"/>
                <w:kern w:val="0"/>
                <w:sz w:val="22"/>
                <w:szCs w:val="22"/>
              </w:rPr>
              <w:t>董家河</w:t>
            </w:r>
            <w:r>
              <w:rPr>
                <w:rFonts w:eastAsiaTheme="minorEastAsia"/>
                <w:kern w:val="0"/>
                <w:sz w:val="22"/>
                <w:szCs w:val="22"/>
              </w:rPr>
              <w:t>-</w:t>
            </w:r>
            <w:r>
              <w:rPr>
                <w:rFonts w:hint="eastAsia" w:eastAsiaTheme="minorEastAsia"/>
                <w:kern w:val="0"/>
                <w:sz w:val="22"/>
                <w:szCs w:val="22"/>
              </w:rPr>
              <w:t>谭家河路口（环湖路）公路</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30.3</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4.84</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99</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S213</w:t>
            </w:r>
            <w:r>
              <w:rPr>
                <w:rFonts w:hint="eastAsia" w:eastAsiaTheme="minorEastAsia"/>
                <w:kern w:val="0"/>
                <w:sz w:val="22"/>
                <w:szCs w:val="22"/>
              </w:rPr>
              <w:t>谭家河至豫鄂省界段改建工程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8.1</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100</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G312</w:t>
            </w:r>
            <w:r>
              <w:rPr>
                <w:rFonts w:hint="eastAsia" w:eastAsiaTheme="minorEastAsia"/>
                <w:kern w:val="0"/>
                <w:sz w:val="22"/>
                <w:szCs w:val="22"/>
              </w:rPr>
              <w:t>游河乡至豫鄂界一级公路改建工程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22</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4.8</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101</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X001</w:t>
            </w:r>
            <w:r>
              <w:rPr>
                <w:rFonts w:hint="eastAsia" w:eastAsiaTheme="minorEastAsia"/>
                <w:kern w:val="0"/>
                <w:sz w:val="22"/>
                <w:szCs w:val="22"/>
              </w:rPr>
              <w:t>吴驼路口至车云山改建工程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9</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0.5</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102</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S224</w:t>
            </w:r>
            <w:r>
              <w:rPr>
                <w:rFonts w:hint="eastAsia" w:eastAsiaTheme="minorEastAsia"/>
                <w:kern w:val="0"/>
                <w:sz w:val="22"/>
                <w:szCs w:val="22"/>
              </w:rPr>
              <w:t>龙井街道南段至平罗交界段改建工程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平桥区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103</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S335</w:t>
            </w:r>
            <w:r>
              <w:rPr>
                <w:rFonts w:hint="eastAsia" w:eastAsiaTheme="minorEastAsia"/>
                <w:kern w:val="0"/>
                <w:sz w:val="22"/>
                <w:szCs w:val="22"/>
              </w:rPr>
              <w:t>驻信交界至</w:t>
            </w:r>
            <w:r>
              <w:rPr>
                <w:rFonts w:eastAsiaTheme="minorEastAsia"/>
                <w:kern w:val="0"/>
                <w:sz w:val="22"/>
                <w:szCs w:val="22"/>
              </w:rPr>
              <w:t>G107</w:t>
            </w:r>
            <w:r>
              <w:rPr>
                <w:rFonts w:hint="eastAsia" w:eastAsiaTheme="minorEastAsia"/>
                <w:kern w:val="0"/>
                <w:sz w:val="22"/>
                <w:szCs w:val="22"/>
              </w:rPr>
              <w:t>段二级公路改建工程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平桥区</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市际通道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104</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S210</w:t>
            </w:r>
            <w:r>
              <w:rPr>
                <w:rFonts w:hint="eastAsia" w:eastAsiaTheme="minorEastAsia"/>
                <w:kern w:val="0"/>
                <w:sz w:val="22"/>
                <w:szCs w:val="22"/>
              </w:rPr>
              <w:t>光潢路口至五岳路口改建工程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32.4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1.94</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105</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S217</w:t>
            </w:r>
            <w:r>
              <w:rPr>
                <w:rFonts w:hint="eastAsia" w:eastAsiaTheme="minorEastAsia"/>
                <w:kern w:val="0"/>
                <w:sz w:val="22"/>
                <w:szCs w:val="22"/>
              </w:rPr>
              <w:t>孙铺息县界至殷棚新县界</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40.8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1.84</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106</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G230</w:t>
            </w:r>
            <w:r>
              <w:rPr>
                <w:rFonts w:hint="eastAsia" w:eastAsiaTheme="minorEastAsia"/>
                <w:kern w:val="0"/>
                <w:sz w:val="22"/>
                <w:szCs w:val="22"/>
              </w:rPr>
              <w:t>新县城区段一级公路改建工程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107</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S537</w:t>
            </w:r>
            <w:r>
              <w:rPr>
                <w:rFonts w:hint="eastAsia" w:eastAsiaTheme="minorEastAsia"/>
                <w:kern w:val="0"/>
                <w:sz w:val="22"/>
                <w:szCs w:val="22"/>
              </w:rPr>
              <w:t>新县沙窝镇熊河至周河乡至县城道路改建</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34.11</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3.41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108</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S210</w:t>
            </w:r>
            <w:r>
              <w:rPr>
                <w:rFonts w:hint="eastAsia" w:eastAsiaTheme="minorEastAsia"/>
                <w:kern w:val="0"/>
                <w:sz w:val="22"/>
                <w:szCs w:val="22"/>
              </w:rPr>
              <w:t>新县卡房乡（卡房街道至豫鄂省界）段改建工程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0.2</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109</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X022</w:t>
            </w:r>
            <w:r>
              <w:rPr>
                <w:rFonts w:hint="eastAsia" w:eastAsiaTheme="minorEastAsia"/>
                <w:kern w:val="0"/>
                <w:sz w:val="22"/>
                <w:szCs w:val="22"/>
              </w:rPr>
              <w:t>鄂豫交界至泗店段二级公路改建工程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10</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110</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G106</w:t>
            </w:r>
            <w:r>
              <w:rPr>
                <w:rFonts w:hint="eastAsia" w:eastAsiaTheme="minorEastAsia"/>
                <w:kern w:val="0"/>
                <w:sz w:val="22"/>
                <w:szCs w:val="22"/>
              </w:rPr>
              <w:t>白雀镇绕集镇道路改建工程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17</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0.85</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111</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S226</w:t>
            </w:r>
            <w:r>
              <w:rPr>
                <w:rFonts w:hint="eastAsia" w:eastAsiaTheme="minorEastAsia"/>
                <w:kern w:val="0"/>
                <w:sz w:val="22"/>
                <w:szCs w:val="22"/>
              </w:rPr>
              <w:t>江集至城区段提质升级改造</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21</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1.9</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112</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S536</w:t>
            </w:r>
            <w:r>
              <w:rPr>
                <w:rFonts w:hint="eastAsia" w:eastAsiaTheme="minorEastAsia"/>
                <w:kern w:val="0"/>
                <w:sz w:val="22"/>
                <w:szCs w:val="22"/>
              </w:rPr>
              <w:t>京九大道至</w:t>
            </w:r>
            <w:r>
              <w:rPr>
                <w:rFonts w:eastAsiaTheme="minorEastAsia"/>
                <w:kern w:val="0"/>
                <w:sz w:val="22"/>
                <w:szCs w:val="22"/>
              </w:rPr>
              <w:t>S337</w:t>
            </w:r>
            <w:r>
              <w:rPr>
                <w:rFonts w:hint="eastAsia" w:eastAsiaTheme="minorEastAsia"/>
                <w:kern w:val="0"/>
                <w:sz w:val="22"/>
                <w:szCs w:val="22"/>
              </w:rPr>
              <w:t>段提质升级改造</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1.7</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113</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S337</w:t>
            </w:r>
            <w:r>
              <w:rPr>
                <w:rFonts w:hint="eastAsia" w:eastAsiaTheme="minorEastAsia"/>
                <w:kern w:val="0"/>
                <w:sz w:val="22"/>
                <w:szCs w:val="22"/>
              </w:rPr>
              <w:t>潢光交界至潢商交界段改建工程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29.5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2.95</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639"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114</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S210</w:t>
            </w:r>
            <w:r>
              <w:rPr>
                <w:rFonts w:hint="eastAsia" w:eastAsiaTheme="minorEastAsia"/>
                <w:kern w:val="0"/>
                <w:sz w:val="22"/>
                <w:szCs w:val="22"/>
              </w:rPr>
              <w:t>淮滨县</w:t>
            </w:r>
            <w:r>
              <w:rPr>
                <w:rFonts w:eastAsiaTheme="minorEastAsia"/>
                <w:kern w:val="0"/>
                <w:sz w:val="22"/>
                <w:szCs w:val="22"/>
              </w:rPr>
              <w:t>G328</w:t>
            </w:r>
            <w:r>
              <w:rPr>
                <w:rFonts w:hint="eastAsia" w:eastAsiaTheme="minorEastAsia"/>
                <w:kern w:val="0"/>
                <w:sz w:val="22"/>
                <w:szCs w:val="22"/>
              </w:rPr>
              <w:t>淮滨港区（</w:t>
            </w:r>
            <w:r>
              <w:rPr>
                <w:rFonts w:eastAsiaTheme="minorEastAsia"/>
                <w:kern w:val="0"/>
                <w:sz w:val="22"/>
                <w:szCs w:val="22"/>
              </w:rPr>
              <w:t xml:space="preserve"> </w:t>
            </w:r>
            <w:r>
              <w:rPr>
                <w:rFonts w:hint="eastAsia" w:eastAsiaTheme="minorEastAsia"/>
                <w:kern w:val="0"/>
                <w:sz w:val="22"/>
                <w:szCs w:val="22"/>
              </w:rPr>
              <w:t>淮河大桥）至</w:t>
            </w:r>
            <w:r>
              <w:rPr>
                <w:rFonts w:eastAsiaTheme="minorEastAsia"/>
                <w:kern w:val="0"/>
                <w:sz w:val="22"/>
                <w:szCs w:val="22"/>
              </w:rPr>
              <w:t>S210</w:t>
            </w:r>
            <w:r>
              <w:rPr>
                <w:rFonts w:hint="eastAsia" w:eastAsiaTheme="minorEastAsia"/>
                <w:kern w:val="0"/>
                <w:sz w:val="22"/>
                <w:szCs w:val="22"/>
              </w:rPr>
              <w:t>徐营至张庄淮潢交界段提质改建工程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20.76</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12.4</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115</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G220</w:t>
            </w:r>
            <w:r>
              <w:rPr>
                <w:rFonts w:hint="eastAsia" w:eastAsiaTheme="minorEastAsia"/>
                <w:kern w:val="0"/>
                <w:sz w:val="22"/>
                <w:szCs w:val="22"/>
              </w:rPr>
              <w:t>淮滨县县城至洪河桥段一级公路改建工程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1.8</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116</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淮滨县淮滨北收费站至淮滨港快速通道改建工程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11.28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117</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S337</w:t>
            </w:r>
            <w:r>
              <w:rPr>
                <w:rFonts w:hint="eastAsia" w:eastAsiaTheme="minorEastAsia"/>
                <w:kern w:val="0"/>
                <w:sz w:val="22"/>
                <w:szCs w:val="22"/>
              </w:rPr>
              <w:t>至何店公路改建工程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3.42</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0.11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118</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S540</w:t>
            </w:r>
            <w:r>
              <w:rPr>
                <w:rFonts w:hint="eastAsia" w:eastAsiaTheme="minorEastAsia"/>
                <w:kern w:val="0"/>
                <w:sz w:val="22"/>
                <w:szCs w:val="22"/>
              </w:rPr>
              <w:t>伍家坡至青山镇段改建工程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14.3</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1.43</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119</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淮河特大桥及接线新建工程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13.04</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13</w:t>
            </w:r>
          </w:p>
        </w:tc>
        <w:tc>
          <w:tcPr>
            <w:tcW w:w="133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120</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S218</w:t>
            </w:r>
            <w:r>
              <w:rPr>
                <w:rFonts w:hint="eastAsia" w:eastAsiaTheme="minorEastAsia"/>
                <w:kern w:val="0"/>
                <w:sz w:val="22"/>
                <w:szCs w:val="22"/>
              </w:rPr>
              <w:t>驻信交界至</w:t>
            </w:r>
            <w:r>
              <w:rPr>
                <w:rFonts w:eastAsiaTheme="minorEastAsia"/>
                <w:kern w:val="0"/>
                <w:sz w:val="22"/>
                <w:szCs w:val="22"/>
              </w:rPr>
              <w:t>G312</w:t>
            </w:r>
            <w:r>
              <w:rPr>
                <w:rFonts w:hint="eastAsia" w:eastAsiaTheme="minorEastAsia"/>
                <w:kern w:val="0"/>
                <w:sz w:val="22"/>
                <w:szCs w:val="22"/>
              </w:rPr>
              <w:t>段一级公路改建工程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市际通道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121</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G632</w:t>
            </w:r>
            <w:r>
              <w:rPr>
                <w:rFonts w:hint="eastAsia" w:eastAsiaTheme="minorEastAsia"/>
                <w:kern w:val="0"/>
                <w:sz w:val="22"/>
                <w:szCs w:val="22"/>
              </w:rPr>
              <w:t>固始县陈淋子镇段改线新建工程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5.5</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2.31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省际通道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122</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S335</w:t>
            </w:r>
            <w:r>
              <w:rPr>
                <w:rFonts w:hint="eastAsia" w:eastAsiaTheme="minorEastAsia"/>
                <w:kern w:val="0"/>
                <w:sz w:val="22"/>
                <w:szCs w:val="22"/>
              </w:rPr>
              <w:t>项店镇至</w:t>
            </w:r>
            <w:r>
              <w:rPr>
                <w:rFonts w:eastAsiaTheme="minorEastAsia"/>
                <w:kern w:val="0"/>
                <w:sz w:val="22"/>
                <w:szCs w:val="22"/>
              </w:rPr>
              <w:t>G230</w:t>
            </w:r>
            <w:r>
              <w:rPr>
                <w:rFonts w:hint="eastAsia" w:eastAsiaTheme="minorEastAsia"/>
                <w:kern w:val="0"/>
                <w:sz w:val="22"/>
                <w:szCs w:val="22"/>
              </w:rPr>
              <w:t>段新建工程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12.4</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2.48</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市际通道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17"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123</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S334</w:t>
            </w:r>
            <w:r>
              <w:rPr>
                <w:rFonts w:hint="eastAsia" w:eastAsiaTheme="minorEastAsia"/>
                <w:kern w:val="0"/>
                <w:sz w:val="22"/>
                <w:szCs w:val="22"/>
              </w:rPr>
              <w:t>驻信交界至</w:t>
            </w:r>
            <w:r>
              <w:rPr>
                <w:rFonts w:eastAsiaTheme="minorEastAsia"/>
                <w:kern w:val="0"/>
                <w:sz w:val="22"/>
                <w:szCs w:val="22"/>
              </w:rPr>
              <w:t>S217</w:t>
            </w:r>
            <w:r>
              <w:rPr>
                <w:rFonts w:hint="eastAsia" w:eastAsiaTheme="minorEastAsia"/>
                <w:kern w:val="0"/>
                <w:sz w:val="22"/>
                <w:szCs w:val="22"/>
              </w:rPr>
              <w:t>段二级公路改建工程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22</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11</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市际通道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17"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124</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G230</w:t>
            </w:r>
            <w:r>
              <w:rPr>
                <w:rFonts w:hint="eastAsia" w:eastAsiaTheme="minorEastAsia"/>
                <w:kern w:val="0"/>
                <w:sz w:val="22"/>
                <w:szCs w:val="22"/>
              </w:rPr>
              <w:t>息县北环至驻信交界段一级公路改建工程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18</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3.8</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市际通道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17"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125</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G106</w:t>
            </w:r>
            <w:r>
              <w:rPr>
                <w:rFonts w:hint="eastAsia" w:eastAsiaTheme="minorEastAsia"/>
                <w:kern w:val="0"/>
                <w:sz w:val="22"/>
                <w:szCs w:val="22"/>
              </w:rPr>
              <w:t>驻信交界至包信大桥南段改建工程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12.6</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2.52</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市际通道</w:t>
            </w:r>
          </w:p>
        </w:tc>
        <w:tc>
          <w:tcPr>
            <w:tcW w:w="236" w:type="dxa"/>
            <w:vAlign w:val="center"/>
          </w:tcPr>
          <w:p>
            <w:pPr>
              <w:widowControl/>
              <w:spacing w:line="240" w:lineRule="auto"/>
              <w:ind w:firstLine="0" w:firstLineChars="0"/>
              <w:jc w:val="left"/>
              <w:rPr>
                <w:rFonts w:eastAsiaTheme="minorEastAsia"/>
                <w:kern w:val="0"/>
                <w:sz w:val="20"/>
              </w:rPr>
            </w:pPr>
          </w:p>
        </w:tc>
      </w:tr>
      <w:tr>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126</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S217</w:t>
            </w:r>
            <w:r>
              <w:rPr>
                <w:rFonts w:hint="eastAsia" w:eastAsiaTheme="minorEastAsia"/>
                <w:kern w:val="0"/>
                <w:sz w:val="22"/>
                <w:szCs w:val="22"/>
              </w:rPr>
              <w:t>驻信交界至息县县城段二级公路改建工程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30</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15</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市际通道</w:t>
            </w:r>
          </w:p>
        </w:tc>
        <w:tc>
          <w:tcPr>
            <w:tcW w:w="236" w:type="dxa"/>
            <w:vAlign w:val="center"/>
          </w:tcPr>
          <w:p>
            <w:pPr>
              <w:widowControl/>
              <w:spacing w:line="240" w:lineRule="auto"/>
              <w:ind w:firstLine="0" w:firstLineChars="0"/>
              <w:jc w:val="left"/>
              <w:rPr>
                <w:rFonts w:eastAsiaTheme="minorEastAsia"/>
                <w:kern w:val="0"/>
                <w:sz w:val="20"/>
              </w:rPr>
            </w:pPr>
          </w:p>
        </w:tc>
      </w:tr>
      <w:tr>
        <w:tblPrEx>
          <w:tblCellMar>
            <w:top w:w="0" w:type="dxa"/>
            <w:left w:w="108" w:type="dxa"/>
            <w:bottom w:w="0" w:type="dxa"/>
            <w:right w:w="108" w:type="dxa"/>
          </w:tblCellMar>
        </w:tblPrEx>
        <w:trPr>
          <w:trHeight w:val="401"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127</w:t>
            </w:r>
          </w:p>
        </w:tc>
        <w:tc>
          <w:tcPr>
            <w:tcW w:w="585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S335</w:t>
            </w:r>
            <w:r>
              <w:rPr>
                <w:rFonts w:hint="eastAsia" w:eastAsiaTheme="minorEastAsia"/>
                <w:kern w:val="0"/>
                <w:sz w:val="22"/>
                <w:szCs w:val="22"/>
              </w:rPr>
              <w:t>项店镇至息县县城段一级公路改建工程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417"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17.6</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12.6</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r>
        <w:trPr>
          <w:trHeight w:val="620" w:hRule="atLeast"/>
        </w:trPr>
        <w:tc>
          <w:tcPr>
            <w:tcW w:w="9062" w:type="dxa"/>
            <w:gridSpan w:val="4"/>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合计</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kern w:val="0"/>
                <w:sz w:val="22"/>
                <w:szCs w:val="22"/>
              </w:rPr>
            </w:pPr>
            <w:r>
              <w:rPr>
                <w:rFonts w:eastAsiaTheme="minorEastAsia"/>
                <w:b/>
                <w:bCs/>
                <w:kern w:val="0"/>
                <w:sz w:val="22"/>
                <w:szCs w:val="22"/>
              </w:rPr>
              <w:t xml:space="preserve">2388.2 </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kern w:val="0"/>
                <w:sz w:val="22"/>
                <w:szCs w:val="22"/>
              </w:rPr>
            </w:pPr>
            <w:r>
              <w:rPr>
                <w:rFonts w:eastAsiaTheme="minorEastAsia"/>
                <w:b/>
                <w:bCs/>
                <w:kern w:val="0"/>
                <w:sz w:val="22"/>
                <w:szCs w:val="22"/>
              </w:rPr>
              <w:t xml:space="preserve">596.4 </w:t>
            </w:r>
          </w:p>
        </w:tc>
        <w:tc>
          <w:tcPr>
            <w:tcW w:w="133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110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kern w:val="0"/>
                <w:sz w:val="22"/>
                <w:szCs w:val="22"/>
              </w:rPr>
            </w:pPr>
            <w:r>
              <w:rPr>
                <w:rFonts w:hint="eastAsia" w:eastAsiaTheme="minorEastAsia"/>
                <w:kern w:val="0"/>
                <w:sz w:val="22"/>
                <w:szCs w:val="22"/>
              </w:rPr>
              <w:t>　</w:t>
            </w:r>
          </w:p>
        </w:tc>
        <w:tc>
          <w:tcPr>
            <w:tcW w:w="236" w:type="dxa"/>
            <w:vAlign w:val="center"/>
          </w:tcPr>
          <w:p>
            <w:pPr>
              <w:widowControl/>
              <w:spacing w:line="240" w:lineRule="auto"/>
              <w:ind w:firstLine="0" w:firstLineChars="0"/>
              <w:jc w:val="left"/>
              <w:rPr>
                <w:rFonts w:eastAsiaTheme="minorEastAsia"/>
                <w:kern w:val="0"/>
                <w:sz w:val="20"/>
              </w:rPr>
            </w:pPr>
          </w:p>
        </w:tc>
      </w:tr>
    </w:tbl>
    <w:p>
      <w:pPr>
        <w:adjustRightInd w:val="0"/>
        <w:ind w:firstLine="480"/>
        <w:rPr>
          <w:rFonts w:eastAsia="宋体"/>
          <w:sz w:val="24"/>
          <w:szCs w:val="21"/>
        </w:rPr>
      </w:pPr>
      <w:r>
        <w:rPr>
          <w:rFonts w:eastAsia="宋体"/>
          <w:sz w:val="24"/>
          <w:szCs w:val="21"/>
        </w:rPr>
        <w:br w:type="page"/>
      </w:r>
    </w:p>
    <w:p>
      <w:pPr>
        <w:keepNext/>
        <w:keepLines/>
        <w:adjustRightInd w:val="0"/>
        <w:spacing w:before="163" w:beforeLines="50" w:after="163" w:afterLines="50"/>
        <w:ind w:firstLine="0" w:firstLineChars="0"/>
        <w:jc w:val="left"/>
        <w:outlineLvl w:val="1"/>
        <w:rPr>
          <w:rFonts w:eastAsia="黑体"/>
          <w:b/>
          <w:bCs/>
          <w:sz w:val="30"/>
          <w:szCs w:val="32"/>
        </w:rPr>
      </w:pPr>
      <w:bookmarkStart w:id="56" w:name="_Toc181110991"/>
      <w:bookmarkStart w:id="57" w:name="_Toc128424863"/>
      <w:r>
        <w:rPr>
          <w:rFonts w:hint="eastAsia" w:eastAsia="黑体"/>
          <w:b/>
          <w:bCs/>
          <w:sz w:val="30"/>
          <w:szCs w:val="32"/>
        </w:rPr>
        <w:t>附表</w:t>
      </w:r>
      <w:r>
        <w:rPr>
          <w:rFonts w:eastAsia="黑体"/>
          <w:b/>
          <w:bCs/>
          <w:sz w:val="30"/>
          <w:szCs w:val="32"/>
        </w:rPr>
        <w:t xml:space="preserve">3 </w:t>
      </w:r>
      <w:r>
        <w:rPr>
          <w:rFonts w:hint="eastAsia" w:eastAsia="黑体"/>
          <w:b/>
          <w:bCs/>
          <w:sz w:val="30"/>
          <w:szCs w:val="32"/>
        </w:rPr>
        <w:t>农村公路“提档提质工程”项目明细表</w:t>
      </w:r>
      <w:bookmarkEnd w:id="56"/>
      <w:bookmarkEnd w:id="57"/>
    </w:p>
    <w:tbl>
      <w:tblPr>
        <w:tblStyle w:val="24"/>
        <w:tblW w:w="5000" w:type="pct"/>
        <w:tblInd w:w="0" w:type="dxa"/>
        <w:tblLayout w:type="autofit"/>
        <w:tblCellMar>
          <w:top w:w="0" w:type="dxa"/>
          <w:left w:w="0" w:type="dxa"/>
          <w:bottom w:w="0" w:type="dxa"/>
          <w:right w:w="0" w:type="dxa"/>
        </w:tblCellMar>
      </w:tblPr>
      <w:tblGrid>
        <w:gridCol w:w="763"/>
        <w:gridCol w:w="5638"/>
        <w:gridCol w:w="1442"/>
        <w:gridCol w:w="1945"/>
        <w:gridCol w:w="1566"/>
        <w:gridCol w:w="1235"/>
        <w:gridCol w:w="1443"/>
      </w:tblGrid>
      <w:tr>
        <w:tblPrEx>
          <w:tblCellMar>
            <w:top w:w="0" w:type="dxa"/>
            <w:left w:w="0" w:type="dxa"/>
            <w:bottom w:w="0" w:type="dxa"/>
            <w:right w:w="0" w:type="dxa"/>
          </w:tblCellMar>
        </w:tblPrEx>
        <w:trPr>
          <w:trHeight w:val="401" w:hRule="atLeast"/>
          <w:tblHeader/>
        </w:trPr>
        <w:tc>
          <w:tcPr>
            <w:tcW w:w="272" w:type="pct"/>
            <w:vMerge w:val="restar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序号</w:t>
            </w:r>
          </w:p>
        </w:tc>
        <w:tc>
          <w:tcPr>
            <w:tcW w:w="2009" w:type="pct"/>
            <w:vMerge w:val="restar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项目名称</w:t>
            </w:r>
          </w:p>
        </w:tc>
        <w:tc>
          <w:tcPr>
            <w:tcW w:w="514" w:type="pct"/>
            <w:vMerge w:val="restar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建设性质</w:t>
            </w:r>
          </w:p>
        </w:tc>
        <w:tc>
          <w:tcPr>
            <w:tcW w:w="693" w:type="pct"/>
            <w:vMerge w:val="restar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建设年限</w:t>
            </w:r>
          </w:p>
        </w:tc>
        <w:tc>
          <w:tcPr>
            <w:tcW w:w="558" w:type="pct"/>
            <w:tcBorders>
              <w:top w:val="single" w:color="auto" w:sz="8" w:space="0"/>
              <w:left w:val="nil"/>
              <w:bottom w:val="nil"/>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建设规模</w:t>
            </w:r>
          </w:p>
        </w:tc>
        <w:tc>
          <w:tcPr>
            <w:tcW w:w="440" w:type="pct"/>
            <w:tcBorders>
              <w:top w:val="single" w:color="auto" w:sz="8" w:space="0"/>
              <w:left w:val="nil"/>
              <w:bottom w:val="nil"/>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总投资</w:t>
            </w:r>
          </w:p>
        </w:tc>
        <w:tc>
          <w:tcPr>
            <w:tcW w:w="514" w:type="pct"/>
            <w:vMerge w:val="restart"/>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责任单位</w:t>
            </w:r>
          </w:p>
        </w:tc>
      </w:tr>
      <w:tr>
        <w:tblPrEx>
          <w:tblCellMar>
            <w:top w:w="0" w:type="dxa"/>
            <w:left w:w="0" w:type="dxa"/>
            <w:bottom w:w="0" w:type="dxa"/>
            <w:right w:w="0" w:type="dxa"/>
          </w:tblCellMar>
        </w:tblPrEx>
        <w:trPr>
          <w:trHeight w:val="401" w:hRule="atLeast"/>
          <w:tblHeader/>
        </w:trPr>
        <w:tc>
          <w:tcPr>
            <w:tcW w:w="272"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2009"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514"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693"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558"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（公里）</w:t>
            </w:r>
          </w:p>
        </w:tc>
        <w:tc>
          <w:tcPr>
            <w:tcW w:w="44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（亿元）</w:t>
            </w:r>
          </w:p>
        </w:tc>
        <w:tc>
          <w:tcPr>
            <w:tcW w:w="514"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r>
      <w:tr>
        <w:trPr>
          <w:trHeight w:val="401" w:hRule="atLeast"/>
        </w:trPr>
        <w:tc>
          <w:tcPr>
            <w:tcW w:w="3488" w:type="pct"/>
            <w:gridSpan w:val="4"/>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农村公路建设项目（</w:t>
            </w:r>
            <w:r>
              <w:rPr>
                <w:rFonts w:eastAsiaTheme="minorEastAsia"/>
                <w:b/>
                <w:bCs/>
                <w:color w:val="000000"/>
                <w:kern w:val="0"/>
                <w:sz w:val="22"/>
                <w:szCs w:val="22"/>
              </w:rPr>
              <w:t>4</w:t>
            </w:r>
            <w:r>
              <w:rPr>
                <w:rFonts w:hint="eastAsia" w:eastAsiaTheme="minorEastAsia"/>
                <w:b/>
                <w:bCs/>
                <w:color w:val="000000"/>
                <w:kern w:val="0"/>
                <w:sz w:val="22"/>
                <w:szCs w:val="22"/>
              </w:rPr>
              <w:t>个）</w:t>
            </w:r>
          </w:p>
        </w:tc>
        <w:tc>
          <w:tcPr>
            <w:tcW w:w="558"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sz w:val="22"/>
                <w:szCs w:val="22"/>
              </w:rPr>
              <w:t>11600</w:t>
            </w:r>
          </w:p>
        </w:tc>
        <w:tc>
          <w:tcPr>
            <w:tcW w:w="44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sz w:val="22"/>
                <w:szCs w:val="22"/>
              </w:rPr>
              <w:t>137.18</w:t>
            </w:r>
          </w:p>
        </w:tc>
        <w:tc>
          <w:tcPr>
            <w:tcW w:w="51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　</w:t>
            </w:r>
          </w:p>
        </w:tc>
      </w:tr>
      <w:tr>
        <w:tblPrEx>
          <w:tblCellMar>
            <w:top w:w="0" w:type="dxa"/>
            <w:left w:w="0" w:type="dxa"/>
            <w:bottom w:w="0" w:type="dxa"/>
            <w:right w:w="0" w:type="dxa"/>
          </w:tblCellMar>
        </w:tblPrEx>
        <w:trPr>
          <w:trHeight w:val="401" w:hRule="atLeast"/>
        </w:trPr>
        <w:tc>
          <w:tcPr>
            <w:tcW w:w="272" w:type="pct"/>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w:t>
            </w:r>
          </w:p>
        </w:tc>
        <w:tc>
          <w:tcPr>
            <w:tcW w:w="2009"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次差路提升工程</w:t>
            </w:r>
          </w:p>
        </w:tc>
        <w:tc>
          <w:tcPr>
            <w:tcW w:w="51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新建</w:t>
            </w:r>
          </w:p>
        </w:tc>
        <w:tc>
          <w:tcPr>
            <w:tcW w:w="693"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2025-2035</w:t>
            </w:r>
          </w:p>
        </w:tc>
        <w:tc>
          <w:tcPr>
            <w:tcW w:w="558"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7100</w:t>
            </w:r>
          </w:p>
        </w:tc>
        <w:tc>
          <w:tcPr>
            <w:tcW w:w="44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113.74</w:t>
            </w:r>
          </w:p>
        </w:tc>
        <w:tc>
          <w:tcPr>
            <w:tcW w:w="51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各县区</w:t>
            </w:r>
          </w:p>
        </w:tc>
      </w:tr>
      <w:tr>
        <w:tblPrEx>
          <w:tblCellMar>
            <w:top w:w="0" w:type="dxa"/>
            <w:left w:w="0" w:type="dxa"/>
            <w:bottom w:w="0" w:type="dxa"/>
            <w:right w:w="0" w:type="dxa"/>
          </w:tblCellMar>
        </w:tblPrEx>
        <w:trPr>
          <w:trHeight w:val="401" w:hRule="atLeast"/>
        </w:trPr>
        <w:tc>
          <w:tcPr>
            <w:tcW w:w="272" w:type="pct"/>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2009"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建制村通</w:t>
            </w:r>
            <w:r>
              <w:rPr>
                <w:rFonts w:eastAsiaTheme="minorEastAsia"/>
                <w:color w:val="000000"/>
                <w:sz w:val="22"/>
                <w:szCs w:val="22"/>
              </w:rPr>
              <w:t>4.5</w:t>
            </w:r>
            <w:r>
              <w:rPr>
                <w:rFonts w:hint="eastAsia" w:eastAsiaTheme="minorEastAsia"/>
                <w:color w:val="000000"/>
                <w:sz w:val="22"/>
                <w:szCs w:val="22"/>
              </w:rPr>
              <w:t>米以上道路</w:t>
            </w:r>
          </w:p>
        </w:tc>
        <w:tc>
          <w:tcPr>
            <w:tcW w:w="51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新建</w:t>
            </w:r>
          </w:p>
        </w:tc>
        <w:tc>
          <w:tcPr>
            <w:tcW w:w="693"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2025-2035</w:t>
            </w:r>
          </w:p>
        </w:tc>
        <w:tc>
          <w:tcPr>
            <w:tcW w:w="558"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1000</w:t>
            </w:r>
          </w:p>
        </w:tc>
        <w:tc>
          <w:tcPr>
            <w:tcW w:w="44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10.45</w:t>
            </w:r>
          </w:p>
        </w:tc>
        <w:tc>
          <w:tcPr>
            <w:tcW w:w="51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各县区</w:t>
            </w:r>
          </w:p>
        </w:tc>
      </w:tr>
      <w:tr>
        <w:tblPrEx>
          <w:tblCellMar>
            <w:top w:w="0" w:type="dxa"/>
            <w:left w:w="0" w:type="dxa"/>
            <w:bottom w:w="0" w:type="dxa"/>
            <w:right w:w="0" w:type="dxa"/>
          </w:tblCellMar>
        </w:tblPrEx>
        <w:trPr>
          <w:trHeight w:val="401" w:hRule="atLeast"/>
        </w:trPr>
        <w:tc>
          <w:tcPr>
            <w:tcW w:w="272" w:type="pct"/>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w:t>
            </w:r>
          </w:p>
        </w:tc>
        <w:tc>
          <w:tcPr>
            <w:tcW w:w="2009"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安防工程</w:t>
            </w:r>
          </w:p>
        </w:tc>
        <w:tc>
          <w:tcPr>
            <w:tcW w:w="51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新建</w:t>
            </w:r>
          </w:p>
        </w:tc>
        <w:tc>
          <w:tcPr>
            <w:tcW w:w="693"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2025-2035</w:t>
            </w:r>
          </w:p>
        </w:tc>
        <w:tc>
          <w:tcPr>
            <w:tcW w:w="558"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3500</w:t>
            </w:r>
          </w:p>
        </w:tc>
        <w:tc>
          <w:tcPr>
            <w:tcW w:w="44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7.65</w:t>
            </w:r>
          </w:p>
        </w:tc>
        <w:tc>
          <w:tcPr>
            <w:tcW w:w="51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各县区</w:t>
            </w:r>
          </w:p>
        </w:tc>
      </w:tr>
      <w:tr>
        <w:tblPrEx>
          <w:tblCellMar>
            <w:top w:w="0" w:type="dxa"/>
            <w:left w:w="0" w:type="dxa"/>
            <w:bottom w:w="0" w:type="dxa"/>
            <w:right w:w="0" w:type="dxa"/>
          </w:tblCellMar>
        </w:tblPrEx>
        <w:trPr>
          <w:trHeight w:val="401" w:hRule="atLeast"/>
        </w:trPr>
        <w:tc>
          <w:tcPr>
            <w:tcW w:w="272" w:type="pct"/>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w:t>
            </w:r>
          </w:p>
        </w:tc>
        <w:tc>
          <w:tcPr>
            <w:tcW w:w="2009"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危桥改造工程</w:t>
            </w:r>
          </w:p>
        </w:tc>
        <w:tc>
          <w:tcPr>
            <w:tcW w:w="51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新建</w:t>
            </w:r>
          </w:p>
        </w:tc>
        <w:tc>
          <w:tcPr>
            <w:tcW w:w="693"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2025-2035</w:t>
            </w:r>
          </w:p>
        </w:tc>
        <w:tc>
          <w:tcPr>
            <w:tcW w:w="558"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13800</w:t>
            </w:r>
            <w:r>
              <w:rPr>
                <w:rFonts w:hint="eastAsia" w:eastAsiaTheme="minorEastAsia"/>
                <w:color w:val="000000"/>
                <w:sz w:val="22"/>
                <w:szCs w:val="22"/>
              </w:rPr>
              <w:t>延米</w:t>
            </w:r>
          </w:p>
        </w:tc>
        <w:tc>
          <w:tcPr>
            <w:tcW w:w="44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sz w:val="22"/>
                <w:szCs w:val="22"/>
              </w:rPr>
              <w:t>5.33</w:t>
            </w:r>
          </w:p>
        </w:tc>
        <w:tc>
          <w:tcPr>
            <w:tcW w:w="51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sz w:val="22"/>
                <w:szCs w:val="22"/>
              </w:rPr>
              <w:t>各县区</w:t>
            </w:r>
          </w:p>
        </w:tc>
      </w:tr>
      <w:tr>
        <w:tblPrEx>
          <w:tblCellMar>
            <w:top w:w="0" w:type="dxa"/>
            <w:left w:w="0" w:type="dxa"/>
            <w:bottom w:w="0" w:type="dxa"/>
            <w:right w:w="0" w:type="dxa"/>
          </w:tblCellMar>
        </w:tblPrEx>
        <w:trPr>
          <w:trHeight w:val="401" w:hRule="atLeast"/>
        </w:trPr>
        <w:tc>
          <w:tcPr>
            <w:tcW w:w="3488" w:type="pct"/>
            <w:gridSpan w:val="4"/>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合计</w:t>
            </w:r>
          </w:p>
        </w:tc>
        <w:tc>
          <w:tcPr>
            <w:tcW w:w="558"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sz w:val="22"/>
                <w:szCs w:val="22"/>
              </w:rPr>
              <w:t>11654</w:t>
            </w:r>
          </w:p>
        </w:tc>
        <w:tc>
          <w:tcPr>
            <w:tcW w:w="44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sz w:val="22"/>
                <w:szCs w:val="22"/>
              </w:rPr>
              <w:t>137.18</w:t>
            </w:r>
          </w:p>
        </w:tc>
        <w:tc>
          <w:tcPr>
            <w:tcW w:w="51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left"/>
              <w:rPr>
                <w:rFonts w:eastAsiaTheme="minorEastAsia"/>
                <w:color w:val="000000"/>
                <w:kern w:val="0"/>
                <w:sz w:val="22"/>
                <w:szCs w:val="22"/>
              </w:rPr>
            </w:pPr>
            <w:r>
              <w:rPr>
                <w:rFonts w:hint="eastAsia" w:eastAsiaTheme="minorEastAsia"/>
                <w:color w:val="000000"/>
                <w:kern w:val="0"/>
                <w:sz w:val="22"/>
                <w:szCs w:val="22"/>
              </w:rPr>
              <w:t>　</w:t>
            </w:r>
          </w:p>
        </w:tc>
      </w:tr>
    </w:tbl>
    <w:p>
      <w:pPr>
        <w:adjustRightInd w:val="0"/>
        <w:ind w:firstLine="0" w:firstLineChars="0"/>
        <w:rPr>
          <w:rFonts w:eastAsia="宋体"/>
          <w:sz w:val="24"/>
          <w:szCs w:val="21"/>
        </w:rPr>
      </w:pPr>
    </w:p>
    <w:p>
      <w:pPr>
        <w:adjustRightInd w:val="0"/>
        <w:ind w:firstLine="0" w:firstLineChars="0"/>
        <w:rPr>
          <w:rFonts w:eastAsia="宋体"/>
          <w:sz w:val="24"/>
          <w:szCs w:val="21"/>
        </w:rPr>
        <w:sectPr>
          <w:headerReference r:id="rId13" w:type="default"/>
          <w:pgSz w:w="16838" w:h="11906" w:orient="landscape"/>
          <w:pgMar w:top="1758" w:right="1418" w:bottom="1474" w:left="1418" w:header="992" w:footer="992" w:gutter="0"/>
          <w:cols w:space="425" w:num="1"/>
          <w:docGrid w:type="lines" w:linePitch="326" w:charSpace="0"/>
        </w:sectPr>
      </w:pPr>
    </w:p>
    <w:p>
      <w:pPr>
        <w:keepNext/>
        <w:keepLines/>
        <w:adjustRightInd w:val="0"/>
        <w:spacing w:before="163" w:beforeLines="50" w:after="163" w:afterLines="50"/>
        <w:ind w:firstLine="0" w:firstLineChars="0"/>
        <w:jc w:val="left"/>
        <w:outlineLvl w:val="1"/>
        <w:rPr>
          <w:rFonts w:eastAsia="黑体"/>
          <w:b/>
          <w:bCs/>
          <w:sz w:val="30"/>
          <w:szCs w:val="32"/>
        </w:rPr>
      </w:pPr>
      <w:bookmarkStart w:id="58" w:name="_Toc128424864"/>
      <w:bookmarkStart w:id="59" w:name="_Toc181110992"/>
      <w:r>
        <w:rPr>
          <w:rFonts w:hint="eastAsia" w:eastAsia="黑体"/>
          <w:b/>
          <w:bCs/>
          <w:sz w:val="30"/>
          <w:szCs w:val="32"/>
        </w:rPr>
        <w:t>附表</w:t>
      </w:r>
      <w:r>
        <w:rPr>
          <w:rFonts w:eastAsia="黑体"/>
          <w:b/>
          <w:bCs/>
          <w:sz w:val="30"/>
          <w:szCs w:val="32"/>
        </w:rPr>
        <w:t xml:space="preserve">4 </w:t>
      </w:r>
      <w:r>
        <w:rPr>
          <w:rFonts w:hint="eastAsia" w:eastAsia="黑体"/>
          <w:b/>
          <w:bCs/>
          <w:sz w:val="30"/>
          <w:szCs w:val="32"/>
        </w:rPr>
        <w:t>内河航运“通江达海工程”项目表明细表</w:t>
      </w:r>
      <w:bookmarkEnd w:id="58"/>
      <w:bookmarkEnd w:id="59"/>
    </w:p>
    <w:tbl>
      <w:tblPr>
        <w:tblStyle w:val="24"/>
        <w:tblW w:w="0" w:type="auto"/>
        <w:tblInd w:w="0" w:type="dxa"/>
        <w:tblLayout w:type="autofit"/>
        <w:tblCellMar>
          <w:top w:w="0" w:type="dxa"/>
          <w:left w:w="108" w:type="dxa"/>
          <w:bottom w:w="0" w:type="dxa"/>
          <w:right w:w="108" w:type="dxa"/>
        </w:tblCellMar>
      </w:tblPr>
      <w:tblGrid>
        <w:gridCol w:w="658"/>
        <w:gridCol w:w="5839"/>
        <w:gridCol w:w="1100"/>
        <w:gridCol w:w="1170"/>
        <w:gridCol w:w="2091"/>
        <w:gridCol w:w="1382"/>
        <w:gridCol w:w="1756"/>
        <w:gridCol w:w="222"/>
      </w:tblGrid>
      <w:tr>
        <w:tblPrEx>
          <w:tblCellMar>
            <w:top w:w="0" w:type="dxa"/>
            <w:left w:w="108" w:type="dxa"/>
            <w:bottom w:w="0" w:type="dxa"/>
            <w:right w:w="108" w:type="dxa"/>
          </w:tblCellMar>
        </w:tblPrEx>
        <w:trPr>
          <w:gridAfter w:val="1"/>
          <w:wAfter w:w="222" w:type="dxa"/>
          <w:trHeight w:val="401" w:hRule="atLeast"/>
          <w:tblHeader/>
        </w:trPr>
        <w:tc>
          <w:tcPr>
            <w:tcW w:w="0" w:type="auto"/>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序号</w:t>
            </w:r>
          </w:p>
        </w:tc>
        <w:tc>
          <w:tcPr>
            <w:tcW w:w="0" w:type="auto"/>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项目名称</w:t>
            </w:r>
          </w:p>
        </w:tc>
        <w:tc>
          <w:tcPr>
            <w:tcW w:w="0" w:type="auto"/>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建设性质</w:t>
            </w:r>
          </w:p>
        </w:tc>
        <w:tc>
          <w:tcPr>
            <w:tcW w:w="0" w:type="auto"/>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建设年限</w:t>
            </w:r>
          </w:p>
        </w:tc>
        <w:tc>
          <w:tcPr>
            <w:tcW w:w="2091" w:type="dxa"/>
            <w:vMerge w:val="restart"/>
            <w:tcBorders>
              <w:top w:val="single" w:color="auto" w:sz="8" w:space="0"/>
              <w:left w:val="single" w:color="auto" w:sz="8" w:space="0"/>
              <w:bottom w:val="single" w:color="000000" w:sz="8" w:space="0"/>
              <w:right w:val="nil"/>
            </w:tcBorders>
            <w:shd w:val="clear" w:color="auto" w:fill="auto"/>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建设规模</w:t>
            </w:r>
            <w:r>
              <w:rPr>
                <w:rFonts w:hint="eastAsia" w:ascii="宋体" w:hAnsi="宋体" w:eastAsia="宋体"/>
                <w:b/>
                <w:bCs/>
                <w:color w:val="000000"/>
                <w:kern w:val="0"/>
                <w:sz w:val="22"/>
                <w:szCs w:val="22"/>
              </w:rPr>
              <w:br w:type="textWrapping"/>
            </w:r>
            <w:r>
              <w:rPr>
                <w:rFonts w:hint="eastAsia" w:ascii="宋体" w:hAnsi="宋体" w:eastAsia="宋体"/>
                <w:b/>
                <w:bCs/>
                <w:color w:val="000000"/>
                <w:kern w:val="0"/>
                <w:sz w:val="22"/>
                <w:szCs w:val="22"/>
              </w:rPr>
              <w:t>（公里</w:t>
            </w:r>
            <w:r>
              <w:rPr>
                <w:rFonts w:eastAsia="宋体"/>
                <w:b/>
                <w:bCs/>
                <w:color w:val="000000"/>
                <w:kern w:val="0"/>
                <w:sz w:val="22"/>
                <w:szCs w:val="22"/>
              </w:rPr>
              <w:t>/</w:t>
            </w:r>
            <w:r>
              <w:rPr>
                <w:rFonts w:hint="eastAsia" w:ascii="宋体" w:hAnsi="宋体" w:eastAsia="宋体"/>
                <w:b/>
                <w:bCs/>
                <w:color w:val="000000"/>
                <w:kern w:val="0"/>
                <w:sz w:val="22"/>
                <w:szCs w:val="22"/>
              </w:rPr>
              <w:t>万平方米）</w:t>
            </w:r>
          </w:p>
        </w:tc>
        <w:tc>
          <w:tcPr>
            <w:tcW w:w="138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总投资</w:t>
            </w:r>
            <w:r>
              <w:rPr>
                <w:rFonts w:hint="eastAsia" w:ascii="宋体" w:hAnsi="宋体" w:eastAsia="宋体"/>
                <w:b/>
                <w:bCs/>
                <w:color w:val="000000"/>
                <w:kern w:val="0"/>
                <w:sz w:val="22"/>
                <w:szCs w:val="22"/>
              </w:rPr>
              <w:br w:type="textWrapping"/>
            </w:r>
            <w:r>
              <w:rPr>
                <w:rFonts w:hint="eastAsia" w:ascii="宋体" w:hAnsi="宋体" w:eastAsia="宋体"/>
                <w:b/>
                <w:bCs/>
                <w:color w:val="000000"/>
                <w:kern w:val="0"/>
                <w:sz w:val="22"/>
                <w:szCs w:val="22"/>
              </w:rPr>
              <w:t>（亿元）</w:t>
            </w:r>
          </w:p>
        </w:tc>
        <w:tc>
          <w:tcPr>
            <w:tcW w:w="0" w:type="auto"/>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责任单位</w:t>
            </w:r>
          </w:p>
        </w:tc>
      </w:tr>
      <w:tr>
        <w:tblPrEx>
          <w:tblCellMar>
            <w:top w:w="0" w:type="dxa"/>
            <w:left w:w="108" w:type="dxa"/>
            <w:bottom w:w="0" w:type="dxa"/>
            <w:right w:w="108" w:type="dxa"/>
          </w:tblCellMar>
        </w:tblPrEx>
        <w:trPr>
          <w:trHeight w:val="401" w:hRule="atLeast"/>
          <w:tblHead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c>
          <w:tcPr>
            <w:tcW w:w="2091" w:type="dxa"/>
            <w:vMerge w:val="continue"/>
            <w:tcBorders>
              <w:top w:val="single" w:color="auto" w:sz="8" w:space="0"/>
              <w:left w:val="single" w:color="auto" w:sz="8" w:space="0"/>
              <w:bottom w:val="single" w:color="000000" w:sz="8" w:space="0"/>
              <w:right w:val="nil"/>
            </w:tcBorders>
            <w:vAlign w:val="center"/>
          </w:tcPr>
          <w:p>
            <w:pPr>
              <w:widowControl/>
              <w:spacing w:line="240" w:lineRule="auto"/>
              <w:ind w:firstLine="0" w:firstLineChars="0"/>
              <w:jc w:val="left"/>
              <w:rPr>
                <w:rFonts w:eastAsia="宋体"/>
                <w:b/>
                <w:bCs/>
                <w:color w:val="000000"/>
                <w:kern w:val="0"/>
                <w:sz w:val="22"/>
                <w:szCs w:val="22"/>
              </w:rPr>
            </w:pPr>
          </w:p>
        </w:tc>
        <w:tc>
          <w:tcPr>
            <w:tcW w:w="138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c>
          <w:tcPr>
            <w:tcW w:w="0" w:type="auto"/>
            <w:tcBorders>
              <w:top w:val="nil"/>
              <w:left w:val="nil"/>
              <w:bottom w:val="nil"/>
              <w:right w:val="nil"/>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p>
        </w:tc>
      </w:tr>
      <w:tr>
        <w:tblPrEx>
          <w:tblCellMar>
            <w:top w:w="0" w:type="dxa"/>
            <w:left w:w="108" w:type="dxa"/>
            <w:bottom w:w="0" w:type="dxa"/>
            <w:right w:w="108" w:type="dxa"/>
          </w:tblCellMar>
        </w:tblPrEx>
        <w:trPr>
          <w:trHeight w:val="401" w:hRule="atLeast"/>
        </w:trPr>
        <w:tc>
          <w:tcPr>
            <w:tcW w:w="0" w:type="auto"/>
            <w:gridSpan w:val="4"/>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航道项目</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798</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625.13</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gridSpan w:val="4"/>
            <w:tcBorders>
              <w:top w:val="nil"/>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一、近期建设项目（10个）</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462</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487.88</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淮河淮滨至息县航运工程息县段</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2023-2026</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44.08</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海航中心</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淮河淮滨至三河尖航道提升工程（固始境）</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2024-2025</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59</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27</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海航中心</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14"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淮河淮滨至三河尖航道升级工程（淮滨境）（含淮河航道通航控制工程）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2024-2027</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海航中心</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史灌河三河尖至固始县城段航运工程</w:t>
            </w:r>
          </w:p>
        </w:tc>
        <w:tc>
          <w:tcPr>
            <w:tcW w:w="0" w:type="auto"/>
            <w:tcBorders>
              <w:top w:val="nil"/>
              <w:left w:val="nil"/>
              <w:bottom w:val="single" w:color="auto" w:sz="8" w:space="0"/>
              <w:right w:val="single" w:color="auto" w:sz="8" w:space="0"/>
            </w:tcBorders>
            <w:shd w:val="clear" w:color="auto" w:fill="auto"/>
            <w:noWrap/>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62</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41.8</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洪河新蔡至洪河口航运工程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2026-2028</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54</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海航中心</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淮河息县至长台关航运工程（息县至罗山段）</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42</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海航中心</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淮河息县至长台关航运工程（罗山至长台关段）</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2026-2028</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71</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海航中心</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潢河航运工程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2026-2028</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35</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53</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9</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灌河上石桥至固始县城段航运工程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2030-2032</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43</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43</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固始、商城县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史河陈淋子至固始县城段航运工程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2030-2033</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56</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44</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gridSpan w:val="4"/>
            <w:tcBorders>
              <w:top w:val="nil"/>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二、远期建设项目（12个）</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336</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137.25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　</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11</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商城县鲇鱼山水上安全基础设施建设项目</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1.9</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商城县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鲇鱼山库区</w:t>
            </w:r>
            <w:r>
              <w:rPr>
                <w:rFonts w:eastAsia="宋体"/>
                <w:color w:val="000000"/>
                <w:kern w:val="0"/>
                <w:sz w:val="22"/>
                <w:szCs w:val="22"/>
              </w:rPr>
              <w:t>45</w:t>
            </w:r>
            <w:r>
              <w:rPr>
                <w:rFonts w:hint="eastAsia" w:ascii="宋体" w:hAnsi="宋体" w:eastAsia="宋体"/>
                <w:color w:val="000000"/>
                <w:kern w:val="0"/>
                <w:sz w:val="22"/>
                <w:szCs w:val="22"/>
              </w:rPr>
              <w:t>公里航道疏浚、安全航标设置项目</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45</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商城县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13</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白露河航运工程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45</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34</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14</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竹竿河航运工程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61</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51</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15</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浉河航运工程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16</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淮河旅游航道工程（出山店水库～京广铁路桥）</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0.3</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浉河、平桥区</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17</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灌河旅游航道工程（商城～上石桥）</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商城县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18</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潢河旅游航道（光山～潢川）</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13</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0.39</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光山、潢川县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19</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潢河旅游航道（大苏山国家公园～官渡河风景区）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21</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0.63</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光山县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77"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潢河旅游航道（鄂豫皖苏区首府革命博物馆～大别</w:t>
            </w:r>
            <w:r>
              <w:rPr>
                <w:rFonts w:hint="eastAsia" w:ascii="宋体" w:hAnsi="宋体" w:eastAsia="宋体"/>
                <w:color w:val="000000"/>
                <w:kern w:val="0"/>
                <w:sz w:val="22"/>
                <w:szCs w:val="22"/>
              </w:rPr>
              <w:br w:type="textWrapping"/>
            </w:r>
            <w:r>
              <w:rPr>
                <w:rFonts w:hint="eastAsia" w:ascii="宋体" w:hAnsi="宋体" w:eastAsia="宋体"/>
                <w:color w:val="000000"/>
                <w:kern w:val="0"/>
                <w:sz w:val="22"/>
                <w:szCs w:val="22"/>
              </w:rPr>
              <w:t>山干部学院）</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0.24</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21</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浉河旅游航道工程（南湾水库～上天梯）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28</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0.84</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22</w:t>
            </w:r>
          </w:p>
        </w:tc>
        <w:tc>
          <w:tcPr>
            <w:tcW w:w="0" w:type="auto"/>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闾河旅游航道工程（大广高速桥～闾河口）</w:t>
            </w:r>
          </w:p>
        </w:tc>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45</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1.35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gridSpan w:val="4"/>
            <w:tcBorders>
              <w:top w:val="nil"/>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港区码头项目（9个）</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宋体"/>
                <w:b/>
                <w:bCs/>
                <w:color w:val="000000"/>
                <w:kern w:val="0"/>
                <w:sz w:val="22"/>
                <w:szCs w:val="22"/>
              </w:rPr>
            </w:pPr>
            <w:r>
              <w:rPr>
                <w:rFonts w:eastAsia="宋体"/>
                <w:b/>
                <w:bCs/>
                <w:color w:val="000000"/>
                <w:kern w:val="0"/>
                <w:sz w:val="22"/>
                <w:szCs w:val="22"/>
              </w:rPr>
              <w:t>　</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34.98</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24</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淮河驿站</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2023-2025</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0.2</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nil"/>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25</w:t>
            </w: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信阳港固始港区中心作业区一期工程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2024-2025</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w:t>
            </w:r>
            <w:r>
              <w:rPr>
                <w:rFonts w:hint="eastAsia" w:ascii="宋体" w:hAnsi="宋体" w:eastAsia="宋体"/>
                <w:color w:val="000000"/>
                <w:kern w:val="0"/>
                <w:sz w:val="22"/>
                <w:szCs w:val="22"/>
              </w:rPr>
              <w:t>个</w:t>
            </w:r>
            <w:r>
              <w:rPr>
                <w:rFonts w:eastAsia="宋体"/>
                <w:color w:val="000000"/>
                <w:kern w:val="0"/>
                <w:sz w:val="22"/>
                <w:szCs w:val="22"/>
              </w:rPr>
              <w:t>2000</w:t>
            </w:r>
            <w:r>
              <w:rPr>
                <w:rFonts w:hint="eastAsia" w:ascii="宋体" w:hAnsi="宋体" w:eastAsia="宋体"/>
                <w:color w:val="000000"/>
                <w:kern w:val="0"/>
                <w:sz w:val="22"/>
                <w:szCs w:val="22"/>
              </w:rPr>
              <w:t>吨级货运泊位</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nil"/>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26</w:t>
            </w: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信阳港淮滨港区扩容提质工程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2024-2026</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13.5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51" w:hRule="atLeast"/>
        </w:trPr>
        <w:tc>
          <w:tcPr>
            <w:tcW w:w="0" w:type="auto"/>
            <w:tcBorders>
              <w:top w:val="nil"/>
              <w:left w:val="single" w:color="auto" w:sz="8" w:space="0"/>
              <w:bottom w:val="single" w:color="auto" w:sz="8" w:space="0"/>
              <w:right w:val="nil"/>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27</w:t>
            </w: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信阳淮滨旅游客运码头</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2025-2026</w:t>
            </w:r>
          </w:p>
        </w:tc>
        <w:tc>
          <w:tcPr>
            <w:tcW w:w="2091" w:type="dxa"/>
            <w:tcBorders>
              <w:top w:val="nil"/>
              <w:left w:val="nil"/>
              <w:bottom w:val="single" w:color="auto" w:sz="8" w:space="0"/>
              <w:right w:val="single" w:color="auto" w:sz="8" w:space="0"/>
            </w:tcBorders>
            <w:shd w:val="clear" w:color="auto" w:fill="auto"/>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建设旅游客运码头，建设旅游航线，规划沿淮旅游观光客运，开通旅游航线服务。</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nil"/>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28</w:t>
            </w: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息县旅游码头</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2025-2026</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建设庞湾、黄金沙滩公园、渡淮、桃花岛</w:t>
            </w:r>
            <w:r>
              <w:rPr>
                <w:rFonts w:eastAsia="宋体"/>
                <w:color w:val="000000"/>
                <w:kern w:val="0"/>
                <w:sz w:val="22"/>
                <w:szCs w:val="22"/>
              </w:rPr>
              <w:t>4</w:t>
            </w:r>
            <w:r>
              <w:rPr>
                <w:rFonts w:hint="eastAsia" w:ascii="宋体" w:hAnsi="宋体" w:eastAsia="宋体"/>
                <w:color w:val="000000"/>
                <w:kern w:val="0"/>
                <w:sz w:val="22"/>
                <w:szCs w:val="22"/>
              </w:rPr>
              <w:t>个旅游码头。</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0.2</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nil"/>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29</w:t>
            </w: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出山店旅游码头</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w:t>
            </w:r>
            <w:r>
              <w:rPr>
                <w:rFonts w:hint="eastAsia" w:ascii="宋体" w:hAnsi="宋体" w:eastAsia="宋体"/>
                <w:color w:val="000000"/>
                <w:kern w:val="0"/>
                <w:sz w:val="22"/>
                <w:szCs w:val="22"/>
              </w:rPr>
              <w:t>个旅游客运码头及</w:t>
            </w:r>
            <w:r>
              <w:rPr>
                <w:rFonts w:eastAsia="宋体"/>
                <w:color w:val="000000"/>
                <w:kern w:val="0"/>
                <w:sz w:val="22"/>
                <w:szCs w:val="22"/>
              </w:rPr>
              <w:t>10</w:t>
            </w:r>
            <w:r>
              <w:rPr>
                <w:rFonts w:hint="eastAsia" w:ascii="宋体" w:hAnsi="宋体" w:eastAsia="宋体"/>
                <w:color w:val="000000"/>
                <w:kern w:val="0"/>
                <w:sz w:val="22"/>
                <w:szCs w:val="22"/>
              </w:rPr>
              <w:t>艘旅游渡船</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0.4</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平桥区</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nil"/>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30</w:t>
            </w: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信阳港固始港区往流作业区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2025-2028</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w:t>
            </w:r>
            <w:r>
              <w:rPr>
                <w:rFonts w:hint="eastAsia" w:ascii="宋体" w:hAnsi="宋体" w:eastAsia="宋体"/>
                <w:color w:val="000000"/>
                <w:kern w:val="0"/>
                <w:sz w:val="22"/>
                <w:szCs w:val="22"/>
              </w:rPr>
              <w:t>个</w:t>
            </w:r>
            <w:r>
              <w:rPr>
                <w:rFonts w:eastAsia="宋体"/>
                <w:color w:val="000000"/>
                <w:kern w:val="0"/>
                <w:sz w:val="22"/>
                <w:szCs w:val="22"/>
              </w:rPr>
              <w:t>2000</w:t>
            </w:r>
            <w:r>
              <w:rPr>
                <w:rFonts w:hint="eastAsia" w:ascii="宋体" w:hAnsi="宋体" w:eastAsia="宋体"/>
                <w:color w:val="000000"/>
                <w:kern w:val="0"/>
                <w:sz w:val="22"/>
                <w:szCs w:val="22"/>
              </w:rPr>
              <w:t>吨级泊位</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5.85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nil"/>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31</w:t>
            </w: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南湾湖风景区新旅游码头</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2025-2028</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岸线总长</w:t>
            </w:r>
            <w:r>
              <w:rPr>
                <w:rFonts w:eastAsia="宋体"/>
                <w:color w:val="000000"/>
                <w:kern w:val="0"/>
                <w:sz w:val="22"/>
                <w:szCs w:val="22"/>
              </w:rPr>
              <w:t>500</w:t>
            </w:r>
            <w:r>
              <w:rPr>
                <w:rFonts w:hint="eastAsia" w:ascii="宋体" w:hAnsi="宋体" w:eastAsia="宋体"/>
                <w:color w:val="000000"/>
                <w:kern w:val="0"/>
                <w:sz w:val="22"/>
                <w:szCs w:val="22"/>
              </w:rPr>
              <w:t>米</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nil"/>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32</w:t>
            </w:r>
          </w:p>
        </w:tc>
        <w:tc>
          <w:tcPr>
            <w:tcW w:w="0" w:type="auto"/>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游河盐山寺旅游码头</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0.13</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gridSpan w:val="4"/>
            <w:tcBorders>
              <w:top w:val="nil"/>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港口集疏运功能提升项目</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703.86</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235.66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gridSpan w:val="4"/>
            <w:tcBorders>
              <w:top w:val="nil"/>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left"/>
              <w:rPr>
                <w:rFonts w:eastAsia="宋体"/>
                <w:b/>
                <w:bCs/>
                <w:color w:val="000000"/>
                <w:kern w:val="0"/>
                <w:sz w:val="22"/>
                <w:szCs w:val="22"/>
              </w:rPr>
            </w:pPr>
            <w:r>
              <w:rPr>
                <w:rFonts w:hint="eastAsia" w:ascii="宋体" w:hAnsi="宋体" w:eastAsia="宋体"/>
                <w:b/>
                <w:bCs/>
                <w:color w:val="000000"/>
                <w:kern w:val="0"/>
                <w:sz w:val="22"/>
                <w:szCs w:val="22"/>
              </w:rPr>
              <w:t>一、近期建设项目（</w:t>
            </w:r>
            <w:r>
              <w:rPr>
                <w:rFonts w:eastAsia="宋体"/>
                <w:b/>
                <w:bCs/>
                <w:color w:val="000000"/>
                <w:kern w:val="0"/>
                <w:sz w:val="22"/>
                <w:szCs w:val="22"/>
              </w:rPr>
              <w:t>18</w:t>
            </w:r>
            <w:r>
              <w:rPr>
                <w:rFonts w:hint="eastAsia" w:ascii="宋体" w:hAnsi="宋体" w:eastAsia="宋体"/>
                <w:b/>
                <w:bCs/>
                <w:color w:val="000000"/>
                <w:kern w:val="0"/>
                <w:sz w:val="22"/>
                <w:szCs w:val="22"/>
              </w:rPr>
              <w:t>个）</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370.98</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199.44</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32</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G328</w:t>
            </w:r>
            <w:r>
              <w:rPr>
                <w:rFonts w:hint="eastAsia" w:ascii="宋体" w:hAnsi="宋体" w:eastAsia="宋体"/>
                <w:color w:val="000000"/>
                <w:kern w:val="0"/>
                <w:sz w:val="22"/>
                <w:szCs w:val="22"/>
              </w:rPr>
              <w:t>固始丰港高庄至淮阜高速连接线工程</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2024-2026</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45</w:t>
            </w:r>
          </w:p>
        </w:tc>
        <w:tc>
          <w:tcPr>
            <w:tcW w:w="138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40.5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33</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淮滨县淮上交通有限公司专用铁路项目</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2024-2026</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11.917</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34</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S210</w:t>
            </w:r>
            <w:r>
              <w:rPr>
                <w:rFonts w:hint="eastAsia" w:ascii="宋体" w:hAnsi="宋体" w:eastAsia="宋体"/>
                <w:color w:val="000000"/>
                <w:kern w:val="0"/>
                <w:sz w:val="22"/>
                <w:szCs w:val="22"/>
              </w:rPr>
              <w:t>淮滨中心港至潢川县城段改建工程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2024-2026</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59</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24.6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淮滨、潢川县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35</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G</w:t>
            </w:r>
            <w:r>
              <w:rPr>
                <w:rFonts w:eastAsia="宋体"/>
                <w:color w:val="000000"/>
                <w:kern w:val="0"/>
                <w:sz w:val="22"/>
                <w:szCs w:val="22"/>
              </w:rPr>
              <w:t>106</w:t>
            </w:r>
            <w:r>
              <w:rPr>
                <w:rFonts w:hint="eastAsia" w:ascii="宋体" w:hAnsi="宋体" w:eastAsia="宋体"/>
                <w:color w:val="000000"/>
                <w:kern w:val="0"/>
                <w:sz w:val="22"/>
                <w:szCs w:val="22"/>
              </w:rPr>
              <w:t>线息县夏庄镇至潢川县城段改建工程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2024-2026</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28.9</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14.45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36</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潢川县至上油岗乡疏港道路项目（</w:t>
            </w:r>
            <w:r>
              <w:rPr>
                <w:rFonts w:eastAsia="宋体"/>
                <w:color w:val="000000"/>
                <w:kern w:val="0"/>
                <w:sz w:val="22"/>
                <w:szCs w:val="22"/>
              </w:rPr>
              <w:t>S536</w:t>
            </w:r>
            <w:r>
              <w:rPr>
                <w:rFonts w:hint="eastAsia" w:ascii="宋体" w:hAnsi="宋体" w:eastAsia="宋体"/>
                <w:color w:val="000000"/>
                <w:kern w:val="0"/>
                <w:sz w:val="22"/>
                <w:szCs w:val="22"/>
              </w:rPr>
              <w:t>）</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2024-2027</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23</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37</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潢川县至踅孜镇疏港道路项目（</w:t>
            </w:r>
            <w:r>
              <w:rPr>
                <w:rFonts w:eastAsia="宋体"/>
                <w:color w:val="000000"/>
                <w:kern w:val="0"/>
                <w:sz w:val="22"/>
                <w:szCs w:val="22"/>
              </w:rPr>
              <w:t>S210</w:t>
            </w:r>
            <w:r>
              <w:rPr>
                <w:rFonts w:hint="eastAsia" w:ascii="宋体" w:hAnsi="宋体" w:eastAsia="宋体"/>
                <w:color w:val="000000"/>
                <w:kern w:val="0"/>
                <w:sz w:val="22"/>
                <w:szCs w:val="22"/>
              </w:rPr>
              <w:t>）</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2024-2027</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36</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5.4</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14"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38</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G220</w:t>
            </w:r>
            <w:r>
              <w:rPr>
                <w:rFonts w:hint="eastAsia" w:ascii="宋体" w:hAnsi="宋体" w:eastAsia="宋体"/>
                <w:color w:val="000000"/>
                <w:kern w:val="0"/>
                <w:sz w:val="22"/>
                <w:szCs w:val="22"/>
              </w:rPr>
              <w:t>王家岗洪河桥（豫皖界）至淮河淮滨中心港连接工程（淮滨中心港疏港公路）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4.8</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3.84</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39</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S335</w:t>
            </w:r>
            <w:r>
              <w:rPr>
                <w:rFonts w:hint="eastAsia" w:ascii="宋体" w:hAnsi="宋体" w:eastAsia="宋体"/>
                <w:color w:val="000000"/>
                <w:kern w:val="0"/>
                <w:sz w:val="22"/>
                <w:szCs w:val="22"/>
              </w:rPr>
              <w:t>驻信交界至胡店乡道路改建工程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2025-2026</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30.463</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1.99</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平桥区</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40</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S</w:t>
            </w:r>
            <w:r>
              <w:rPr>
                <w:rFonts w:eastAsia="宋体"/>
                <w:color w:val="000000"/>
                <w:kern w:val="0"/>
                <w:sz w:val="22"/>
                <w:szCs w:val="22"/>
              </w:rPr>
              <w:t>226</w:t>
            </w:r>
            <w:r>
              <w:rPr>
                <w:rFonts w:hint="eastAsia" w:ascii="宋体" w:hAnsi="宋体" w:eastAsia="宋体"/>
                <w:color w:val="000000"/>
                <w:kern w:val="0"/>
                <w:sz w:val="22"/>
                <w:szCs w:val="22"/>
              </w:rPr>
              <w:t>潢川县城至息县白湾段改建工程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23.1</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7.96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589"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41</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淮滨县水上应急搜救中心</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hint="eastAsia" w:eastAsia="宋体"/>
                <w:color w:val="000000"/>
                <w:kern w:val="0"/>
                <w:sz w:val="22"/>
                <w:szCs w:val="22"/>
              </w:rPr>
            </w:pPr>
            <w:r>
              <w:rPr>
                <w:rFonts w:eastAsia="宋体"/>
                <w:color w:val="000000"/>
                <w:kern w:val="0"/>
                <w:sz w:val="22"/>
                <w:szCs w:val="22"/>
              </w:rPr>
              <w:t>建设集指挥、协调、应急、搜救于一体的水上搜救中心</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14"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42</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固始县三河尖至安徽阜阳（阜南曹集）淮河特大桥及连接工程（望岗作业区疏港公路）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7.8</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12.67</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43</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潢川火车北站至花埠作业区铁路专用线</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19</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44</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息县至淮河港区铁路专用线</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13.53</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45</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老</w:t>
            </w:r>
            <w:r>
              <w:rPr>
                <w:rFonts w:eastAsia="宋体"/>
                <w:color w:val="000000"/>
                <w:kern w:val="0"/>
                <w:sz w:val="22"/>
                <w:szCs w:val="22"/>
              </w:rPr>
              <w:t>G312</w:t>
            </w:r>
            <w:r>
              <w:rPr>
                <w:rFonts w:hint="eastAsia" w:ascii="宋体" w:hAnsi="宋体" w:eastAsia="宋体"/>
                <w:color w:val="000000"/>
                <w:kern w:val="0"/>
                <w:sz w:val="22"/>
                <w:szCs w:val="22"/>
              </w:rPr>
              <w:t>信罗快速路工程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2026-2027</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36</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18</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平桥区、罗山县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14"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46</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淮滨县台头乡胡寨村南</w:t>
            </w:r>
            <w:r>
              <w:rPr>
                <w:rFonts w:eastAsia="宋体"/>
                <w:color w:val="000000"/>
                <w:kern w:val="0"/>
                <w:sz w:val="22"/>
                <w:szCs w:val="22"/>
              </w:rPr>
              <w:t>-</w:t>
            </w:r>
            <w:r>
              <w:rPr>
                <w:rFonts w:hint="eastAsia" w:ascii="宋体" w:hAnsi="宋体" w:eastAsia="宋体"/>
                <w:color w:val="000000"/>
                <w:kern w:val="0"/>
                <w:sz w:val="22"/>
                <w:szCs w:val="22"/>
              </w:rPr>
              <w:t>邓湾乡东大埂新建工程（疏港公路）（农村公路）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2026-2028</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1.47</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3.33</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47</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明港铁路专用线</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2027-2030</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9</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平桥区</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48</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罗山县铁路专用线</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2027-2030</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23</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gridSpan w:val="4"/>
            <w:tcBorders>
              <w:top w:val="nil"/>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二、远期建设项目（20个）</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332.88</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36.22</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49</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淮河新区港至曹黄林火车站公路连接工程（淮河新区港疏港公路）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15</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1.3</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50</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Y020</w:t>
            </w:r>
            <w:r>
              <w:rPr>
                <w:rFonts w:hint="eastAsia" w:ascii="宋体" w:hAnsi="宋体" w:eastAsia="宋体"/>
                <w:color w:val="000000"/>
                <w:kern w:val="0"/>
                <w:sz w:val="22"/>
                <w:szCs w:val="22"/>
              </w:rPr>
              <w:t>与</w:t>
            </w:r>
            <w:r>
              <w:rPr>
                <w:rFonts w:eastAsia="宋体"/>
                <w:color w:val="000000"/>
                <w:kern w:val="0"/>
                <w:sz w:val="22"/>
                <w:szCs w:val="22"/>
              </w:rPr>
              <w:t>G230</w:t>
            </w:r>
            <w:r>
              <w:rPr>
                <w:rFonts w:hint="eastAsia" w:ascii="宋体" w:hAnsi="宋体" w:eastAsia="宋体"/>
                <w:color w:val="000000"/>
                <w:kern w:val="0"/>
                <w:sz w:val="22"/>
                <w:szCs w:val="22"/>
              </w:rPr>
              <w:t>交叉口至熊湾段连接工程（淮河新区港疏港公路）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14"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51</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S204</w:t>
            </w:r>
            <w:r>
              <w:rPr>
                <w:rFonts w:hint="eastAsia" w:ascii="宋体" w:hAnsi="宋体" w:eastAsia="宋体"/>
                <w:color w:val="000000"/>
                <w:kern w:val="0"/>
                <w:sz w:val="22"/>
                <w:szCs w:val="22"/>
              </w:rPr>
              <w:t>线固始境往流镇张圩村至县城魏敬公园段连接工程（望岗作业区疏港公路）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29.4</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1.18</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14"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52</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S203</w:t>
            </w:r>
            <w:r>
              <w:rPr>
                <w:rFonts w:hint="eastAsia" w:ascii="宋体" w:hAnsi="宋体" w:eastAsia="宋体"/>
                <w:color w:val="000000"/>
                <w:kern w:val="0"/>
                <w:sz w:val="22"/>
                <w:szCs w:val="22"/>
              </w:rPr>
              <w:t>（原</w:t>
            </w:r>
            <w:r>
              <w:rPr>
                <w:rFonts w:eastAsia="宋体"/>
                <w:color w:val="000000"/>
                <w:kern w:val="0"/>
                <w:sz w:val="22"/>
                <w:szCs w:val="22"/>
              </w:rPr>
              <w:t>S204</w:t>
            </w:r>
            <w:r>
              <w:rPr>
                <w:rFonts w:hint="eastAsia" w:ascii="宋体" w:hAnsi="宋体" w:eastAsia="宋体"/>
                <w:color w:val="000000"/>
                <w:kern w:val="0"/>
                <w:sz w:val="22"/>
                <w:szCs w:val="22"/>
              </w:rPr>
              <w:t>）固始县三河尖北至固始县桥沟街道段连接工程（望岗作业区疏港公路）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12.2</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0.49</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53</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r>
              <w:rPr>
                <w:rFonts w:eastAsia="宋体"/>
                <w:color w:val="000000"/>
                <w:kern w:val="0"/>
                <w:sz w:val="22"/>
                <w:szCs w:val="22"/>
              </w:rPr>
              <w:t>X003</w:t>
            </w:r>
            <w:r>
              <w:rPr>
                <w:rFonts w:hint="eastAsia" w:ascii="宋体" w:hAnsi="宋体" w:eastAsia="宋体"/>
                <w:color w:val="000000"/>
                <w:kern w:val="0"/>
                <w:sz w:val="22"/>
                <w:szCs w:val="22"/>
              </w:rPr>
              <w:t>三河尖翁棚村至</w:t>
            </w:r>
            <w:r>
              <w:rPr>
                <w:rFonts w:eastAsia="宋体"/>
                <w:color w:val="000000"/>
                <w:kern w:val="0"/>
                <w:sz w:val="22"/>
                <w:szCs w:val="22"/>
              </w:rPr>
              <w:t>S204</w:t>
            </w:r>
            <w:r>
              <w:rPr>
                <w:rFonts w:hint="eastAsia" w:ascii="宋体" w:hAnsi="宋体" w:eastAsia="宋体"/>
                <w:color w:val="000000"/>
                <w:kern w:val="0"/>
                <w:sz w:val="22"/>
                <w:szCs w:val="22"/>
              </w:rPr>
              <w:t>连接工程（望岗作业区疏港公路）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7.5</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0.22</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14"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54</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Y047</w:t>
            </w:r>
            <w:r>
              <w:rPr>
                <w:rFonts w:hint="eastAsia" w:ascii="宋体" w:hAnsi="宋体" w:eastAsia="宋体"/>
                <w:color w:val="000000"/>
                <w:kern w:val="0"/>
                <w:sz w:val="22"/>
                <w:szCs w:val="22"/>
              </w:rPr>
              <w:t>与</w:t>
            </w:r>
            <w:r>
              <w:rPr>
                <w:rFonts w:eastAsia="宋体"/>
                <w:color w:val="000000"/>
                <w:kern w:val="0"/>
                <w:sz w:val="22"/>
                <w:szCs w:val="22"/>
              </w:rPr>
              <w:t>S204</w:t>
            </w:r>
            <w:r>
              <w:rPr>
                <w:rFonts w:hint="eastAsia" w:ascii="宋体" w:hAnsi="宋体" w:eastAsia="宋体"/>
                <w:color w:val="000000"/>
                <w:kern w:val="0"/>
                <w:sz w:val="22"/>
                <w:szCs w:val="22"/>
              </w:rPr>
              <w:t>交叉口经周集作业区至</w:t>
            </w:r>
            <w:r>
              <w:rPr>
                <w:rFonts w:eastAsia="宋体"/>
                <w:color w:val="000000"/>
                <w:kern w:val="0"/>
                <w:sz w:val="22"/>
                <w:szCs w:val="22"/>
              </w:rPr>
              <w:t>G312</w:t>
            </w:r>
            <w:r>
              <w:rPr>
                <w:rFonts w:hint="eastAsia" w:ascii="宋体" w:hAnsi="宋体" w:eastAsia="宋体"/>
                <w:color w:val="000000"/>
                <w:kern w:val="0"/>
                <w:sz w:val="22"/>
                <w:szCs w:val="22"/>
              </w:rPr>
              <w:t>与</w:t>
            </w:r>
            <w:r>
              <w:rPr>
                <w:rFonts w:eastAsia="宋体"/>
                <w:color w:val="000000"/>
                <w:kern w:val="0"/>
                <w:sz w:val="22"/>
                <w:szCs w:val="22"/>
              </w:rPr>
              <w:t>Y047</w:t>
            </w:r>
            <w:r>
              <w:rPr>
                <w:rFonts w:hint="eastAsia" w:ascii="宋体" w:hAnsi="宋体" w:eastAsia="宋体"/>
                <w:color w:val="000000"/>
                <w:kern w:val="0"/>
                <w:sz w:val="22"/>
                <w:szCs w:val="22"/>
              </w:rPr>
              <w:t>交叉口连接工程（周集作业区疏港公路）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0.56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55</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安徽临泉徐营洪河大桥至淮滨县</w:t>
            </w:r>
            <w:r>
              <w:rPr>
                <w:rFonts w:eastAsia="宋体"/>
                <w:color w:val="000000"/>
                <w:kern w:val="0"/>
                <w:sz w:val="22"/>
                <w:szCs w:val="22"/>
              </w:rPr>
              <w:t>G328</w:t>
            </w:r>
            <w:r>
              <w:rPr>
                <w:rFonts w:hint="eastAsia" w:ascii="宋体" w:hAnsi="宋体" w:eastAsia="宋体"/>
                <w:color w:val="000000"/>
                <w:kern w:val="0"/>
                <w:sz w:val="22"/>
                <w:szCs w:val="22"/>
              </w:rPr>
              <w:t>连接工程（赵集港点疏港公路）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2.3</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0.12</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56</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G230</w:t>
            </w:r>
            <w:r>
              <w:rPr>
                <w:rFonts w:hint="eastAsia" w:ascii="宋体" w:hAnsi="宋体" w:eastAsia="宋体"/>
                <w:color w:val="000000"/>
                <w:kern w:val="0"/>
                <w:sz w:val="22"/>
                <w:szCs w:val="22"/>
              </w:rPr>
              <w:t>与</w:t>
            </w:r>
            <w:r>
              <w:rPr>
                <w:rFonts w:eastAsia="宋体"/>
                <w:color w:val="000000"/>
                <w:kern w:val="0"/>
                <w:sz w:val="22"/>
                <w:szCs w:val="22"/>
              </w:rPr>
              <w:t>S226</w:t>
            </w:r>
            <w:r>
              <w:rPr>
                <w:rFonts w:hint="eastAsia" w:ascii="宋体" w:hAnsi="宋体" w:eastAsia="宋体"/>
                <w:color w:val="000000"/>
                <w:kern w:val="0"/>
                <w:sz w:val="22"/>
                <w:szCs w:val="22"/>
              </w:rPr>
              <w:t>交叉口至</w:t>
            </w:r>
            <w:r>
              <w:rPr>
                <w:rFonts w:eastAsia="宋体"/>
                <w:color w:val="000000"/>
                <w:kern w:val="0"/>
                <w:sz w:val="22"/>
                <w:szCs w:val="22"/>
              </w:rPr>
              <w:t>S226</w:t>
            </w:r>
            <w:r>
              <w:rPr>
                <w:rFonts w:hint="eastAsia" w:ascii="宋体" w:hAnsi="宋体" w:eastAsia="宋体"/>
                <w:color w:val="000000"/>
                <w:kern w:val="0"/>
                <w:sz w:val="22"/>
                <w:szCs w:val="22"/>
              </w:rPr>
              <w:t>息潢交界连接工程（淮河新区港疏港公路）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57</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淮滨中心港至火车站改建工程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1.4</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58</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S</w:t>
            </w:r>
            <w:r>
              <w:rPr>
                <w:rFonts w:eastAsia="宋体"/>
                <w:color w:val="000000"/>
                <w:kern w:val="0"/>
                <w:sz w:val="22"/>
                <w:szCs w:val="22"/>
              </w:rPr>
              <w:t>335</w:t>
            </w:r>
            <w:r>
              <w:rPr>
                <w:rFonts w:hint="eastAsia" w:ascii="宋体" w:hAnsi="宋体" w:eastAsia="宋体"/>
                <w:color w:val="000000"/>
                <w:kern w:val="0"/>
                <w:sz w:val="22"/>
                <w:szCs w:val="22"/>
              </w:rPr>
              <w:t>淮滨县城至息县夏庄学校段改建工程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27</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1.35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59</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花埠港区疏港公路项目（</w:t>
            </w:r>
            <w:r>
              <w:rPr>
                <w:rFonts w:eastAsia="宋体"/>
                <w:color w:val="000000"/>
                <w:kern w:val="0"/>
                <w:sz w:val="22"/>
                <w:szCs w:val="22"/>
              </w:rPr>
              <w:t>G106</w:t>
            </w:r>
            <w:r>
              <w:rPr>
                <w:rFonts w:hint="eastAsia" w:ascii="宋体" w:hAnsi="宋体" w:eastAsia="宋体"/>
                <w:color w:val="000000"/>
                <w:kern w:val="0"/>
                <w:sz w:val="22"/>
                <w:szCs w:val="22"/>
              </w:rPr>
              <w:t>连接线）</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16.1</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8.2</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60</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尤店作业区经</w:t>
            </w:r>
            <w:r>
              <w:rPr>
                <w:rFonts w:eastAsia="宋体"/>
                <w:color w:val="000000"/>
                <w:kern w:val="0"/>
                <w:sz w:val="22"/>
                <w:szCs w:val="22"/>
              </w:rPr>
              <w:t>X006</w:t>
            </w:r>
            <w:r>
              <w:rPr>
                <w:rFonts w:hint="eastAsia" w:ascii="宋体" w:hAnsi="宋体" w:eastAsia="宋体"/>
                <w:color w:val="000000"/>
                <w:kern w:val="0"/>
                <w:sz w:val="22"/>
                <w:szCs w:val="22"/>
              </w:rPr>
              <w:t>子路至</w:t>
            </w:r>
            <w:r>
              <w:rPr>
                <w:rFonts w:eastAsia="宋体"/>
                <w:color w:val="000000"/>
                <w:kern w:val="0"/>
                <w:sz w:val="22"/>
                <w:szCs w:val="22"/>
              </w:rPr>
              <w:t>S337</w:t>
            </w:r>
            <w:r>
              <w:rPr>
                <w:rFonts w:hint="eastAsia" w:ascii="宋体" w:hAnsi="宋体" w:eastAsia="宋体"/>
                <w:color w:val="000000"/>
                <w:kern w:val="0"/>
                <w:sz w:val="22"/>
                <w:szCs w:val="22"/>
              </w:rPr>
              <w:t>曾店路口段改建工程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14"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61</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X002</w:t>
            </w:r>
            <w:r>
              <w:rPr>
                <w:rFonts w:hint="eastAsia" w:ascii="宋体" w:hAnsi="宋体" w:eastAsia="宋体"/>
                <w:color w:val="000000"/>
                <w:kern w:val="0"/>
                <w:sz w:val="22"/>
                <w:szCs w:val="22"/>
              </w:rPr>
              <w:t>与</w:t>
            </w:r>
            <w:r>
              <w:rPr>
                <w:rFonts w:eastAsia="宋体"/>
                <w:color w:val="000000"/>
                <w:kern w:val="0"/>
                <w:sz w:val="22"/>
                <w:szCs w:val="22"/>
              </w:rPr>
              <w:t>G106</w:t>
            </w:r>
            <w:r>
              <w:rPr>
                <w:rFonts w:hint="eastAsia" w:ascii="宋体" w:hAnsi="宋体" w:eastAsia="宋体"/>
                <w:color w:val="000000"/>
                <w:kern w:val="0"/>
                <w:sz w:val="22"/>
                <w:szCs w:val="22"/>
              </w:rPr>
              <w:t>交叉口至</w:t>
            </w:r>
            <w:r>
              <w:rPr>
                <w:rFonts w:eastAsia="宋体"/>
                <w:color w:val="000000"/>
                <w:kern w:val="0"/>
                <w:sz w:val="22"/>
                <w:szCs w:val="22"/>
              </w:rPr>
              <w:t>X002</w:t>
            </w:r>
            <w:r>
              <w:rPr>
                <w:rFonts w:hint="eastAsia" w:ascii="宋体" w:hAnsi="宋体" w:eastAsia="宋体"/>
                <w:color w:val="000000"/>
                <w:kern w:val="0"/>
                <w:sz w:val="22"/>
                <w:szCs w:val="22"/>
              </w:rPr>
              <w:t>与</w:t>
            </w:r>
            <w:r>
              <w:rPr>
                <w:rFonts w:eastAsia="宋体"/>
                <w:color w:val="000000"/>
                <w:kern w:val="0"/>
                <w:sz w:val="22"/>
                <w:szCs w:val="22"/>
              </w:rPr>
              <w:t>S210</w:t>
            </w:r>
            <w:r>
              <w:rPr>
                <w:rFonts w:hint="eastAsia" w:ascii="宋体" w:hAnsi="宋体" w:eastAsia="宋体"/>
                <w:color w:val="000000"/>
                <w:kern w:val="0"/>
                <w:sz w:val="22"/>
                <w:szCs w:val="22"/>
              </w:rPr>
              <w:t>交叉口连接工程（潢川花埠港区疏港公路）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14"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62</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X006</w:t>
            </w:r>
            <w:r>
              <w:rPr>
                <w:rFonts w:hint="eastAsia" w:ascii="宋体" w:hAnsi="宋体" w:eastAsia="宋体"/>
                <w:color w:val="000000"/>
                <w:kern w:val="0"/>
                <w:sz w:val="22"/>
                <w:szCs w:val="22"/>
              </w:rPr>
              <w:t>与</w:t>
            </w:r>
            <w:r>
              <w:rPr>
                <w:rFonts w:eastAsia="宋体"/>
                <w:color w:val="000000"/>
                <w:kern w:val="0"/>
                <w:sz w:val="22"/>
                <w:szCs w:val="22"/>
              </w:rPr>
              <w:t>S333</w:t>
            </w:r>
            <w:r>
              <w:rPr>
                <w:rFonts w:hint="eastAsia" w:ascii="宋体" w:hAnsi="宋体" w:eastAsia="宋体"/>
                <w:color w:val="000000"/>
                <w:kern w:val="0"/>
                <w:sz w:val="22"/>
                <w:szCs w:val="22"/>
              </w:rPr>
              <w:t>交叉口至</w:t>
            </w:r>
            <w:r>
              <w:rPr>
                <w:rFonts w:eastAsia="宋体"/>
                <w:color w:val="000000"/>
                <w:kern w:val="0"/>
                <w:sz w:val="22"/>
                <w:szCs w:val="22"/>
              </w:rPr>
              <w:t>X006</w:t>
            </w:r>
            <w:r>
              <w:rPr>
                <w:rFonts w:hint="eastAsia" w:ascii="宋体" w:hAnsi="宋体" w:eastAsia="宋体"/>
                <w:color w:val="000000"/>
                <w:kern w:val="0"/>
                <w:sz w:val="22"/>
                <w:szCs w:val="22"/>
              </w:rPr>
              <w:t>与新</w:t>
            </w:r>
            <w:r>
              <w:rPr>
                <w:rFonts w:eastAsia="宋体"/>
                <w:color w:val="000000"/>
                <w:kern w:val="0"/>
                <w:sz w:val="22"/>
                <w:szCs w:val="22"/>
              </w:rPr>
              <w:t>G107</w:t>
            </w:r>
            <w:r>
              <w:rPr>
                <w:rFonts w:hint="eastAsia" w:ascii="宋体" w:hAnsi="宋体" w:eastAsia="宋体"/>
                <w:color w:val="000000"/>
                <w:kern w:val="0"/>
                <w:sz w:val="22"/>
                <w:szCs w:val="22"/>
              </w:rPr>
              <w:t>交叉口连接工程（明港作业区疏港公路）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0.9</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平桥区</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14"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63</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X034</w:t>
            </w:r>
            <w:r>
              <w:rPr>
                <w:rFonts w:hint="eastAsia" w:ascii="宋体" w:hAnsi="宋体" w:eastAsia="宋体"/>
                <w:color w:val="000000"/>
                <w:kern w:val="0"/>
                <w:sz w:val="22"/>
                <w:szCs w:val="22"/>
              </w:rPr>
              <w:t>新</w:t>
            </w:r>
            <w:r>
              <w:rPr>
                <w:rFonts w:eastAsia="宋体"/>
                <w:color w:val="000000"/>
                <w:kern w:val="0"/>
                <w:sz w:val="22"/>
                <w:szCs w:val="22"/>
              </w:rPr>
              <w:t>G312</w:t>
            </w:r>
            <w:r>
              <w:rPr>
                <w:rFonts w:hint="eastAsia" w:ascii="宋体" w:hAnsi="宋体" w:eastAsia="宋体"/>
                <w:color w:val="000000"/>
                <w:kern w:val="0"/>
                <w:sz w:val="22"/>
                <w:szCs w:val="22"/>
              </w:rPr>
              <w:t>至刘湾作业区至老</w:t>
            </w:r>
            <w:r>
              <w:rPr>
                <w:rFonts w:eastAsia="宋体"/>
                <w:color w:val="000000"/>
                <w:kern w:val="0"/>
                <w:sz w:val="22"/>
                <w:szCs w:val="22"/>
              </w:rPr>
              <w:t>G312</w:t>
            </w:r>
            <w:r>
              <w:rPr>
                <w:rFonts w:hint="eastAsia" w:ascii="宋体" w:hAnsi="宋体" w:eastAsia="宋体"/>
                <w:color w:val="000000"/>
                <w:kern w:val="0"/>
                <w:sz w:val="22"/>
                <w:szCs w:val="22"/>
              </w:rPr>
              <w:t>道路连接工程（刘塆作业区疏港公路）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0.8</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平桥区</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614"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64</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X001</w:t>
            </w:r>
            <w:r>
              <w:rPr>
                <w:rFonts w:hint="eastAsia" w:ascii="宋体" w:hAnsi="宋体" w:eastAsia="宋体"/>
                <w:color w:val="000000"/>
                <w:kern w:val="0"/>
                <w:sz w:val="22"/>
                <w:szCs w:val="22"/>
              </w:rPr>
              <w:t>与</w:t>
            </w:r>
            <w:r>
              <w:rPr>
                <w:rFonts w:eastAsia="宋体"/>
                <w:color w:val="000000"/>
                <w:kern w:val="0"/>
                <w:sz w:val="22"/>
                <w:szCs w:val="22"/>
              </w:rPr>
              <w:t>S218</w:t>
            </w:r>
            <w:r>
              <w:rPr>
                <w:rFonts w:hint="eastAsia" w:ascii="宋体" w:hAnsi="宋体" w:eastAsia="宋体"/>
                <w:color w:val="000000"/>
                <w:kern w:val="0"/>
                <w:sz w:val="22"/>
                <w:szCs w:val="22"/>
              </w:rPr>
              <w:t>交叉口经尤店作业区至新</w:t>
            </w:r>
            <w:r>
              <w:rPr>
                <w:rFonts w:eastAsia="宋体"/>
                <w:color w:val="000000"/>
                <w:kern w:val="0"/>
                <w:sz w:val="22"/>
                <w:szCs w:val="22"/>
              </w:rPr>
              <w:t>G312</w:t>
            </w:r>
            <w:r>
              <w:rPr>
                <w:rFonts w:hint="eastAsia" w:ascii="宋体" w:hAnsi="宋体" w:eastAsia="宋体"/>
                <w:color w:val="000000"/>
                <w:kern w:val="0"/>
                <w:sz w:val="22"/>
                <w:szCs w:val="22"/>
              </w:rPr>
              <w:t>连接工程（尤店作业区疏港公路）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9.4</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0.9</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65</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w:t>
            </w:r>
            <w:r>
              <w:rPr>
                <w:rFonts w:eastAsia="宋体"/>
                <w:color w:val="000000"/>
                <w:kern w:val="0"/>
                <w:sz w:val="22"/>
                <w:szCs w:val="22"/>
              </w:rPr>
              <w:t>S218</w:t>
            </w:r>
            <w:r>
              <w:rPr>
                <w:rFonts w:hint="eastAsia" w:ascii="宋体" w:hAnsi="宋体" w:eastAsia="宋体"/>
                <w:color w:val="000000"/>
                <w:kern w:val="0"/>
                <w:sz w:val="22"/>
                <w:szCs w:val="22"/>
              </w:rPr>
              <w:t>与新</w:t>
            </w:r>
            <w:r>
              <w:rPr>
                <w:rFonts w:eastAsia="宋体"/>
                <w:color w:val="000000"/>
                <w:kern w:val="0"/>
                <w:sz w:val="22"/>
                <w:szCs w:val="22"/>
              </w:rPr>
              <w:t>G312</w:t>
            </w:r>
            <w:r>
              <w:rPr>
                <w:rFonts w:hint="eastAsia" w:ascii="宋体" w:hAnsi="宋体" w:eastAsia="宋体"/>
                <w:color w:val="000000"/>
                <w:kern w:val="0"/>
                <w:sz w:val="22"/>
                <w:szCs w:val="22"/>
              </w:rPr>
              <w:t>交叉口至省界段连接工程（尤店作业区疏港公路）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66</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淮滨县饮马港码头至淮河物流港通道工程（饮马港码头疏港公路）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5.7</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0.8</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67</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樊营子至</w:t>
            </w:r>
            <w:r>
              <w:rPr>
                <w:rFonts w:eastAsia="宋体"/>
                <w:color w:val="000000"/>
                <w:kern w:val="0"/>
                <w:sz w:val="22"/>
                <w:szCs w:val="22"/>
              </w:rPr>
              <w:t>S204</w:t>
            </w:r>
            <w:r>
              <w:rPr>
                <w:rFonts w:hint="eastAsia" w:ascii="宋体" w:hAnsi="宋体" w:eastAsia="宋体"/>
                <w:color w:val="000000"/>
                <w:kern w:val="0"/>
                <w:sz w:val="22"/>
                <w:szCs w:val="22"/>
              </w:rPr>
              <w:t>道路连接工程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0.4</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68</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淮阜高速出入口至淮滨港区连接线工程（疏港道路）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11.277</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61" w:hRule="atLeast"/>
        </w:trPr>
        <w:tc>
          <w:tcPr>
            <w:tcW w:w="0" w:type="auto"/>
            <w:gridSpan w:val="4"/>
            <w:tcBorders>
              <w:top w:val="nil"/>
              <w:left w:val="single" w:color="auto" w:sz="8"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临港产业项目（15个）</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1655.48</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226.18</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　</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69</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淮滨县中原粮食和储备物资中心建设项目</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2024-2025</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2.98</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1.6</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70</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淮滨县电商智慧物流园建设项目</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2024-2025</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6.7</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2.1</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71</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淮滨县内陆临港船艇装备制造产业园建设项目</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2024-2025</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79.6</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72</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淮滨临港户外休闲家居产业园标准化厂房</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2024-2026</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8.7</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2.18</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73</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信阳（淮滨）煤炭储备园区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2024-2026</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32</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74</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淮滨县冷链物流产业园</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2024-2026</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1.1</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75</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淮滨港国际多式联运枢纽（公路港）</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olor w:val="000000"/>
                <w:kern w:val="0"/>
                <w:sz w:val="21"/>
                <w:szCs w:val="21"/>
              </w:rPr>
            </w:pPr>
            <w:r>
              <w:rPr>
                <w:rFonts w:eastAsia="宋体"/>
                <w:color w:val="000000"/>
                <w:kern w:val="0"/>
                <w:sz w:val="21"/>
                <w:szCs w:val="21"/>
              </w:rPr>
              <w:t>2024-2026</w:t>
            </w:r>
          </w:p>
        </w:tc>
        <w:tc>
          <w:tcPr>
            <w:tcW w:w="2091"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32.7</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5.2</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淮滨县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76</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淮河新区物流园区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2025-2026</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53.3</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77</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潢川县临港经济区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372</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潢川县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78</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淮河新区产业园区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1000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79</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长陵闾河口港船舶制造业基地</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80</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固始港产业园区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10.5</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81</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固始县往流港物流园区</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w:t>
            </w:r>
          </w:p>
        </w:tc>
        <w:tc>
          <w:tcPr>
            <w:tcW w:w="138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82</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固始县先进制造业开发区临港产业园</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w:t>
            </w:r>
          </w:p>
        </w:tc>
        <w:tc>
          <w:tcPr>
            <w:tcW w:w="138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83</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长陵闾河口港区物流园区</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2026-2028</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40</w:t>
            </w:r>
          </w:p>
        </w:tc>
        <w:tc>
          <w:tcPr>
            <w:tcW w:w="138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39" w:hRule="atLeast"/>
        </w:trPr>
        <w:tc>
          <w:tcPr>
            <w:tcW w:w="0" w:type="auto"/>
            <w:gridSpan w:val="4"/>
            <w:tcBorders>
              <w:top w:val="nil"/>
              <w:left w:val="single" w:color="auto" w:sz="8" w:space="0"/>
              <w:bottom w:val="single" w:color="auto" w:sz="8" w:space="0"/>
              <w:right w:val="single" w:color="000000" w:sz="8" w:space="0"/>
            </w:tcBorders>
            <w:shd w:val="clear" w:color="auto" w:fill="auto"/>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运河工程（</w:t>
            </w:r>
            <w:r>
              <w:rPr>
                <w:rFonts w:eastAsia="宋体"/>
                <w:b/>
                <w:bCs/>
                <w:color w:val="000000"/>
                <w:kern w:val="0"/>
                <w:sz w:val="22"/>
                <w:szCs w:val="22"/>
              </w:rPr>
              <w:t>2</w:t>
            </w:r>
            <w:r>
              <w:rPr>
                <w:rFonts w:hint="eastAsia" w:ascii="宋体" w:hAnsi="宋体" w:eastAsia="宋体"/>
                <w:b/>
                <w:bCs/>
                <w:color w:val="000000"/>
                <w:kern w:val="0"/>
                <w:sz w:val="22"/>
                <w:szCs w:val="22"/>
              </w:rPr>
              <w:t>个）</w:t>
            </w:r>
          </w:p>
        </w:tc>
        <w:tc>
          <w:tcPr>
            <w:tcW w:w="2091"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895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　</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401"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84</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淮水北送枢纽工程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2029-2035</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30</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平桥区</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313" w:hRule="atLeast"/>
        </w:trPr>
        <w:tc>
          <w:tcPr>
            <w:tcW w:w="0" w:type="auto"/>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85</w:t>
            </w:r>
          </w:p>
        </w:tc>
        <w:tc>
          <w:tcPr>
            <w:tcW w:w="0" w:type="auto"/>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竹滠运河工程</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新建</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2091"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160</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865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罗山县</w:t>
            </w:r>
          </w:p>
        </w:tc>
        <w:tc>
          <w:tcPr>
            <w:tcW w:w="0" w:type="auto"/>
            <w:vAlign w:val="center"/>
          </w:tcPr>
          <w:p>
            <w:pPr>
              <w:widowControl/>
              <w:spacing w:line="240" w:lineRule="auto"/>
              <w:ind w:firstLine="0" w:firstLineChars="0"/>
              <w:jc w:val="left"/>
              <w:rPr>
                <w:rFonts w:eastAsia="Times New Roman"/>
                <w:kern w:val="0"/>
                <w:sz w:val="20"/>
              </w:rPr>
            </w:pPr>
          </w:p>
        </w:tc>
      </w:tr>
      <w:tr>
        <w:tblPrEx>
          <w:tblCellMar>
            <w:top w:w="0" w:type="dxa"/>
            <w:left w:w="108" w:type="dxa"/>
            <w:bottom w:w="0" w:type="dxa"/>
            <w:right w:w="108" w:type="dxa"/>
          </w:tblCellMar>
        </w:tblPrEx>
        <w:trPr>
          <w:trHeight w:val="580" w:hRule="atLeast"/>
        </w:trPr>
        <w:tc>
          <w:tcPr>
            <w:tcW w:w="10622" w:type="dxa"/>
            <w:gridSpan w:val="5"/>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合计</w:t>
            </w:r>
          </w:p>
        </w:tc>
        <w:tc>
          <w:tcPr>
            <w:tcW w:w="138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2016.95</w:t>
            </w:r>
          </w:p>
        </w:tc>
        <w:tc>
          <w:tcPr>
            <w:tcW w:w="0" w:type="auto"/>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宋体"/>
                <w:color w:val="000000"/>
                <w:kern w:val="0"/>
                <w:sz w:val="22"/>
                <w:szCs w:val="22"/>
              </w:rPr>
            </w:pPr>
            <w:r>
              <w:rPr>
                <w:rFonts w:eastAsia="宋体"/>
                <w:color w:val="000000"/>
                <w:kern w:val="0"/>
                <w:sz w:val="22"/>
                <w:szCs w:val="22"/>
              </w:rPr>
              <w:t>　</w:t>
            </w:r>
          </w:p>
        </w:tc>
        <w:tc>
          <w:tcPr>
            <w:tcW w:w="0" w:type="auto"/>
            <w:vAlign w:val="center"/>
          </w:tcPr>
          <w:p>
            <w:pPr>
              <w:widowControl/>
              <w:spacing w:line="240" w:lineRule="auto"/>
              <w:ind w:firstLine="0" w:firstLineChars="0"/>
              <w:jc w:val="left"/>
              <w:rPr>
                <w:rFonts w:eastAsia="Times New Roman"/>
                <w:kern w:val="0"/>
                <w:sz w:val="20"/>
              </w:rPr>
            </w:pPr>
          </w:p>
        </w:tc>
      </w:tr>
    </w:tbl>
    <w:p>
      <w:pPr>
        <w:keepNext/>
        <w:keepLines/>
        <w:adjustRightInd w:val="0"/>
        <w:spacing w:before="163" w:beforeLines="50" w:after="163" w:afterLines="50"/>
        <w:ind w:firstLine="0" w:firstLineChars="0"/>
        <w:jc w:val="left"/>
        <w:outlineLvl w:val="1"/>
        <w:rPr>
          <w:rFonts w:eastAsia="黑体"/>
          <w:b/>
          <w:bCs/>
          <w:sz w:val="30"/>
          <w:szCs w:val="32"/>
        </w:rPr>
      </w:pPr>
      <w:r>
        <w:rPr>
          <w:rFonts w:eastAsia="黑体"/>
          <w:b/>
          <w:bCs/>
          <w:sz w:val="30"/>
          <w:szCs w:val="32"/>
        </w:rPr>
        <w:br w:type="page"/>
      </w:r>
      <w:bookmarkStart w:id="60" w:name="_Toc181110993"/>
      <w:bookmarkStart w:id="61" w:name="_Toc128424865"/>
      <w:r>
        <w:rPr>
          <w:rFonts w:hint="eastAsia" w:eastAsia="黑体"/>
          <w:b/>
          <w:bCs/>
          <w:sz w:val="30"/>
          <w:szCs w:val="32"/>
        </w:rPr>
        <w:t>附表</w:t>
      </w:r>
      <w:r>
        <w:rPr>
          <w:rFonts w:eastAsia="黑体"/>
          <w:b/>
          <w:bCs/>
          <w:sz w:val="30"/>
          <w:szCs w:val="32"/>
        </w:rPr>
        <w:t xml:space="preserve">5 </w:t>
      </w:r>
      <w:r>
        <w:rPr>
          <w:rFonts w:hint="eastAsia" w:eastAsia="黑体"/>
          <w:b/>
          <w:bCs/>
          <w:sz w:val="30"/>
          <w:szCs w:val="32"/>
        </w:rPr>
        <w:t>运输场站“服务支撑工程”项目表明细表</w:t>
      </w:r>
      <w:bookmarkEnd w:id="60"/>
      <w:bookmarkEnd w:id="61"/>
    </w:p>
    <w:tbl>
      <w:tblPr>
        <w:tblStyle w:val="24"/>
        <w:tblW w:w="5000" w:type="pct"/>
        <w:tblInd w:w="0" w:type="dxa"/>
        <w:tblLayout w:type="autofit"/>
        <w:tblCellMar>
          <w:top w:w="0" w:type="dxa"/>
          <w:left w:w="108" w:type="dxa"/>
          <w:bottom w:w="0" w:type="dxa"/>
          <w:right w:w="108" w:type="dxa"/>
        </w:tblCellMar>
      </w:tblPr>
      <w:tblGrid>
        <w:gridCol w:w="697"/>
        <w:gridCol w:w="5824"/>
        <w:gridCol w:w="1166"/>
        <w:gridCol w:w="1245"/>
        <w:gridCol w:w="2957"/>
        <w:gridCol w:w="1166"/>
        <w:gridCol w:w="1163"/>
      </w:tblGrid>
      <w:tr>
        <w:tblPrEx>
          <w:tblCellMar>
            <w:top w:w="0" w:type="dxa"/>
            <w:left w:w="108" w:type="dxa"/>
            <w:bottom w:w="0" w:type="dxa"/>
            <w:right w:w="108" w:type="dxa"/>
          </w:tblCellMar>
        </w:tblPrEx>
        <w:trPr>
          <w:trHeight w:val="401" w:hRule="atLeast"/>
          <w:tblHeader/>
        </w:trPr>
        <w:tc>
          <w:tcPr>
            <w:tcW w:w="245"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序号</w:t>
            </w:r>
          </w:p>
        </w:tc>
        <w:tc>
          <w:tcPr>
            <w:tcW w:w="2048"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项目名称</w:t>
            </w:r>
          </w:p>
        </w:tc>
        <w:tc>
          <w:tcPr>
            <w:tcW w:w="410"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建设性质</w:t>
            </w:r>
          </w:p>
        </w:tc>
        <w:tc>
          <w:tcPr>
            <w:tcW w:w="438"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建设年限</w:t>
            </w:r>
          </w:p>
        </w:tc>
        <w:tc>
          <w:tcPr>
            <w:tcW w:w="1040"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建设规模</w:t>
            </w:r>
            <w:r>
              <w:rPr>
                <w:rFonts w:eastAsiaTheme="minorEastAsia"/>
                <w:b/>
                <w:bCs/>
                <w:color w:val="000000"/>
                <w:kern w:val="0"/>
                <w:sz w:val="22"/>
                <w:szCs w:val="22"/>
              </w:rPr>
              <w:br w:type="textWrapping"/>
            </w:r>
            <w:r>
              <w:rPr>
                <w:rFonts w:hint="eastAsia" w:eastAsiaTheme="minorEastAsia"/>
                <w:b/>
                <w:bCs/>
                <w:color w:val="000000"/>
                <w:kern w:val="0"/>
                <w:sz w:val="22"/>
                <w:szCs w:val="22"/>
              </w:rPr>
              <w:t>（万平方米）</w:t>
            </w:r>
          </w:p>
        </w:tc>
        <w:tc>
          <w:tcPr>
            <w:tcW w:w="410"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总投资</w:t>
            </w:r>
            <w:r>
              <w:rPr>
                <w:rFonts w:eastAsiaTheme="minorEastAsia"/>
                <w:b/>
                <w:bCs/>
                <w:color w:val="000000"/>
                <w:kern w:val="0"/>
                <w:sz w:val="22"/>
                <w:szCs w:val="22"/>
              </w:rPr>
              <w:br w:type="textWrapping"/>
            </w:r>
            <w:r>
              <w:rPr>
                <w:rFonts w:hint="eastAsia" w:eastAsiaTheme="minorEastAsia"/>
                <w:b/>
                <w:bCs/>
                <w:color w:val="000000"/>
                <w:kern w:val="0"/>
                <w:sz w:val="22"/>
                <w:szCs w:val="22"/>
              </w:rPr>
              <w:t>（亿元）</w:t>
            </w:r>
          </w:p>
        </w:tc>
        <w:tc>
          <w:tcPr>
            <w:tcW w:w="409" w:type="pct"/>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责任单位</w:t>
            </w:r>
          </w:p>
        </w:tc>
      </w:tr>
      <w:tr>
        <w:tblPrEx>
          <w:tblCellMar>
            <w:top w:w="0" w:type="dxa"/>
            <w:left w:w="108" w:type="dxa"/>
            <w:bottom w:w="0" w:type="dxa"/>
            <w:right w:w="108" w:type="dxa"/>
          </w:tblCellMar>
        </w:tblPrEx>
        <w:trPr>
          <w:trHeight w:val="401" w:hRule="atLeast"/>
          <w:tblHeader/>
        </w:trPr>
        <w:tc>
          <w:tcPr>
            <w:tcW w:w="245"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2048"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410"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438"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1040"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410"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409"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r>
      <w:tr>
        <w:tblPrEx>
          <w:tblCellMar>
            <w:top w:w="0" w:type="dxa"/>
            <w:left w:w="108" w:type="dxa"/>
            <w:bottom w:w="0" w:type="dxa"/>
            <w:right w:w="108" w:type="dxa"/>
          </w:tblCellMar>
        </w:tblPrEx>
        <w:trPr>
          <w:trHeight w:val="401" w:hRule="atLeast"/>
        </w:trPr>
        <w:tc>
          <w:tcPr>
            <w:tcW w:w="3141" w:type="pct"/>
            <w:gridSpan w:val="4"/>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left"/>
              <w:rPr>
                <w:rFonts w:eastAsiaTheme="minorEastAsia"/>
                <w:b/>
                <w:bCs/>
                <w:color w:val="000000"/>
                <w:kern w:val="0"/>
                <w:sz w:val="22"/>
                <w:szCs w:val="22"/>
              </w:rPr>
            </w:pPr>
            <w:r>
              <w:rPr>
                <w:rFonts w:hint="eastAsia" w:eastAsiaTheme="minorEastAsia"/>
                <w:b/>
                <w:bCs/>
                <w:color w:val="000000"/>
                <w:kern w:val="0"/>
                <w:sz w:val="22"/>
                <w:szCs w:val="22"/>
              </w:rPr>
              <w:t>一、近期建设项目（</w:t>
            </w:r>
            <w:r>
              <w:rPr>
                <w:rFonts w:eastAsiaTheme="minorEastAsia"/>
                <w:b/>
                <w:bCs/>
                <w:color w:val="000000"/>
                <w:kern w:val="0"/>
                <w:sz w:val="22"/>
                <w:szCs w:val="22"/>
              </w:rPr>
              <w:t>44</w:t>
            </w:r>
            <w:r>
              <w:rPr>
                <w:rFonts w:hint="eastAsia" w:eastAsiaTheme="minorEastAsia"/>
                <w:b/>
                <w:bCs/>
                <w:color w:val="000000"/>
                <w:kern w:val="0"/>
                <w:sz w:val="22"/>
                <w:szCs w:val="22"/>
              </w:rPr>
              <w:t>个）</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123.85</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53.78</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　</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w:t>
            </w:r>
          </w:p>
        </w:tc>
        <w:tc>
          <w:tcPr>
            <w:tcW w:w="204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罗山县农村物流网络节点体系项目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2018-2025</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3.39</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罗山县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204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信阳西亚现代物流信息中心项目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2019-2025</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4.5</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w:t>
            </w:r>
          </w:p>
        </w:tc>
        <w:tc>
          <w:tcPr>
            <w:tcW w:w="204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新县田铺旅游客运站新建工程</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2020-2024</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0.47</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潢川经济开发区大别山铁路综合物流园</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2022-2025</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32.89</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潢川县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5</w:t>
            </w:r>
          </w:p>
        </w:tc>
        <w:tc>
          <w:tcPr>
            <w:tcW w:w="204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固始县顺达客运站扩建项目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2022-2025</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0.26</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0.7</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w:t>
            </w:r>
          </w:p>
        </w:tc>
        <w:tc>
          <w:tcPr>
            <w:tcW w:w="204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潢川汽车客运西站新建项目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2022-2027</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1.88</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2.1</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潢川县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7</w:t>
            </w:r>
          </w:p>
        </w:tc>
        <w:tc>
          <w:tcPr>
            <w:tcW w:w="204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信阳同鑫物流配送中心</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2023-2025</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0.7</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8</w:t>
            </w:r>
          </w:p>
        </w:tc>
        <w:tc>
          <w:tcPr>
            <w:tcW w:w="204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福安冷链物流中心</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2023-2025</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1.6</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9</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淮滨县综合交通运输服务中心建设项目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2023-2025</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4.5</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0.53</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10</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淮滨县客货物流服务中心建设项目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2023-2025</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0.52</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w:t>
            </w:r>
          </w:p>
        </w:tc>
      </w:tr>
      <w:tr>
        <w:tblPrEx>
          <w:tblCellMar>
            <w:top w:w="0" w:type="dxa"/>
            <w:left w:w="108" w:type="dxa"/>
            <w:bottom w:w="0" w:type="dxa"/>
            <w:right w:w="108" w:type="dxa"/>
          </w:tblCellMar>
        </w:tblPrEx>
        <w:trPr>
          <w:trHeight w:val="802"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11</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淮滨县客货邮融合发展体系及综合运输服务站建设项目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2023-2025</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1.05</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0.45</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息县交通枢纽站</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2023-2026</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1.78</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2.31</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息县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w:t>
            </w:r>
          </w:p>
        </w:tc>
        <w:tc>
          <w:tcPr>
            <w:tcW w:w="204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豫南快递物流园</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2024-2026</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8.7</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3.3</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豫东南</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14</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浉河区乡镇交通综合服务平台新建工程</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2024-2025</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7</w:t>
            </w:r>
            <w:r>
              <w:rPr>
                <w:rFonts w:hint="eastAsia" w:eastAsiaTheme="minorEastAsia"/>
                <w:color w:val="000000"/>
                <w:kern w:val="0"/>
                <w:sz w:val="22"/>
                <w:szCs w:val="22"/>
              </w:rPr>
              <w:t>个乡镇交通综合服务平台</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0.38</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固始县旅游集散中心建设项目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2024-2025</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0.2</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0.46</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16</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潢川县城乡交通一体化建设项目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2024-2025</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16.51</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4.97</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潢川县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17</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固始县城西城市大型停车场及配套工程</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2024-2026</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1.9</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1.53</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固始县城乡交通一体化建设项目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2024-2026</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7.05</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2.7</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19</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潢川黄国发展投资有限责任公司铁路专用线</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2024-2026</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2.15</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潢川县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浉河区城乡交通一体化建设项目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2024-2026</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1.275</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1.86</w:t>
            </w:r>
          </w:p>
        </w:tc>
        <w:tc>
          <w:tcPr>
            <w:tcW w:w="409" w:type="pct"/>
            <w:tcBorders>
              <w:top w:val="nil"/>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21</w:t>
            </w:r>
          </w:p>
        </w:tc>
        <w:tc>
          <w:tcPr>
            <w:tcW w:w="204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农产品应急储备冷链物流中心</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2024-2027</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2.3</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22</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固始县公共交通场站（仓储园区）站建设项目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2024-2027</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1.9</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1.47</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23</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城北公交停保场</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2024-2027</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0.48</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0.65</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公交公司</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24</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商城县新西城客运站</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2025-2026</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0.19</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商城县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25</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商城县北站客运有限公司</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2025-2026</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0.088</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商城县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26</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罗山交通枢纽站</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2025-2027</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6.67</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罗山县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27</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罗山县江淮新区公交站</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2025-2028</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0.5</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罗山县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28</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罗山西站综合枢纽</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2025-2028</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罗山县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29</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息县客货邮综合服务平台项目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2025-2028</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16.2</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0.5</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息县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30</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湖东公交枢纽站</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2025-2028</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0.21</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0.48</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公交公司</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31</w:t>
            </w:r>
          </w:p>
        </w:tc>
        <w:tc>
          <w:tcPr>
            <w:tcW w:w="204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羊山新区冷链物流园项目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2025-2030</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3.73</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1.54</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羊山新区</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32</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淮滨县城乡交通一体化建设项目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2026-2027</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2.6</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33</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信阳汽车站改造项目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提升改造</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2026-2028</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0.12</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34</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罗山汽车站改造项目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提升改造</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2026-2028</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0.086</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罗山县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35</w:t>
            </w:r>
          </w:p>
        </w:tc>
        <w:tc>
          <w:tcPr>
            <w:tcW w:w="204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豫东南邮件处理中心</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2026-2030</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3.3</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0.9</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豫东南</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36</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光山汽车站改造项目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提升改造</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2027-2028</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0.086</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光山县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37</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光山汽车西站改造项目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提升改造</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2027-2029</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0.12</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光山县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38</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潢川汽车站改造项目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提升改造</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2027-2029</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0.12</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潢川县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39</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息县汽车站改造项目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提升改造</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2028-2029</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0.12</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息县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40</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新县汽车站改造项目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提升改造</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2028-2030</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0.086</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41</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淮滨汽车北站改造项目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提升改造</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2029-2030</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0.12</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42</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固始汽车站改造项目</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提升改造</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2029-2030</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0.12</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43</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新县汽运中心汽车站</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提升改造</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2029-2030</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0.08</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44</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淮滨县通达客运站升级改造</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2030-2031</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0.24</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w:t>
            </w:r>
          </w:p>
        </w:tc>
      </w:tr>
      <w:tr>
        <w:tblPrEx>
          <w:tblCellMar>
            <w:top w:w="0" w:type="dxa"/>
            <w:left w:w="108" w:type="dxa"/>
            <w:bottom w:w="0" w:type="dxa"/>
            <w:right w:w="108" w:type="dxa"/>
          </w:tblCellMar>
        </w:tblPrEx>
        <w:trPr>
          <w:trHeight w:val="401" w:hRule="atLeast"/>
        </w:trPr>
        <w:tc>
          <w:tcPr>
            <w:tcW w:w="3141" w:type="pct"/>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240" w:lineRule="auto"/>
              <w:ind w:firstLine="0" w:firstLineChars="0"/>
              <w:jc w:val="left"/>
              <w:rPr>
                <w:rFonts w:eastAsiaTheme="minorEastAsia"/>
                <w:b/>
                <w:bCs/>
                <w:kern w:val="0"/>
                <w:sz w:val="22"/>
                <w:szCs w:val="22"/>
              </w:rPr>
            </w:pPr>
            <w:r>
              <w:rPr>
                <w:rFonts w:hint="eastAsia" w:eastAsiaTheme="minorEastAsia"/>
                <w:b/>
                <w:bCs/>
                <w:kern w:val="0"/>
                <w:sz w:val="22"/>
                <w:szCs w:val="22"/>
              </w:rPr>
              <w:t>二、远期建设项目（</w:t>
            </w:r>
            <w:r>
              <w:rPr>
                <w:rFonts w:eastAsiaTheme="minorEastAsia"/>
                <w:b/>
                <w:bCs/>
                <w:kern w:val="0"/>
                <w:sz w:val="22"/>
                <w:szCs w:val="22"/>
              </w:rPr>
              <w:t>18</w:t>
            </w:r>
            <w:r>
              <w:rPr>
                <w:rFonts w:hint="eastAsia" w:eastAsiaTheme="minorEastAsia"/>
                <w:b/>
                <w:bCs/>
                <w:kern w:val="0"/>
                <w:sz w:val="22"/>
                <w:szCs w:val="22"/>
              </w:rPr>
              <w:t>个）</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2147.61</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446.46</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　</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45</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淮滨县交通运输综合智慧监管智慧中心</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43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0.26</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46</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弘运汽车客运枢纽站</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43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47</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罗山县枢纽总站</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罗山县</w:t>
            </w:r>
          </w:p>
        </w:tc>
      </w:tr>
      <w:tr>
        <w:tblPrEx>
          <w:tblCellMar>
            <w:top w:w="0" w:type="dxa"/>
            <w:left w:w="108" w:type="dxa"/>
            <w:bottom w:w="0" w:type="dxa"/>
            <w:right w:w="108" w:type="dxa"/>
          </w:tblCellMar>
        </w:tblPrEx>
        <w:trPr>
          <w:trHeight w:val="417"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48</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商城县城乡交通客货邮融合一体化</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1.86</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商城县</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49</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物流仓储园</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0.5</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羊山新区</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50</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公路港大型综合物流园区</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135.73</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29.12</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豫东南</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51</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科创总部基地公共配送中心</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252.33</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54.08</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豫东南</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52</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大健康产业园公共配送中心</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379</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78.65</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豫东南</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53</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潢川铁路港大型综合物流园</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420</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64.87</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豫东南</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54</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豫东南农贸综合物流产业园</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33.33</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豫东南</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55</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内河港大型综合物流园区</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240.78</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51.61</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豫东南</w:t>
            </w:r>
          </w:p>
        </w:tc>
      </w:tr>
      <w:tr>
        <w:tblPrEx>
          <w:tblCellMar>
            <w:top w:w="0" w:type="dxa"/>
            <w:left w:w="108" w:type="dxa"/>
            <w:bottom w:w="0" w:type="dxa"/>
            <w:right w:w="108" w:type="dxa"/>
          </w:tblCellMar>
        </w:tblPrEx>
        <w:trPr>
          <w:trHeight w:val="417"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56</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航空港大型综合物流园区</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546.56</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117.13</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豫东南</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57</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光山铁路港大型综合物流园区</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138.13</w:t>
            </w:r>
          </w:p>
        </w:tc>
        <w:tc>
          <w:tcPr>
            <w:tcW w:w="41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29.6</w:t>
            </w:r>
          </w:p>
        </w:tc>
        <w:tc>
          <w:tcPr>
            <w:tcW w:w="409"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豫东南</w:t>
            </w:r>
          </w:p>
        </w:tc>
      </w:tr>
      <w:tr>
        <w:tblPrEx>
          <w:tblCellMar>
            <w:top w:w="0" w:type="dxa"/>
            <w:left w:w="108" w:type="dxa"/>
            <w:bottom w:w="0" w:type="dxa"/>
            <w:right w:w="108" w:type="dxa"/>
          </w:tblCellMar>
        </w:tblPrEx>
        <w:trPr>
          <w:trHeight w:val="417"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58</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鸡公山旅游客运站</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0.5</w:t>
            </w:r>
          </w:p>
        </w:tc>
        <w:tc>
          <w:tcPr>
            <w:tcW w:w="410" w:type="pct"/>
            <w:tcBorders>
              <w:top w:val="nil"/>
              <w:left w:val="nil"/>
              <w:bottom w:val="single" w:color="auto" w:sz="8" w:space="0"/>
              <w:right w:val="nil"/>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0.7</w:t>
            </w:r>
          </w:p>
        </w:tc>
        <w:tc>
          <w:tcPr>
            <w:tcW w:w="409" w:type="pct"/>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59</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职教新城（雷山匠谷）停保场</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0.1</w:t>
            </w:r>
          </w:p>
        </w:tc>
        <w:tc>
          <w:tcPr>
            <w:tcW w:w="410" w:type="pct"/>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0.75</w:t>
            </w:r>
          </w:p>
        </w:tc>
        <w:tc>
          <w:tcPr>
            <w:tcW w:w="409" w:type="pct"/>
            <w:tcBorders>
              <w:top w:val="nil"/>
              <w:left w:val="single" w:color="auto" w:sz="8" w:space="0"/>
              <w:bottom w:val="single" w:color="auto" w:sz="4"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公交公司</w:t>
            </w:r>
          </w:p>
        </w:tc>
      </w:tr>
      <w:tr>
        <w:tblPrEx>
          <w:tblCellMar>
            <w:top w:w="0" w:type="dxa"/>
            <w:left w:w="108" w:type="dxa"/>
            <w:bottom w:w="0" w:type="dxa"/>
            <w:right w:w="108" w:type="dxa"/>
          </w:tblCellMar>
        </w:tblPrEx>
        <w:trPr>
          <w:trHeight w:val="401"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60</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北湖公交枢纽站</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0.05</w:t>
            </w:r>
          </w:p>
        </w:tc>
        <w:tc>
          <w:tcPr>
            <w:tcW w:w="410" w:type="pct"/>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0.4</w:t>
            </w:r>
          </w:p>
        </w:tc>
        <w:tc>
          <w:tcPr>
            <w:tcW w:w="409" w:type="pct"/>
            <w:tcBorders>
              <w:top w:val="nil"/>
              <w:left w:val="single" w:color="auto" w:sz="8" w:space="0"/>
              <w:bottom w:val="single" w:color="auto" w:sz="4"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公交公司</w:t>
            </w:r>
          </w:p>
        </w:tc>
      </w:tr>
      <w:tr>
        <w:tblPrEx>
          <w:tblCellMar>
            <w:top w:w="0" w:type="dxa"/>
            <w:left w:w="108" w:type="dxa"/>
            <w:bottom w:w="0" w:type="dxa"/>
            <w:right w:w="108" w:type="dxa"/>
          </w:tblCellMar>
        </w:tblPrEx>
        <w:trPr>
          <w:trHeight w:val="376"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61</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出山店公交枢纽站</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0.05</w:t>
            </w:r>
          </w:p>
        </w:tc>
        <w:tc>
          <w:tcPr>
            <w:tcW w:w="410" w:type="pct"/>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0.36</w:t>
            </w:r>
          </w:p>
        </w:tc>
        <w:tc>
          <w:tcPr>
            <w:tcW w:w="409" w:type="pct"/>
            <w:tcBorders>
              <w:top w:val="nil"/>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公交公司</w:t>
            </w:r>
          </w:p>
        </w:tc>
      </w:tr>
      <w:tr>
        <w:tblPrEx>
          <w:tblCellMar>
            <w:top w:w="0" w:type="dxa"/>
            <w:left w:w="108" w:type="dxa"/>
            <w:bottom w:w="0" w:type="dxa"/>
            <w:right w:w="108" w:type="dxa"/>
          </w:tblCellMar>
        </w:tblPrEx>
        <w:trPr>
          <w:trHeight w:val="389" w:hRule="atLeast"/>
        </w:trPr>
        <w:tc>
          <w:tcPr>
            <w:tcW w:w="245"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62</w:t>
            </w:r>
          </w:p>
        </w:tc>
        <w:tc>
          <w:tcPr>
            <w:tcW w:w="2048"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东双河镇公交枢纽站</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438"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1040" w:type="pct"/>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0.05</w:t>
            </w:r>
          </w:p>
        </w:tc>
        <w:tc>
          <w:tcPr>
            <w:tcW w:w="410" w:type="pct"/>
            <w:tcBorders>
              <w:top w:val="nil"/>
              <w:left w:val="nil"/>
              <w:bottom w:val="single" w:color="auto" w:sz="8" w:space="0"/>
              <w:right w:val="nil"/>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0.37</w:t>
            </w:r>
          </w:p>
        </w:tc>
        <w:tc>
          <w:tcPr>
            <w:tcW w:w="409" w:type="pct"/>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公交公司</w:t>
            </w:r>
          </w:p>
        </w:tc>
      </w:tr>
      <w:tr>
        <w:tblPrEx>
          <w:tblCellMar>
            <w:top w:w="0" w:type="dxa"/>
            <w:left w:w="108" w:type="dxa"/>
            <w:bottom w:w="0" w:type="dxa"/>
            <w:right w:w="108" w:type="dxa"/>
          </w:tblCellMar>
        </w:tblPrEx>
        <w:trPr>
          <w:trHeight w:val="401" w:hRule="atLeast"/>
        </w:trPr>
        <w:tc>
          <w:tcPr>
            <w:tcW w:w="3141" w:type="pct"/>
            <w:gridSpan w:val="4"/>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合计</w:t>
            </w:r>
          </w:p>
        </w:tc>
        <w:tc>
          <w:tcPr>
            <w:tcW w:w="104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2271.46</w:t>
            </w:r>
          </w:p>
        </w:tc>
        <w:tc>
          <w:tcPr>
            <w:tcW w:w="410"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500.24</w:t>
            </w:r>
          </w:p>
        </w:tc>
        <w:tc>
          <w:tcPr>
            <w:tcW w:w="409" w:type="pct"/>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color w:val="000000"/>
                <w:kern w:val="0"/>
                <w:sz w:val="22"/>
                <w:szCs w:val="22"/>
              </w:rPr>
            </w:pPr>
            <w:r>
              <w:rPr>
                <w:rFonts w:hint="eastAsia" w:eastAsiaTheme="minorEastAsia"/>
                <w:color w:val="000000"/>
                <w:kern w:val="0"/>
                <w:sz w:val="22"/>
                <w:szCs w:val="22"/>
              </w:rPr>
              <w:t>　</w:t>
            </w:r>
          </w:p>
        </w:tc>
      </w:tr>
    </w:tbl>
    <w:p>
      <w:pPr>
        <w:widowControl/>
        <w:spacing w:line="240" w:lineRule="auto"/>
        <w:ind w:firstLine="0" w:firstLineChars="0"/>
        <w:jc w:val="left"/>
        <w:rPr>
          <w:rFonts w:eastAsia="宋体"/>
          <w:sz w:val="24"/>
          <w:szCs w:val="21"/>
        </w:rPr>
      </w:pPr>
      <w:r>
        <w:rPr>
          <w:rFonts w:eastAsia="宋体"/>
          <w:sz w:val="24"/>
          <w:szCs w:val="21"/>
        </w:rPr>
        <w:br w:type="page"/>
      </w:r>
    </w:p>
    <w:p>
      <w:pPr>
        <w:keepNext/>
        <w:keepLines/>
        <w:adjustRightInd w:val="0"/>
        <w:spacing w:before="163" w:beforeLines="50" w:after="163" w:afterLines="50"/>
        <w:ind w:firstLine="0" w:firstLineChars="0"/>
        <w:jc w:val="left"/>
        <w:outlineLvl w:val="1"/>
        <w:rPr>
          <w:rFonts w:eastAsia="黑体"/>
          <w:b/>
          <w:bCs/>
          <w:sz w:val="30"/>
          <w:szCs w:val="32"/>
        </w:rPr>
      </w:pPr>
      <w:bookmarkStart w:id="62" w:name="_Toc128424866"/>
      <w:bookmarkStart w:id="63" w:name="_Toc181110994"/>
      <w:r>
        <w:rPr>
          <w:rFonts w:hint="eastAsia" w:eastAsia="黑体"/>
          <w:b/>
          <w:bCs/>
          <w:sz w:val="30"/>
          <w:szCs w:val="32"/>
        </w:rPr>
        <w:t>附表</w:t>
      </w:r>
      <w:r>
        <w:rPr>
          <w:rFonts w:eastAsia="黑体"/>
          <w:b/>
          <w:bCs/>
          <w:sz w:val="30"/>
          <w:szCs w:val="32"/>
        </w:rPr>
        <w:t xml:space="preserve">6 </w:t>
      </w:r>
      <w:r>
        <w:rPr>
          <w:rFonts w:hint="eastAsia" w:eastAsia="黑体"/>
          <w:b/>
          <w:bCs/>
          <w:sz w:val="30"/>
          <w:szCs w:val="32"/>
        </w:rPr>
        <w:t>绿色低碳示范工程项目表明细表</w:t>
      </w:r>
      <w:bookmarkEnd w:id="62"/>
      <w:bookmarkEnd w:id="63"/>
    </w:p>
    <w:p>
      <w:pPr>
        <w:widowControl/>
        <w:spacing w:line="240" w:lineRule="auto"/>
        <w:ind w:firstLine="0" w:firstLineChars="0"/>
        <w:jc w:val="left"/>
        <w:rPr>
          <w:rFonts w:asciiTheme="minorHAnsi" w:hAnsiTheme="minorHAnsi" w:eastAsiaTheme="minorEastAsia" w:cstheme="minorBidi"/>
          <w:sz w:val="21"/>
          <w:szCs w:val="22"/>
        </w:rPr>
      </w:pPr>
      <w:r>
        <w:fldChar w:fldCharType="begin"/>
      </w:r>
      <w:r>
        <w:instrText xml:space="preserve"> LINK Excel.Sheet.12 "G:\\桌面\\参与工作\\1.规划项目\\7.信阳交通强市建设规划（2024—2035年）\\0926-1008修改\\信阳交通强市建设项目谋划清单(20241029）  - 副本.xlsx" "绿色低碳!R2C2:R34C8" \a \f 4 \h  \* MERGEFORMAT </w:instrText>
      </w:r>
      <w:r>
        <w:fldChar w:fldCharType="separate"/>
      </w:r>
    </w:p>
    <w:tbl>
      <w:tblPr>
        <w:tblStyle w:val="24"/>
        <w:tblW w:w="0" w:type="auto"/>
        <w:tblInd w:w="0" w:type="dxa"/>
        <w:tblLayout w:type="fixed"/>
        <w:tblCellMar>
          <w:top w:w="0" w:type="dxa"/>
          <w:left w:w="108" w:type="dxa"/>
          <w:bottom w:w="0" w:type="dxa"/>
          <w:right w:w="108" w:type="dxa"/>
        </w:tblCellMar>
      </w:tblPr>
      <w:tblGrid>
        <w:gridCol w:w="582"/>
        <w:gridCol w:w="3138"/>
        <w:gridCol w:w="1232"/>
        <w:gridCol w:w="1275"/>
        <w:gridCol w:w="5103"/>
        <w:gridCol w:w="1523"/>
        <w:gridCol w:w="1129"/>
      </w:tblGrid>
      <w:tr>
        <w:tblPrEx>
          <w:tblCellMar>
            <w:top w:w="0" w:type="dxa"/>
            <w:left w:w="108" w:type="dxa"/>
            <w:bottom w:w="0" w:type="dxa"/>
            <w:right w:w="108" w:type="dxa"/>
          </w:tblCellMar>
        </w:tblPrEx>
        <w:trPr>
          <w:trHeight w:val="401" w:hRule="atLeast"/>
          <w:tblHeader/>
        </w:trPr>
        <w:tc>
          <w:tcPr>
            <w:tcW w:w="582"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序号</w:t>
            </w:r>
          </w:p>
        </w:tc>
        <w:tc>
          <w:tcPr>
            <w:tcW w:w="3138"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项目名称</w:t>
            </w:r>
          </w:p>
        </w:tc>
        <w:tc>
          <w:tcPr>
            <w:tcW w:w="1232"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建设性质</w:t>
            </w:r>
          </w:p>
        </w:tc>
        <w:tc>
          <w:tcPr>
            <w:tcW w:w="1275"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建设年限</w:t>
            </w:r>
          </w:p>
        </w:tc>
        <w:tc>
          <w:tcPr>
            <w:tcW w:w="5103"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建设规模</w:t>
            </w:r>
          </w:p>
        </w:tc>
        <w:tc>
          <w:tcPr>
            <w:tcW w:w="1523" w:type="dxa"/>
            <w:tcBorders>
              <w:top w:val="single" w:color="auto" w:sz="8" w:space="0"/>
              <w:left w:val="nil"/>
              <w:bottom w:val="nil"/>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总投资</w:t>
            </w:r>
          </w:p>
        </w:tc>
        <w:tc>
          <w:tcPr>
            <w:tcW w:w="1129"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责任单位</w:t>
            </w:r>
          </w:p>
        </w:tc>
      </w:tr>
      <w:tr>
        <w:tblPrEx>
          <w:tblCellMar>
            <w:top w:w="0" w:type="dxa"/>
            <w:left w:w="108" w:type="dxa"/>
            <w:bottom w:w="0" w:type="dxa"/>
            <w:right w:w="108" w:type="dxa"/>
          </w:tblCellMar>
        </w:tblPrEx>
        <w:trPr>
          <w:trHeight w:val="401" w:hRule="atLeast"/>
          <w:tblHeader/>
        </w:trPr>
        <w:tc>
          <w:tcPr>
            <w:tcW w:w="58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313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1232"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1275"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510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（亿元）</w:t>
            </w:r>
          </w:p>
        </w:tc>
        <w:tc>
          <w:tcPr>
            <w:tcW w:w="112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Theme="minorEastAsia"/>
                <w:b/>
                <w:bCs/>
                <w:color w:val="000000"/>
                <w:kern w:val="0"/>
                <w:sz w:val="22"/>
                <w:szCs w:val="22"/>
              </w:rPr>
            </w:pPr>
          </w:p>
        </w:tc>
      </w:tr>
      <w:tr>
        <w:tblPrEx>
          <w:tblCellMar>
            <w:top w:w="0" w:type="dxa"/>
            <w:left w:w="108" w:type="dxa"/>
            <w:bottom w:w="0" w:type="dxa"/>
            <w:right w:w="108" w:type="dxa"/>
          </w:tblCellMar>
        </w:tblPrEx>
        <w:trPr>
          <w:trHeight w:val="401" w:hRule="atLeast"/>
        </w:trPr>
        <w:tc>
          <w:tcPr>
            <w:tcW w:w="11330" w:type="dxa"/>
            <w:gridSpan w:val="5"/>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b/>
                <w:bCs/>
                <w:color w:val="000000"/>
                <w:kern w:val="0"/>
                <w:sz w:val="22"/>
                <w:szCs w:val="22"/>
              </w:rPr>
            </w:pPr>
            <w:r>
              <w:rPr>
                <w:rFonts w:hint="eastAsia" w:eastAsiaTheme="minorEastAsia"/>
                <w:b/>
                <w:bCs/>
                <w:color w:val="000000"/>
                <w:kern w:val="0"/>
                <w:sz w:val="22"/>
                <w:szCs w:val="22"/>
              </w:rPr>
              <w:t>一、近期建设项目（</w:t>
            </w:r>
            <w:r>
              <w:rPr>
                <w:rFonts w:eastAsiaTheme="minorEastAsia"/>
                <w:b/>
                <w:bCs/>
                <w:color w:val="000000"/>
                <w:kern w:val="0"/>
                <w:sz w:val="22"/>
                <w:szCs w:val="22"/>
              </w:rPr>
              <w:t>22</w:t>
            </w:r>
            <w:r>
              <w:rPr>
                <w:rFonts w:hint="eastAsia" w:eastAsiaTheme="minorEastAsia"/>
                <w:b/>
                <w:bCs/>
                <w:color w:val="000000"/>
                <w:kern w:val="0"/>
                <w:sz w:val="22"/>
                <w:szCs w:val="22"/>
              </w:rPr>
              <w:t>个）</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40.62</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　</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w:t>
            </w:r>
          </w:p>
        </w:tc>
        <w:tc>
          <w:tcPr>
            <w:tcW w:w="313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潢川经济开发区多式联运项目</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2021-2025</w:t>
            </w:r>
          </w:p>
        </w:tc>
        <w:tc>
          <w:tcPr>
            <w:tcW w:w="510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22484</w:t>
            </w:r>
            <w:r>
              <w:rPr>
                <w:rFonts w:hint="eastAsia" w:eastAsiaTheme="minorEastAsia"/>
                <w:color w:val="000000"/>
                <w:kern w:val="0"/>
                <w:sz w:val="22"/>
                <w:szCs w:val="22"/>
              </w:rPr>
              <w:t>平方米</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潢川开发区</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w:t>
            </w:r>
          </w:p>
        </w:tc>
        <w:tc>
          <w:tcPr>
            <w:tcW w:w="313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沿大别山高速公路绿色低碳示范项目</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续建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2021-2025</w:t>
            </w:r>
          </w:p>
        </w:tc>
        <w:tc>
          <w:tcPr>
            <w:tcW w:w="510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装配化桥梁、钢结构桥梁、装配式涵洞通道等</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0.38</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省交投</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3</w:t>
            </w:r>
          </w:p>
        </w:tc>
        <w:tc>
          <w:tcPr>
            <w:tcW w:w="313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环湖路公交提升改造工程</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2024-2025</w:t>
            </w:r>
          </w:p>
        </w:tc>
        <w:tc>
          <w:tcPr>
            <w:tcW w:w="510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对环湖路公交提升改造，购置</w:t>
            </w:r>
            <w:r>
              <w:rPr>
                <w:rFonts w:eastAsiaTheme="minorEastAsia"/>
                <w:color w:val="000000"/>
                <w:kern w:val="0"/>
                <w:sz w:val="22"/>
                <w:szCs w:val="22"/>
              </w:rPr>
              <w:t>20</w:t>
            </w:r>
            <w:r>
              <w:rPr>
                <w:rFonts w:hint="eastAsia" w:eastAsiaTheme="minorEastAsia"/>
                <w:color w:val="000000"/>
                <w:kern w:val="0"/>
                <w:sz w:val="22"/>
                <w:szCs w:val="22"/>
              </w:rPr>
              <w:t>辆新能源公交车，建设</w:t>
            </w:r>
            <w:r>
              <w:rPr>
                <w:rFonts w:eastAsiaTheme="minorEastAsia"/>
                <w:color w:val="000000"/>
                <w:kern w:val="0"/>
                <w:sz w:val="22"/>
                <w:szCs w:val="22"/>
              </w:rPr>
              <w:t>33</w:t>
            </w:r>
            <w:r>
              <w:rPr>
                <w:rFonts w:hint="eastAsia" w:eastAsiaTheme="minorEastAsia"/>
                <w:color w:val="000000"/>
                <w:kern w:val="0"/>
                <w:sz w:val="22"/>
                <w:szCs w:val="22"/>
              </w:rPr>
              <w:t>处公交停靠站点</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0.31</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w:t>
            </w:r>
          </w:p>
        </w:tc>
        <w:tc>
          <w:tcPr>
            <w:tcW w:w="313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国道</w:t>
            </w:r>
            <w:r>
              <w:rPr>
                <w:rFonts w:eastAsiaTheme="minorEastAsia"/>
                <w:color w:val="000000"/>
                <w:kern w:val="0"/>
                <w:sz w:val="22"/>
                <w:szCs w:val="22"/>
              </w:rPr>
              <w:t>106</w:t>
            </w:r>
            <w:r>
              <w:rPr>
                <w:rFonts w:hint="eastAsia" w:eastAsiaTheme="minorEastAsia"/>
                <w:color w:val="000000"/>
                <w:kern w:val="0"/>
                <w:sz w:val="22"/>
                <w:szCs w:val="22"/>
              </w:rPr>
              <w:t>、</w:t>
            </w:r>
            <w:r>
              <w:rPr>
                <w:rFonts w:eastAsiaTheme="minorEastAsia"/>
                <w:color w:val="000000"/>
                <w:kern w:val="0"/>
                <w:sz w:val="22"/>
                <w:szCs w:val="22"/>
              </w:rPr>
              <w:t>312</w:t>
            </w:r>
            <w:r>
              <w:rPr>
                <w:rFonts w:hint="eastAsia" w:eastAsiaTheme="minorEastAsia"/>
                <w:color w:val="000000"/>
                <w:kern w:val="0"/>
                <w:sz w:val="22"/>
                <w:szCs w:val="22"/>
              </w:rPr>
              <w:t>智能充电桩</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2024-2025</w:t>
            </w:r>
          </w:p>
        </w:tc>
        <w:tc>
          <w:tcPr>
            <w:tcW w:w="510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智能充电桩</w:t>
            </w:r>
            <w:r>
              <w:rPr>
                <w:rFonts w:eastAsiaTheme="minorEastAsia"/>
                <w:color w:val="000000"/>
                <w:kern w:val="0"/>
                <w:sz w:val="22"/>
                <w:szCs w:val="22"/>
              </w:rPr>
              <w:t>108</w:t>
            </w:r>
            <w:r>
              <w:rPr>
                <w:rFonts w:hint="eastAsia" w:eastAsiaTheme="minorEastAsia"/>
                <w:color w:val="000000"/>
                <w:kern w:val="0"/>
                <w:sz w:val="22"/>
                <w:szCs w:val="22"/>
              </w:rPr>
              <w:t>个</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0.28</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潢川县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5</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平桥区报废机动车拆解循环利用产业园基础设施建设</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2024-2027</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占地</w:t>
            </w:r>
            <w:r>
              <w:rPr>
                <w:rFonts w:eastAsiaTheme="minorEastAsia"/>
                <w:color w:val="000000"/>
                <w:kern w:val="0"/>
                <w:sz w:val="22"/>
                <w:szCs w:val="22"/>
              </w:rPr>
              <w:t>60</w:t>
            </w:r>
            <w:r>
              <w:rPr>
                <w:rFonts w:hint="eastAsia" w:eastAsiaTheme="minorEastAsia"/>
                <w:color w:val="000000"/>
                <w:kern w:val="0"/>
                <w:sz w:val="22"/>
                <w:szCs w:val="22"/>
              </w:rPr>
              <w:t>亩，包括道路、车间厂房、设备等</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4.8</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平桥区</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6</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客货邮一体化建设</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2024-2027</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占地</w:t>
            </w:r>
            <w:r>
              <w:rPr>
                <w:rFonts w:eastAsiaTheme="minorEastAsia"/>
                <w:color w:val="000000"/>
                <w:kern w:val="0"/>
                <w:sz w:val="22"/>
                <w:szCs w:val="22"/>
              </w:rPr>
              <w:t>30</w:t>
            </w:r>
            <w:r>
              <w:rPr>
                <w:rFonts w:hint="eastAsia" w:eastAsiaTheme="minorEastAsia"/>
                <w:color w:val="000000"/>
                <w:kern w:val="0"/>
                <w:sz w:val="22"/>
                <w:szCs w:val="22"/>
              </w:rPr>
              <w:t>亩</w:t>
            </w:r>
            <w:r>
              <w:rPr>
                <w:rFonts w:eastAsiaTheme="minorEastAsia"/>
                <w:color w:val="000000"/>
                <w:kern w:val="0"/>
                <w:sz w:val="22"/>
                <w:szCs w:val="22"/>
              </w:rPr>
              <w:t>(</w:t>
            </w:r>
            <w:r>
              <w:rPr>
                <w:rFonts w:hint="eastAsia" w:eastAsiaTheme="minorEastAsia"/>
                <w:color w:val="000000"/>
                <w:kern w:val="0"/>
                <w:sz w:val="22"/>
                <w:szCs w:val="22"/>
              </w:rPr>
              <w:t>约</w:t>
            </w:r>
            <w:r>
              <w:rPr>
                <w:rFonts w:eastAsiaTheme="minorEastAsia"/>
                <w:color w:val="000000"/>
                <w:kern w:val="0"/>
                <w:sz w:val="22"/>
                <w:szCs w:val="22"/>
              </w:rPr>
              <w:t>200001</w:t>
            </w:r>
            <w:r>
              <w:rPr>
                <w:rFonts w:hint="eastAsia" w:eastAsiaTheme="minorEastAsia"/>
                <w:color w:val="000000"/>
                <w:kern w:val="0"/>
                <w:sz w:val="22"/>
                <w:szCs w:val="22"/>
              </w:rPr>
              <w:t>㎡</w:t>
            </w:r>
            <w:r>
              <w:rPr>
                <w:rFonts w:eastAsiaTheme="minorEastAsia"/>
                <w:color w:val="000000"/>
                <w:kern w:val="0"/>
                <w:sz w:val="22"/>
                <w:szCs w:val="22"/>
              </w:rPr>
              <w:t>)</w:t>
            </w:r>
            <w:r>
              <w:rPr>
                <w:rFonts w:hint="eastAsia" w:eastAsiaTheme="minorEastAsia"/>
                <w:color w:val="000000"/>
                <w:kern w:val="0"/>
                <w:sz w:val="22"/>
                <w:szCs w:val="22"/>
              </w:rPr>
              <w:t>，包括汽车站站务楼改造、站前广场、停车场</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2.45</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平桥区</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7</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城乡新能源汽车充电服务基础设施</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2024-2027</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钢结构雨棚</w:t>
            </w:r>
            <w:r>
              <w:rPr>
                <w:rFonts w:eastAsiaTheme="minorEastAsia"/>
                <w:color w:val="000000"/>
                <w:kern w:val="0"/>
                <w:sz w:val="22"/>
                <w:szCs w:val="22"/>
              </w:rPr>
              <w:t>6820</w:t>
            </w:r>
            <w:r>
              <w:rPr>
                <w:rFonts w:hint="eastAsia" w:eastAsiaTheme="minorEastAsia"/>
                <w:color w:val="000000"/>
                <w:kern w:val="0"/>
                <w:sz w:val="22"/>
                <w:szCs w:val="22"/>
              </w:rPr>
              <w:t>㎡，快充充电桩</w:t>
            </w:r>
            <w:r>
              <w:rPr>
                <w:rFonts w:eastAsiaTheme="minorEastAsia"/>
                <w:color w:val="000000"/>
                <w:kern w:val="0"/>
                <w:sz w:val="22"/>
                <w:szCs w:val="22"/>
              </w:rPr>
              <w:t>675</w:t>
            </w:r>
            <w:r>
              <w:rPr>
                <w:rFonts w:hint="eastAsia" w:eastAsiaTheme="minorEastAsia"/>
                <w:color w:val="000000"/>
                <w:kern w:val="0"/>
                <w:sz w:val="22"/>
                <w:szCs w:val="22"/>
              </w:rPr>
              <w:t>个，配套电力增容设施</w:t>
            </w:r>
            <w:r>
              <w:rPr>
                <w:rFonts w:eastAsiaTheme="minorEastAsia"/>
                <w:color w:val="000000"/>
                <w:kern w:val="0"/>
                <w:sz w:val="22"/>
                <w:szCs w:val="22"/>
              </w:rPr>
              <w:t xml:space="preserve"> 675 </w:t>
            </w:r>
            <w:r>
              <w:rPr>
                <w:rFonts w:hint="eastAsia" w:eastAsiaTheme="minorEastAsia"/>
                <w:color w:val="000000"/>
                <w:kern w:val="0"/>
                <w:sz w:val="22"/>
                <w:szCs w:val="22"/>
              </w:rPr>
              <w:t>个</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平桥区</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8</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淮滨港集装箱码头建设项目</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2024-2028</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建设</w:t>
            </w:r>
            <w:r>
              <w:rPr>
                <w:rFonts w:eastAsiaTheme="minorEastAsia"/>
                <w:color w:val="000000"/>
                <w:kern w:val="0"/>
                <w:sz w:val="22"/>
                <w:szCs w:val="22"/>
              </w:rPr>
              <w:t>5</w:t>
            </w:r>
            <w:r>
              <w:rPr>
                <w:rFonts w:hint="eastAsia" w:eastAsiaTheme="minorEastAsia"/>
                <w:color w:val="000000"/>
                <w:kern w:val="0"/>
                <w:sz w:val="22"/>
                <w:szCs w:val="22"/>
              </w:rPr>
              <w:t>个</w:t>
            </w:r>
            <w:r>
              <w:rPr>
                <w:rFonts w:eastAsiaTheme="minorEastAsia"/>
                <w:color w:val="000000"/>
                <w:kern w:val="0"/>
                <w:sz w:val="22"/>
                <w:szCs w:val="22"/>
              </w:rPr>
              <w:t>2000</w:t>
            </w:r>
            <w:r>
              <w:rPr>
                <w:rFonts w:hint="eastAsia" w:eastAsiaTheme="minorEastAsia"/>
                <w:color w:val="000000"/>
                <w:kern w:val="0"/>
                <w:sz w:val="22"/>
                <w:szCs w:val="22"/>
              </w:rPr>
              <w:t>吨级集装箱专用泊位</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9</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罗山县城乡交通一体化新能源车辆购置项目</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2024-2028</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新能源纯电动公交车辆</w:t>
            </w:r>
            <w:r>
              <w:rPr>
                <w:rFonts w:eastAsiaTheme="minorEastAsia"/>
                <w:color w:val="000000"/>
                <w:kern w:val="0"/>
                <w:sz w:val="22"/>
                <w:szCs w:val="22"/>
              </w:rPr>
              <w:t>200</w:t>
            </w:r>
            <w:r>
              <w:rPr>
                <w:rFonts w:hint="eastAsia" w:eastAsiaTheme="minorEastAsia"/>
                <w:color w:val="000000"/>
                <w:kern w:val="0"/>
                <w:sz w:val="22"/>
                <w:szCs w:val="22"/>
              </w:rPr>
              <w:t>辆，新建充电终端</w:t>
            </w:r>
            <w:r>
              <w:rPr>
                <w:rFonts w:eastAsiaTheme="minorEastAsia"/>
                <w:color w:val="000000"/>
                <w:kern w:val="0"/>
                <w:sz w:val="22"/>
                <w:szCs w:val="22"/>
              </w:rPr>
              <w:t>200</w:t>
            </w:r>
            <w:r>
              <w:rPr>
                <w:rFonts w:hint="eastAsia" w:eastAsiaTheme="minorEastAsia"/>
                <w:color w:val="000000"/>
                <w:kern w:val="0"/>
                <w:sz w:val="22"/>
                <w:szCs w:val="22"/>
              </w:rPr>
              <w:t>个及附属配套工程</w:t>
            </w:r>
          </w:p>
        </w:tc>
        <w:tc>
          <w:tcPr>
            <w:tcW w:w="152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1.9</w:t>
            </w:r>
          </w:p>
        </w:tc>
        <w:tc>
          <w:tcPr>
            <w:tcW w:w="1129"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罗山县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10</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固始县城乡交通一体化新能源车辆购置项目</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2024-2028</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新能源纯电动公交车辆</w:t>
            </w:r>
            <w:r>
              <w:rPr>
                <w:rFonts w:eastAsiaTheme="minorEastAsia"/>
                <w:color w:val="000000"/>
                <w:kern w:val="0"/>
                <w:sz w:val="22"/>
                <w:szCs w:val="22"/>
              </w:rPr>
              <w:t>300</w:t>
            </w:r>
            <w:r>
              <w:rPr>
                <w:rFonts w:hint="eastAsia" w:eastAsiaTheme="minorEastAsia"/>
                <w:color w:val="000000"/>
                <w:kern w:val="0"/>
                <w:sz w:val="22"/>
                <w:szCs w:val="22"/>
              </w:rPr>
              <w:t>辆</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2.75</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11</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浉河区城乡公交绿色低碳改造项目</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2025-2026</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0.6</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潢川县城乡客货邮设备更新节能减排建设</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新增</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2025-2027</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1.09</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潢川县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13</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新县城市公共交通基础设施智慧化改造</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2026-2026</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14</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新县交通设施节能降碳改造项目</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改建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2026-2026</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0.8</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浉河区公路养护绿色低碳与应急能力提升改造项目</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2026-2027</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0.47</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780"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16</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信阳港</w:t>
            </w:r>
            <w:r>
              <w:rPr>
                <w:rFonts w:eastAsiaTheme="minorEastAsia"/>
                <w:color w:val="000000"/>
                <w:kern w:val="0"/>
                <w:sz w:val="22"/>
                <w:szCs w:val="22"/>
              </w:rPr>
              <w:t>.</w:t>
            </w:r>
            <w:r>
              <w:rPr>
                <w:rFonts w:hint="eastAsia" w:eastAsiaTheme="minorEastAsia"/>
                <w:color w:val="000000"/>
                <w:kern w:val="0"/>
                <w:sz w:val="22"/>
                <w:szCs w:val="22"/>
              </w:rPr>
              <w:t>淮滨中心港区</w:t>
            </w:r>
            <w:r>
              <w:rPr>
                <w:rFonts w:eastAsiaTheme="minorEastAsia"/>
                <w:color w:val="000000"/>
                <w:kern w:val="0"/>
                <w:sz w:val="22"/>
                <w:szCs w:val="22"/>
              </w:rPr>
              <w:t>“</w:t>
            </w:r>
            <w:r>
              <w:rPr>
                <w:rFonts w:hint="eastAsia" w:eastAsiaTheme="minorEastAsia"/>
                <w:color w:val="000000"/>
                <w:kern w:val="0"/>
                <w:sz w:val="22"/>
                <w:szCs w:val="22"/>
              </w:rPr>
              <w:t>散改集</w:t>
            </w:r>
            <w:r>
              <w:rPr>
                <w:rFonts w:eastAsiaTheme="minorEastAsia"/>
                <w:color w:val="000000"/>
                <w:kern w:val="0"/>
                <w:sz w:val="22"/>
                <w:szCs w:val="22"/>
              </w:rPr>
              <w:t>”</w:t>
            </w:r>
            <w:r>
              <w:rPr>
                <w:rFonts w:hint="eastAsia" w:eastAsiaTheme="minorEastAsia"/>
                <w:color w:val="000000"/>
                <w:kern w:val="0"/>
                <w:sz w:val="22"/>
                <w:szCs w:val="22"/>
              </w:rPr>
              <w:t>运输项目</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2026-2028</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自备箱</w:t>
            </w:r>
            <w:r>
              <w:rPr>
                <w:rFonts w:eastAsiaTheme="minorEastAsia"/>
                <w:color w:val="000000"/>
                <w:kern w:val="0"/>
                <w:sz w:val="22"/>
                <w:szCs w:val="22"/>
              </w:rPr>
              <w:t>1000</w:t>
            </w:r>
            <w:r>
              <w:rPr>
                <w:rFonts w:hint="eastAsia" w:eastAsiaTheme="minorEastAsia"/>
                <w:color w:val="000000"/>
                <w:kern w:val="0"/>
                <w:sz w:val="22"/>
                <w:szCs w:val="22"/>
              </w:rPr>
              <w:t>台，港口岸桥</w:t>
            </w:r>
            <w:r>
              <w:rPr>
                <w:rFonts w:eastAsiaTheme="minorEastAsia"/>
                <w:color w:val="000000"/>
                <w:kern w:val="0"/>
                <w:sz w:val="22"/>
                <w:szCs w:val="22"/>
              </w:rPr>
              <w:t>1</w:t>
            </w:r>
            <w:r>
              <w:rPr>
                <w:rFonts w:hint="eastAsia" w:eastAsiaTheme="minorEastAsia"/>
                <w:color w:val="000000"/>
                <w:kern w:val="0"/>
                <w:sz w:val="22"/>
                <w:szCs w:val="22"/>
              </w:rPr>
              <w:t>台，运输船舶</w:t>
            </w:r>
            <w:r>
              <w:rPr>
                <w:rFonts w:eastAsiaTheme="minorEastAsia"/>
                <w:color w:val="000000"/>
                <w:kern w:val="0"/>
                <w:sz w:val="22"/>
                <w:szCs w:val="22"/>
              </w:rPr>
              <w:t>20</w:t>
            </w:r>
            <w:r>
              <w:rPr>
                <w:rFonts w:hint="eastAsia" w:eastAsiaTheme="minorEastAsia"/>
                <w:color w:val="000000"/>
                <w:kern w:val="0"/>
                <w:sz w:val="22"/>
                <w:szCs w:val="22"/>
              </w:rPr>
              <w:t>艘（社会资源以租赁的方式），集装箱运输车辆</w:t>
            </w:r>
            <w:r>
              <w:rPr>
                <w:rFonts w:eastAsiaTheme="minorEastAsia"/>
                <w:color w:val="000000"/>
                <w:kern w:val="0"/>
                <w:sz w:val="22"/>
                <w:szCs w:val="22"/>
              </w:rPr>
              <w:t>50</w:t>
            </w:r>
            <w:r>
              <w:rPr>
                <w:rFonts w:hint="eastAsia" w:eastAsiaTheme="minorEastAsia"/>
                <w:color w:val="000000"/>
                <w:kern w:val="0"/>
                <w:sz w:val="22"/>
                <w:szCs w:val="22"/>
              </w:rPr>
              <w:t>辆（社会资源），开发新市场、推广公、铁、水多式联运。</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0.4</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17</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浉河区公路沿线充电桩配套设施项目</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2027-2029</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0.267</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淮滨县城市公交停车场及新能源公交车购置项目</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2027-2029</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1.4</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淮滨县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19</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信阳市中心城区新能源公交车及动力电池更新项目</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2027-2029</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1.2</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公交公司</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20</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平桥区新能源汽车服务基础设施项目</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2028-2029</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0.49</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平桥区</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21</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罗山县城乡绿色交通节能降碳改造项目</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2029-2030</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1.5</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罗山县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22</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光山县智慧交通绿色低碳示范项目</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2030-2031</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0.83</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光山县</w:t>
            </w:r>
          </w:p>
        </w:tc>
      </w:tr>
      <w:tr>
        <w:tblPrEx>
          <w:tblCellMar>
            <w:top w:w="0" w:type="dxa"/>
            <w:left w:w="108" w:type="dxa"/>
            <w:bottom w:w="0" w:type="dxa"/>
            <w:right w:w="108" w:type="dxa"/>
          </w:tblCellMar>
        </w:tblPrEx>
        <w:trPr>
          <w:trHeight w:val="401" w:hRule="atLeast"/>
        </w:trPr>
        <w:tc>
          <w:tcPr>
            <w:tcW w:w="11330" w:type="dxa"/>
            <w:gridSpan w:val="5"/>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b/>
                <w:bCs/>
                <w:color w:val="000000"/>
                <w:kern w:val="0"/>
                <w:sz w:val="22"/>
                <w:szCs w:val="22"/>
              </w:rPr>
            </w:pPr>
            <w:r>
              <w:rPr>
                <w:rFonts w:hint="eastAsia" w:eastAsiaTheme="minorEastAsia"/>
                <w:b/>
                <w:bCs/>
                <w:color w:val="000000"/>
                <w:kern w:val="0"/>
                <w:sz w:val="22"/>
                <w:szCs w:val="22"/>
              </w:rPr>
              <w:t>二、远期建设项目（</w:t>
            </w:r>
            <w:r>
              <w:rPr>
                <w:rFonts w:eastAsiaTheme="minorEastAsia"/>
                <w:b/>
                <w:bCs/>
                <w:color w:val="000000"/>
                <w:kern w:val="0"/>
                <w:sz w:val="22"/>
                <w:szCs w:val="22"/>
              </w:rPr>
              <w:t>6</w:t>
            </w:r>
            <w:r>
              <w:rPr>
                <w:rFonts w:hint="eastAsia" w:eastAsiaTheme="minorEastAsia"/>
                <w:b/>
                <w:bCs/>
                <w:color w:val="000000"/>
                <w:kern w:val="0"/>
                <w:sz w:val="22"/>
                <w:szCs w:val="22"/>
              </w:rPr>
              <w:t>个）</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10.23</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　</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23</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弘运汽车站绿色低碳改造及安防能力提升</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改建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0.23</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浉河区</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24</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固始县城乡智慧交通绿色低碳示范项目</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5.72</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25</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中心城区公交绿色低碳充电设施工程</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r>
              <w:rPr>
                <w:rFonts w:eastAsiaTheme="minorEastAsia"/>
                <w:kern w:val="0"/>
                <w:sz w:val="22"/>
                <w:szCs w:val="22"/>
              </w:rPr>
              <w:t>/</w:t>
            </w:r>
            <w:r>
              <w:rPr>
                <w:rFonts w:hint="eastAsia" w:eastAsiaTheme="minorEastAsia"/>
                <w:kern w:val="0"/>
                <w:sz w:val="22"/>
                <w:szCs w:val="22"/>
              </w:rPr>
              <w:t>改扩建</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公交公司</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26</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固始县新能源城市公交车更新项目</w:t>
            </w:r>
          </w:p>
        </w:tc>
        <w:tc>
          <w:tcPr>
            <w:tcW w:w="1232"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采购</w:t>
            </w:r>
          </w:p>
        </w:tc>
        <w:tc>
          <w:tcPr>
            <w:tcW w:w="127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0.275</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w:t>
            </w:r>
          </w:p>
        </w:tc>
      </w:tr>
      <w:tr>
        <w:tblPrEx>
          <w:tblCellMar>
            <w:top w:w="0" w:type="dxa"/>
            <w:left w:w="108" w:type="dxa"/>
            <w:bottom w:w="0" w:type="dxa"/>
            <w:right w:w="108" w:type="dxa"/>
          </w:tblCellMar>
        </w:tblPrEx>
        <w:trPr>
          <w:trHeight w:val="780"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27</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固始县顺达客运站风力光伏发电储电充电智能控制项目</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1.87</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固始县</w:t>
            </w:r>
          </w:p>
        </w:tc>
      </w:tr>
      <w:tr>
        <w:tblPrEx>
          <w:tblCellMar>
            <w:top w:w="0" w:type="dxa"/>
            <w:left w:w="108" w:type="dxa"/>
            <w:bottom w:w="0" w:type="dxa"/>
            <w:right w:w="108" w:type="dxa"/>
          </w:tblCellMar>
        </w:tblPrEx>
        <w:trPr>
          <w:trHeight w:val="401" w:hRule="atLeast"/>
        </w:trPr>
        <w:tc>
          <w:tcPr>
            <w:tcW w:w="582"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28</w:t>
            </w:r>
          </w:p>
        </w:tc>
        <w:tc>
          <w:tcPr>
            <w:tcW w:w="313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中心城区公交充电站改扩建工程</w:t>
            </w:r>
          </w:p>
        </w:tc>
        <w:tc>
          <w:tcPr>
            <w:tcW w:w="1232"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新建</w:t>
            </w:r>
          </w:p>
        </w:tc>
        <w:tc>
          <w:tcPr>
            <w:tcW w:w="1275"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远期规划</w:t>
            </w:r>
          </w:p>
        </w:tc>
        <w:tc>
          <w:tcPr>
            <w:tcW w:w="510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升级新改建充电终端</w:t>
            </w:r>
            <w:r>
              <w:rPr>
                <w:rFonts w:eastAsiaTheme="minorEastAsia"/>
                <w:color w:val="000000"/>
                <w:kern w:val="0"/>
                <w:sz w:val="22"/>
                <w:szCs w:val="22"/>
              </w:rPr>
              <w:t>800</w:t>
            </w:r>
            <w:r>
              <w:rPr>
                <w:rFonts w:hint="eastAsia" w:eastAsiaTheme="minorEastAsia"/>
                <w:color w:val="000000"/>
                <w:kern w:val="0"/>
                <w:sz w:val="22"/>
                <w:szCs w:val="22"/>
              </w:rPr>
              <w:t>个及附属配套工程</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eastAsiaTheme="minorEastAsia"/>
                <w:color w:val="000000"/>
                <w:kern w:val="0"/>
                <w:sz w:val="22"/>
                <w:szCs w:val="22"/>
              </w:rPr>
              <w:t>0.33</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color w:val="000000"/>
                <w:kern w:val="0"/>
                <w:sz w:val="22"/>
                <w:szCs w:val="22"/>
              </w:rPr>
            </w:pPr>
            <w:r>
              <w:rPr>
                <w:rFonts w:hint="eastAsia" w:eastAsiaTheme="minorEastAsia"/>
                <w:color w:val="000000"/>
                <w:kern w:val="0"/>
                <w:sz w:val="22"/>
                <w:szCs w:val="22"/>
              </w:rPr>
              <w:t>公交公司</w:t>
            </w:r>
          </w:p>
        </w:tc>
      </w:tr>
      <w:tr>
        <w:tblPrEx>
          <w:tblCellMar>
            <w:top w:w="0" w:type="dxa"/>
            <w:left w:w="108" w:type="dxa"/>
            <w:bottom w:w="0" w:type="dxa"/>
            <w:right w:w="108" w:type="dxa"/>
          </w:tblCellMar>
        </w:tblPrEx>
        <w:trPr>
          <w:trHeight w:val="401" w:hRule="atLeast"/>
        </w:trPr>
        <w:tc>
          <w:tcPr>
            <w:tcW w:w="11330" w:type="dxa"/>
            <w:gridSpan w:val="5"/>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合计</w:t>
            </w:r>
          </w:p>
        </w:tc>
        <w:tc>
          <w:tcPr>
            <w:tcW w:w="1523"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eastAsiaTheme="minorEastAsia"/>
                <w:b/>
                <w:bCs/>
                <w:color w:val="000000"/>
                <w:kern w:val="0"/>
                <w:sz w:val="22"/>
                <w:szCs w:val="22"/>
              </w:rPr>
              <w:t>50.842</w:t>
            </w:r>
          </w:p>
        </w:tc>
        <w:tc>
          <w:tcPr>
            <w:tcW w:w="1129"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Theme="minorEastAsia"/>
                <w:color w:val="000000"/>
                <w:kern w:val="0"/>
                <w:sz w:val="22"/>
                <w:szCs w:val="22"/>
              </w:rPr>
            </w:pPr>
            <w:r>
              <w:rPr>
                <w:rFonts w:hint="eastAsia" w:eastAsiaTheme="minorEastAsia"/>
                <w:color w:val="000000"/>
                <w:kern w:val="0"/>
                <w:sz w:val="22"/>
                <w:szCs w:val="22"/>
              </w:rPr>
              <w:t>　</w:t>
            </w:r>
          </w:p>
        </w:tc>
      </w:tr>
    </w:tbl>
    <w:p>
      <w:pPr>
        <w:widowControl/>
        <w:spacing w:line="240" w:lineRule="auto"/>
        <w:ind w:firstLine="0" w:firstLineChars="0"/>
        <w:jc w:val="left"/>
        <w:rPr>
          <w:rFonts w:eastAsia="宋体"/>
          <w:sz w:val="24"/>
          <w:szCs w:val="21"/>
        </w:rPr>
      </w:pPr>
      <w:r>
        <w:rPr>
          <w:rFonts w:eastAsia="宋体"/>
          <w:sz w:val="24"/>
          <w:szCs w:val="21"/>
        </w:rPr>
        <w:fldChar w:fldCharType="end"/>
      </w:r>
      <w:r>
        <w:rPr>
          <w:rFonts w:eastAsia="宋体"/>
          <w:sz w:val="24"/>
          <w:szCs w:val="21"/>
        </w:rPr>
        <w:br w:type="page"/>
      </w:r>
    </w:p>
    <w:p>
      <w:pPr>
        <w:keepNext/>
        <w:keepLines/>
        <w:adjustRightInd w:val="0"/>
        <w:spacing w:before="163" w:beforeLines="50" w:after="163" w:afterLines="50"/>
        <w:ind w:firstLine="0" w:firstLineChars="0"/>
        <w:jc w:val="left"/>
        <w:outlineLvl w:val="1"/>
        <w:rPr>
          <w:rFonts w:eastAsia="黑体"/>
          <w:b/>
          <w:bCs/>
          <w:sz w:val="30"/>
          <w:szCs w:val="32"/>
        </w:rPr>
      </w:pPr>
      <w:bookmarkStart w:id="64" w:name="_Toc181110995"/>
      <w:bookmarkStart w:id="65" w:name="_Toc128424867"/>
      <w:r>
        <w:rPr>
          <w:rFonts w:hint="eastAsia" w:eastAsia="黑体"/>
          <w:b/>
          <w:bCs/>
          <w:sz w:val="30"/>
          <w:szCs w:val="32"/>
        </w:rPr>
        <w:t>附表</w:t>
      </w:r>
      <w:r>
        <w:rPr>
          <w:rFonts w:eastAsia="黑体"/>
          <w:b/>
          <w:bCs/>
          <w:sz w:val="30"/>
          <w:szCs w:val="32"/>
        </w:rPr>
        <w:t xml:space="preserve">7 </w:t>
      </w:r>
      <w:r>
        <w:rPr>
          <w:rFonts w:hint="eastAsia" w:eastAsia="黑体"/>
          <w:b/>
          <w:bCs/>
          <w:sz w:val="30"/>
          <w:szCs w:val="32"/>
        </w:rPr>
        <w:t>智慧交通试点工程项目表明细表</w:t>
      </w:r>
      <w:bookmarkEnd w:id="64"/>
      <w:bookmarkEnd w:id="65"/>
    </w:p>
    <w:tbl>
      <w:tblPr>
        <w:tblStyle w:val="24"/>
        <w:tblW w:w="0" w:type="auto"/>
        <w:tblInd w:w="0" w:type="dxa"/>
        <w:tblLayout w:type="fixed"/>
        <w:tblCellMar>
          <w:top w:w="0" w:type="dxa"/>
          <w:left w:w="108" w:type="dxa"/>
          <w:bottom w:w="0" w:type="dxa"/>
          <w:right w:w="108" w:type="dxa"/>
        </w:tblCellMar>
      </w:tblPr>
      <w:tblGrid>
        <w:gridCol w:w="658"/>
        <w:gridCol w:w="3868"/>
        <w:gridCol w:w="1134"/>
        <w:gridCol w:w="1276"/>
        <w:gridCol w:w="4536"/>
        <w:gridCol w:w="1134"/>
        <w:gridCol w:w="1376"/>
      </w:tblGrid>
      <w:tr>
        <w:tblPrEx>
          <w:tblCellMar>
            <w:top w:w="0" w:type="dxa"/>
            <w:left w:w="108" w:type="dxa"/>
            <w:bottom w:w="0" w:type="dxa"/>
            <w:right w:w="108" w:type="dxa"/>
          </w:tblCellMar>
        </w:tblPrEx>
        <w:trPr>
          <w:trHeight w:val="313" w:hRule="atLeast"/>
          <w:tblHeader/>
        </w:trPr>
        <w:tc>
          <w:tcPr>
            <w:tcW w:w="658"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序号</w:t>
            </w:r>
          </w:p>
        </w:tc>
        <w:tc>
          <w:tcPr>
            <w:tcW w:w="3868"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项目名称</w:t>
            </w:r>
          </w:p>
        </w:tc>
        <w:tc>
          <w:tcPr>
            <w:tcW w:w="1134"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建设性质</w:t>
            </w:r>
          </w:p>
        </w:tc>
        <w:tc>
          <w:tcPr>
            <w:tcW w:w="1276"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建设年限</w:t>
            </w:r>
          </w:p>
        </w:tc>
        <w:tc>
          <w:tcPr>
            <w:tcW w:w="453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建设规模</w:t>
            </w:r>
          </w:p>
        </w:tc>
        <w:tc>
          <w:tcPr>
            <w:tcW w:w="1134" w:type="dxa"/>
            <w:tcBorders>
              <w:top w:val="single" w:color="auto" w:sz="8" w:space="0"/>
              <w:left w:val="nil"/>
              <w:bottom w:val="nil"/>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总投资</w:t>
            </w:r>
          </w:p>
        </w:tc>
        <w:tc>
          <w:tcPr>
            <w:tcW w:w="1376"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责任单位</w:t>
            </w:r>
          </w:p>
        </w:tc>
      </w:tr>
      <w:tr>
        <w:trPr>
          <w:trHeight w:val="313" w:hRule="atLeast"/>
          <w:tblHeader/>
        </w:trPr>
        <w:tc>
          <w:tcPr>
            <w:tcW w:w="65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c>
          <w:tcPr>
            <w:tcW w:w="386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c>
          <w:tcPr>
            <w:tcW w:w="453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（亿元）</w:t>
            </w:r>
          </w:p>
        </w:tc>
        <w:tc>
          <w:tcPr>
            <w:tcW w:w="1376"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left"/>
              <w:rPr>
                <w:rFonts w:eastAsia="宋体"/>
                <w:b/>
                <w:bCs/>
                <w:color w:val="000000"/>
                <w:kern w:val="0"/>
                <w:sz w:val="22"/>
                <w:szCs w:val="22"/>
              </w:rPr>
            </w:pPr>
          </w:p>
        </w:tc>
      </w:tr>
      <w:tr>
        <w:tblPrEx>
          <w:tblCellMar>
            <w:top w:w="0" w:type="dxa"/>
            <w:left w:w="108" w:type="dxa"/>
            <w:bottom w:w="0" w:type="dxa"/>
            <w:right w:w="108" w:type="dxa"/>
          </w:tblCellMar>
        </w:tblPrEx>
        <w:trPr>
          <w:trHeight w:val="414" w:hRule="atLeast"/>
        </w:trPr>
        <w:tc>
          <w:tcPr>
            <w:tcW w:w="11472" w:type="dxa"/>
            <w:gridSpan w:val="5"/>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eastAsia="宋体"/>
                <w:b/>
                <w:bCs/>
                <w:color w:val="000000"/>
                <w:kern w:val="0"/>
                <w:sz w:val="22"/>
                <w:szCs w:val="22"/>
              </w:rPr>
            </w:pPr>
            <w:r>
              <w:rPr>
                <w:rFonts w:hint="eastAsia" w:ascii="宋体" w:hAnsi="宋体" w:eastAsia="宋体"/>
                <w:b/>
                <w:bCs/>
                <w:color w:val="000000"/>
                <w:kern w:val="0"/>
                <w:sz w:val="22"/>
                <w:szCs w:val="22"/>
              </w:rPr>
              <w:t>一、近期建设项目（</w:t>
            </w:r>
            <w:r>
              <w:rPr>
                <w:rFonts w:eastAsia="宋体"/>
                <w:b/>
                <w:bCs/>
                <w:color w:val="000000"/>
                <w:kern w:val="0"/>
                <w:sz w:val="22"/>
                <w:szCs w:val="22"/>
              </w:rPr>
              <w:t>21</w:t>
            </w:r>
            <w:r>
              <w:rPr>
                <w:rFonts w:hint="eastAsia" w:ascii="宋体" w:hAnsi="宋体" w:eastAsia="宋体"/>
                <w:b/>
                <w:bCs/>
                <w:color w:val="000000"/>
                <w:kern w:val="0"/>
                <w:sz w:val="22"/>
                <w:szCs w:val="22"/>
              </w:rPr>
              <w:t>个）</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22.15</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r>
      <w:tr>
        <w:trPr>
          <w:trHeight w:val="1365"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信阳汽车客运东站综合信息服务平台</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2019-2024</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该信息平台主要用于智慧车站建设，实现旅客电子客票、刷脸进站等功能。项目依托信阳汽车客运东站与信阳高铁子站房地下通道互通工程，计划与铁路部门沟通，使得旅客在公铁相互换乘过程中实现一次安检、安检信息互认等。</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0.06</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r>
      <w:tr>
        <w:tblPrEx>
          <w:tblCellMar>
            <w:top w:w="0" w:type="dxa"/>
            <w:left w:w="108" w:type="dxa"/>
            <w:bottom w:w="0" w:type="dxa"/>
            <w:right w:w="108" w:type="dxa"/>
          </w:tblCellMar>
        </w:tblPrEx>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G107</w:t>
            </w:r>
            <w:r>
              <w:rPr>
                <w:rFonts w:hint="eastAsia" w:ascii="宋体" w:hAnsi="宋体" w:eastAsia="宋体"/>
                <w:color w:val="000000"/>
                <w:kern w:val="0"/>
                <w:sz w:val="22"/>
                <w:szCs w:val="22"/>
              </w:rPr>
              <w:t>线绕信阳市区段智慧公路工程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2022-2024</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敷设智能监控监测设备、对道路运行状况及通行车辆进行实施监控和检测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0.23</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　</w:t>
            </w:r>
          </w:p>
        </w:tc>
      </w:tr>
      <w:tr>
        <w:trPr>
          <w:trHeight w:val="313"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G312</w:t>
            </w:r>
            <w:r>
              <w:rPr>
                <w:rFonts w:hint="eastAsia" w:ascii="宋体" w:hAnsi="宋体" w:eastAsia="宋体"/>
                <w:color w:val="000000"/>
                <w:kern w:val="0"/>
                <w:sz w:val="22"/>
                <w:szCs w:val="22"/>
              </w:rPr>
              <w:t>线绕信阳市区段智慧公路工程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2022-2024</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敷设智能监控监测设备、对道路运行状况及通行车辆进行实施监控和检测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0.13</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　</w:t>
            </w:r>
          </w:p>
        </w:tc>
      </w:tr>
      <w:tr>
        <w:tblPrEx>
          <w:tblCellMar>
            <w:top w:w="0" w:type="dxa"/>
            <w:left w:w="108" w:type="dxa"/>
            <w:bottom w:w="0" w:type="dxa"/>
            <w:right w:w="108" w:type="dxa"/>
          </w:tblCellMar>
        </w:tblPrEx>
        <w:trPr>
          <w:trHeight w:val="476"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信阳市</w:t>
            </w:r>
            <w:r>
              <w:rPr>
                <w:rFonts w:eastAsia="宋体"/>
                <w:color w:val="000000"/>
                <w:kern w:val="0"/>
                <w:sz w:val="22"/>
                <w:szCs w:val="22"/>
              </w:rPr>
              <w:t>5G+</w:t>
            </w:r>
            <w:r>
              <w:rPr>
                <w:rFonts w:hint="eastAsia" w:ascii="宋体" w:hAnsi="宋体" w:eastAsia="宋体"/>
                <w:color w:val="000000"/>
                <w:kern w:val="0"/>
                <w:sz w:val="22"/>
                <w:szCs w:val="22"/>
              </w:rPr>
              <w:t>智慧公交建设项目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2022-2025</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主要建设</w:t>
            </w:r>
            <w:r>
              <w:rPr>
                <w:rFonts w:eastAsia="宋体"/>
                <w:color w:val="000000"/>
                <w:kern w:val="0"/>
                <w:sz w:val="22"/>
                <w:szCs w:val="22"/>
              </w:rPr>
              <w:t>“</w:t>
            </w:r>
            <w:r>
              <w:rPr>
                <w:rFonts w:hint="eastAsia" w:ascii="宋体" w:hAnsi="宋体" w:eastAsia="宋体"/>
                <w:color w:val="000000"/>
                <w:kern w:val="0"/>
                <w:sz w:val="22"/>
                <w:szCs w:val="22"/>
              </w:rPr>
              <w:t>一体系、一云脑、一平台</w:t>
            </w:r>
            <w:r>
              <w:rPr>
                <w:rFonts w:eastAsia="宋体"/>
                <w:color w:val="000000"/>
                <w:kern w:val="0"/>
                <w:sz w:val="22"/>
                <w:szCs w:val="22"/>
              </w:rPr>
              <w:t>”</w:t>
            </w:r>
            <w:r>
              <w:rPr>
                <w:rFonts w:hint="eastAsia" w:ascii="宋体" w:hAnsi="宋体" w:eastAsia="宋体"/>
                <w:color w:val="000000"/>
                <w:kern w:val="0"/>
                <w:sz w:val="22"/>
                <w:szCs w:val="22"/>
              </w:rPr>
              <w:t>及相关配套设施</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0.3</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　</w:t>
            </w:r>
          </w:p>
        </w:tc>
      </w:tr>
      <w:tr>
        <w:trPr>
          <w:trHeight w:val="439"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安罗高速上蔡至豫鄂省界段智慧高速公路工程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2022-2025</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193</w:t>
            </w:r>
            <w:r>
              <w:rPr>
                <w:rFonts w:hint="eastAsia" w:ascii="宋体" w:hAnsi="宋体" w:eastAsia="宋体"/>
                <w:color w:val="000000"/>
                <w:kern w:val="0"/>
                <w:sz w:val="22"/>
                <w:szCs w:val="22"/>
              </w:rPr>
              <w:t>公里、</w:t>
            </w:r>
            <w:r>
              <w:rPr>
                <w:rFonts w:eastAsia="宋体"/>
                <w:color w:val="000000"/>
                <w:kern w:val="0"/>
                <w:sz w:val="22"/>
                <w:szCs w:val="22"/>
              </w:rPr>
              <w:t>4</w:t>
            </w:r>
            <w:r>
              <w:rPr>
                <w:rFonts w:hint="eastAsia" w:ascii="宋体" w:hAnsi="宋体" w:eastAsia="宋体"/>
                <w:color w:val="000000"/>
                <w:kern w:val="0"/>
                <w:sz w:val="22"/>
                <w:szCs w:val="22"/>
              </w:rPr>
              <w:t>个服务区、建设智慧服务区</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0.17</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　</w:t>
            </w:r>
          </w:p>
        </w:tc>
      </w:tr>
      <w:tr>
        <w:tblPrEx>
          <w:tblCellMar>
            <w:top w:w="0" w:type="dxa"/>
            <w:left w:w="108" w:type="dxa"/>
            <w:bottom w:w="0" w:type="dxa"/>
            <w:right w:w="108" w:type="dxa"/>
          </w:tblCellMar>
        </w:tblPrEx>
        <w:trPr>
          <w:trHeight w:val="414"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沿大别山高速公路明港至鸡公山段智慧高速公路工程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2022-2025</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区域路网诱导、车道级管控、车路协同等建设</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0.48</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　</w:t>
            </w:r>
          </w:p>
        </w:tc>
      </w:tr>
      <w:tr>
        <w:trPr>
          <w:trHeight w:val="1365"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潢川县城乡交通运输一体化信息管理服务平台</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2023-2023</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车站综合调度模块；客运站智能化系统；城乡运输一体化及客货邮服务平台；车辆动态监控系统平台；城乡公交一体化智能调度平台；远程视频及信息监管平台；可视化执法监管平台；交通运输</w:t>
            </w:r>
            <w:r>
              <w:rPr>
                <w:rFonts w:eastAsia="宋体"/>
                <w:kern w:val="0"/>
                <w:sz w:val="22"/>
                <w:szCs w:val="22"/>
              </w:rPr>
              <w:t>+</w:t>
            </w:r>
            <w:r>
              <w:rPr>
                <w:rFonts w:hint="eastAsia" w:ascii="宋体" w:hAnsi="宋体" w:eastAsia="宋体"/>
                <w:kern w:val="0"/>
                <w:sz w:val="22"/>
                <w:szCs w:val="22"/>
              </w:rPr>
              <w:t>百姓生活综合服务平台</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0.09</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r>
      <w:tr>
        <w:tblPrEx>
          <w:tblCellMar>
            <w:top w:w="0" w:type="dxa"/>
            <w:left w:w="108" w:type="dxa"/>
            <w:bottom w:w="0" w:type="dxa"/>
            <w:right w:w="108" w:type="dxa"/>
          </w:tblCellMar>
        </w:tblPrEx>
        <w:trPr>
          <w:trHeight w:val="1215"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潢川综合交通运输三级监管平台及城乡公交系统升级工程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2023-2023</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运用信息化监管、信用监管和人防技防结合等新型智慧监管手段，推动综合交通运输由事后监管向事前预警和事中监管转变，建设形成以监管平台为依托，以统一指挥为纽带，各部门各单位协同配合、上下联动、高效处置的新型省市县三级监管体系。对城乡公交系统服务器及相关配套设施进行升级完善。</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0.04</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r>
      <w:tr>
        <w:trPr>
          <w:trHeight w:val="614"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9</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kern w:val="0"/>
                <w:sz w:val="22"/>
                <w:szCs w:val="22"/>
              </w:rPr>
              <w:t>沪陕高速连接线智慧驿站</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2023-2024</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建设智慧驿站视频监控系统、车辆管控、信息发布、分析决策、驿站广播、客流热力分析、智能停车诱导、行人安全预警、智慧卫生间、交互展示等系统，</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0.1</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　</w:t>
            </w:r>
          </w:p>
        </w:tc>
      </w:tr>
      <w:tr>
        <w:tblPrEx>
          <w:tblCellMar>
            <w:top w:w="0" w:type="dxa"/>
            <w:left w:w="108" w:type="dxa"/>
            <w:bottom w:w="0" w:type="dxa"/>
            <w:right w:w="108" w:type="dxa"/>
          </w:tblCellMar>
        </w:tblPrEx>
        <w:trPr>
          <w:trHeight w:val="614"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大广高速连接线智慧驿站</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2023-2024</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建设智慧驿站视频监控系统、车辆管控、信息发布、分析决策、驿站广播、客流热力分析、智能停车诱导、行人安全预警、智慧卫生间、交互展示等系统，</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0.22</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r>
      <w:tr>
        <w:trPr>
          <w:trHeight w:val="914"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11</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潢川县智慧农村物流网络节点体系建设工程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2023-2024</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建设物流信息云平台，智能调度、物流配送线路优化、安全生产监管、智能配送系统、扩展增强功能模块、配送功能模块和仓储管理模块、智能快递分拣等，实现城乡货运以及物流的一体化智慧运营和管理，打通农村物流上下行的最后一公里。</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0.28</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r>
      <w:tr>
        <w:tblPrEx>
          <w:tblCellMar>
            <w:top w:w="0" w:type="dxa"/>
            <w:left w:w="108" w:type="dxa"/>
            <w:bottom w:w="0" w:type="dxa"/>
            <w:right w:w="108" w:type="dxa"/>
          </w:tblCellMar>
        </w:tblPrEx>
        <w:trPr>
          <w:trHeight w:val="877" w:hRule="atLeast"/>
        </w:trPr>
        <w:tc>
          <w:tcPr>
            <w:tcW w:w="658" w:type="dxa"/>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w:t>
            </w:r>
          </w:p>
        </w:tc>
        <w:tc>
          <w:tcPr>
            <w:tcW w:w="386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淮河饮马港至三河尖段智慧航道工程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续建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2023-2025</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搭建淮河闾河口至三河尖全生命周期的智慧航道管控系统，涵盖设计规划、工程建设、检测养护、运行调度全过程的智慧化提升</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0.7</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r>
      <w:tr>
        <w:trPr>
          <w:trHeight w:val="476"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13</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淮滨县智慧交通信息化设备更新项目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2024-2025</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0.92</w:t>
            </w:r>
          </w:p>
        </w:tc>
        <w:tc>
          <w:tcPr>
            <w:tcW w:w="13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r>
      <w:tr>
        <w:tblPrEx>
          <w:tblCellMar>
            <w:top w:w="0" w:type="dxa"/>
            <w:left w:w="108" w:type="dxa"/>
            <w:bottom w:w="0" w:type="dxa"/>
            <w:right w:w="108" w:type="dxa"/>
          </w:tblCellMar>
        </w:tblPrEx>
        <w:trPr>
          <w:trHeight w:val="426"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14</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淮滨县兔子湖乡村振兴示范区智能交通建设项目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2024--2026</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100</w:t>
            </w:r>
            <w:r>
              <w:rPr>
                <w:rFonts w:hint="eastAsia" w:ascii="宋体" w:hAnsi="宋体" w:eastAsia="宋体"/>
                <w:color w:val="000000"/>
                <w:kern w:val="0"/>
                <w:sz w:val="22"/>
                <w:szCs w:val="22"/>
              </w:rPr>
              <w:t>公里配套智能化交通设施</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1.56</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r>
      <w:tr>
        <w:trPr>
          <w:trHeight w:val="426"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15</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信阳市中心城区出租车服务中心项目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2024-2028</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w:t>
            </w:r>
            <w:r>
              <w:rPr>
                <w:rFonts w:hint="eastAsia" w:ascii="宋体" w:hAnsi="宋体" w:eastAsia="宋体"/>
                <w:color w:val="000000"/>
                <w:kern w:val="0"/>
                <w:sz w:val="22"/>
                <w:szCs w:val="22"/>
              </w:rPr>
              <w:t>处服务中心（含充电桩）</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道服中心</w:t>
            </w:r>
          </w:p>
        </w:tc>
      </w:tr>
      <w:tr>
        <w:tblPrEx>
          <w:tblCellMar>
            <w:top w:w="0" w:type="dxa"/>
            <w:left w:w="108" w:type="dxa"/>
            <w:bottom w:w="0" w:type="dxa"/>
            <w:right w:w="108" w:type="dxa"/>
          </w:tblCellMar>
        </w:tblPrEx>
        <w:trPr>
          <w:trHeight w:val="476"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16</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新县非现场执法系统建设</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2025-2026</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0.087</w:t>
            </w:r>
          </w:p>
        </w:tc>
        <w:tc>
          <w:tcPr>
            <w:tcW w:w="13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新县</w:t>
            </w:r>
          </w:p>
        </w:tc>
      </w:tr>
      <w:tr>
        <w:trPr>
          <w:trHeight w:val="564"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17</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普通公路智慧化升级改造项目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新改建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2025-2027</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11.73</w:t>
            </w:r>
          </w:p>
        </w:tc>
        <w:tc>
          <w:tcPr>
            <w:tcW w:w="13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r>
      <w:tr>
        <w:tblPrEx>
          <w:tblCellMar>
            <w:top w:w="0" w:type="dxa"/>
            <w:left w:w="108" w:type="dxa"/>
            <w:bottom w:w="0" w:type="dxa"/>
            <w:right w:w="108" w:type="dxa"/>
          </w:tblCellMar>
        </w:tblPrEx>
        <w:trPr>
          <w:trHeight w:val="476"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18</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潢川县智慧交通标准提升行动工程</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2025-2028</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120</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w:t>
            </w:r>
          </w:p>
        </w:tc>
        <w:tc>
          <w:tcPr>
            <w:tcW w:w="13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w:t>
            </w:r>
          </w:p>
        </w:tc>
      </w:tr>
      <w:tr>
        <w:trPr>
          <w:trHeight w:val="614"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19</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信阳市智慧交通项目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2025-2029</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w:t>
            </w:r>
            <w:r>
              <w:rPr>
                <w:rFonts w:hint="eastAsia" w:ascii="宋体" w:hAnsi="宋体" w:eastAsia="宋体"/>
                <w:color w:val="000000"/>
                <w:kern w:val="0"/>
                <w:sz w:val="22"/>
                <w:szCs w:val="22"/>
              </w:rPr>
              <w:t>个交通大脑、</w:t>
            </w:r>
            <w:r>
              <w:rPr>
                <w:rFonts w:eastAsia="宋体"/>
                <w:color w:val="000000"/>
                <w:kern w:val="0"/>
                <w:sz w:val="22"/>
                <w:szCs w:val="22"/>
              </w:rPr>
              <w:t>1</w:t>
            </w:r>
            <w:r>
              <w:rPr>
                <w:rFonts w:hint="eastAsia" w:ascii="宋体" w:hAnsi="宋体" w:eastAsia="宋体"/>
                <w:color w:val="000000"/>
                <w:kern w:val="0"/>
                <w:sz w:val="22"/>
                <w:szCs w:val="22"/>
              </w:rPr>
              <w:t>个交通运行监测调度中心综合应用平台、</w:t>
            </w:r>
            <w:r>
              <w:rPr>
                <w:rFonts w:eastAsia="宋体"/>
                <w:color w:val="000000"/>
                <w:kern w:val="0"/>
                <w:sz w:val="22"/>
                <w:szCs w:val="22"/>
              </w:rPr>
              <w:t>7</w:t>
            </w:r>
            <w:r>
              <w:rPr>
                <w:rFonts w:hint="eastAsia" w:ascii="宋体" w:hAnsi="宋体" w:eastAsia="宋体"/>
                <w:color w:val="000000"/>
                <w:kern w:val="0"/>
                <w:sz w:val="22"/>
                <w:szCs w:val="22"/>
              </w:rPr>
              <w:t>个基础业务应用板块以及指挥中心建设</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0.99</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市交通运输局</w:t>
            </w:r>
          </w:p>
        </w:tc>
      </w:tr>
      <w:tr>
        <w:tblPrEx>
          <w:tblCellMar>
            <w:top w:w="0" w:type="dxa"/>
            <w:left w:w="108" w:type="dxa"/>
            <w:bottom w:w="0" w:type="dxa"/>
            <w:right w:w="108" w:type="dxa"/>
          </w:tblCellMar>
        </w:tblPrEx>
        <w:trPr>
          <w:trHeight w:val="476"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S205</w:t>
            </w:r>
            <w:r>
              <w:rPr>
                <w:rFonts w:hint="eastAsia" w:ascii="宋体" w:hAnsi="宋体" w:eastAsia="宋体"/>
                <w:color w:val="000000"/>
                <w:kern w:val="0"/>
                <w:sz w:val="22"/>
                <w:szCs w:val="22"/>
              </w:rPr>
              <w:t>线商城县上石桥镇至固始县界非现场执法点</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2026-2026</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0.02</w:t>
            </w:r>
          </w:p>
        </w:tc>
        <w:tc>
          <w:tcPr>
            <w:tcW w:w="13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商城县</w:t>
            </w:r>
          </w:p>
        </w:tc>
      </w:tr>
      <w:tr>
        <w:trPr>
          <w:trHeight w:val="614"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21</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浉河区智慧交通项目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2026-2027</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非现场执法系统</w:t>
            </w:r>
            <w:r>
              <w:rPr>
                <w:rFonts w:eastAsia="宋体"/>
                <w:color w:val="000000"/>
                <w:kern w:val="0"/>
                <w:sz w:val="22"/>
                <w:szCs w:val="22"/>
              </w:rPr>
              <w:t>2</w:t>
            </w:r>
            <w:r>
              <w:rPr>
                <w:rFonts w:hint="eastAsia" w:ascii="宋体" w:hAnsi="宋体" w:eastAsia="宋体"/>
                <w:color w:val="000000"/>
                <w:kern w:val="0"/>
                <w:sz w:val="22"/>
                <w:szCs w:val="22"/>
              </w:rPr>
              <w:t>套、监控中心装修改造</w:t>
            </w:r>
            <w:r>
              <w:rPr>
                <w:rFonts w:eastAsia="宋体"/>
                <w:color w:val="000000"/>
                <w:kern w:val="0"/>
                <w:sz w:val="22"/>
                <w:szCs w:val="22"/>
              </w:rPr>
              <w:t>100 m2</w:t>
            </w:r>
            <w:r>
              <w:rPr>
                <w:rFonts w:hint="eastAsia" w:ascii="宋体" w:hAnsi="宋体" w:eastAsia="宋体"/>
                <w:color w:val="000000"/>
                <w:kern w:val="0"/>
                <w:sz w:val="22"/>
                <w:szCs w:val="22"/>
              </w:rPr>
              <w:t>、数据中台</w:t>
            </w:r>
            <w:r>
              <w:rPr>
                <w:rFonts w:eastAsia="宋体"/>
                <w:color w:val="000000"/>
                <w:kern w:val="0"/>
                <w:sz w:val="22"/>
                <w:szCs w:val="22"/>
              </w:rPr>
              <w:t>1</w:t>
            </w:r>
            <w:r>
              <w:rPr>
                <w:rFonts w:hint="eastAsia" w:ascii="宋体" w:hAnsi="宋体" w:eastAsia="宋体"/>
                <w:color w:val="000000"/>
                <w:kern w:val="0"/>
                <w:sz w:val="22"/>
                <w:szCs w:val="22"/>
              </w:rPr>
              <w:t>套、业务中台</w:t>
            </w:r>
            <w:r>
              <w:rPr>
                <w:rFonts w:eastAsia="宋体"/>
                <w:color w:val="000000"/>
                <w:kern w:val="0"/>
                <w:sz w:val="22"/>
                <w:szCs w:val="22"/>
              </w:rPr>
              <w:t>1</w:t>
            </w:r>
            <w:r>
              <w:rPr>
                <w:rFonts w:hint="eastAsia" w:ascii="宋体" w:hAnsi="宋体" w:eastAsia="宋体"/>
                <w:color w:val="000000"/>
                <w:kern w:val="0"/>
                <w:sz w:val="22"/>
                <w:szCs w:val="22"/>
              </w:rPr>
              <w:t>套、综合服务监管平台</w:t>
            </w:r>
            <w:r>
              <w:rPr>
                <w:rFonts w:eastAsia="宋体"/>
                <w:color w:val="000000"/>
                <w:kern w:val="0"/>
                <w:sz w:val="22"/>
                <w:szCs w:val="22"/>
              </w:rPr>
              <w:t>1</w:t>
            </w:r>
            <w:r>
              <w:rPr>
                <w:rFonts w:hint="eastAsia" w:ascii="宋体" w:hAnsi="宋体" w:eastAsia="宋体"/>
                <w:color w:val="000000"/>
                <w:kern w:val="0"/>
                <w:sz w:val="22"/>
                <w:szCs w:val="22"/>
              </w:rPr>
              <w:t>套、运行监测平台</w:t>
            </w:r>
            <w:r>
              <w:rPr>
                <w:rFonts w:eastAsia="宋体"/>
                <w:color w:val="000000"/>
                <w:kern w:val="0"/>
                <w:sz w:val="22"/>
                <w:szCs w:val="22"/>
              </w:rPr>
              <w:t>1</w:t>
            </w:r>
            <w:r>
              <w:rPr>
                <w:rFonts w:hint="eastAsia" w:ascii="宋体" w:hAnsi="宋体" w:eastAsia="宋体"/>
                <w:color w:val="000000"/>
                <w:kern w:val="0"/>
                <w:sz w:val="22"/>
                <w:szCs w:val="22"/>
              </w:rPr>
              <w:t>套、政务服务平台</w:t>
            </w:r>
            <w:r>
              <w:rPr>
                <w:rFonts w:eastAsia="宋体"/>
                <w:color w:val="000000"/>
                <w:kern w:val="0"/>
                <w:sz w:val="22"/>
                <w:szCs w:val="22"/>
              </w:rPr>
              <w:t>1</w:t>
            </w:r>
            <w:r>
              <w:rPr>
                <w:rFonts w:hint="eastAsia" w:ascii="宋体" w:hAnsi="宋体" w:eastAsia="宋体"/>
                <w:color w:val="000000"/>
                <w:kern w:val="0"/>
                <w:sz w:val="22"/>
                <w:szCs w:val="22"/>
              </w:rPr>
              <w:t>套等</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0.84</w:t>
            </w:r>
          </w:p>
        </w:tc>
        <w:tc>
          <w:tcPr>
            <w:tcW w:w="13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w:t>
            </w:r>
          </w:p>
        </w:tc>
      </w:tr>
      <w:tr>
        <w:tblPrEx>
          <w:tblCellMar>
            <w:top w:w="0" w:type="dxa"/>
            <w:left w:w="108" w:type="dxa"/>
            <w:bottom w:w="0" w:type="dxa"/>
            <w:right w:w="108" w:type="dxa"/>
          </w:tblCellMar>
        </w:tblPrEx>
        <w:trPr>
          <w:trHeight w:val="439" w:hRule="atLeast"/>
        </w:trPr>
        <w:tc>
          <w:tcPr>
            <w:tcW w:w="11472" w:type="dxa"/>
            <w:gridSpan w:val="5"/>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二、远期建设项目（7个）</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77.85</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r>
      <w:tr>
        <w:trPr>
          <w:trHeight w:val="614"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22</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潢川县智能公交一体化建设项目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主要包括公交线路优化，公交场站新增及智能化改造，公交车辆升级购置，智能公交一体化调度指挥平台</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w:t>
            </w:r>
          </w:p>
        </w:tc>
        <w:tc>
          <w:tcPr>
            <w:tcW w:w="13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w:t>
            </w:r>
          </w:p>
        </w:tc>
      </w:tr>
      <w:tr>
        <w:tblPrEx>
          <w:tblCellMar>
            <w:top w:w="0" w:type="dxa"/>
            <w:left w:w="108" w:type="dxa"/>
            <w:bottom w:w="0" w:type="dxa"/>
            <w:right w:w="108" w:type="dxa"/>
          </w:tblCellMar>
        </w:tblPrEx>
        <w:trPr>
          <w:trHeight w:val="639"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23</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浉河区旅游公路智能交通建设项目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150</w:t>
            </w:r>
            <w:r>
              <w:rPr>
                <w:rFonts w:hint="eastAsia" w:ascii="宋体" w:hAnsi="宋体" w:eastAsia="宋体"/>
                <w:color w:val="000000"/>
                <w:kern w:val="0"/>
                <w:sz w:val="22"/>
                <w:szCs w:val="22"/>
              </w:rPr>
              <w:t>公里配套智能化交通设施</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2.34</w:t>
            </w:r>
          </w:p>
        </w:tc>
        <w:tc>
          <w:tcPr>
            <w:tcW w:w="13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w:t>
            </w:r>
          </w:p>
        </w:tc>
      </w:tr>
      <w:tr>
        <w:trPr>
          <w:trHeight w:val="414"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24</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信阳汽车客运东站综合信息服务平台</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2.3</w:t>
            </w:r>
          </w:p>
        </w:tc>
        <w:tc>
          <w:tcPr>
            <w:tcW w:w="137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道服中心</w:t>
            </w:r>
          </w:p>
        </w:tc>
      </w:tr>
      <w:tr>
        <w:tblPrEx>
          <w:tblCellMar>
            <w:top w:w="0" w:type="dxa"/>
            <w:left w:w="108" w:type="dxa"/>
            <w:bottom w:w="0" w:type="dxa"/>
            <w:right w:w="108" w:type="dxa"/>
          </w:tblCellMar>
        </w:tblPrEx>
        <w:trPr>
          <w:trHeight w:val="914"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25</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BRT</w:t>
            </w:r>
            <w:r>
              <w:rPr>
                <w:rFonts w:hint="eastAsia" w:ascii="宋体" w:hAnsi="宋体" w:eastAsia="宋体"/>
                <w:color w:val="000000"/>
                <w:kern w:val="0"/>
                <w:sz w:val="22"/>
                <w:szCs w:val="22"/>
              </w:rPr>
              <w:t>快速公交项目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left"/>
              <w:rPr>
                <w:rFonts w:eastAsia="宋体"/>
                <w:color w:val="000000"/>
                <w:kern w:val="0"/>
                <w:sz w:val="22"/>
                <w:szCs w:val="22"/>
              </w:rPr>
            </w:pPr>
            <w:r>
              <w:rPr>
                <w:rFonts w:hint="eastAsia" w:ascii="宋体" w:hAnsi="宋体" w:eastAsia="宋体"/>
                <w:color w:val="000000"/>
                <w:kern w:val="0"/>
                <w:sz w:val="22"/>
                <w:szCs w:val="22"/>
              </w:rPr>
              <w:t>规划形成包括</w:t>
            </w:r>
            <w:r>
              <w:rPr>
                <w:rFonts w:eastAsia="宋体"/>
                <w:color w:val="000000"/>
                <w:kern w:val="0"/>
                <w:sz w:val="22"/>
                <w:szCs w:val="22"/>
              </w:rPr>
              <w:t xml:space="preserve"> 8 </w:t>
            </w:r>
            <w:r>
              <w:rPr>
                <w:rFonts w:hint="eastAsia" w:ascii="宋体" w:hAnsi="宋体" w:eastAsia="宋体"/>
                <w:color w:val="000000"/>
                <w:kern w:val="0"/>
                <w:sz w:val="22"/>
                <w:szCs w:val="22"/>
              </w:rPr>
              <w:t>条</w:t>
            </w:r>
            <w:r>
              <w:rPr>
                <w:rFonts w:eastAsia="宋体"/>
                <w:color w:val="000000"/>
                <w:kern w:val="0"/>
                <w:sz w:val="22"/>
                <w:szCs w:val="22"/>
              </w:rPr>
              <w:t xml:space="preserve"> BRT </w:t>
            </w:r>
            <w:r>
              <w:rPr>
                <w:rFonts w:hint="eastAsia" w:ascii="宋体" w:hAnsi="宋体" w:eastAsia="宋体"/>
                <w:color w:val="000000"/>
                <w:kern w:val="0"/>
                <w:sz w:val="22"/>
                <w:szCs w:val="22"/>
              </w:rPr>
              <w:t>线路的</w:t>
            </w:r>
            <w:r>
              <w:rPr>
                <w:rFonts w:eastAsia="宋体"/>
                <w:color w:val="000000"/>
                <w:kern w:val="0"/>
                <w:sz w:val="22"/>
                <w:szCs w:val="22"/>
              </w:rPr>
              <w:t>“</w:t>
            </w:r>
            <w:r>
              <w:rPr>
                <w:rFonts w:hint="eastAsia" w:ascii="宋体" w:hAnsi="宋体" w:eastAsia="宋体"/>
                <w:color w:val="000000"/>
                <w:kern w:val="0"/>
                <w:sz w:val="22"/>
                <w:szCs w:val="22"/>
              </w:rPr>
              <w:t>三横三纵一环一延伸</w:t>
            </w:r>
            <w:r>
              <w:rPr>
                <w:rFonts w:eastAsia="宋体"/>
                <w:color w:val="000000"/>
                <w:kern w:val="0"/>
                <w:sz w:val="22"/>
                <w:szCs w:val="22"/>
              </w:rPr>
              <w:t>”</w:t>
            </w:r>
            <w:r>
              <w:rPr>
                <w:rFonts w:hint="eastAsia" w:ascii="宋体" w:hAnsi="宋体" w:eastAsia="宋体"/>
                <w:color w:val="000000"/>
                <w:kern w:val="0"/>
                <w:sz w:val="22"/>
                <w:szCs w:val="22"/>
              </w:rPr>
              <w:t>格局，总里程</w:t>
            </w:r>
            <w:r>
              <w:rPr>
                <w:rFonts w:eastAsia="宋体"/>
                <w:color w:val="000000"/>
                <w:kern w:val="0"/>
                <w:sz w:val="22"/>
                <w:szCs w:val="22"/>
              </w:rPr>
              <w:t xml:space="preserve"> 171.5 </w:t>
            </w:r>
            <w:r>
              <w:rPr>
                <w:rFonts w:hint="eastAsia" w:ascii="宋体" w:hAnsi="宋体" w:eastAsia="宋体"/>
                <w:color w:val="000000"/>
                <w:kern w:val="0"/>
                <w:sz w:val="22"/>
                <w:szCs w:val="22"/>
              </w:rPr>
              <w:t>公里，设置站点</w:t>
            </w:r>
            <w:r>
              <w:rPr>
                <w:rFonts w:eastAsia="宋体"/>
                <w:color w:val="000000"/>
                <w:kern w:val="0"/>
                <w:sz w:val="22"/>
                <w:szCs w:val="22"/>
              </w:rPr>
              <w:t xml:space="preserve"> 126 </w:t>
            </w:r>
            <w:r>
              <w:rPr>
                <w:rFonts w:hint="eastAsia" w:ascii="宋体" w:hAnsi="宋体" w:eastAsia="宋体"/>
                <w:color w:val="000000"/>
                <w:kern w:val="0"/>
                <w:sz w:val="22"/>
                <w:szCs w:val="22"/>
              </w:rPr>
              <w:t>个，包含</w:t>
            </w:r>
            <w:r>
              <w:rPr>
                <w:rFonts w:eastAsia="宋体"/>
                <w:color w:val="000000"/>
                <w:kern w:val="0"/>
                <w:sz w:val="22"/>
                <w:szCs w:val="22"/>
              </w:rPr>
              <w:t>BRT</w:t>
            </w:r>
            <w:r>
              <w:rPr>
                <w:rFonts w:hint="eastAsia" w:ascii="宋体" w:hAnsi="宋体" w:eastAsia="宋体"/>
                <w:color w:val="000000"/>
                <w:kern w:val="0"/>
                <w:sz w:val="22"/>
                <w:szCs w:val="22"/>
              </w:rPr>
              <w:t>系统、公交车辆购置、场站建设、支持系统、专用道、电子站牌等建设内容。</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51.72</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公交公司</w:t>
            </w:r>
          </w:p>
        </w:tc>
      </w:tr>
      <w:tr>
        <w:trPr>
          <w:trHeight w:val="439"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26</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信阳东高铁站</w:t>
            </w:r>
            <w:r>
              <w:rPr>
                <w:rFonts w:eastAsia="宋体"/>
                <w:color w:val="000000"/>
                <w:kern w:val="0"/>
                <w:sz w:val="22"/>
                <w:szCs w:val="22"/>
              </w:rPr>
              <w:t>-</w:t>
            </w:r>
            <w:r>
              <w:rPr>
                <w:rFonts w:hint="eastAsia" w:ascii="宋体" w:hAnsi="宋体" w:eastAsia="宋体"/>
                <w:color w:val="000000"/>
                <w:kern w:val="0"/>
                <w:sz w:val="22"/>
                <w:szCs w:val="22"/>
              </w:rPr>
              <w:t>南湾湖风景区（新七大道）智轨交通项目</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20.5</w:t>
            </w:r>
            <w:r>
              <w:rPr>
                <w:rFonts w:hint="eastAsia" w:ascii="宋体" w:hAnsi="宋体" w:eastAsia="宋体"/>
                <w:color w:val="000000"/>
                <w:kern w:val="0"/>
                <w:sz w:val="22"/>
                <w:szCs w:val="22"/>
              </w:rPr>
              <w:t>公里</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15</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公交公司</w:t>
            </w:r>
          </w:p>
        </w:tc>
      </w:tr>
      <w:tr>
        <w:tblPrEx>
          <w:tblCellMar>
            <w:top w:w="0" w:type="dxa"/>
            <w:left w:w="108" w:type="dxa"/>
            <w:bottom w:w="0" w:type="dxa"/>
            <w:right w:w="108" w:type="dxa"/>
          </w:tblCellMar>
        </w:tblPrEx>
        <w:trPr>
          <w:trHeight w:val="576"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27</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交通产业技术创新服务中心</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科技创业孵化、综合服务基础设施及平台建设</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2.29</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平桥区</w:t>
            </w:r>
          </w:p>
        </w:tc>
      </w:tr>
      <w:tr>
        <w:trPr>
          <w:trHeight w:val="601" w:hRule="atLeast"/>
        </w:trPr>
        <w:tc>
          <w:tcPr>
            <w:tcW w:w="65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28</w:t>
            </w:r>
          </w:p>
        </w:tc>
        <w:tc>
          <w:tcPr>
            <w:tcW w:w="386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全市国省沿线干线充电桩及</w:t>
            </w:r>
            <w:r>
              <w:rPr>
                <w:rFonts w:eastAsia="宋体"/>
                <w:color w:val="000000"/>
                <w:kern w:val="0"/>
                <w:sz w:val="22"/>
                <w:szCs w:val="22"/>
              </w:rPr>
              <w:t>LNG</w:t>
            </w:r>
            <w:r>
              <w:rPr>
                <w:rFonts w:hint="eastAsia" w:ascii="宋体" w:hAnsi="宋体" w:eastAsia="宋体"/>
                <w:color w:val="000000"/>
                <w:kern w:val="0"/>
                <w:sz w:val="22"/>
                <w:szCs w:val="22"/>
              </w:rPr>
              <w:t>充气站布设</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12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53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国省干线沿线</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公路中心</w:t>
            </w:r>
          </w:p>
        </w:tc>
      </w:tr>
      <w:tr>
        <w:tblPrEx>
          <w:tblCellMar>
            <w:top w:w="0" w:type="dxa"/>
            <w:left w:w="108" w:type="dxa"/>
            <w:bottom w:w="0" w:type="dxa"/>
            <w:right w:w="108" w:type="dxa"/>
          </w:tblCellMar>
        </w:tblPrEx>
        <w:trPr>
          <w:trHeight w:val="313" w:hRule="atLeast"/>
        </w:trPr>
        <w:tc>
          <w:tcPr>
            <w:tcW w:w="11472" w:type="dxa"/>
            <w:gridSpan w:val="5"/>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合计</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100.00</w:t>
            </w:r>
          </w:p>
        </w:tc>
        <w:tc>
          <w:tcPr>
            <w:tcW w:w="13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宋体"/>
                <w:color w:val="000000"/>
                <w:kern w:val="0"/>
                <w:sz w:val="22"/>
                <w:szCs w:val="22"/>
              </w:rPr>
            </w:pPr>
            <w:r>
              <w:rPr>
                <w:rFonts w:eastAsia="宋体"/>
                <w:color w:val="000000"/>
                <w:kern w:val="0"/>
                <w:sz w:val="22"/>
                <w:szCs w:val="22"/>
              </w:rPr>
              <w:t>　</w:t>
            </w:r>
          </w:p>
        </w:tc>
      </w:tr>
    </w:tbl>
    <w:p>
      <w:pPr>
        <w:keepNext/>
        <w:keepLines/>
        <w:adjustRightInd w:val="0"/>
        <w:spacing w:before="163" w:beforeLines="50" w:after="163" w:afterLines="50"/>
        <w:ind w:firstLine="0" w:firstLineChars="0"/>
        <w:jc w:val="left"/>
        <w:outlineLvl w:val="1"/>
        <w:rPr>
          <w:rFonts w:eastAsia="黑体"/>
          <w:b/>
          <w:bCs/>
          <w:sz w:val="30"/>
          <w:szCs w:val="32"/>
        </w:rPr>
      </w:pPr>
      <w:r>
        <w:rPr>
          <w:rFonts w:eastAsia="黑体"/>
          <w:b/>
          <w:bCs/>
          <w:sz w:val="30"/>
          <w:szCs w:val="32"/>
        </w:rPr>
        <w:br w:type="page"/>
      </w:r>
      <w:bookmarkStart w:id="66" w:name="_Toc128424868"/>
      <w:bookmarkStart w:id="67" w:name="_Toc181110996"/>
      <w:r>
        <w:rPr>
          <w:rFonts w:hint="eastAsia" w:eastAsia="黑体"/>
          <w:b/>
          <w:bCs/>
          <w:sz w:val="30"/>
          <w:szCs w:val="32"/>
        </w:rPr>
        <w:t>附表</w:t>
      </w:r>
      <w:r>
        <w:rPr>
          <w:rFonts w:eastAsia="黑体"/>
          <w:b/>
          <w:bCs/>
          <w:sz w:val="30"/>
          <w:szCs w:val="32"/>
        </w:rPr>
        <w:t xml:space="preserve">8 </w:t>
      </w:r>
      <w:r>
        <w:rPr>
          <w:rFonts w:hint="eastAsia" w:eastAsia="黑体"/>
          <w:b/>
          <w:bCs/>
          <w:sz w:val="30"/>
          <w:szCs w:val="32"/>
        </w:rPr>
        <w:t>交旅融合出彩工程项目表明细</w:t>
      </w:r>
      <w:bookmarkEnd w:id="66"/>
      <w:r>
        <w:rPr>
          <w:rFonts w:hint="eastAsia" w:eastAsia="黑体"/>
          <w:b/>
          <w:bCs/>
          <w:sz w:val="30"/>
          <w:szCs w:val="32"/>
        </w:rPr>
        <w:t>表</w:t>
      </w:r>
      <w:bookmarkEnd w:id="67"/>
    </w:p>
    <w:tbl>
      <w:tblPr>
        <w:tblStyle w:val="24"/>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28"/>
        <w:gridCol w:w="5508"/>
        <w:gridCol w:w="1476"/>
        <w:gridCol w:w="1993"/>
        <w:gridCol w:w="1368"/>
        <w:gridCol w:w="1319"/>
        <w:gridCol w:w="13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 w:hRule="atLeast"/>
        </w:trPr>
        <w:tc>
          <w:tcPr>
            <w:tcW w:w="432" w:type="pct"/>
            <w:vMerge w:val="restar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序号</w:t>
            </w:r>
          </w:p>
        </w:tc>
        <w:tc>
          <w:tcPr>
            <w:tcW w:w="1937" w:type="pct"/>
            <w:vMerge w:val="restar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项目名称</w:t>
            </w:r>
          </w:p>
        </w:tc>
        <w:tc>
          <w:tcPr>
            <w:tcW w:w="519" w:type="pct"/>
            <w:vMerge w:val="restar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建设性质</w:t>
            </w:r>
          </w:p>
        </w:tc>
        <w:tc>
          <w:tcPr>
            <w:tcW w:w="700" w:type="pct"/>
            <w:vMerge w:val="restar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建设年限</w:t>
            </w:r>
          </w:p>
        </w:tc>
        <w:tc>
          <w:tcPr>
            <w:tcW w:w="481" w:type="pct"/>
            <w:vMerge w:val="restart"/>
            <w:shd w:val="clear" w:color="auto" w:fill="auto"/>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建设规模</w:t>
            </w:r>
            <w:r>
              <w:rPr>
                <w:rFonts w:hint="eastAsia" w:ascii="宋体" w:hAnsi="宋体" w:eastAsia="宋体" w:cs="宋体"/>
                <w:b/>
                <w:bCs/>
                <w:color w:val="000000"/>
                <w:kern w:val="0"/>
                <w:sz w:val="22"/>
                <w:szCs w:val="22"/>
              </w:rPr>
              <w:br w:type="textWrapping"/>
            </w:r>
            <w:r>
              <w:rPr>
                <w:rFonts w:hint="eastAsia" w:ascii="宋体" w:hAnsi="宋体" w:eastAsia="宋体" w:cs="宋体"/>
                <w:b/>
                <w:bCs/>
                <w:color w:val="000000"/>
                <w:kern w:val="0"/>
                <w:sz w:val="22"/>
                <w:szCs w:val="22"/>
              </w:rPr>
              <w:t>（公里）</w:t>
            </w:r>
          </w:p>
        </w:tc>
        <w:tc>
          <w:tcPr>
            <w:tcW w:w="464" w:type="pct"/>
            <w:vMerge w:val="restart"/>
            <w:shd w:val="clear" w:color="auto" w:fill="auto"/>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总投资</w:t>
            </w:r>
            <w:r>
              <w:rPr>
                <w:rFonts w:hint="eastAsia" w:ascii="宋体" w:hAnsi="宋体" w:eastAsia="宋体" w:cs="宋体"/>
                <w:b/>
                <w:bCs/>
                <w:color w:val="000000"/>
                <w:kern w:val="0"/>
                <w:sz w:val="22"/>
                <w:szCs w:val="22"/>
              </w:rPr>
              <w:br w:type="textWrapping"/>
            </w:r>
            <w:r>
              <w:rPr>
                <w:rFonts w:hint="eastAsia" w:ascii="宋体" w:hAnsi="宋体" w:eastAsia="宋体" w:cs="宋体"/>
                <w:b/>
                <w:bCs/>
                <w:color w:val="000000"/>
                <w:kern w:val="0"/>
                <w:sz w:val="22"/>
                <w:szCs w:val="22"/>
              </w:rPr>
              <w:t>（亿元）</w:t>
            </w:r>
          </w:p>
        </w:tc>
        <w:tc>
          <w:tcPr>
            <w:tcW w:w="467" w:type="pct"/>
            <w:vMerge w:val="restar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hint="eastAsia" w:ascii="宋体" w:hAnsi="宋体" w:eastAsia="宋体"/>
                <w:b/>
                <w:bCs/>
                <w:color w:val="000000"/>
                <w:kern w:val="0"/>
                <w:sz w:val="22"/>
                <w:szCs w:val="22"/>
              </w:rPr>
              <w:t>责任单位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8" w:hRule="atLeast"/>
        </w:trPr>
        <w:tc>
          <w:tcPr>
            <w:tcW w:w="432" w:type="pct"/>
            <w:vMerge w:val="continue"/>
            <w:vAlign w:val="center"/>
          </w:tcPr>
          <w:p>
            <w:pPr>
              <w:widowControl/>
              <w:spacing w:line="240" w:lineRule="auto"/>
              <w:ind w:firstLine="0" w:firstLineChars="0"/>
              <w:jc w:val="left"/>
              <w:rPr>
                <w:rFonts w:eastAsia="宋体"/>
                <w:b/>
                <w:bCs/>
                <w:color w:val="000000"/>
                <w:kern w:val="0"/>
                <w:sz w:val="22"/>
                <w:szCs w:val="22"/>
              </w:rPr>
            </w:pPr>
          </w:p>
        </w:tc>
        <w:tc>
          <w:tcPr>
            <w:tcW w:w="1937" w:type="pct"/>
            <w:vMerge w:val="continue"/>
            <w:vAlign w:val="center"/>
          </w:tcPr>
          <w:p>
            <w:pPr>
              <w:widowControl/>
              <w:spacing w:line="240" w:lineRule="auto"/>
              <w:ind w:firstLine="0" w:firstLineChars="0"/>
              <w:jc w:val="left"/>
              <w:rPr>
                <w:rFonts w:eastAsia="宋体"/>
                <w:b/>
                <w:bCs/>
                <w:color w:val="000000"/>
                <w:kern w:val="0"/>
                <w:sz w:val="22"/>
                <w:szCs w:val="22"/>
              </w:rPr>
            </w:pPr>
          </w:p>
        </w:tc>
        <w:tc>
          <w:tcPr>
            <w:tcW w:w="519" w:type="pct"/>
            <w:vMerge w:val="continue"/>
            <w:vAlign w:val="center"/>
          </w:tcPr>
          <w:p>
            <w:pPr>
              <w:widowControl/>
              <w:spacing w:line="240" w:lineRule="auto"/>
              <w:ind w:firstLine="0" w:firstLineChars="0"/>
              <w:jc w:val="left"/>
              <w:rPr>
                <w:rFonts w:eastAsia="宋体"/>
                <w:b/>
                <w:bCs/>
                <w:color w:val="000000"/>
                <w:kern w:val="0"/>
                <w:sz w:val="22"/>
                <w:szCs w:val="22"/>
              </w:rPr>
            </w:pPr>
          </w:p>
        </w:tc>
        <w:tc>
          <w:tcPr>
            <w:tcW w:w="700" w:type="pct"/>
            <w:vMerge w:val="continue"/>
            <w:vAlign w:val="center"/>
          </w:tcPr>
          <w:p>
            <w:pPr>
              <w:widowControl/>
              <w:spacing w:line="240" w:lineRule="auto"/>
              <w:ind w:firstLine="0" w:firstLineChars="0"/>
              <w:jc w:val="left"/>
              <w:rPr>
                <w:rFonts w:eastAsia="宋体"/>
                <w:b/>
                <w:bCs/>
                <w:color w:val="000000"/>
                <w:kern w:val="0"/>
                <w:sz w:val="22"/>
                <w:szCs w:val="22"/>
              </w:rPr>
            </w:pPr>
          </w:p>
        </w:tc>
        <w:tc>
          <w:tcPr>
            <w:tcW w:w="481" w:type="pct"/>
            <w:vMerge w:val="continue"/>
            <w:vAlign w:val="center"/>
          </w:tcPr>
          <w:p>
            <w:pPr>
              <w:widowControl/>
              <w:spacing w:line="240" w:lineRule="auto"/>
              <w:ind w:firstLine="0" w:firstLineChars="0"/>
              <w:jc w:val="left"/>
              <w:rPr>
                <w:rFonts w:ascii="宋体" w:hAnsi="宋体" w:eastAsia="宋体" w:cs="宋体"/>
                <w:b/>
                <w:bCs/>
                <w:color w:val="000000"/>
                <w:kern w:val="0"/>
                <w:sz w:val="22"/>
                <w:szCs w:val="22"/>
              </w:rPr>
            </w:pPr>
          </w:p>
        </w:tc>
        <w:tc>
          <w:tcPr>
            <w:tcW w:w="464" w:type="pct"/>
            <w:vMerge w:val="continue"/>
            <w:vAlign w:val="center"/>
          </w:tcPr>
          <w:p>
            <w:pPr>
              <w:widowControl/>
              <w:spacing w:line="240" w:lineRule="auto"/>
              <w:ind w:firstLine="0" w:firstLineChars="0"/>
              <w:jc w:val="left"/>
              <w:rPr>
                <w:rFonts w:ascii="宋体" w:hAnsi="宋体" w:eastAsia="宋体" w:cs="宋体"/>
                <w:b/>
                <w:bCs/>
                <w:color w:val="000000"/>
                <w:kern w:val="0"/>
                <w:sz w:val="22"/>
                <w:szCs w:val="22"/>
              </w:rPr>
            </w:pPr>
          </w:p>
        </w:tc>
        <w:tc>
          <w:tcPr>
            <w:tcW w:w="467" w:type="pct"/>
            <w:vMerge w:val="continue"/>
            <w:vAlign w:val="center"/>
          </w:tcPr>
          <w:p>
            <w:pPr>
              <w:widowControl/>
              <w:spacing w:line="240" w:lineRule="auto"/>
              <w:ind w:firstLine="0" w:firstLineChars="0"/>
              <w:jc w:val="left"/>
              <w:rPr>
                <w:rFonts w:eastAsia="宋体"/>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3589" w:type="pct"/>
            <w:gridSpan w:val="4"/>
            <w:shd w:val="clear" w:color="auto" w:fill="auto"/>
            <w:noWrap/>
            <w:vAlign w:val="center"/>
          </w:tcPr>
          <w:p>
            <w:pPr>
              <w:widowControl/>
              <w:spacing w:line="240" w:lineRule="auto"/>
              <w:ind w:firstLine="0" w:firstLineChars="0"/>
              <w:jc w:val="left"/>
              <w:rPr>
                <w:rFonts w:eastAsia="宋体"/>
                <w:b/>
                <w:bCs/>
                <w:color w:val="000000"/>
                <w:kern w:val="0"/>
                <w:sz w:val="22"/>
                <w:szCs w:val="22"/>
              </w:rPr>
            </w:pPr>
            <w:r>
              <w:rPr>
                <w:rFonts w:hint="eastAsia" w:ascii="宋体" w:hAnsi="宋体" w:eastAsia="宋体"/>
                <w:b/>
                <w:bCs/>
                <w:color w:val="000000"/>
                <w:kern w:val="0"/>
                <w:sz w:val="22"/>
                <w:szCs w:val="22"/>
              </w:rPr>
              <w:t>一、近期建设项目（</w:t>
            </w:r>
            <w:r>
              <w:rPr>
                <w:rFonts w:eastAsia="宋体"/>
                <w:b/>
                <w:bCs/>
                <w:color w:val="000000"/>
                <w:kern w:val="0"/>
                <w:sz w:val="22"/>
                <w:szCs w:val="22"/>
              </w:rPr>
              <w:t>10</w:t>
            </w:r>
            <w:r>
              <w:rPr>
                <w:rFonts w:hint="eastAsia" w:ascii="宋体" w:hAnsi="宋体" w:eastAsia="宋体"/>
                <w:b/>
                <w:bCs/>
                <w:color w:val="000000"/>
                <w:kern w:val="0"/>
                <w:sz w:val="22"/>
                <w:szCs w:val="22"/>
              </w:rPr>
              <w:t>个）</w:t>
            </w:r>
          </w:p>
        </w:tc>
        <w:tc>
          <w:tcPr>
            <w:tcW w:w="481" w:type="pc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506.7</w:t>
            </w:r>
          </w:p>
        </w:tc>
        <w:tc>
          <w:tcPr>
            <w:tcW w:w="464" w:type="pc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25.1</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浉河区旅游公路</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2026-2030</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48.7</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6.8</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平桥区旅游公路</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2026-2030</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24.1</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0.5</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平桥区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罗山县旅游公路</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2026-2030</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32.2</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0.8</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光山县旅游公路</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2026-2030</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41.5</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1.4</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光山县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新县旅游公路</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2026-2030</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17.8</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0.5</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商城县旅游公路</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2026-2030</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80.8</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1.9</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商城县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固始县旅游公路</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2026-2030</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48.7</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8.9</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固始县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潢川县旅游公路</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2026-2030</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42.9</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0.9</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潢川县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9</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淮滨县旅游公路</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2026-2030</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43.1</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0.9</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淮滨县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息县旅游公路</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2026-2030</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126.9</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2.5</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息县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3589" w:type="pct"/>
            <w:gridSpan w:val="4"/>
            <w:shd w:val="clear" w:color="auto" w:fill="auto"/>
            <w:noWrap/>
            <w:vAlign w:val="center"/>
          </w:tcPr>
          <w:p>
            <w:pPr>
              <w:widowControl/>
              <w:spacing w:line="240" w:lineRule="auto"/>
              <w:ind w:firstLine="0" w:firstLineChars="0"/>
              <w:jc w:val="left"/>
              <w:rPr>
                <w:rFonts w:eastAsia="宋体"/>
                <w:b/>
                <w:bCs/>
                <w:color w:val="000000"/>
                <w:kern w:val="0"/>
                <w:sz w:val="22"/>
                <w:szCs w:val="22"/>
              </w:rPr>
            </w:pPr>
            <w:r>
              <w:rPr>
                <w:rFonts w:hint="eastAsia" w:ascii="宋体" w:hAnsi="宋体" w:eastAsia="宋体"/>
                <w:b/>
                <w:bCs/>
                <w:color w:val="000000"/>
                <w:kern w:val="0"/>
                <w:sz w:val="22"/>
                <w:szCs w:val="22"/>
              </w:rPr>
              <w:t>二、远期建设项目（</w:t>
            </w:r>
            <w:r>
              <w:rPr>
                <w:rFonts w:eastAsia="宋体"/>
                <w:b/>
                <w:bCs/>
                <w:color w:val="000000"/>
                <w:kern w:val="0"/>
                <w:sz w:val="22"/>
                <w:szCs w:val="22"/>
              </w:rPr>
              <w:t>5</w:t>
            </w:r>
            <w:r>
              <w:rPr>
                <w:rFonts w:hint="eastAsia" w:ascii="宋体" w:hAnsi="宋体" w:eastAsia="宋体"/>
                <w:b/>
                <w:bCs/>
                <w:color w:val="000000"/>
                <w:kern w:val="0"/>
                <w:sz w:val="22"/>
                <w:szCs w:val="22"/>
              </w:rPr>
              <w:t>个）</w:t>
            </w:r>
          </w:p>
        </w:tc>
        <w:tc>
          <w:tcPr>
            <w:tcW w:w="481" w:type="pc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13</w:t>
            </w:r>
          </w:p>
        </w:tc>
        <w:tc>
          <w:tcPr>
            <w:tcW w:w="464" w:type="pc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2.</w:t>
            </w:r>
            <w:r>
              <w:rPr>
                <w:rFonts w:hint="eastAsia" w:eastAsia="宋体"/>
                <w:b/>
                <w:bCs/>
                <w:color w:val="000000"/>
                <w:kern w:val="0"/>
                <w:sz w:val="22"/>
                <w:szCs w:val="22"/>
              </w:rPr>
              <w:t>5</w:t>
            </w:r>
            <w:r>
              <w:rPr>
                <w:rFonts w:eastAsia="宋体"/>
                <w:b/>
                <w:bCs/>
                <w:color w:val="000000"/>
                <w:kern w:val="0"/>
                <w:sz w:val="22"/>
                <w:szCs w:val="22"/>
              </w:rPr>
              <w:t>2</w:t>
            </w:r>
          </w:p>
        </w:tc>
        <w:tc>
          <w:tcPr>
            <w:tcW w:w="467" w:type="pc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出山店水库水运旅游客运项目</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0.4</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南湾水库水运旅游客运提升项目</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0.35</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平桥区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浉河水上公交项目</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1.5</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浉河区低空飞行训练体验基地</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新建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0.1</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浉河区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432"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w:t>
            </w:r>
          </w:p>
        </w:tc>
        <w:tc>
          <w:tcPr>
            <w:tcW w:w="193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罗山县红色大别一号旅游公路山店至</w:t>
            </w:r>
            <w:r>
              <w:rPr>
                <w:rFonts w:eastAsia="宋体"/>
                <w:color w:val="000000"/>
                <w:kern w:val="0"/>
                <w:sz w:val="22"/>
                <w:szCs w:val="22"/>
              </w:rPr>
              <w:t>S218</w:t>
            </w:r>
          </w:p>
        </w:tc>
        <w:tc>
          <w:tcPr>
            <w:tcW w:w="519"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改建</w:t>
            </w:r>
          </w:p>
        </w:tc>
        <w:tc>
          <w:tcPr>
            <w:tcW w:w="700"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远期规划</w:t>
            </w:r>
          </w:p>
        </w:tc>
        <w:tc>
          <w:tcPr>
            <w:tcW w:w="481"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13</w:t>
            </w:r>
          </w:p>
        </w:tc>
        <w:tc>
          <w:tcPr>
            <w:tcW w:w="464" w:type="pct"/>
            <w:shd w:val="clear" w:color="auto" w:fill="auto"/>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0.17</w:t>
            </w:r>
          </w:p>
        </w:tc>
        <w:tc>
          <w:tcPr>
            <w:tcW w:w="467" w:type="pct"/>
            <w:shd w:val="clear" w:color="auto" w:fill="auto"/>
            <w:noWrap/>
            <w:vAlign w:val="center"/>
          </w:tcPr>
          <w:p>
            <w:pPr>
              <w:widowControl/>
              <w:spacing w:line="240" w:lineRule="auto"/>
              <w:ind w:firstLine="0" w:firstLineChars="0"/>
              <w:jc w:val="center"/>
              <w:rPr>
                <w:rFonts w:eastAsia="宋体"/>
                <w:color w:val="000000"/>
                <w:kern w:val="0"/>
                <w:sz w:val="22"/>
                <w:szCs w:val="22"/>
              </w:rPr>
            </w:pPr>
            <w:r>
              <w:rPr>
                <w:rFonts w:hint="eastAsia" w:ascii="宋体" w:hAnsi="宋体" w:eastAsia="宋体"/>
                <w:color w:val="000000"/>
                <w:kern w:val="0"/>
                <w:sz w:val="22"/>
                <w:szCs w:val="22"/>
              </w:rPr>
              <w:t>罗山县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3589" w:type="pct"/>
            <w:gridSpan w:val="4"/>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合计</w:t>
            </w:r>
          </w:p>
        </w:tc>
        <w:tc>
          <w:tcPr>
            <w:tcW w:w="481" w:type="pc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519.7</w:t>
            </w:r>
          </w:p>
        </w:tc>
        <w:tc>
          <w:tcPr>
            <w:tcW w:w="464" w:type="pc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27.</w:t>
            </w:r>
            <w:r>
              <w:rPr>
                <w:rFonts w:hint="eastAsia" w:eastAsia="宋体"/>
                <w:b/>
                <w:bCs/>
                <w:color w:val="000000"/>
                <w:kern w:val="0"/>
                <w:sz w:val="22"/>
                <w:szCs w:val="22"/>
              </w:rPr>
              <w:t>6</w:t>
            </w:r>
            <w:r>
              <w:rPr>
                <w:rFonts w:eastAsia="宋体"/>
                <w:b/>
                <w:bCs/>
                <w:color w:val="000000"/>
                <w:kern w:val="0"/>
                <w:sz w:val="22"/>
                <w:szCs w:val="22"/>
              </w:rPr>
              <w:t>2</w:t>
            </w:r>
          </w:p>
        </w:tc>
        <w:tc>
          <w:tcPr>
            <w:tcW w:w="467" w:type="pct"/>
            <w:shd w:val="clear" w:color="auto" w:fill="auto"/>
            <w:noWrap/>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　</w:t>
            </w:r>
          </w:p>
        </w:tc>
      </w:tr>
      <w:bookmarkEnd w:id="49"/>
    </w:tbl>
    <w:p>
      <w:pPr>
        <w:keepNext/>
        <w:keepLines/>
        <w:adjustRightInd w:val="0"/>
        <w:spacing w:before="163" w:beforeLines="50" w:after="163" w:afterLines="50"/>
        <w:ind w:firstLine="0" w:firstLineChars="0"/>
        <w:jc w:val="left"/>
        <w:outlineLvl w:val="1"/>
        <w:rPr>
          <w:rFonts w:eastAsia="黑体"/>
          <w:b/>
          <w:bCs/>
          <w:sz w:val="30"/>
          <w:szCs w:val="32"/>
        </w:rPr>
      </w:pPr>
      <w:r>
        <w:rPr>
          <w:rFonts w:eastAsia="黑体"/>
          <w:b/>
          <w:bCs/>
          <w:sz w:val="30"/>
          <w:szCs w:val="32"/>
        </w:rPr>
        <w:br w:type="page"/>
      </w:r>
      <w:bookmarkStart w:id="68" w:name="_Toc128424869"/>
      <w:bookmarkStart w:id="69" w:name="_Toc181110997"/>
      <w:r>
        <w:rPr>
          <w:rFonts w:hint="eastAsia" w:eastAsia="黑体"/>
          <w:b/>
          <w:bCs/>
          <w:sz w:val="30"/>
          <w:szCs w:val="32"/>
        </w:rPr>
        <w:t>附表</w:t>
      </w:r>
      <w:r>
        <w:rPr>
          <w:rFonts w:eastAsia="黑体"/>
          <w:b/>
          <w:bCs/>
          <w:sz w:val="30"/>
          <w:szCs w:val="32"/>
        </w:rPr>
        <w:t xml:space="preserve">9 </w:t>
      </w:r>
      <w:r>
        <w:rPr>
          <w:rFonts w:hint="eastAsia" w:eastAsia="黑体"/>
          <w:b/>
          <w:bCs/>
          <w:sz w:val="30"/>
          <w:szCs w:val="32"/>
        </w:rPr>
        <w:t>铁路“拓展成网”工程项目表明细表</w:t>
      </w:r>
      <w:bookmarkEnd w:id="68"/>
      <w:bookmarkEnd w:id="69"/>
    </w:p>
    <w:tbl>
      <w:tblPr>
        <w:tblStyle w:val="24"/>
        <w:tblW w:w="5000" w:type="pct"/>
        <w:tblInd w:w="0" w:type="dxa"/>
        <w:tblLayout w:type="autofit"/>
        <w:tblCellMar>
          <w:top w:w="0" w:type="dxa"/>
          <w:left w:w="0" w:type="dxa"/>
          <w:bottom w:w="0" w:type="dxa"/>
          <w:right w:w="0" w:type="dxa"/>
        </w:tblCellMar>
      </w:tblPr>
      <w:tblGrid>
        <w:gridCol w:w="1305"/>
        <w:gridCol w:w="5248"/>
        <w:gridCol w:w="1639"/>
        <w:gridCol w:w="2051"/>
        <w:gridCol w:w="1945"/>
        <w:gridCol w:w="1844"/>
      </w:tblGrid>
      <w:tr>
        <w:tblPrEx>
          <w:tblCellMar>
            <w:top w:w="0" w:type="dxa"/>
            <w:left w:w="0" w:type="dxa"/>
            <w:bottom w:w="0" w:type="dxa"/>
            <w:right w:w="0" w:type="dxa"/>
          </w:tblCellMar>
        </w:tblPrEx>
        <w:trPr>
          <w:trHeight w:val="461" w:hRule="atLeast"/>
          <w:tblHeader/>
        </w:trPr>
        <w:tc>
          <w:tcPr>
            <w:tcW w:w="465" w:type="pct"/>
            <w:vMerge w:val="restar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870" w:type="pct"/>
            <w:vMerge w:val="restar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584" w:type="pct"/>
            <w:vMerge w:val="restar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建设类型</w:t>
            </w:r>
          </w:p>
        </w:tc>
        <w:tc>
          <w:tcPr>
            <w:tcW w:w="730" w:type="pct"/>
            <w:vMerge w:val="restar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建设年限</w:t>
            </w:r>
          </w:p>
        </w:tc>
        <w:tc>
          <w:tcPr>
            <w:tcW w:w="693" w:type="pct"/>
            <w:tcBorders>
              <w:top w:val="single" w:color="auto" w:sz="8" w:space="0"/>
              <w:left w:val="nil"/>
              <w:bottom w:val="nil"/>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建设规模</w:t>
            </w:r>
          </w:p>
        </w:tc>
        <w:tc>
          <w:tcPr>
            <w:tcW w:w="657" w:type="pct"/>
            <w:tcBorders>
              <w:top w:val="single" w:color="auto" w:sz="8" w:space="0"/>
              <w:left w:val="nil"/>
              <w:bottom w:val="nil"/>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总投资</w:t>
            </w:r>
          </w:p>
        </w:tc>
      </w:tr>
      <w:tr>
        <w:tblPrEx>
          <w:tblCellMar>
            <w:top w:w="0" w:type="dxa"/>
            <w:left w:w="0" w:type="dxa"/>
            <w:bottom w:w="0" w:type="dxa"/>
            <w:right w:w="0" w:type="dxa"/>
          </w:tblCellMar>
        </w:tblPrEx>
        <w:trPr>
          <w:trHeight w:val="301" w:hRule="atLeast"/>
          <w:tblHeader/>
        </w:trPr>
        <w:tc>
          <w:tcPr>
            <w:tcW w:w="465"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b/>
                <w:bCs/>
                <w:color w:val="000000"/>
                <w:kern w:val="0"/>
                <w:sz w:val="22"/>
                <w:szCs w:val="22"/>
              </w:rPr>
            </w:pPr>
          </w:p>
        </w:tc>
        <w:tc>
          <w:tcPr>
            <w:tcW w:w="1870"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b/>
                <w:bCs/>
                <w:color w:val="000000"/>
                <w:kern w:val="0"/>
                <w:sz w:val="24"/>
                <w:szCs w:val="24"/>
              </w:rPr>
            </w:pPr>
          </w:p>
        </w:tc>
        <w:tc>
          <w:tcPr>
            <w:tcW w:w="584"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b/>
                <w:bCs/>
                <w:color w:val="000000"/>
                <w:kern w:val="0"/>
                <w:sz w:val="22"/>
                <w:szCs w:val="22"/>
              </w:rPr>
            </w:pPr>
          </w:p>
        </w:tc>
        <w:tc>
          <w:tcPr>
            <w:tcW w:w="730" w:type="pct"/>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firstLine="0" w:firstLineChars="0"/>
              <w:jc w:val="left"/>
              <w:rPr>
                <w:rFonts w:ascii="宋体" w:hAnsi="宋体" w:eastAsia="宋体" w:cs="宋体"/>
                <w:b/>
                <w:bCs/>
                <w:color w:val="000000"/>
                <w:kern w:val="0"/>
                <w:sz w:val="22"/>
                <w:szCs w:val="22"/>
              </w:rPr>
            </w:pPr>
          </w:p>
        </w:tc>
        <w:tc>
          <w:tcPr>
            <w:tcW w:w="693"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（公里）</w:t>
            </w:r>
          </w:p>
        </w:tc>
        <w:tc>
          <w:tcPr>
            <w:tcW w:w="657"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（亿元）</w:t>
            </w:r>
          </w:p>
        </w:tc>
      </w:tr>
      <w:tr>
        <w:tblPrEx>
          <w:tblCellMar>
            <w:top w:w="0" w:type="dxa"/>
            <w:left w:w="0" w:type="dxa"/>
            <w:bottom w:w="0" w:type="dxa"/>
            <w:right w:w="0" w:type="dxa"/>
          </w:tblCellMar>
        </w:tblPrEx>
        <w:trPr>
          <w:trHeight w:val="601" w:hRule="atLeast"/>
        </w:trPr>
        <w:tc>
          <w:tcPr>
            <w:tcW w:w="3650" w:type="pct"/>
            <w:gridSpan w:val="4"/>
            <w:tcBorders>
              <w:top w:val="nil"/>
              <w:left w:val="single" w:color="auto" w:sz="8" w:space="0"/>
              <w:bottom w:val="single" w:color="auto" w:sz="8" w:space="0"/>
              <w:right w:val="single" w:color="000000" w:sz="8" w:space="0"/>
            </w:tcBorders>
            <w:shd w:val="clear" w:color="auto" w:fill="auto"/>
            <w:noWrap/>
            <w:tcMar>
              <w:top w:w="15" w:type="dxa"/>
              <w:left w:w="15" w:type="dxa"/>
              <w:bottom w:w="0" w:type="dxa"/>
              <w:right w:w="15" w:type="dxa"/>
            </w:tcMar>
            <w:vAlign w:val="center"/>
          </w:tcPr>
          <w:p>
            <w:pPr>
              <w:widowControl/>
              <w:spacing w:line="240" w:lineRule="auto"/>
              <w:ind w:firstLine="0" w:firstLineChars="0"/>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一、近期建设项目（2个）</w:t>
            </w:r>
          </w:p>
        </w:tc>
        <w:tc>
          <w:tcPr>
            <w:tcW w:w="693"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391</w:t>
            </w:r>
          </w:p>
        </w:tc>
        <w:tc>
          <w:tcPr>
            <w:tcW w:w="657"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638</w:t>
            </w:r>
          </w:p>
        </w:tc>
      </w:tr>
      <w:tr>
        <w:tblPrEx>
          <w:tblCellMar>
            <w:top w:w="0" w:type="dxa"/>
            <w:left w:w="0" w:type="dxa"/>
            <w:bottom w:w="0" w:type="dxa"/>
            <w:right w:w="0" w:type="dxa"/>
          </w:tblCellMar>
        </w:tblPrEx>
        <w:trPr>
          <w:trHeight w:val="601" w:hRule="atLeast"/>
        </w:trPr>
        <w:tc>
          <w:tcPr>
            <w:tcW w:w="465" w:type="pct"/>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w:t>
            </w:r>
          </w:p>
        </w:tc>
        <w:tc>
          <w:tcPr>
            <w:tcW w:w="1870" w:type="pct"/>
            <w:tcBorders>
              <w:top w:val="nil"/>
              <w:left w:val="nil"/>
              <w:bottom w:val="nil"/>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南信合高铁项目</w:t>
            </w:r>
          </w:p>
        </w:tc>
        <w:tc>
          <w:tcPr>
            <w:tcW w:w="58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新建</w:t>
            </w:r>
          </w:p>
        </w:tc>
        <w:tc>
          <w:tcPr>
            <w:tcW w:w="73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2023-2030</w:t>
            </w:r>
          </w:p>
        </w:tc>
        <w:tc>
          <w:tcPr>
            <w:tcW w:w="693"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246</w:t>
            </w:r>
          </w:p>
        </w:tc>
        <w:tc>
          <w:tcPr>
            <w:tcW w:w="657"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392</w:t>
            </w:r>
          </w:p>
        </w:tc>
      </w:tr>
      <w:tr>
        <w:tblPrEx>
          <w:tblCellMar>
            <w:top w:w="0" w:type="dxa"/>
            <w:left w:w="0" w:type="dxa"/>
            <w:bottom w:w="0" w:type="dxa"/>
            <w:right w:w="0" w:type="dxa"/>
          </w:tblCellMar>
        </w:tblPrEx>
        <w:trPr>
          <w:trHeight w:val="601" w:hRule="atLeast"/>
        </w:trPr>
        <w:tc>
          <w:tcPr>
            <w:tcW w:w="465" w:type="pct"/>
            <w:tcBorders>
              <w:top w:val="nil"/>
              <w:left w:val="single" w:color="auto" w:sz="8" w:space="0"/>
              <w:bottom w:val="nil"/>
              <w:right w:val="nil"/>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w:t>
            </w:r>
          </w:p>
        </w:tc>
        <w:tc>
          <w:tcPr>
            <w:tcW w:w="1870" w:type="pct"/>
            <w:tcBorders>
              <w:top w:val="single" w:color="auto" w:sz="4" w:space="0"/>
              <w:left w:val="single" w:color="auto" w:sz="4" w:space="0"/>
              <w:bottom w:val="nil"/>
              <w:right w:val="single" w:color="auto" w:sz="4"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京港台高铁阜阳至黄冈段项目</w:t>
            </w:r>
          </w:p>
        </w:tc>
        <w:tc>
          <w:tcPr>
            <w:tcW w:w="584" w:type="pct"/>
            <w:tcBorders>
              <w:top w:val="nil"/>
              <w:left w:val="nil"/>
              <w:bottom w:val="nil"/>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新建</w:t>
            </w:r>
          </w:p>
        </w:tc>
        <w:tc>
          <w:tcPr>
            <w:tcW w:w="730" w:type="pct"/>
            <w:tcBorders>
              <w:top w:val="nil"/>
              <w:left w:val="nil"/>
              <w:bottom w:val="nil"/>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2023-2030</w:t>
            </w:r>
          </w:p>
        </w:tc>
        <w:tc>
          <w:tcPr>
            <w:tcW w:w="693"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145</w:t>
            </w:r>
          </w:p>
        </w:tc>
        <w:tc>
          <w:tcPr>
            <w:tcW w:w="657"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kern w:val="0"/>
                <w:sz w:val="22"/>
                <w:szCs w:val="22"/>
              </w:rPr>
            </w:pPr>
            <w:r>
              <w:rPr>
                <w:rFonts w:eastAsia="宋体"/>
                <w:kern w:val="0"/>
                <w:sz w:val="22"/>
                <w:szCs w:val="22"/>
              </w:rPr>
              <w:t>246</w:t>
            </w:r>
          </w:p>
        </w:tc>
      </w:tr>
      <w:tr>
        <w:tblPrEx>
          <w:tblCellMar>
            <w:top w:w="0" w:type="dxa"/>
            <w:left w:w="0" w:type="dxa"/>
            <w:bottom w:w="0" w:type="dxa"/>
            <w:right w:w="0" w:type="dxa"/>
          </w:tblCellMar>
        </w:tblPrEx>
        <w:trPr>
          <w:trHeight w:val="601" w:hRule="atLeast"/>
        </w:trPr>
        <w:tc>
          <w:tcPr>
            <w:tcW w:w="3650" w:type="pct"/>
            <w:gridSpan w:val="4"/>
            <w:tcBorders>
              <w:top w:val="single" w:color="auto" w:sz="8" w:space="0"/>
              <w:left w:val="single" w:color="auto" w:sz="8" w:space="0"/>
              <w:bottom w:val="single" w:color="auto" w:sz="8" w:space="0"/>
              <w:right w:val="single" w:color="000000" w:sz="8" w:space="0"/>
            </w:tcBorders>
            <w:shd w:val="clear" w:color="auto" w:fill="auto"/>
            <w:tcMar>
              <w:top w:w="15" w:type="dxa"/>
              <w:left w:w="15" w:type="dxa"/>
              <w:bottom w:w="0" w:type="dxa"/>
              <w:right w:w="15" w:type="dxa"/>
            </w:tcMar>
            <w:vAlign w:val="center"/>
          </w:tcPr>
          <w:p>
            <w:pPr>
              <w:widowControl/>
              <w:spacing w:line="240" w:lineRule="auto"/>
              <w:ind w:firstLine="0" w:firstLineChars="0"/>
              <w:jc w:val="left"/>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二、远期建设项目（</w:t>
            </w:r>
            <w:r>
              <w:rPr>
                <w:rFonts w:eastAsia="宋体"/>
                <w:b/>
                <w:bCs/>
                <w:color w:val="000000"/>
                <w:kern w:val="0"/>
                <w:sz w:val="22"/>
                <w:szCs w:val="22"/>
              </w:rPr>
              <w:t>5</w:t>
            </w:r>
            <w:r>
              <w:rPr>
                <w:rFonts w:hint="eastAsia" w:ascii="宋体" w:hAnsi="宋体" w:eastAsia="宋体" w:cs="宋体"/>
                <w:b/>
                <w:bCs/>
                <w:color w:val="000000"/>
                <w:kern w:val="0"/>
                <w:sz w:val="22"/>
                <w:szCs w:val="22"/>
              </w:rPr>
              <w:t>个）</w:t>
            </w:r>
          </w:p>
        </w:tc>
        <w:tc>
          <w:tcPr>
            <w:tcW w:w="693"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404</w:t>
            </w:r>
          </w:p>
        </w:tc>
        <w:tc>
          <w:tcPr>
            <w:tcW w:w="657"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693</w:t>
            </w:r>
          </w:p>
        </w:tc>
      </w:tr>
      <w:tr>
        <w:tblPrEx>
          <w:tblCellMar>
            <w:top w:w="0" w:type="dxa"/>
            <w:left w:w="0" w:type="dxa"/>
            <w:bottom w:w="0" w:type="dxa"/>
            <w:right w:w="0" w:type="dxa"/>
          </w:tblCellMar>
        </w:tblPrEx>
        <w:trPr>
          <w:trHeight w:val="601" w:hRule="atLeast"/>
        </w:trPr>
        <w:tc>
          <w:tcPr>
            <w:tcW w:w="465" w:type="pct"/>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w:t>
            </w:r>
          </w:p>
        </w:tc>
        <w:tc>
          <w:tcPr>
            <w:tcW w:w="187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郑州至信阳城际铁路项目</w:t>
            </w:r>
          </w:p>
        </w:tc>
        <w:tc>
          <w:tcPr>
            <w:tcW w:w="58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新建</w:t>
            </w:r>
          </w:p>
        </w:tc>
        <w:tc>
          <w:tcPr>
            <w:tcW w:w="73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方正书宋_GBK" w:hAnsi="宋体" w:eastAsia="方正书宋_GBK" w:cs="宋体"/>
                <w:color w:val="000000"/>
                <w:kern w:val="0"/>
                <w:sz w:val="22"/>
                <w:szCs w:val="22"/>
              </w:rPr>
            </w:pPr>
            <w:r>
              <w:rPr>
                <w:rFonts w:hint="eastAsia" w:ascii="方正书宋_GBK" w:hAnsi="宋体" w:eastAsia="方正书宋_GBK" w:cs="宋体"/>
                <w:color w:val="000000"/>
                <w:kern w:val="0"/>
                <w:sz w:val="22"/>
                <w:szCs w:val="22"/>
              </w:rPr>
              <w:t>远期规划</w:t>
            </w:r>
          </w:p>
        </w:tc>
        <w:tc>
          <w:tcPr>
            <w:tcW w:w="693"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42</w:t>
            </w:r>
          </w:p>
        </w:tc>
        <w:tc>
          <w:tcPr>
            <w:tcW w:w="657"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63</w:t>
            </w:r>
          </w:p>
        </w:tc>
      </w:tr>
      <w:tr>
        <w:tblPrEx>
          <w:tblCellMar>
            <w:top w:w="0" w:type="dxa"/>
            <w:left w:w="0" w:type="dxa"/>
            <w:bottom w:w="0" w:type="dxa"/>
            <w:right w:w="0" w:type="dxa"/>
          </w:tblCellMar>
        </w:tblPrEx>
        <w:trPr>
          <w:trHeight w:val="601" w:hRule="atLeast"/>
        </w:trPr>
        <w:tc>
          <w:tcPr>
            <w:tcW w:w="465" w:type="pct"/>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w:t>
            </w:r>
          </w:p>
        </w:tc>
        <w:tc>
          <w:tcPr>
            <w:tcW w:w="187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濮阳至潢川铁路项目</w:t>
            </w:r>
          </w:p>
        </w:tc>
        <w:tc>
          <w:tcPr>
            <w:tcW w:w="58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新建</w:t>
            </w:r>
          </w:p>
        </w:tc>
        <w:tc>
          <w:tcPr>
            <w:tcW w:w="73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方正书宋_GBK" w:hAnsi="宋体" w:eastAsia="方正书宋_GBK" w:cs="宋体"/>
                <w:color w:val="000000"/>
                <w:kern w:val="0"/>
                <w:sz w:val="22"/>
                <w:szCs w:val="22"/>
              </w:rPr>
            </w:pPr>
            <w:r>
              <w:rPr>
                <w:rFonts w:hint="eastAsia" w:ascii="方正书宋_GBK" w:hAnsi="宋体" w:eastAsia="方正书宋_GBK" w:cs="宋体"/>
                <w:color w:val="000000"/>
                <w:kern w:val="0"/>
                <w:sz w:val="22"/>
                <w:szCs w:val="22"/>
              </w:rPr>
              <w:t>远期规划</w:t>
            </w:r>
          </w:p>
        </w:tc>
        <w:tc>
          <w:tcPr>
            <w:tcW w:w="693"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67</w:t>
            </w:r>
          </w:p>
        </w:tc>
        <w:tc>
          <w:tcPr>
            <w:tcW w:w="657"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100</w:t>
            </w:r>
          </w:p>
        </w:tc>
      </w:tr>
      <w:tr>
        <w:tblPrEx>
          <w:tblCellMar>
            <w:top w:w="0" w:type="dxa"/>
            <w:left w:w="0" w:type="dxa"/>
            <w:bottom w:w="0" w:type="dxa"/>
            <w:right w:w="0" w:type="dxa"/>
          </w:tblCellMar>
        </w:tblPrEx>
        <w:trPr>
          <w:trHeight w:val="601" w:hRule="atLeast"/>
        </w:trPr>
        <w:tc>
          <w:tcPr>
            <w:tcW w:w="465" w:type="pct"/>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5</w:t>
            </w:r>
          </w:p>
        </w:tc>
        <w:tc>
          <w:tcPr>
            <w:tcW w:w="187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沿淮城际铁路</w:t>
            </w:r>
          </w:p>
        </w:tc>
        <w:tc>
          <w:tcPr>
            <w:tcW w:w="58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新建</w:t>
            </w:r>
          </w:p>
        </w:tc>
        <w:tc>
          <w:tcPr>
            <w:tcW w:w="73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方正书宋_GBK" w:hAnsi="宋体" w:eastAsia="方正书宋_GBK" w:cs="宋体"/>
                <w:color w:val="000000"/>
                <w:kern w:val="0"/>
                <w:sz w:val="22"/>
                <w:szCs w:val="22"/>
              </w:rPr>
            </w:pPr>
            <w:r>
              <w:rPr>
                <w:rFonts w:hint="eastAsia" w:ascii="方正书宋_GBK" w:hAnsi="宋体" w:eastAsia="方正书宋_GBK" w:cs="宋体"/>
                <w:color w:val="000000"/>
                <w:kern w:val="0"/>
                <w:sz w:val="22"/>
                <w:szCs w:val="22"/>
              </w:rPr>
              <w:t>远期规划</w:t>
            </w:r>
          </w:p>
        </w:tc>
        <w:tc>
          <w:tcPr>
            <w:tcW w:w="693"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85</w:t>
            </w:r>
          </w:p>
        </w:tc>
        <w:tc>
          <w:tcPr>
            <w:tcW w:w="657"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125</w:t>
            </w:r>
          </w:p>
        </w:tc>
      </w:tr>
      <w:tr>
        <w:tblPrEx>
          <w:tblCellMar>
            <w:top w:w="0" w:type="dxa"/>
            <w:left w:w="0" w:type="dxa"/>
            <w:bottom w:w="0" w:type="dxa"/>
            <w:right w:w="0" w:type="dxa"/>
          </w:tblCellMar>
        </w:tblPrEx>
        <w:trPr>
          <w:trHeight w:val="601" w:hRule="atLeast"/>
        </w:trPr>
        <w:tc>
          <w:tcPr>
            <w:tcW w:w="465" w:type="pct"/>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w:t>
            </w:r>
          </w:p>
        </w:tc>
        <w:tc>
          <w:tcPr>
            <w:tcW w:w="187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信阳至固始轨道交通项目</w:t>
            </w:r>
          </w:p>
        </w:tc>
        <w:tc>
          <w:tcPr>
            <w:tcW w:w="58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新建</w:t>
            </w:r>
          </w:p>
        </w:tc>
        <w:tc>
          <w:tcPr>
            <w:tcW w:w="73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方正书宋_GBK" w:hAnsi="宋体" w:eastAsia="方正书宋_GBK" w:cs="宋体"/>
                <w:color w:val="000000"/>
                <w:kern w:val="0"/>
                <w:sz w:val="22"/>
                <w:szCs w:val="22"/>
              </w:rPr>
            </w:pPr>
            <w:r>
              <w:rPr>
                <w:rFonts w:hint="eastAsia" w:ascii="方正书宋_GBK" w:hAnsi="宋体" w:eastAsia="方正书宋_GBK" w:cs="宋体"/>
                <w:color w:val="000000"/>
                <w:kern w:val="0"/>
                <w:sz w:val="22"/>
                <w:szCs w:val="22"/>
              </w:rPr>
              <w:t>远期规划</w:t>
            </w:r>
          </w:p>
        </w:tc>
        <w:tc>
          <w:tcPr>
            <w:tcW w:w="693"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170</w:t>
            </w:r>
          </w:p>
        </w:tc>
        <w:tc>
          <w:tcPr>
            <w:tcW w:w="657"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340</w:t>
            </w:r>
          </w:p>
        </w:tc>
      </w:tr>
      <w:tr>
        <w:tblPrEx>
          <w:tblCellMar>
            <w:top w:w="0" w:type="dxa"/>
            <w:left w:w="0" w:type="dxa"/>
            <w:bottom w:w="0" w:type="dxa"/>
            <w:right w:w="0" w:type="dxa"/>
          </w:tblCellMar>
        </w:tblPrEx>
        <w:trPr>
          <w:trHeight w:val="601" w:hRule="atLeast"/>
        </w:trPr>
        <w:tc>
          <w:tcPr>
            <w:tcW w:w="465" w:type="pct"/>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7</w:t>
            </w:r>
          </w:p>
        </w:tc>
        <w:tc>
          <w:tcPr>
            <w:tcW w:w="187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随州至信阳高铁项目</w:t>
            </w:r>
          </w:p>
        </w:tc>
        <w:tc>
          <w:tcPr>
            <w:tcW w:w="584"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新建</w:t>
            </w:r>
          </w:p>
        </w:tc>
        <w:tc>
          <w:tcPr>
            <w:tcW w:w="730"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方正书宋_GBK" w:hAnsi="宋体" w:eastAsia="方正书宋_GBK" w:cs="宋体"/>
                <w:color w:val="000000"/>
                <w:kern w:val="0"/>
                <w:sz w:val="22"/>
                <w:szCs w:val="22"/>
              </w:rPr>
            </w:pPr>
            <w:r>
              <w:rPr>
                <w:rFonts w:hint="eastAsia" w:ascii="方正书宋_GBK" w:hAnsi="宋体" w:eastAsia="方正书宋_GBK" w:cs="宋体"/>
                <w:color w:val="000000"/>
                <w:kern w:val="0"/>
                <w:sz w:val="22"/>
                <w:szCs w:val="22"/>
              </w:rPr>
              <w:t>远期规划</w:t>
            </w:r>
          </w:p>
        </w:tc>
        <w:tc>
          <w:tcPr>
            <w:tcW w:w="693" w:type="pct"/>
            <w:tcBorders>
              <w:top w:val="nil"/>
              <w:left w:val="nil"/>
              <w:bottom w:val="single" w:color="auto" w:sz="8" w:space="0"/>
              <w:right w:val="single" w:color="auto" w:sz="8" w:space="0"/>
            </w:tcBorders>
            <w:shd w:val="clear" w:color="auto" w:fill="auto"/>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40</w:t>
            </w:r>
          </w:p>
        </w:tc>
        <w:tc>
          <w:tcPr>
            <w:tcW w:w="657"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color w:val="000000"/>
                <w:kern w:val="0"/>
                <w:sz w:val="22"/>
                <w:szCs w:val="22"/>
              </w:rPr>
            </w:pPr>
            <w:r>
              <w:rPr>
                <w:rFonts w:eastAsia="宋体"/>
                <w:color w:val="000000"/>
                <w:kern w:val="0"/>
                <w:sz w:val="22"/>
                <w:szCs w:val="22"/>
              </w:rPr>
              <w:t>65</w:t>
            </w:r>
          </w:p>
        </w:tc>
      </w:tr>
      <w:tr>
        <w:tblPrEx>
          <w:tblCellMar>
            <w:top w:w="0" w:type="dxa"/>
            <w:left w:w="0" w:type="dxa"/>
            <w:bottom w:w="0" w:type="dxa"/>
            <w:right w:w="0" w:type="dxa"/>
          </w:tblCellMar>
        </w:tblPrEx>
        <w:trPr>
          <w:trHeight w:val="601" w:hRule="atLeast"/>
        </w:trPr>
        <w:tc>
          <w:tcPr>
            <w:tcW w:w="3650" w:type="pct"/>
            <w:gridSpan w:val="4"/>
            <w:tcBorders>
              <w:top w:val="nil"/>
              <w:left w:val="single" w:color="auto" w:sz="8" w:space="0"/>
              <w:bottom w:val="single" w:color="auto" w:sz="8" w:space="0"/>
              <w:right w:val="single" w:color="000000"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合计</w:t>
            </w:r>
          </w:p>
        </w:tc>
        <w:tc>
          <w:tcPr>
            <w:tcW w:w="693"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755</w:t>
            </w:r>
          </w:p>
        </w:tc>
        <w:tc>
          <w:tcPr>
            <w:tcW w:w="657" w:type="pct"/>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tcPr>
          <w:p>
            <w:pPr>
              <w:widowControl/>
              <w:spacing w:line="240" w:lineRule="auto"/>
              <w:ind w:firstLine="0" w:firstLineChars="0"/>
              <w:jc w:val="center"/>
              <w:rPr>
                <w:rFonts w:eastAsia="宋体"/>
                <w:b/>
                <w:bCs/>
                <w:color w:val="000000"/>
                <w:kern w:val="0"/>
                <w:sz w:val="22"/>
                <w:szCs w:val="22"/>
              </w:rPr>
            </w:pPr>
            <w:r>
              <w:rPr>
                <w:rFonts w:eastAsia="宋体"/>
                <w:b/>
                <w:bCs/>
                <w:color w:val="000000"/>
                <w:kern w:val="0"/>
                <w:sz w:val="22"/>
                <w:szCs w:val="22"/>
              </w:rPr>
              <w:t>1331</w:t>
            </w:r>
          </w:p>
        </w:tc>
      </w:tr>
    </w:tbl>
    <w:p>
      <w:pPr>
        <w:keepNext/>
        <w:keepLines/>
        <w:adjustRightInd w:val="0"/>
        <w:spacing w:before="163" w:beforeLines="50" w:after="163" w:afterLines="50"/>
        <w:ind w:firstLine="0" w:firstLineChars="0"/>
        <w:jc w:val="left"/>
        <w:outlineLvl w:val="1"/>
        <w:rPr>
          <w:rFonts w:eastAsia="黑体"/>
          <w:b/>
          <w:bCs/>
          <w:sz w:val="30"/>
          <w:szCs w:val="32"/>
        </w:rPr>
      </w:pPr>
      <w:r>
        <w:rPr>
          <w:rFonts w:eastAsia="黑体"/>
          <w:b/>
          <w:bCs/>
          <w:sz w:val="30"/>
          <w:szCs w:val="32"/>
        </w:rPr>
        <w:br w:type="page"/>
      </w:r>
      <w:bookmarkStart w:id="70" w:name="_Toc181110998"/>
      <w:bookmarkStart w:id="71" w:name="_Toc128424870"/>
      <w:r>
        <w:rPr>
          <w:rFonts w:hint="eastAsia" w:eastAsia="黑体"/>
          <w:b/>
          <w:bCs/>
          <w:sz w:val="30"/>
          <w:szCs w:val="32"/>
        </w:rPr>
        <w:t>附表</w:t>
      </w:r>
      <w:r>
        <w:rPr>
          <w:rFonts w:eastAsia="黑体"/>
          <w:b/>
          <w:bCs/>
          <w:sz w:val="30"/>
          <w:szCs w:val="32"/>
        </w:rPr>
        <w:t xml:space="preserve">10 </w:t>
      </w:r>
      <w:r>
        <w:rPr>
          <w:rFonts w:hint="eastAsia" w:eastAsia="黑体"/>
          <w:b/>
          <w:bCs/>
          <w:sz w:val="30"/>
          <w:szCs w:val="32"/>
        </w:rPr>
        <w:t>机场“强支增通”工程项目表明细表</w:t>
      </w:r>
      <w:bookmarkEnd w:id="70"/>
      <w:bookmarkEnd w:id="71"/>
    </w:p>
    <w:tbl>
      <w:tblPr>
        <w:tblStyle w:val="24"/>
        <w:tblW w:w="14280" w:type="dxa"/>
        <w:tblInd w:w="0" w:type="dxa"/>
        <w:tblLayout w:type="autofit"/>
        <w:tblCellMar>
          <w:top w:w="0" w:type="dxa"/>
          <w:left w:w="108" w:type="dxa"/>
          <w:bottom w:w="0" w:type="dxa"/>
          <w:right w:w="108" w:type="dxa"/>
        </w:tblCellMar>
      </w:tblPr>
      <w:tblGrid>
        <w:gridCol w:w="1020"/>
        <w:gridCol w:w="2780"/>
        <w:gridCol w:w="1420"/>
        <w:gridCol w:w="1680"/>
        <w:gridCol w:w="6000"/>
        <w:gridCol w:w="1380"/>
      </w:tblGrid>
      <w:tr>
        <w:tblPrEx>
          <w:tblCellMar>
            <w:top w:w="0" w:type="dxa"/>
            <w:left w:w="108" w:type="dxa"/>
            <w:bottom w:w="0" w:type="dxa"/>
            <w:right w:w="108" w:type="dxa"/>
          </w:tblCellMar>
        </w:tblPrEx>
        <w:trPr>
          <w:trHeight w:val="702" w:hRule="atLeast"/>
          <w:tblHeader/>
        </w:trPr>
        <w:tc>
          <w:tcPr>
            <w:tcW w:w="10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序号</w:t>
            </w:r>
          </w:p>
        </w:tc>
        <w:tc>
          <w:tcPr>
            <w:tcW w:w="2780" w:type="dxa"/>
            <w:tcBorders>
              <w:top w:val="single" w:color="auto" w:sz="8" w:space="0"/>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项目名称</w:t>
            </w:r>
          </w:p>
        </w:tc>
        <w:tc>
          <w:tcPr>
            <w:tcW w:w="1420" w:type="dxa"/>
            <w:tcBorders>
              <w:top w:val="single" w:color="auto" w:sz="8" w:space="0"/>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建设类型</w:t>
            </w:r>
          </w:p>
        </w:tc>
        <w:tc>
          <w:tcPr>
            <w:tcW w:w="1680" w:type="dxa"/>
            <w:tcBorders>
              <w:top w:val="single" w:color="auto" w:sz="8" w:space="0"/>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建设年限</w:t>
            </w:r>
          </w:p>
        </w:tc>
        <w:tc>
          <w:tcPr>
            <w:tcW w:w="600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建设规模</w:t>
            </w:r>
          </w:p>
        </w:tc>
        <w:tc>
          <w:tcPr>
            <w:tcW w:w="13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b/>
                <w:bCs/>
                <w:color w:val="000000"/>
                <w:kern w:val="0"/>
                <w:sz w:val="22"/>
                <w:szCs w:val="22"/>
              </w:rPr>
            </w:pPr>
            <w:r>
              <w:rPr>
                <w:rFonts w:hint="eastAsia" w:eastAsiaTheme="minorEastAsia"/>
                <w:b/>
                <w:bCs/>
                <w:color w:val="000000"/>
                <w:kern w:val="0"/>
                <w:sz w:val="22"/>
                <w:szCs w:val="22"/>
              </w:rPr>
              <w:t>总投资</w:t>
            </w:r>
            <w:r>
              <w:rPr>
                <w:rFonts w:eastAsiaTheme="minorEastAsia"/>
                <w:b/>
                <w:bCs/>
                <w:color w:val="000000"/>
                <w:kern w:val="0"/>
                <w:sz w:val="22"/>
                <w:szCs w:val="22"/>
              </w:rPr>
              <w:br w:type="textWrapping"/>
            </w:r>
            <w:r>
              <w:rPr>
                <w:rFonts w:hint="eastAsia" w:eastAsiaTheme="minorEastAsia"/>
                <w:b/>
                <w:bCs/>
                <w:color w:val="000000"/>
                <w:kern w:val="0"/>
                <w:sz w:val="22"/>
                <w:szCs w:val="22"/>
              </w:rPr>
              <w:t>（亿元）</w:t>
            </w:r>
          </w:p>
        </w:tc>
      </w:tr>
      <w:tr>
        <w:tblPrEx>
          <w:tblCellMar>
            <w:top w:w="0" w:type="dxa"/>
            <w:left w:w="108" w:type="dxa"/>
            <w:bottom w:w="0" w:type="dxa"/>
            <w:right w:w="108" w:type="dxa"/>
          </w:tblCellMar>
        </w:tblPrEx>
        <w:trPr>
          <w:trHeight w:val="702" w:hRule="atLeast"/>
        </w:trPr>
        <w:tc>
          <w:tcPr>
            <w:tcW w:w="12900" w:type="dxa"/>
            <w:gridSpan w:val="5"/>
            <w:tcBorders>
              <w:top w:val="nil"/>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rPr>
                <w:rFonts w:eastAsiaTheme="minorEastAsia"/>
                <w:b/>
                <w:bCs/>
                <w:color w:val="000000"/>
                <w:kern w:val="0"/>
                <w:sz w:val="22"/>
                <w:szCs w:val="22"/>
              </w:rPr>
            </w:pPr>
            <w:r>
              <w:rPr>
                <w:rFonts w:hint="eastAsia" w:eastAsiaTheme="minorEastAsia"/>
                <w:b/>
                <w:bCs/>
                <w:color w:val="000000"/>
                <w:kern w:val="0"/>
                <w:sz w:val="22"/>
                <w:szCs w:val="22"/>
              </w:rPr>
              <w:t>一、近期建设项目（</w:t>
            </w:r>
            <w:r>
              <w:rPr>
                <w:rFonts w:eastAsiaTheme="minorEastAsia"/>
                <w:b/>
                <w:bCs/>
                <w:color w:val="000000"/>
                <w:kern w:val="0"/>
                <w:sz w:val="22"/>
                <w:szCs w:val="22"/>
              </w:rPr>
              <w:t>3</w:t>
            </w:r>
            <w:r>
              <w:rPr>
                <w:rFonts w:hint="eastAsia" w:eastAsiaTheme="minorEastAsia"/>
                <w:b/>
                <w:bCs/>
                <w:color w:val="000000"/>
                <w:kern w:val="0"/>
                <w:sz w:val="22"/>
                <w:szCs w:val="22"/>
              </w:rPr>
              <w:t>个）</w:t>
            </w:r>
          </w:p>
        </w:tc>
        <w:tc>
          <w:tcPr>
            <w:tcW w:w="13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eastAsiaTheme="minorEastAsia"/>
                <w:b/>
                <w:bCs/>
                <w:kern w:val="0"/>
                <w:sz w:val="22"/>
                <w:szCs w:val="22"/>
              </w:rPr>
              <w:t>18.46</w:t>
            </w:r>
          </w:p>
        </w:tc>
      </w:tr>
      <w:tr>
        <w:tblPrEx>
          <w:tblCellMar>
            <w:top w:w="0" w:type="dxa"/>
            <w:left w:w="108" w:type="dxa"/>
            <w:bottom w:w="0" w:type="dxa"/>
            <w:right w:w="108" w:type="dxa"/>
          </w:tblCellMar>
        </w:tblPrEx>
        <w:trPr>
          <w:trHeight w:val="702" w:hRule="atLeast"/>
        </w:trPr>
        <w:tc>
          <w:tcPr>
            <w:tcW w:w="102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w:t>
            </w:r>
          </w:p>
        </w:tc>
        <w:tc>
          <w:tcPr>
            <w:tcW w:w="27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潢川机场项目</w:t>
            </w:r>
          </w:p>
        </w:tc>
        <w:tc>
          <w:tcPr>
            <w:tcW w:w="142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6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2025-2030</w:t>
            </w:r>
          </w:p>
        </w:tc>
        <w:tc>
          <w:tcPr>
            <w:tcW w:w="60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2.6</w:t>
            </w:r>
            <w:r>
              <w:rPr>
                <w:rFonts w:hint="eastAsia" w:eastAsiaTheme="minorEastAsia"/>
                <w:kern w:val="0"/>
                <w:sz w:val="22"/>
                <w:szCs w:val="22"/>
              </w:rPr>
              <w:t>公里跑道，</w:t>
            </w:r>
            <w:r>
              <w:rPr>
                <w:rFonts w:eastAsiaTheme="minorEastAsia"/>
                <w:kern w:val="0"/>
                <w:sz w:val="22"/>
                <w:szCs w:val="22"/>
              </w:rPr>
              <w:t>2</w:t>
            </w:r>
            <w:r>
              <w:rPr>
                <w:rFonts w:hint="eastAsia" w:eastAsiaTheme="minorEastAsia"/>
                <w:kern w:val="0"/>
                <w:sz w:val="22"/>
                <w:szCs w:val="22"/>
              </w:rPr>
              <w:t>条垂直联络道，</w:t>
            </w:r>
            <w:r>
              <w:rPr>
                <w:rFonts w:eastAsiaTheme="minorEastAsia"/>
                <w:kern w:val="0"/>
                <w:sz w:val="22"/>
                <w:szCs w:val="22"/>
              </w:rPr>
              <w:t>8</w:t>
            </w:r>
            <w:r>
              <w:rPr>
                <w:rFonts w:hint="eastAsia" w:eastAsiaTheme="minorEastAsia"/>
                <w:kern w:val="0"/>
                <w:sz w:val="22"/>
                <w:szCs w:val="22"/>
              </w:rPr>
              <w:t>个</w:t>
            </w:r>
            <w:r>
              <w:rPr>
                <w:rFonts w:eastAsiaTheme="minorEastAsia"/>
                <w:kern w:val="0"/>
                <w:sz w:val="22"/>
                <w:szCs w:val="22"/>
              </w:rPr>
              <w:t>C</w:t>
            </w:r>
            <w:r>
              <w:rPr>
                <w:rFonts w:hint="eastAsia" w:eastAsiaTheme="minorEastAsia"/>
                <w:kern w:val="0"/>
                <w:sz w:val="22"/>
                <w:szCs w:val="22"/>
              </w:rPr>
              <w:t>类机位的站坪，</w:t>
            </w:r>
            <w:r>
              <w:rPr>
                <w:rFonts w:eastAsiaTheme="minorEastAsia"/>
                <w:kern w:val="0"/>
                <w:sz w:val="22"/>
                <w:szCs w:val="22"/>
              </w:rPr>
              <w:t>10000</w:t>
            </w:r>
            <w:r>
              <w:rPr>
                <w:rFonts w:hint="eastAsia" w:eastAsiaTheme="minorEastAsia"/>
                <w:kern w:val="0"/>
                <w:sz w:val="22"/>
                <w:szCs w:val="22"/>
              </w:rPr>
              <w:t>平方米的航站楼</w:t>
            </w:r>
          </w:p>
        </w:tc>
        <w:tc>
          <w:tcPr>
            <w:tcW w:w="13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12.36</w:t>
            </w:r>
          </w:p>
        </w:tc>
      </w:tr>
      <w:tr>
        <w:tblPrEx>
          <w:tblCellMar>
            <w:top w:w="0" w:type="dxa"/>
            <w:left w:w="108" w:type="dxa"/>
            <w:bottom w:w="0" w:type="dxa"/>
            <w:right w:w="108" w:type="dxa"/>
          </w:tblCellMar>
        </w:tblPrEx>
        <w:trPr>
          <w:trHeight w:val="702" w:hRule="atLeast"/>
        </w:trPr>
        <w:tc>
          <w:tcPr>
            <w:tcW w:w="102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w:t>
            </w:r>
          </w:p>
        </w:tc>
        <w:tc>
          <w:tcPr>
            <w:tcW w:w="27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商城通用机场</w:t>
            </w:r>
          </w:p>
        </w:tc>
        <w:tc>
          <w:tcPr>
            <w:tcW w:w="142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6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2026-2030</w:t>
            </w:r>
          </w:p>
        </w:tc>
        <w:tc>
          <w:tcPr>
            <w:tcW w:w="60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4860</w:t>
            </w:r>
            <w:r>
              <w:rPr>
                <w:rFonts w:hint="eastAsia" w:eastAsiaTheme="minorEastAsia"/>
                <w:kern w:val="0"/>
                <w:sz w:val="22"/>
                <w:szCs w:val="22"/>
              </w:rPr>
              <w:t>平方米的航管综合楼；</w:t>
            </w:r>
            <w:r>
              <w:rPr>
                <w:rFonts w:eastAsiaTheme="minorEastAsia"/>
                <w:kern w:val="0"/>
                <w:sz w:val="22"/>
                <w:szCs w:val="22"/>
              </w:rPr>
              <w:t>800</w:t>
            </w:r>
            <w:r>
              <w:rPr>
                <w:rFonts w:hint="eastAsia" w:eastAsiaTheme="minorEastAsia"/>
                <w:kern w:val="0"/>
                <w:sz w:val="22"/>
                <w:szCs w:val="22"/>
              </w:rPr>
              <w:t>米跑道，</w:t>
            </w:r>
            <w:r>
              <w:rPr>
                <w:rFonts w:eastAsiaTheme="minorEastAsia"/>
                <w:kern w:val="0"/>
                <w:sz w:val="22"/>
                <w:szCs w:val="22"/>
              </w:rPr>
              <w:t>3240</w:t>
            </w:r>
            <w:r>
              <w:rPr>
                <w:rFonts w:hint="eastAsia" w:eastAsiaTheme="minorEastAsia"/>
                <w:kern w:val="0"/>
                <w:sz w:val="22"/>
                <w:szCs w:val="22"/>
              </w:rPr>
              <w:t>平方米机库、</w:t>
            </w:r>
            <w:r>
              <w:rPr>
                <w:rFonts w:eastAsiaTheme="minorEastAsia"/>
                <w:kern w:val="0"/>
                <w:sz w:val="22"/>
                <w:szCs w:val="22"/>
              </w:rPr>
              <w:t>554</w:t>
            </w:r>
            <w:r>
              <w:rPr>
                <w:rFonts w:hint="eastAsia" w:eastAsiaTheme="minorEastAsia"/>
                <w:kern w:val="0"/>
                <w:sz w:val="22"/>
                <w:szCs w:val="22"/>
              </w:rPr>
              <w:t>平方米特种车库及车棚、</w:t>
            </w:r>
            <w:r>
              <w:rPr>
                <w:rFonts w:eastAsiaTheme="minorEastAsia"/>
                <w:kern w:val="0"/>
                <w:sz w:val="22"/>
                <w:szCs w:val="22"/>
              </w:rPr>
              <w:t>640</w:t>
            </w:r>
            <w:r>
              <w:rPr>
                <w:rFonts w:hint="eastAsia" w:eastAsiaTheme="minorEastAsia"/>
                <w:kern w:val="0"/>
                <w:sz w:val="22"/>
                <w:szCs w:val="22"/>
              </w:rPr>
              <w:t>平方米动力中心</w:t>
            </w:r>
          </w:p>
        </w:tc>
        <w:tc>
          <w:tcPr>
            <w:tcW w:w="13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6.1</w:t>
            </w:r>
          </w:p>
        </w:tc>
      </w:tr>
      <w:tr>
        <w:tblPrEx>
          <w:tblCellMar>
            <w:top w:w="0" w:type="dxa"/>
            <w:left w:w="108" w:type="dxa"/>
            <w:bottom w:w="0" w:type="dxa"/>
            <w:right w:w="108" w:type="dxa"/>
          </w:tblCellMar>
        </w:tblPrEx>
        <w:trPr>
          <w:trHeight w:val="702" w:hRule="atLeast"/>
        </w:trPr>
        <w:tc>
          <w:tcPr>
            <w:tcW w:w="102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w:t>
            </w:r>
          </w:p>
        </w:tc>
        <w:tc>
          <w:tcPr>
            <w:tcW w:w="27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新县通用机场</w:t>
            </w:r>
          </w:p>
        </w:tc>
        <w:tc>
          <w:tcPr>
            <w:tcW w:w="142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6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2030-2035</w:t>
            </w:r>
          </w:p>
        </w:tc>
        <w:tc>
          <w:tcPr>
            <w:tcW w:w="60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1200</w:t>
            </w:r>
            <w:r>
              <w:rPr>
                <w:rFonts w:hint="eastAsia" w:eastAsiaTheme="minorEastAsia"/>
                <w:kern w:val="0"/>
                <w:sz w:val="22"/>
                <w:szCs w:val="22"/>
              </w:rPr>
              <w:t>米跑道及综合配套通信、导航设施</w:t>
            </w:r>
          </w:p>
        </w:tc>
        <w:tc>
          <w:tcPr>
            <w:tcW w:w="13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 xml:space="preserve">4.00 </w:t>
            </w:r>
          </w:p>
        </w:tc>
      </w:tr>
      <w:tr>
        <w:tblPrEx>
          <w:tblCellMar>
            <w:top w:w="0" w:type="dxa"/>
            <w:left w:w="108" w:type="dxa"/>
            <w:bottom w:w="0" w:type="dxa"/>
            <w:right w:w="108" w:type="dxa"/>
          </w:tblCellMar>
        </w:tblPrEx>
        <w:trPr>
          <w:trHeight w:val="702" w:hRule="atLeast"/>
        </w:trPr>
        <w:tc>
          <w:tcPr>
            <w:tcW w:w="12900" w:type="dxa"/>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spacing w:line="240" w:lineRule="auto"/>
              <w:ind w:firstLine="0" w:firstLineChars="0"/>
              <w:jc w:val="left"/>
              <w:rPr>
                <w:rFonts w:eastAsiaTheme="minorEastAsia"/>
                <w:b/>
                <w:bCs/>
                <w:kern w:val="0"/>
                <w:sz w:val="22"/>
                <w:szCs w:val="22"/>
              </w:rPr>
            </w:pPr>
            <w:r>
              <w:rPr>
                <w:rFonts w:hint="eastAsia" w:eastAsiaTheme="minorEastAsia"/>
                <w:b/>
                <w:bCs/>
                <w:kern w:val="0"/>
                <w:sz w:val="22"/>
                <w:szCs w:val="22"/>
              </w:rPr>
              <w:t>二、远期建设项目（</w:t>
            </w:r>
            <w:r>
              <w:rPr>
                <w:rFonts w:eastAsiaTheme="minorEastAsia"/>
                <w:b/>
                <w:bCs/>
                <w:kern w:val="0"/>
                <w:sz w:val="22"/>
                <w:szCs w:val="22"/>
              </w:rPr>
              <w:t>5</w:t>
            </w:r>
            <w:r>
              <w:rPr>
                <w:rFonts w:hint="eastAsia" w:eastAsiaTheme="minorEastAsia"/>
                <w:b/>
                <w:bCs/>
                <w:kern w:val="0"/>
                <w:sz w:val="22"/>
                <w:szCs w:val="22"/>
              </w:rPr>
              <w:t>个）</w:t>
            </w:r>
          </w:p>
        </w:tc>
        <w:tc>
          <w:tcPr>
            <w:tcW w:w="13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eastAsiaTheme="minorEastAsia"/>
                <w:b/>
                <w:bCs/>
                <w:kern w:val="0"/>
                <w:sz w:val="22"/>
                <w:szCs w:val="22"/>
              </w:rPr>
              <w:t xml:space="preserve">34.86 </w:t>
            </w:r>
          </w:p>
        </w:tc>
      </w:tr>
      <w:tr>
        <w:tblPrEx>
          <w:tblCellMar>
            <w:top w:w="0" w:type="dxa"/>
            <w:left w:w="108" w:type="dxa"/>
            <w:bottom w:w="0" w:type="dxa"/>
            <w:right w:w="108" w:type="dxa"/>
          </w:tblCellMar>
        </w:tblPrEx>
        <w:trPr>
          <w:trHeight w:val="702" w:hRule="atLeast"/>
        </w:trPr>
        <w:tc>
          <w:tcPr>
            <w:tcW w:w="102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w:t>
            </w:r>
          </w:p>
        </w:tc>
        <w:tc>
          <w:tcPr>
            <w:tcW w:w="27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固始通用机场</w:t>
            </w:r>
          </w:p>
        </w:tc>
        <w:tc>
          <w:tcPr>
            <w:tcW w:w="142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6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60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占地</w:t>
            </w:r>
            <w:r>
              <w:rPr>
                <w:rFonts w:eastAsiaTheme="minorEastAsia"/>
                <w:kern w:val="0"/>
                <w:sz w:val="22"/>
                <w:szCs w:val="22"/>
              </w:rPr>
              <w:t>600</w:t>
            </w:r>
            <w:r>
              <w:rPr>
                <w:rFonts w:hint="eastAsia" w:eastAsiaTheme="minorEastAsia"/>
                <w:kern w:val="0"/>
                <w:sz w:val="22"/>
                <w:szCs w:val="22"/>
              </w:rPr>
              <w:t>亩</w:t>
            </w:r>
          </w:p>
        </w:tc>
        <w:tc>
          <w:tcPr>
            <w:tcW w:w="13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 xml:space="preserve">3.50 </w:t>
            </w:r>
          </w:p>
        </w:tc>
      </w:tr>
      <w:tr>
        <w:tblPrEx>
          <w:tblCellMar>
            <w:top w:w="0" w:type="dxa"/>
            <w:left w:w="108" w:type="dxa"/>
            <w:bottom w:w="0" w:type="dxa"/>
            <w:right w:w="108" w:type="dxa"/>
          </w:tblCellMar>
        </w:tblPrEx>
        <w:trPr>
          <w:trHeight w:val="702" w:hRule="atLeast"/>
        </w:trPr>
        <w:tc>
          <w:tcPr>
            <w:tcW w:w="102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4</w:t>
            </w:r>
          </w:p>
        </w:tc>
        <w:tc>
          <w:tcPr>
            <w:tcW w:w="27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罗山通用机场</w:t>
            </w:r>
          </w:p>
        </w:tc>
        <w:tc>
          <w:tcPr>
            <w:tcW w:w="142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6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60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占地</w:t>
            </w:r>
            <w:r>
              <w:rPr>
                <w:rFonts w:eastAsiaTheme="minorEastAsia"/>
                <w:kern w:val="0"/>
                <w:sz w:val="22"/>
                <w:szCs w:val="22"/>
              </w:rPr>
              <w:t>600</w:t>
            </w:r>
            <w:r>
              <w:rPr>
                <w:rFonts w:hint="eastAsia" w:eastAsiaTheme="minorEastAsia"/>
                <w:kern w:val="0"/>
                <w:sz w:val="22"/>
                <w:szCs w:val="22"/>
              </w:rPr>
              <w:t>亩，</w:t>
            </w:r>
            <w:r>
              <w:rPr>
                <w:rFonts w:eastAsiaTheme="minorEastAsia"/>
                <w:kern w:val="0"/>
                <w:sz w:val="22"/>
                <w:szCs w:val="22"/>
              </w:rPr>
              <w:t>1</w:t>
            </w:r>
            <w:r>
              <w:rPr>
                <w:rFonts w:hint="eastAsia" w:eastAsiaTheme="minorEastAsia"/>
                <w:kern w:val="0"/>
                <w:sz w:val="22"/>
                <w:szCs w:val="22"/>
              </w:rPr>
              <w:t>条跑道、</w:t>
            </w:r>
            <w:r>
              <w:rPr>
                <w:rFonts w:eastAsiaTheme="minorEastAsia"/>
                <w:kern w:val="0"/>
                <w:sz w:val="22"/>
                <w:szCs w:val="22"/>
              </w:rPr>
              <w:t>30</w:t>
            </w:r>
            <w:r>
              <w:rPr>
                <w:rFonts w:hint="eastAsia" w:eastAsiaTheme="minorEastAsia"/>
                <w:kern w:val="0"/>
                <w:sz w:val="22"/>
                <w:szCs w:val="22"/>
              </w:rPr>
              <w:t>个停机位</w:t>
            </w:r>
            <w:r>
              <w:rPr>
                <w:rFonts w:eastAsiaTheme="minorEastAsia"/>
                <w:kern w:val="0"/>
                <w:sz w:val="22"/>
                <w:szCs w:val="22"/>
              </w:rPr>
              <w:t>5000</w:t>
            </w:r>
            <w:r>
              <w:rPr>
                <w:rFonts w:hint="eastAsia" w:eastAsiaTheme="minorEastAsia"/>
                <w:kern w:val="0"/>
                <w:sz w:val="22"/>
                <w:szCs w:val="22"/>
              </w:rPr>
              <w:t>平方米机库、驻场办公楼、</w:t>
            </w:r>
            <w:r>
              <w:rPr>
                <w:rFonts w:eastAsiaTheme="minorEastAsia"/>
                <w:kern w:val="0"/>
                <w:sz w:val="22"/>
                <w:szCs w:val="22"/>
              </w:rPr>
              <w:t>FBO</w:t>
            </w:r>
            <w:r>
              <w:rPr>
                <w:rFonts w:hint="eastAsia" w:eastAsiaTheme="minorEastAsia"/>
                <w:kern w:val="0"/>
                <w:sz w:val="22"/>
                <w:szCs w:val="22"/>
              </w:rPr>
              <w:t>基地、飞行培训楼及航空小镇</w:t>
            </w:r>
          </w:p>
        </w:tc>
        <w:tc>
          <w:tcPr>
            <w:tcW w:w="13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 xml:space="preserve">8.00 </w:t>
            </w:r>
          </w:p>
        </w:tc>
      </w:tr>
      <w:tr>
        <w:tblPrEx>
          <w:tblCellMar>
            <w:top w:w="0" w:type="dxa"/>
            <w:left w:w="108" w:type="dxa"/>
            <w:bottom w:w="0" w:type="dxa"/>
            <w:right w:w="108" w:type="dxa"/>
          </w:tblCellMar>
        </w:tblPrEx>
        <w:trPr>
          <w:trHeight w:val="702" w:hRule="atLeast"/>
        </w:trPr>
        <w:tc>
          <w:tcPr>
            <w:tcW w:w="102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5</w:t>
            </w:r>
          </w:p>
        </w:tc>
        <w:tc>
          <w:tcPr>
            <w:tcW w:w="27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淮滨县通用机场</w:t>
            </w:r>
          </w:p>
        </w:tc>
        <w:tc>
          <w:tcPr>
            <w:tcW w:w="142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6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60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跑道长度</w:t>
            </w:r>
            <w:r>
              <w:rPr>
                <w:rFonts w:eastAsiaTheme="minorEastAsia"/>
                <w:kern w:val="0"/>
                <w:sz w:val="22"/>
                <w:szCs w:val="22"/>
              </w:rPr>
              <w:t>1200</w:t>
            </w:r>
            <w:r>
              <w:rPr>
                <w:rFonts w:hint="eastAsia" w:eastAsiaTheme="minorEastAsia"/>
                <w:kern w:val="0"/>
                <w:sz w:val="22"/>
                <w:szCs w:val="22"/>
              </w:rPr>
              <w:t>米，宽度</w:t>
            </w:r>
            <w:r>
              <w:rPr>
                <w:rFonts w:eastAsiaTheme="minorEastAsia"/>
                <w:kern w:val="0"/>
                <w:sz w:val="22"/>
                <w:szCs w:val="22"/>
              </w:rPr>
              <w:t>30</w:t>
            </w:r>
            <w:r>
              <w:rPr>
                <w:rFonts w:hint="eastAsia" w:eastAsiaTheme="minorEastAsia"/>
                <w:kern w:val="0"/>
                <w:sz w:val="22"/>
                <w:szCs w:val="22"/>
              </w:rPr>
              <w:t>米，</w:t>
            </w:r>
            <w:r>
              <w:rPr>
                <w:rFonts w:eastAsiaTheme="minorEastAsia"/>
                <w:kern w:val="0"/>
                <w:sz w:val="22"/>
                <w:szCs w:val="22"/>
              </w:rPr>
              <w:t>9</w:t>
            </w:r>
            <w:r>
              <w:rPr>
                <w:rFonts w:hint="eastAsia" w:eastAsiaTheme="minorEastAsia"/>
                <w:kern w:val="0"/>
                <w:sz w:val="22"/>
                <w:szCs w:val="22"/>
              </w:rPr>
              <w:t>个机位。</w:t>
            </w:r>
          </w:p>
        </w:tc>
        <w:tc>
          <w:tcPr>
            <w:tcW w:w="13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3.2</w:t>
            </w:r>
          </w:p>
        </w:tc>
      </w:tr>
      <w:tr>
        <w:tblPrEx>
          <w:tblCellMar>
            <w:top w:w="0" w:type="dxa"/>
            <w:left w:w="108" w:type="dxa"/>
            <w:bottom w:w="0" w:type="dxa"/>
            <w:right w:w="108" w:type="dxa"/>
          </w:tblCellMar>
        </w:tblPrEx>
        <w:trPr>
          <w:trHeight w:val="702" w:hRule="atLeast"/>
        </w:trPr>
        <w:tc>
          <w:tcPr>
            <w:tcW w:w="102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6</w:t>
            </w:r>
          </w:p>
        </w:tc>
        <w:tc>
          <w:tcPr>
            <w:tcW w:w="27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息县通用机场</w:t>
            </w:r>
          </w:p>
        </w:tc>
        <w:tc>
          <w:tcPr>
            <w:tcW w:w="142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6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60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占地</w:t>
            </w:r>
            <w:r>
              <w:rPr>
                <w:rFonts w:eastAsiaTheme="minorEastAsia"/>
                <w:kern w:val="0"/>
                <w:sz w:val="22"/>
                <w:szCs w:val="22"/>
              </w:rPr>
              <w:t>500</w:t>
            </w:r>
            <w:r>
              <w:rPr>
                <w:rFonts w:hint="eastAsia" w:eastAsiaTheme="minorEastAsia"/>
                <w:kern w:val="0"/>
                <w:sz w:val="22"/>
                <w:szCs w:val="22"/>
              </w:rPr>
              <w:t>亩，总投资</w:t>
            </w:r>
            <w:r>
              <w:rPr>
                <w:rFonts w:eastAsiaTheme="minorEastAsia"/>
                <w:kern w:val="0"/>
                <w:sz w:val="22"/>
                <w:szCs w:val="22"/>
              </w:rPr>
              <w:t>5</w:t>
            </w:r>
            <w:r>
              <w:rPr>
                <w:rFonts w:hint="eastAsia" w:eastAsiaTheme="minorEastAsia"/>
                <w:kern w:val="0"/>
                <w:sz w:val="22"/>
                <w:szCs w:val="22"/>
              </w:rPr>
              <w:t>亿元，计划建设</w:t>
            </w:r>
            <w:r>
              <w:rPr>
                <w:rFonts w:eastAsiaTheme="minorEastAsia"/>
                <w:kern w:val="0"/>
                <w:sz w:val="22"/>
                <w:szCs w:val="22"/>
              </w:rPr>
              <w:t>1200</w:t>
            </w:r>
            <w:r>
              <w:rPr>
                <w:rFonts w:hint="eastAsia" w:eastAsiaTheme="minorEastAsia"/>
                <w:kern w:val="0"/>
                <w:sz w:val="22"/>
                <w:szCs w:val="22"/>
              </w:rPr>
              <w:t>米</w:t>
            </w:r>
            <w:r>
              <w:rPr>
                <w:rFonts w:eastAsiaTheme="minorEastAsia"/>
                <w:kern w:val="0"/>
                <w:sz w:val="22"/>
                <w:szCs w:val="22"/>
              </w:rPr>
              <w:t>×30</w:t>
            </w:r>
            <w:r>
              <w:rPr>
                <w:rFonts w:hint="eastAsia" w:eastAsiaTheme="minorEastAsia"/>
                <w:kern w:val="0"/>
                <w:sz w:val="22"/>
                <w:szCs w:val="22"/>
              </w:rPr>
              <w:t>米跑道、停机位</w:t>
            </w:r>
            <w:r>
              <w:rPr>
                <w:rFonts w:eastAsiaTheme="minorEastAsia"/>
                <w:kern w:val="0"/>
                <w:sz w:val="22"/>
                <w:szCs w:val="22"/>
              </w:rPr>
              <w:t>40</w:t>
            </w:r>
            <w:r>
              <w:rPr>
                <w:rFonts w:hint="eastAsia" w:eastAsiaTheme="minorEastAsia"/>
                <w:kern w:val="0"/>
                <w:sz w:val="22"/>
                <w:szCs w:val="22"/>
              </w:rPr>
              <w:t>个、机库</w:t>
            </w:r>
            <w:r>
              <w:rPr>
                <w:rFonts w:eastAsiaTheme="minorEastAsia"/>
                <w:kern w:val="0"/>
                <w:sz w:val="22"/>
                <w:szCs w:val="22"/>
              </w:rPr>
              <w:t>6000</w:t>
            </w:r>
            <w:r>
              <w:rPr>
                <w:rFonts w:hint="eastAsia" w:eastAsiaTheme="minorEastAsia"/>
                <w:kern w:val="0"/>
                <w:sz w:val="22"/>
                <w:szCs w:val="22"/>
              </w:rPr>
              <w:t>平方米，配套建设联络道、航站楼等设施。</w:t>
            </w:r>
          </w:p>
        </w:tc>
        <w:tc>
          <w:tcPr>
            <w:tcW w:w="13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 xml:space="preserve">5.00 </w:t>
            </w:r>
          </w:p>
        </w:tc>
      </w:tr>
      <w:tr>
        <w:tblPrEx>
          <w:tblCellMar>
            <w:top w:w="0" w:type="dxa"/>
            <w:left w:w="108" w:type="dxa"/>
            <w:bottom w:w="0" w:type="dxa"/>
            <w:right w:w="108" w:type="dxa"/>
          </w:tblCellMar>
        </w:tblPrEx>
        <w:trPr>
          <w:trHeight w:val="702" w:hRule="atLeast"/>
        </w:trPr>
        <w:tc>
          <w:tcPr>
            <w:tcW w:w="102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7</w:t>
            </w:r>
          </w:p>
        </w:tc>
        <w:tc>
          <w:tcPr>
            <w:tcW w:w="27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明港机场二期改扩建项目</w:t>
            </w:r>
          </w:p>
        </w:tc>
        <w:tc>
          <w:tcPr>
            <w:tcW w:w="142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新建</w:t>
            </w:r>
          </w:p>
        </w:tc>
        <w:tc>
          <w:tcPr>
            <w:tcW w:w="16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hint="eastAsia" w:eastAsiaTheme="minorEastAsia"/>
                <w:kern w:val="0"/>
                <w:sz w:val="22"/>
                <w:szCs w:val="22"/>
              </w:rPr>
              <w:t>远期规划</w:t>
            </w:r>
          </w:p>
        </w:tc>
        <w:tc>
          <w:tcPr>
            <w:tcW w:w="600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2.5</w:t>
            </w:r>
            <w:r>
              <w:rPr>
                <w:rFonts w:hint="eastAsia" w:eastAsiaTheme="minorEastAsia"/>
                <w:kern w:val="0"/>
                <w:sz w:val="22"/>
                <w:szCs w:val="22"/>
              </w:rPr>
              <w:t>万平方米航站楼，</w:t>
            </w:r>
            <w:r>
              <w:rPr>
                <w:rFonts w:eastAsiaTheme="minorEastAsia"/>
                <w:kern w:val="0"/>
                <w:sz w:val="22"/>
                <w:szCs w:val="22"/>
              </w:rPr>
              <w:t>12</w:t>
            </w:r>
            <w:r>
              <w:rPr>
                <w:rFonts w:hint="eastAsia" w:eastAsiaTheme="minorEastAsia"/>
                <w:kern w:val="0"/>
                <w:sz w:val="22"/>
                <w:szCs w:val="22"/>
              </w:rPr>
              <w:t>万平方米站坪，</w:t>
            </w:r>
            <w:r>
              <w:rPr>
                <w:rFonts w:eastAsiaTheme="minorEastAsia"/>
                <w:kern w:val="0"/>
                <w:sz w:val="22"/>
                <w:szCs w:val="22"/>
              </w:rPr>
              <w:t>1.6</w:t>
            </w:r>
            <w:r>
              <w:rPr>
                <w:rFonts w:hint="eastAsia" w:eastAsiaTheme="minorEastAsia"/>
                <w:kern w:val="0"/>
                <w:sz w:val="22"/>
                <w:szCs w:val="22"/>
              </w:rPr>
              <w:t>万平方米公共停车场，</w:t>
            </w:r>
            <w:r>
              <w:rPr>
                <w:rFonts w:eastAsiaTheme="minorEastAsia"/>
                <w:kern w:val="0"/>
                <w:sz w:val="22"/>
                <w:szCs w:val="22"/>
              </w:rPr>
              <w:t>0.16</w:t>
            </w:r>
            <w:r>
              <w:rPr>
                <w:rFonts w:hint="eastAsia" w:eastAsiaTheme="minorEastAsia"/>
                <w:kern w:val="0"/>
                <w:sz w:val="22"/>
                <w:szCs w:val="22"/>
              </w:rPr>
              <w:t>万平方米货运站，</w:t>
            </w:r>
            <w:r>
              <w:rPr>
                <w:rFonts w:eastAsiaTheme="minorEastAsia"/>
                <w:kern w:val="0"/>
                <w:sz w:val="22"/>
                <w:szCs w:val="22"/>
              </w:rPr>
              <w:t>3.5</w:t>
            </w:r>
            <w:r>
              <w:rPr>
                <w:rFonts w:hint="eastAsia" w:eastAsiaTheme="minorEastAsia"/>
                <w:kern w:val="0"/>
                <w:sz w:val="22"/>
                <w:szCs w:val="22"/>
              </w:rPr>
              <w:t>万平方米综合办公和生活设施</w:t>
            </w:r>
          </w:p>
        </w:tc>
        <w:tc>
          <w:tcPr>
            <w:tcW w:w="13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kern w:val="0"/>
                <w:sz w:val="22"/>
                <w:szCs w:val="22"/>
              </w:rPr>
            </w:pPr>
            <w:r>
              <w:rPr>
                <w:rFonts w:eastAsiaTheme="minorEastAsia"/>
                <w:kern w:val="0"/>
                <w:sz w:val="22"/>
                <w:szCs w:val="22"/>
              </w:rPr>
              <w:t>15.16</w:t>
            </w:r>
          </w:p>
        </w:tc>
      </w:tr>
      <w:tr>
        <w:tblPrEx>
          <w:tblCellMar>
            <w:top w:w="0" w:type="dxa"/>
            <w:left w:w="108" w:type="dxa"/>
            <w:bottom w:w="0" w:type="dxa"/>
            <w:right w:w="108" w:type="dxa"/>
          </w:tblCellMar>
        </w:tblPrEx>
        <w:trPr>
          <w:trHeight w:val="517" w:hRule="atLeast"/>
        </w:trPr>
        <w:tc>
          <w:tcPr>
            <w:tcW w:w="12900" w:type="dxa"/>
            <w:gridSpan w:val="5"/>
            <w:tcBorders>
              <w:top w:val="nil"/>
              <w:left w:val="single" w:color="auto" w:sz="8" w:space="0"/>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hint="eastAsia" w:eastAsiaTheme="minorEastAsia"/>
                <w:b/>
                <w:bCs/>
                <w:kern w:val="0"/>
                <w:sz w:val="22"/>
                <w:szCs w:val="22"/>
              </w:rPr>
              <w:t>合计</w:t>
            </w:r>
          </w:p>
        </w:tc>
        <w:tc>
          <w:tcPr>
            <w:tcW w:w="1380"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Theme="minorEastAsia"/>
                <w:b/>
                <w:bCs/>
                <w:kern w:val="0"/>
                <w:sz w:val="22"/>
                <w:szCs w:val="22"/>
              </w:rPr>
            </w:pPr>
            <w:r>
              <w:rPr>
                <w:rFonts w:eastAsiaTheme="minorEastAsia"/>
                <w:b/>
                <w:bCs/>
                <w:kern w:val="0"/>
                <w:sz w:val="22"/>
                <w:szCs w:val="22"/>
              </w:rPr>
              <w:t>53.32</w:t>
            </w:r>
          </w:p>
        </w:tc>
      </w:tr>
    </w:tbl>
    <w:p>
      <w:pPr>
        <w:keepNext/>
        <w:keepLines/>
        <w:adjustRightInd w:val="0"/>
        <w:spacing w:before="163" w:beforeLines="50" w:after="163" w:afterLines="50"/>
        <w:ind w:firstLine="0" w:firstLineChars="0"/>
        <w:jc w:val="left"/>
        <w:outlineLvl w:val="1"/>
        <w:rPr>
          <w:rFonts w:eastAsia="黑体"/>
          <w:b/>
          <w:bCs/>
          <w:sz w:val="30"/>
          <w:szCs w:val="32"/>
        </w:rPr>
      </w:pPr>
    </w:p>
    <w:sectPr>
      <w:headerReference r:id="rId14" w:type="default"/>
      <w:pgSz w:w="16838" w:h="11906" w:orient="landscape"/>
      <w:pgMar w:top="1758" w:right="1418" w:bottom="1474" w:left="1418" w:header="992"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center"/>
      <w:rPr>
        <w:sz w:val="24"/>
        <w:szCs w:val="24"/>
      </w:rPr>
    </w:pPr>
    <w:r>
      <w:rPr>
        <w:sz w:val="24"/>
        <w:szCs w:val="24"/>
      </w:rPr>
      <w:fldChar w:fldCharType="begin"/>
    </w:r>
    <w:r>
      <w:rPr>
        <w:sz w:val="24"/>
        <w:szCs w:val="24"/>
      </w:rPr>
      <w:instrText xml:space="preserve">PAGE  \* ROMAN  \* MERGEFORMAT</w:instrText>
    </w:r>
    <w:r>
      <w:rPr>
        <w:sz w:val="24"/>
        <w:szCs w:val="24"/>
      </w:rPr>
      <w:fldChar w:fldCharType="separate"/>
    </w:r>
    <w:r>
      <w:rPr>
        <w:sz w:val="24"/>
        <w:szCs w:val="24"/>
        <w:lang w:val="zh-CN"/>
      </w:rPr>
      <w:t>III</w:t>
    </w:r>
    <w:r>
      <w:rP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D5802"/>
    <w:multiLevelType w:val="multilevel"/>
    <w:tmpl w:val="10BD5802"/>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1">
    <w:nsid w:val="171E0995"/>
    <w:multiLevelType w:val="multilevel"/>
    <w:tmpl w:val="171E0995"/>
    <w:lvl w:ilvl="0" w:tentative="0">
      <w:start w:val="1"/>
      <w:numFmt w:val="decimal"/>
      <w:lvlText w:val="%1、"/>
      <w:lvlJc w:val="left"/>
      <w:pPr>
        <w:ind w:left="990" w:hanging="420"/>
      </w:pPr>
      <w:rPr>
        <w:rFonts w:hint="eastAsia"/>
      </w:rPr>
    </w:lvl>
    <w:lvl w:ilvl="1" w:tentative="0">
      <w:start w:val="1"/>
      <w:numFmt w:val="lowerLetter"/>
      <w:pStyle w:val="86"/>
      <w:lvlText w:val="%2)"/>
      <w:lvlJc w:val="left"/>
      <w:pPr>
        <w:ind w:left="1410" w:hanging="420"/>
      </w:pPr>
    </w:lvl>
    <w:lvl w:ilvl="2" w:tentative="0">
      <w:start w:val="1"/>
      <w:numFmt w:val="lowerRoman"/>
      <w:pStyle w:val="18"/>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2">
    <w:nsid w:val="19BE3857"/>
    <w:multiLevelType w:val="multilevel"/>
    <w:tmpl w:val="19BE3857"/>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3">
    <w:nsid w:val="2D7B05A0"/>
    <w:multiLevelType w:val="multilevel"/>
    <w:tmpl w:val="2D7B05A0"/>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4">
    <w:nsid w:val="3AB33674"/>
    <w:multiLevelType w:val="multilevel"/>
    <w:tmpl w:val="3AB33674"/>
    <w:lvl w:ilvl="0" w:tentative="0">
      <w:start w:val="1"/>
      <w:numFmt w:val="decimal"/>
      <w:pStyle w:val="137"/>
      <w:lvlText w:val="表2-%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645893"/>
    <w:multiLevelType w:val="multilevel"/>
    <w:tmpl w:val="57645893"/>
    <w:lvl w:ilvl="0" w:tentative="0">
      <w:start w:val="1"/>
      <w:numFmt w:val="decimal"/>
      <w:pStyle w:val="128"/>
      <w:suff w:val="space"/>
      <w:lvlText w:val="第%1章 "/>
      <w:lvlJc w:val="left"/>
      <w:pPr>
        <w:ind w:left="1985" w:firstLine="0"/>
      </w:pPr>
      <w:rPr>
        <w:rFonts w:hint="eastAsia" w:ascii="黑体" w:hAnsi="Times New Roman" w:eastAsia="黑体"/>
        <w:sz w:val="36"/>
        <w:szCs w:val="32"/>
        <w:lang w:val="en-US"/>
      </w:rPr>
    </w:lvl>
    <w:lvl w:ilvl="1" w:tentative="0">
      <w:start w:val="1"/>
      <w:numFmt w:val="decimal"/>
      <w:pStyle w:val="125"/>
      <w:suff w:val="space"/>
      <w:lvlText w:val="%1.%2 "/>
      <w:lvlJc w:val="left"/>
      <w:pPr>
        <w:ind w:left="0" w:firstLine="0"/>
      </w:pPr>
      <w:rPr>
        <w:rFonts w:hint="eastAsia" w:ascii="黑体" w:hAnsi="Times New Roman" w:eastAsia="黑体"/>
        <w:sz w:val="32"/>
        <w:szCs w:val="28"/>
      </w:rPr>
    </w:lvl>
    <w:lvl w:ilvl="2" w:tentative="0">
      <w:start w:val="1"/>
      <w:numFmt w:val="decimal"/>
      <w:pStyle w:val="126"/>
      <w:suff w:val="space"/>
      <w:lvlText w:val="%1.%2.%3 "/>
      <w:lvlJc w:val="left"/>
      <w:pPr>
        <w:ind w:left="852" w:firstLine="0"/>
      </w:pPr>
      <w:rPr>
        <w:rFonts w:hint="eastAsia" w:ascii="黑体" w:hAnsi="Times New Roman" w:eastAsia="黑体"/>
        <w:sz w:val="28"/>
        <w:szCs w:val="24"/>
      </w:rPr>
    </w:lvl>
    <w:lvl w:ilvl="3" w:tentative="0">
      <w:start w:val="1"/>
      <w:numFmt w:val="decimal"/>
      <w:pStyle w:val="127"/>
      <w:suff w:val="space"/>
      <w:lvlText w:val="%1.%2.%3.%4 "/>
      <w:lvlJc w:val="left"/>
      <w:pPr>
        <w:ind w:left="6238" w:firstLine="0"/>
      </w:pPr>
      <w:rPr>
        <w:rFonts w:hint="eastAsia" w:ascii="宋体" w:hAnsi="Times New Roman" w:eastAsia="宋体"/>
        <w:b/>
        <w:i w:val="0"/>
        <w:sz w:val="24"/>
        <w:szCs w:val="24"/>
        <w:lang w:val="en-US"/>
      </w:rPr>
    </w:lvl>
    <w:lvl w:ilvl="4" w:tentative="0">
      <w:start w:val="1"/>
      <w:numFmt w:val="decimal"/>
      <w:lvlText w:val="%1.%2.%3.%4.%5."/>
      <w:lvlJc w:val="left"/>
      <w:pPr>
        <w:tabs>
          <w:tab w:val="left" w:pos="1192"/>
        </w:tabs>
        <w:ind w:left="1192" w:hanging="992"/>
      </w:pPr>
    </w:lvl>
    <w:lvl w:ilvl="5" w:tentative="0">
      <w:start w:val="1"/>
      <w:numFmt w:val="decimal"/>
      <w:lvlText w:val="%1.%2.%3.%4.%5.%6."/>
      <w:lvlJc w:val="left"/>
      <w:pPr>
        <w:tabs>
          <w:tab w:val="left" w:pos="1334"/>
        </w:tabs>
        <w:ind w:left="1334" w:hanging="1134"/>
      </w:pPr>
    </w:lvl>
    <w:lvl w:ilvl="6" w:tentative="0">
      <w:start w:val="1"/>
      <w:numFmt w:val="decimal"/>
      <w:lvlText w:val="%1.%2.%3.%4.%5.%6.%7."/>
      <w:lvlJc w:val="left"/>
      <w:pPr>
        <w:tabs>
          <w:tab w:val="left" w:pos="1476"/>
        </w:tabs>
        <w:ind w:left="1476" w:hanging="1276"/>
      </w:pPr>
    </w:lvl>
    <w:lvl w:ilvl="7" w:tentative="0">
      <w:start w:val="1"/>
      <w:numFmt w:val="decimal"/>
      <w:lvlText w:val="%1.%2.%3.%4.%5.%6.%7.%8."/>
      <w:lvlJc w:val="left"/>
      <w:pPr>
        <w:tabs>
          <w:tab w:val="left" w:pos="1618"/>
        </w:tabs>
        <w:ind w:left="1618" w:hanging="1418"/>
      </w:pPr>
    </w:lvl>
    <w:lvl w:ilvl="8" w:tentative="0">
      <w:start w:val="1"/>
      <w:numFmt w:val="decimal"/>
      <w:lvlText w:val="%1.%2.%3.%4.%5.%6.%7.%8.%9."/>
      <w:lvlJc w:val="left"/>
      <w:pPr>
        <w:tabs>
          <w:tab w:val="left" w:pos="1759"/>
        </w:tabs>
        <w:ind w:left="1759" w:hanging="1559"/>
      </w:pPr>
    </w:lvl>
  </w:abstractNum>
  <w:abstractNum w:abstractNumId="6">
    <w:nsid w:val="653E5B02"/>
    <w:multiLevelType w:val="multilevel"/>
    <w:tmpl w:val="653E5B02"/>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7">
    <w:nsid w:val="6638486F"/>
    <w:multiLevelType w:val="multilevel"/>
    <w:tmpl w:val="6638486F"/>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8">
    <w:nsid w:val="7DE04FB0"/>
    <w:multiLevelType w:val="multilevel"/>
    <w:tmpl w:val="7DE04FB0"/>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num w:numId="1">
    <w:abstractNumId w:val="1"/>
  </w:num>
  <w:num w:numId="2">
    <w:abstractNumId w:val="5"/>
  </w:num>
  <w:num w:numId="3">
    <w:abstractNumId w:val="4"/>
  </w:num>
  <w:num w:numId="4">
    <w:abstractNumId w:val="7"/>
  </w:num>
  <w:num w:numId="5">
    <w:abstractNumId w:val="6"/>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99"/>
    <w:rsid w:val="00002FFE"/>
    <w:rsid w:val="00004985"/>
    <w:rsid w:val="000077F3"/>
    <w:rsid w:val="000104D4"/>
    <w:rsid w:val="00010A5F"/>
    <w:rsid w:val="00013B2A"/>
    <w:rsid w:val="00014F3E"/>
    <w:rsid w:val="00016761"/>
    <w:rsid w:val="000168AA"/>
    <w:rsid w:val="00020F4E"/>
    <w:rsid w:val="00025A28"/>
    <w:rsid w:val="00027C46"/>
    <w:rsid w:val="00031FC6"/>
    <w:rsid w:val="00034A03"/>
    <w:rsid w:val="000379E5"/>
    <w:rsid w:val="000407CD"/>
    <w:rsid w:val="0004163B"/>
    <w:rsid w:val="00043DE1"/>
    <w:rsid w:val="00044817"/>
    <w:rsid w:val="000463E5"/>
    <w:rsid w:val="000467E2"/>
    <w:rsid w:val="00054235"/>
    <w:rsid w:val="00055220"/>
    <w:rsid w:val="00055250"/>
    <w:rsid w:val="00056C1E"/>
    <w:rsid w:val="000573D2"/>
    <w:rsid w:val="00066490"/>
    <w:rsid w:val="00066C8A"/>
    <w:rsid w:val="00071403"/>
    <w:rsid w:val="0007329F"/>
    <w:rsid w:val="00073474"/>
    <w:rsid w:val="0007595C"/>
    <w:rsid w:val="00076FCD"/>
    <w:rsid w:val="00077A98"/>
    <w:rsid w:val="00077B84"/>
    <w:rsid w:val="00077E56"/>
    <w:rsid w:val="0008029B"/>
    <w:rsid w:val="000806C3"/>
    <w:rsid w:val="000853F3"/>
    <w:rsid w:val="000911A9"/>
    <w:rsid w:val="000A1246"/>
    <w:rsid w:val="000A1A28"/>
    <w:rsid w:val="000A1D2A"/>
    <w:rsid w:val="000A2911"/>
    <w:rsid w:val="000A2D6A"/>
    <w:rsid w:val="000A3875"/>
    <w:rsid w:val="000A4A3C"/>
    <w:rsid w:val="000A5F10"/>
    <w:rsid w:val="000A67DD"/>
    <w:rsid w:val="000B1556"/>
    <w:rsid w:val="000B1F27"/>
    <w:rsid w:val="000B4E49"/>
    <w:rsid w:val="000C058E"/>
    <w:rsid w:val="000C0ED1"/>
    <w:rsid w:val="000C2536"/>
    <w:rsid w:val="000C3AF2"/>
    <w:rsid w:val="000C42F0"/>
    <w:rsid w:val="000C49AB"/>
    <w:rsid w:val="000C6E79"/>
    <w:rsid w:val="000D039A"/>
    <w:rsid w:val="000D1021"/>
    <w:rsid w:val="000D2273"/>
    <w:rsid w:val="000D4078"/>
    <w:rsid w:val="000E010F"/>
    <w:rsid w:val="000E2D20"/>
    <w:rsid w:val="000E335B"/>
    <w:rsid w:val="000E3DB8"/>
    <w:rsid w:val="000E5574"/>
    <w:rsid w:val="000E6AA4"/>
    <w:rsid w:val="001007EE"/>
    <w:rsid w:val="001015CC"/>
    <w:rsid w:val="001015D9"/>
    <w:rsid w:val="00102B15"/>
    <w:rsid w:val="00107258"/>
    <w:rsid w:val="001073E4"/>
    <w:rsid w:val="00111CD6"/>
    <w:rsid w:val="00113413"/>
    <w:rsid w:val="00113688"/>
    <w:rsid w:val="00121110"/>
    <w:rsid w:val="00124266"/>
    <w:rsid w:val="00124742"/>
    <w:rsid w:val="00124FF0"/>
    <w:rsid w:val="001270FB"/>
    <w:rsid w:val="0013336D"/>
    <w:rsid w:val="00134FC3"/>
    <w:rsid w:val="0013528B"/>
    <w:rsid w:val="001361E2"/>
    <w:rsid w:val="001409EB"/>
    <w:rsid w:val="00143F10"/>
    <w:rsid w:val="00145645"/>
    <w:rsid w:val="00145DFB"/>
    <w:rsid w:val="001466E0"/>
    <w:rsid w:val="001468D5"/>
    <w:rsid w:val="00152629"/>
    <w:rsid w:val="00153364"/>
    <w:rsid w:val="00153FC8"/>
    <w:rsid w:val="00156A18"/>
    <w:rsid w:val="001605A3"/>
    <w:rsid w:val="0016078B"/>
    <w:rsid w:val="00161713"/>
    <w:rsid w:val="001638F5"/>
    <w:rsid w:val="00164680"/>
    <w:rsid w:val="00174834"/>
    <w:rsid w:val="001749B5"/>
    <w:rsid w:val="00176DA1"/>
    <w:rsid w:val="00177200"/>
    <w:rsid w:val="00182C35"/>
    <w:rsid w:val="00184380"/>
    <w:rsid w:val="00185D7E"/>
    <w:rsid w:val="00186931"/>
    <w:rsid w:val="00186E73"/>
    <w:rsid w:val="00187ADB"/>
    <w:rsid w:val="00190994"/>
    <w:rsid w:val="00193393"/>
    <w:rsid w:val="00193C34"/>
    <w:rsid w:val="001A0992"/>
    <w:rsid w:val="001A3416"/>
    <w:rsid w:val="001A3F38"/>
    <w:rsid w:val="001A59CA"/>
    <w:rsid w:val="001A59F2"/>
    <w:rsid w:val="001A5F01"/>
    <w:rsid w:val="001A601E"/>
    <w:rsid w:val="001A66F8"/>
    <w:rsid w:val="001B206B"/>
    <w:rsid w:val="001B23DC"/>
    <w:rsid w:val="001B3313"/>
    <w:rsid w:val="001B532F"/>
    <w:rsid w:val="001C2912"/>
    <w:rsid w:val="001C37A3"/>
    <w:rsid w:val="001C566C"/>
    <w:rsid w:val="001C5E97"/>
    <w:rsid w:val="001C63E1"/>
    <w:rsid w:val="001C70F9"/>
    <w:rsid w:val="001D07F7"/>
    <w:rsid w:val="001D6CC7"/>
    <w:rsid w:val="001D70C4"/>
    <w:rsid w:val="001E2CEF"/>
    <w:rsid w:val="001E36E7"/>
    <w:rsid w:val="001E45DA"/>
    <w:rsid w:val="001E5D02"/>
    <w:rsid w:val="001E6FFB"/>
    <w:rsid w:val="001E7878"/>
    <w:rsid w:val="001F2851"/>
    <w:rsid w:val="001F2B09"/>
    <w:rsid w:val="001F40D2"/>
    <w:rsid w:val="001F41E6"/>
    <w:rsid w:val="001F4D48"/>
    <w:rsid w:val="001F5154"/>
    <w:rsid w:val="001F7332"/>
    <w:rsid w:val="00204C2B"/>
    <w:rsid w:val="002063C5"/>
    <w:rsid w:val="002079EF"/>
    <w:rsid w:val="002126D6"/>
    <w:rsid w:val="00212FBF"/>
    <w:rsid w:val="002150BA"/>
    <w:rsid w:val="0021512B"/>
    <w:rsid w:val="002158F8"/>
    <w:rsid w:val="00215BB7"/>
    <w:rsid w:val="00215CAB"/>
    <w:rsid w:val="0021691A"/>
    <w:rsid w:val="00216AEF"/>
    <w:rsid w:val="002204B7"/>
    <w:rsid w:val="00220C46"/>
    <w:rsid w:val="00226450"/>
    <w:rsid w:val="002279A7"/>
    <w:rsid w:val="00233E5C"/>
    <w:rsid w:val="00236244"/>
    <w:rsid w:val="0024203E"/>
    <w:rsid w:val="00242A4F"/>
    <w:rsid w:val="002442D1"/>
    <w:rsid w:val="002444C4"/>
    <w:rsid w:val="002445C1"/>
    <w:rsid w:val="00251498"/>
    <w:rsid w:val="002519A7"/>
    <w:rsid w:val="002548ED"/>
    <w:rsid w:val="00256036"/>
    <w:rsid w:val="0025687B"/>
    <w:rsid w:val="002575B1"/>
    <w:rsid w:val="0026686E"/>
    <w:rsid w:val="00270C71"/>
    <w:rsid w:val="0027272B"/>
    <w:rsid w:val="002731AD"/>
    <w:rsid w:val="00273FDD"/>
    <w:rsid w:val="00275265"/>
    <w:rsid w:val="002757F8"/>
    <w:rsid w:val="00275839"/>
    <w:rsid w:val="00282828"/>
    <w:rsid w:val="0028358F"/>
    <w:rsid w:val="00284721"/>
    <w:rsid w:val="0029083A"/>
    <w:rsid w:val="002910CE"/>
    <w:rsid w:val="0029200D"/>
    <w:rsid w:val="002A2BA4"/>
    <w:rsid w:val="002A407C"/>
    <w:rsid w:val="002A6236"/>
    <w:rsid w:val="002A62EA"/>
    <w:rsid w:val="002B046C"/>
    <w:rsid w:val="002B15AD"/>
    <w:rsid w:val="002B2994"/>
    <w:rsid w:val="002B2F4D"/>
    <w:rsid w:val="002B3001"/>
    <w:rsid w:val="002B5C1D"/>
    <w:rsid w:val="002B5D52"/>
    <w:rsid w:val="002C07D0"/>
    <w:rsid w:val="002C32AD"/>
    <w:rsid w:val="002C735C"/>
    <w:rsid w:val="002D0A55"/>
    <w:rsid w:val="002D14D3"/>
    <w:rsid w:val="002D294A"/>
    <w:rsid w:val="002D7E6B"/>
    <w:rsid w:val="002E0701"/>
    <w:rsid w:val="002E190B"/>
    <w:rsid w:val="002E2572"/>
    <w:rsid w:val="002E65F3"/>
    <w:rsid w:val="002F045C"/>
    <w:rsid w:val="002F0F33"/>
    <w:rsid w:val="002F3BF7"/>
    <w:rsid w:val="002F6C94"/>
    <w:rsid w:val="00302AF4"/>
    <w:rsid w:val="00302EB4"/>
    <w:rsid w:val="0030447B"/>
    <w:rsid w:val="00304C53"/>
    <w:rsid w:val="00305FC5"/>
    <w:rsid w:val="00307C6C"/>
    <w:rsid w:val="00310566"/>
    <w:rsid w:val="00313C16"/>
    <w:rsid w:val="00314E70"/>
    <w:rsid w:val="00326910"/>
    <w:rsid w:val="00327ABE"/>
    <w:rsid w:val="003344D8"/>
    <w:rsid w:val="003357E8"/>
    <w:rsid w:val="0033618F"/>
    <w:rsid w:val="00336772"/>
    <w:rsid w:val="00337BB9"/>
    <w:rsid w:val="003403A8"/>
    <w:rsid w:val="00342963"/>
    <w:rsid w:val="003440B3"/>
    <w:rsid w:val="0034509A"/>
    <w:rsid w:val="00346323"/>
    <w:rsid w:val="00346377"/>
    <w:rsid w:val="00347232"/>
    <w:rsid w:val="00347573"/>
    <w:rsid w:val="003522DA"/>
    <w:rsid w:val="00352490"/>
    <w:rsid w:val="00353C1B"/>
    <w:rsid w:val="003551ED"/>
    <w:rsid w:val="00356637"/>
    <w:rsid w:val="00360759"/>
    <w:rsid w:val="00362324"/>
    <w:rsid w:val="00362F39"/>
    <w:rsid w:val="00363A8C"/>
    <w:rsid w:val="0036405E"/>
    <w:rsid w:val="00371154"/>
    <w:rsid w:val="003741C0"/>
    <w:rsid w:val="003761E6"/>
    <w:rsid w:val="00382493"/>
    <w:rsid w:val="00382DE4"/>
    <w:rsid w:val="00383739"/>
    <w:rsid w:val="00386622"/>
    <w:rsid w:val="00387B78"/>
    <w:rsid w:val="00396163"/>
    <w:rsid w:val="00396547"/>
    <w:rsid w:val="003A0C54"/>
    <w:rsid w:val="003A5728"/>
    <w:rsid w:val="003A5D6D"/>
    <w:rsid w:val="003B0C0F"/>
    <w:rsid w:val="003B31E4"/>
    <w:rsid w:val="003B4309"/>
    <w:rsid w:val="003B5E23"/>
    <w:rsid w:val="003B7E23"/>
    <w:rsid w:val="003C5075"/>
    <w:rsid w:val="003C6658"/>
    <w:rsid w:val="003C7EC7"/>
    <w:rsid w:val="003D046C"/>
    <w:rsid w:val="003D206A"/>
    <w:rsid w:val="003D2EB4"/>
    <w:rsid w:val="003D49AB"/>
    <w:rsid w:val="003D5A66"/>
    <w:rsid w:val="003D7485"/>
    <w:rsid w:val="003D787F"/>
    <w:rsid w:val="003D7B16"/>
    <w:rsid w:val="003E0098"/>
    <w:rsid w:val="003E041D"/>
    <w:rsid w:val="003E072A"/>
    <w:rsid w:val="003E0F16"/>
    <w:rsid w:val="003E2CBD"/>
    <w:rsid w:val="003E5C22"/>
    <w:rsid w:val="003E5FC0"/>
    <w:rsid w:val="003F018A"/>
    <w:rsid w:val="003F2972"/>
    <w:rsid w:val="00403765"/>
    <w:rsid w:val="004050EB"/>
    <w:rsid w:val="004115C8"/>
    <w:rsid w:val="004139F1"/>
    <w:rsid w:val="00414105"/>
    <w:rsid w:val="00415D6E"/>
    <w:rsid w:val="00417C67"/>
    <w:rsid w:val="0042304E"/>
    <w:rsid w:val="00423609"/>
    <w:rsid w:val="00423E37"/>
    <w:rsid w:val="00424ED2"/>
    <w:rsid w:val="00426650"/>
    <w:rsid w:val="00427BF3"/>
    <w:rsid w:val="00427EA1"/>
    <w:rsid w:val="0043220F"/>
    <w:rsid w:val="00434E1C"/>
    <w:rsid w:val="004358C2"/>
    <w:rsid w:val="004371EA"/>
    <w:rsid w:val="00440E4C"/>
    <w:rsid w:val="00441F29"/>
    <w:rsid w:val="004420B3"/>
    <w:rsid w:val="00443D81"/>
    <w:rsid w:val="00443D93"/>
    <w:rsid w:val="00443E07"/>
    <w:rsid w:val="00445627"/>
    <w:rsid w:val="00445ED7"/>
    <w:rsid w:val="004521E0"/>
    <w:rsid w:val="00452A41"/>
    <w:rsid w:val="004539AA"/>
    <w:rsid w:val="004546B6"/>
    <w:rsid w:val="00454E05"/>
    <w:rsid w:val="00456875"/>
    <w:rsid w:val="00457C6D"/>
    <w:rsid w:val="00457D1A"/>
    <w:rsid w:val="004604D8"/>
    <w:rsid w:val="00460AB4"/>
    <w:rsid w:val="00462DE6"/>
    <w:rsid w:val="00463967"/>
    <w:rsid w:val="00471B8D"/>
    <w:rsid w:val="00471D98"/>
    <w:rsid w:val="00472DAC"/>
    <w:rsid w:val="0048024E"/>
    <w:rsid w:val="004813E7"/>
    <w:rsid w:val="00481B63"/>
    <w:rsid w:val="004831E1"/>
    <w:rsid w:val="004864EF"/>
    <w:rsid w:val="00492DFE"/>
    <w:rsid w:val="00493DC7"/>
    <w:rsid w:val="00495AF4"/>
    <w:rsid w:val="004961BE"/>
    <w:rsid w:val="004A3655"/>
    <w:rsid w:val="004A3A32"/>
    <w:rsid w:val="004A3A74"/>
    <w:rsid w:val="004A56E1"/>
    <w:rsid w:val="004A63D2"/>
    <w:rsid w:val="004A7806"/>
    <w:rsid w:val="004B27FD"/>
    <w:rsid w:val="004B44B6"/>
    <w:rsid w:val="004B6913"/>
    <w:rsid w:val="004B765A"/>
    <w:rsid w:val="004C2CBC"/>
    <w:rsid w:val="004C5537"/>
    <w:rsid w:val="004C5A2E"/>
    <w:rsid w:val="004D233A"/>
    <w:rsid w:val="004D2B8B"/>
    <w:rsid w:val="004D350D"/>
    <w:rsid w:val="004D67AE"/>
    <w:rsid w:val="004D7187"/>
    <w:rsid w:val="004D7858"/>
    <w:rsid w:val="004E20FB"/>
    <w:rsid w:val="004E21BE"/>
    <w:rsid w:val="004E407D"/>
    <w:rsid w:val="004E4F19"/>
    <w:rsid w:val="004E60BA"/>
    <w:rsid w:val="004E66B2"/>
    <w:rsid w:val="004F0C8D"/>
    <w:rsid w:val="004F1CAA"/>
    <w:rsid w:val="004F22E5"/>
    <w:rsid w:val="004F3944"/>
    <w:rsid w:val="004F5358"/>
    <w:rsid w:val="004F6CDF"/>
    <w:rsid w:val="00501622"/>
    <w:rsid w:val="0050290E"/>
    <w:rsid w:val="00507599"/>
    <w:rsid w:val="005107E1"/>
    <w:rsid w:val="0051161A"/>
    <w:rsid w:val="005127C8"/>
    <w:rsid w:val="00514296"/>
    <w:rsid w:val="00514D57"/>
    <w:rsid w:val="00514F1E"/>
    <w:rsid w:val="0051536A"/>
    <w:rsid w:val="005153C0"/>
    <w:rsid w:val="005204F6"/>
    <w:rsid w:val="0052067A"/>
    <w:rsid w:val="00520F8D"/>
    <w:rsid w:val="0052409D"/>
    <w:rsid w:val="00533FEE"/>
    <w:rsid w:val="00534E2A"/>
    <w:rsid w:val="0053581F"/>
    <w:rsid w:val="00541E10"/>
    <w:rsid w:val="005421C7"/>
    <w:rsid w:val="00544C85"/>
    <w:rsid w:val="00550D50"/>
    <w:rsid w:val="005515E8"/>
    <w:rsid w:val="00551F2B"/>
    <w:rsid w:val="00553868"/>
    <w:rsid w:val="005545BC"/>
    <w:rsid w:val="00556DC1"/>
    <w:rsid w:val="005574F8"/>
    <w:rsid w:val="00563318"/>
    <w:rsid w:val="005636D8"/>
    <w:rsid w:val="00563D71"/>
    <w:rsid w:val="005643F2"/>
    <w:rsid w:val="0056631C"/>
    <w:rsid w:val="00567728"/>
    <w:rsid w:val="00570BD5"/>
    <w:rsid w:val="00582974"/>
    <w:rsid w:val="00584F1D"/>
    <w:rsid w:val="00585E7A"/>
    <w:rsid w:val="00586967"/>
    <w:rsid w:val="00587625"/>
    <w:rsid w:val="0059201E"/>
    <w:rsid w:val="00593208"/>
    <w:rsid w:val="00595B18"/>
    <w:rsid w:val="005971BA"/>
    <w:rsid w:val="005A099D"/>
    <w:rsid w:val="005A1AAC"/>
    <w:rsid w:val="005A253B"/>
    <w:rsid w:val="005A2EE3"/>
    <w:rsid w:val="005A4076"/>
    <w:rsid w:val="005A4F6E"/>
    <w:rsid w:val="005A6CFA"/>
    <w:rsid w:val="005A74AE"/>
    <w:rsid w:val="005A7A86"/>
    <w:rsid w:val="005A7D71"/>
    <w:rsid w:val="005B4E2E"/>
    <w:rsid w:val="005B603E"/>
    <w:rsid w:val="005B6D47"/>
    <w:rsid w:val="005B73E4"/>
    <w:rsid w:val="005C018A"/>
    <w:rsid w:val="005C6361"/>
    <w:rsid w:val="005C67AA"/>
    <w:rsid w:val="005C6B28"/>
    <w:rsid w:val="005C7345"/>
    <w:rsid w:val="005D2A4D"/>
    <w:rsid w:val="005D3EA0"/>
    <w:rsid w:val="005E13CA"/>
    <w:rsid w:val="005E34FF"/>
    <w:rsid w:val="005E463B"/>
    <w:rsid w:val="005E75DF"/>
    <w:rsid w:val="005F45C0"/>
    <w:rsid w:val="005F7569"/>
    <w:rsid w:val="005F799B"/>
    <w:rsid w:val="005F7E88"/>
    <w:rsid w:val="00602F55"/>
    <w:rsid w:val="00603079"/>
    <w:rsid w:val="006056C0"/>
    <w:rsid w:val="00610C2A"/>
    <w:rsid w:val="006117AD"/>
    <w:rsid w:val="00613C7F"/>
    <w:rsid w:val="00616EF0"/>
    <w:rsid w:val="0061774E"/>
    <w:rsid w:val="0062102A"/>
    <w:rsid w:val="00621299"/>
    <w:rsid w:val="006236E4"/>
    <w:rsid w:val="006269C1"/>
    <w:rsid w:val="0062701E"/>
    <w:rsid w:val="006275BD"/>
    <w:rsid w:val="006316D4"/>
    <w:rsid w:val="0063666A"/>
    <w:rsid w:val="006372D0"/>
    <w:rsid w:val="00641697"/>
    <w:rsid w:val="00641CB1"/>
    <w:rsid w:val="006422FA"/>
    <w:rsid w:val="00644822"/>
    <w:rsid w:val="0064493F"/>
    <w:rsid w:val="00646430"/>
    <w:rsid w:val="00646483"/>
    <w:rsid w:val="00653845"/>
    <w:rsid w:val="00653CCE"/>
    <w:rsid w:val="00657A49"/>
    <w:rsid w:val="006622EC"/>
    <w:rsid w:val="00662B38"/>
    <w:rsid w:val="00663577"/>
    <w:rsid w:val="006646E3"/>
    <w:rsid w:val="0066480E"/>
    <w:rsid w:val="00665262"/>
    <w:rsid w:val="00665E97"/>
    <w:rsid w:val="00680517"/>
    <w:rsid w:val="006814C5"/>
    <w:rsid w:val="006820A1"/>
    <w:rsid w:val="00684C9C"/>
    <w:rsid w:val="00690E9D"/>
    <w:rsid w:val="0069459C"/>
    <w:rsid w:val="00694D3D"/>
    <w:rsid w:val="006A27D4"/>
    <w:rsid w:val="006A4A7A"/>
    <w:rsid w:val="006A57EC"/>
    <w:rsid w:val="006A744A"/>
    <w:rsid w:val="006B0437"/>
    <w:rsid w:val="006B0F73"/>
    <w:rsid w:val="006B1696"/>
    <w:rsid w:val="006B173A"/>
    <w:rsid w:val="006B3832"/>
    <w:rsid w:val="006B5D60"/>
    <w:rsid w:val="006B6651"/>
    <w:rsid w:val="006C076A"/>
    <w:rsid w:val="006C450B"/>
    <w:rsid w:val="006C5C1F"/>
    <w:rsid w:val="006C5EF8"/>
    <w:rsid w:val="006C606E"/>
    <w:rsid w:val="006D0932"/>
    <w:rsid w:val="006D7D46"/>
    <w:rsid w:val="006E0226"/>
    <w:rsid w:val="006E1575"/>
    <w:rsid w:val="006E19F7"/>
    <w:rsid w:val="006E27BF"/>
    <w:rsid w:val="006E5C1B"/>
    <w:rsid w:val="006E7512"/>
    <w:rsid w:val="006F4F3F"/>
    <w:rsid w:val="0070005C"/>
    <w:rsid w:val="00706148"/>
    <w:rsid w:val="00706221"/>
    <w:rsid w:val="00706772"/>
    <w:rsid w:val="00706D96"/>
    <w:rsid w:val="0070788C"/>
    <w:rsid w:val="00710F0B"/>
    <w:rsid w:val="00711453"/>
    <w:rsid w:val="0071198C"/>
    <w:rsid w:val="00713DD9"/>
    <w:rsid w:val="00714835"/>
    <w:rsid w:val="00715642"/>
    <w:rsid w:val="0072016B"/>
    <w:rsid w:val="0072192D"/>
    <w:rsid w:val="00730DDE"/>
    <w:rsid w:val="00731E71"/>
    <w:rsid w:val="00734555"/>
    <w:rsid w:val="00735261"/>
    <w:rsid w:val="00737E5A"/>
    <w:rsid w:val="00742E0A"/>
    <w:rsid w:val="00743234"/>
    <w:rsid w:val="00743406"/>
    <w:rsid w:val="00744046"/>
    <w:rsid w:val="0074493C"/>
    <w:rsid w:val="00746EDD"/>
    <w:rsid w:val="00747DA7"/>
    <w:rsid w:val="00747FD3"/>
    <w:rsid w:val="007512BE"/>
    <w:rsid w:val="00752B9A"/>
    <w:rsid w:val="007539BF"/>
    <w:rsid w:val="00755C2F"/>
    <w:rsid w:val="00756AF7"/>
    <w:rsid w:val="0075707E"/>
    <w:rsid w:val="00757652"/>
    <w:rsid w:val="00763528"/>
    <w:rsid w:val="007645F0"/>
    <w:rsid w:val="00771FE4"/>
    <w:rsid w:val="00774235"/>
    <w:rsid w:val="00775FE7"/>
    <w:rsid w:val="00776124"/>
    <w:rsid w:val="007803CE"/>
    <w:rsid w:val="00782078"/>
    <w:rsid w:val="0078439A"/>
    <w:rsid w:val="00784DE9"/>
    <w:rsid w:val="00787490"/>
    <w:rsid w:val="00787C82"/>
    <w:rsid w:val="00787CA1"/>
    <w:rsid w:val="0079010D"/>
    <w:rsid w:val="0079057D"/>
    <w:rsid w:val="00792093"/>
    <w:rsid w:val="00792B28"/>
    <w:rsid w:val="00793A88"/>
    <w:rsid w:val="00797C06"/>
    <w:rsid w:val="007A0444"/>
    <w:rsid w:val="007A24D6"/>
    <w:rsid w:val="007A2571"/>
    <w:rsid w:val="007A4085"/>
    <w:rsid w:val="007A51BA"/>
    <w:rsid w:val="007A6A5D"/>
    <w:rsid w:val="007A6BA4"/>
    <w:rsid w:val="007A769C"/>
    <w:rsid w:val="007B10A0"/>
    <w:rsid w:val="007B15C6"/>
    <w:rsid w:val="007B3702"/>
    <w:rsid w:val="007B4D71"/>
    <w:rsid w:val="007B7100"/>
    <w:rsid w:val="007C0410"/>
    <w:rsid w:val="007C2480"/>
    <w:rsid w:val="007C46D1"/>
    <w:rsid w:val="007C575D"/>
    <w:rsid w:val="007D528B"/>
    <w:rsid w:val="007D5CBB"/>
    <w:rsid w:val="007E202E"/>
    <w:rsid w:val="007E2483"/>
    <w:rsid w:val="007E53BA"/>
    <w:rsid w:val="007E762B"/>
    <w:rsid w:val="007E792E"/>
    <w:rsid w:val="007E7975"/>
    <w:rsid w:val="007F074E"/>
    <w:rsid w:val="007F1B86"/>
    <w:rsid w:val="007F268C"/>
    <w:rsid w:val="007F2DF7"/>
    <w:rsid w:val="0080267F"/>
    <w:rsid w:val="00803D0B"/>
    <w:rsid w:val="00813D45"/>
    <w:rsid w:val="00816377"/>
    <w:rsid w:val="008165FC"/>
    <w:rsid w:val="0082127D"/>
    <w:rsid w:val="00822E93"/>
    <w:rsid w:val="00823B43"/>
    <w:rsid w:val="008337D7"/>
    <w:rsid w:val="00833C95"/>
    <w:rsid w:val="00833EB3"/>
    <w:rsid w:val="008346AF"/>
    <w:rsid w:val="00836937"/>
    <w:rsid w:val="00836EA5"/>
    <w:rsid w:val="008372E2"/>
    <w:rsid w:val="00840092"/>
    <w:rsid w:val="008423D7"/>
    <w:rsid w:val="00842A09"/>
    <w:rsid w:val="00845A3D"/>
    <w:rsid w:val="00847424"/>
    <w:rsid w:val="0085047D"/>
    <w:rsid w:val="008505E2"/>
    <w:rsid w:val="00852719"/>
    <w:rsid w:val="008530A6"/>
    <w:rsid w:val="00853C47"/>
    <w:rsid w:val="0085562C"/>
    <w:rsid w:val="0085779D"/>
    <w:rsid w:val="00861B47"/>
    <w:rsid w:val="00863458"/>
    <w:rsid w:val="008635A2"/>
    <w:rsid w:val="00865B81"/>
    <w:rsid w:val="00865C12"/>
    <w:rsid w:val="00866133"/>
    <w:rsid w:val="0087214C"/>
    <w:rsid w:val="00873DDC"/>
    <w:rsid w:val="00877246"/>
    <w:rsid w:val="008808D1"/>
    <w:rsid w:val="00882CAB"/>
    <w:rsid w:val="00885474"/>
    <w:rsid w:val="008871B7"/>
    <w:rsid w:val="00887AE6"/>
    <w:rsid w:val="00893A53"/>
    <w:rsid w:val="00894299"/>
    <w:rsid w:val="008947B0"/>
    <w:rsid w:val="008948B5"/>
    <w:rsid w:val="008A0325"/>
    <w:rsid w:val="008A065C"/>
    <w:rsid w:val="008A36B7"/>
    <w:rsid w:val="008A781C"/>
    <w:rsid w:val="008B0883"/>
    <w:rsid w:val="008B0A84"/>
    <w:rsid w:val="008B0EA2"/>
    <w:rsid w:val="008B4FB9"/>
    <w:rsid w:val="008B5609"/>
    <w:rsid w:val="008B6FB7"/>
    <w:rsid w:val="008B7362"/>
    <w:rsid w:val="008C0B96"/>
    <w:rsid w:val="008C16A5"/>
    <w:rsid w:val="008C2B9A"/>
    <w:rsid w:val="008C4A52"/>
    <w:rsid w:val="008C5DE9"/>
    <w:rsid w:val="008C6A86"/>
    <w:rsid w:val="008D0F6B"/>
    <w:rsid w:val="008D2C81"/>
    <w:rsid w:val="008D40C9"/>
    <w:rsid w:val="008D4ECE"/>
    <w:rsid w:val="008D5D09"/>
    <w:rsid w:val="008D71D4"/>
    <w:rsid w:val="008D75AC"/>
    <w:rsid w:val="008E02C6"/>
    <w:rsid w:val="008E0C6B"/>
    <w:rsid w:val="008E1DF1"/>
    <w:rsid w:val="008E303A"/>
    <w:rsid w:val="008E726F"/>
    <w:rsid w:val="008F108A"/>
    <w:rsid w:val="008F19B7"/>
    <w:rsid w:val="008F2966"/>
    <w:rsid w:val="008F2CB2"/>
    <w:rsid w:val="008F318F"/>
    <w:rsid w:val="008F3669"/>
    <w:rsid w:val="008F4B5C"/>
    <w:rsid w:val="008F7C30"/>
    <w:rsid w:val="009038F7"/>
    <w:rsid w:val="00905BE1"/>
    <w:rsid w:val="00910D27"/>
    <w:rsid w:val="009120F2"/>
    <w:rsid w:val="0091258B"/>
    <w:rsid w:val="00913610"/>
    <w:rsid w:val="00913993"/>
    <w:rsid w:val="0091490A"/>
    <w:rsid w:val="00915D91"/>
    <w:rsid w:val="00916D31"/>
    <w:rsid w:val="009220EE"/>
    <w:rsid w:val="009266EA"/>
    <w:rsid w:val="00926836"/>
    <w:rsid w:val="00926C64"/>
    <w:rsid w:val="009272A9"/>
    <w:rsid w:val="00927B2B"/>
    <w:rsid w:val="00927DF6"/>
    <w:rsid w:val="00931D7B"/>
    <w:rsid w:val="009330C7"/>
    <w:rsid w:val="009347C2"/>
    <w:rsid w:val="00934F7E"/>
    <w:rsid w:val="0093519C"/>
    <w:rsid w:val="00935906"/>
    <w:rsid w:val="00935A58"/>
    <w:rsid w:val="00937685"/>
    <w:rsid w:val="009407F8"/>
    <w:rsid w:val="00941BE2"/>
    <w:rsid w:val="009447E5"/>
    <w:rsid w:val="00950F99"/>
    <w:rsid w:val="009521B3"/>
    <w:rsid w:val="009522E6"/>
    <w:rsid w:val="009546C9"/>
    <w:rsid w:val="00956963"/>
    <w:rsid w:val="00960571"/>
    <w:rsid w:val="0096199E"/>
    <w:rsid w:val="00961B51"/>
    <w:rsid w:val="00962121"/>
    <w:rsid w:val="00963B19"/>
    <w:rsid w:val="009653F4"/>
    <w:rsid w:val="00972191"/>
    <w:rsid w:val="00972CF4"/>
    <w:rsid w:val="00976BE9"/>
    <w:rsid w:val="00977E3B"/>
    <w:rsid w:val="00981B92"/>
    <w:rsid w:val="0098384C"/>
    <w:rsid w:val="00983C1B"/>
    <w:rsid w:val="009840A1"/>
    <w:rsid w:val="00984A14"/>
    <w:rsid w:val="00984EF2"/>
    <w:rsid w:val="0098512C"/>
    <w:rsid w:val="0098566A"/>
    <w:rsid w:val="0098740B"/>
    <w:rsid w:val="0098742B"/>
    <w:rsid w:val="00987640"/>
    <w:rsid w:val="009877E4"/>
    <w:rsid w:val="00987CD7"/>
    <w:rsid w:val="00990188"/>
    <w:rsid w:val="0099076B"/>
    <w:rsid w:val="00992020"/>
    <w:rsid w:val="009935C8"/>
    <w:rsid w:val="0099494F"/>
    <w:rsid w:val="00994A69"/>
    <w:rsid w:val="00994F5B"/>
    <w:rsid w:val="0099573A"/>
    <w:rsid w:val="00997FF8"/>
    <w:rsid w:val="009A0B4C"/>
    <w:rsid w:val="009A40AA"/>
    <w:rsid w:val="009A78FD"/>
    <w:rsid w:val="009B0762"/>
    <w:rsid w:val="009B2977"/>
    <w:rsid w:val="009B32D3"/>
    <w:rsid w:val="009B361E"/>
    <w:rsid w:val="009B396A"/>
    <w:rsid w:val="009B6BD1"/>
    <w:rsid w:val="009C2887"/>
    <w:rsid w:val="009C2D29"/>
    <w:rsid w:val="009C581E"/>
    <w:rsid w:val="009C7A66"/>
    <w:rsid w:val="009D068C"/>
    <w:rsid w:val="009D3E69"/>
    <w:rsid w:val="009D4B6E"/>
    <w:rsid w:val="009D64A3"/>
    <w:rsid w:val="009E1136"/>
    <w:rsid w:val="009E2E67"/>
    <w:rsid w:val="009E39D7"/>
    <w:rsid w:val="009E497A"/>
    <w:rsid w:val="009E6C83"/>
    <w:rsid w:val="009E774F"/>
    <w:rsid w:val="009F1EE6"/>
    <w:rsid w:val="009F24D8"/>
    <w:rsid w:val="009F388A"/>
    <w:rsid w:val="009F7D40"/>
    <w:rsid w:val="00A014C6"/>
    <w:rsid w:val="00A01B12"/>
    <w:rsid w:val="00A020CD"/>
    <w:rsid w:val="00A0237D"/>
    <w:rsid w:val="00A03FB9"/>
    <w:rsid w:val="00A051F4"/>
    <w:rsid w:val="00A065E8"/>
    <w:rsid w:val="00A14E64"/>
    <w:rsid w:val="00A14FAF"/>
    <w:rsid w:val="00A20BA6"/>
    <w:rsid w:val="00A21A45"/>
    <w:rsid w:val="00A23908"/>
    <w:rsid w:val="00A24E38"/>
    <w:rsid w:val="00A30E8B"/>
    <w:rsid w:val="00A331A6"/>
    <w:rsid w:val="00A35D3A"/>
    <w:rsid w:val="00A36A27"/>
    <w:rsid w:val="00A403D8"/>
    <w:rsid w:val="00A412FC"/>
    <w:rsid w:val="00A42161"/>
    <w:rsid w:val="00A447A1"/>
    <w:rsid w:val="00A474C1"/>
    <w:rsid w:val="00A51150"/>
    <w:rsid w:val="00A52127"/>
    <w:rsid w:val="00A54DB9"/>
    <w:rsid w:val="00A55593"/>
    <w:rsid w:val="00A55886"/>
    <w:rsid w:val="00A6192D"/>
    <w:rsid w:val="00A61F48"/>
    <w:rsid w:val="00A63055"/>
    <w:rsid w:val="00A66335"/>
    <w:rsid w:val="00A66842"/>
    <w:rsid w:val="00A70A56"/>
    <w:rsid w:val="00A71242"/>
    <w:rsid w:val="00A73287"/>
    <w:rsid w:val="00A74609"/>
    <w:rsid w:val="00A75E7B"/>
    <w:rsid w:val="00A77B97"/>
    <w:rsid w:val="00A81DEE"/>
    <w:rsid w:val="00A82352"/>
    <w:rsid w:val="00A8280F"/>
    <w:rsid w:val="00A83615"/>
    <w:rsid w:val="00A86581"/>
    <w:rsid w:val="00A87C1A"/>
    <w:rsid w:val="00A911AC"/>
    <w:rsid w:val="00A91A84"/>
    <w:rsid w:val="00A91B82"/>
    <w:rsid w:val="00A9305B"/>
    <w:rsid w:val="00A97273"/>
    <w:rsid w:val="00A972A7"/>
    <w:rsid w:val="00AA004F"/>
    <w:rsid w:val="00AA0FB5"/>
    <w:rsid w:val="00AA125E"/>
    <w:rsid w:val="00AA2A19"/>
    <w:rsid w:val="00AA53BF"/>
    <w:rsid w:val="00AA6741"/>
    <w:rsid w:val="00AA6F10"/>
    <w:rsid w:val="00AA6F54"/>
    <w:rsid w:val="00AA7E42"/>
    <w:rsid w:val="00AB141C"/>
    <w:rsid w:val="00AB1F08"/>
    <w:rsid w:val="00AB1F10"/>
    <w:rsid w:val="00AB2876"/>
    <w:rsid w:val="00AB3208"/>
    <w:rsid w:val="00AB621F"/>
    <w:rsid w:val="00AD5916"/>
    <w:rsid w:val="00AD5A4D"/>
    <w:rsid w:val="00AD6BD8"/>
    <w:rsid w:val="00AE238D"/>
    <w:rsid w:val="00AE355F"/>
    <w:rsid w:val="00AF33C3"/>
    <w:rsid w:val="00AF4D64"/>
    <w:rsid w:val="00AF50E8"/>
    <w:rsid w:val="00AF5B09"/>
    <w:rsid w:val="00AF5B1D"/>
    <w:rsid w:val="00B01E23"/>
    <w:rsid w:val="00B04A56"/>
    <w:rsid w:val="00B05676"/>
    <w:rsid w:val="00B06415"/>
    <w:rsid w:val="00B06742"/>
    <w:rsid w:val="00B0708F"/>
    <w:rsid w:val="00B11F56"/>
    <w:rsid w:val="00B13107"/>
    <w:rsid w:val="00B14E4D"/>
    <w:rsid w:val="00B15042"/>
    <w:rsid w:val="00B17B82"/>
    <w:rsid w:val="00B22AF8"/>
    <w:rsid w:val="00B22C6B"/>
    <w:rsid w:val="00B2559C"/>
    <w:rsid w:val="00B26135"/>
    <w:rsid w:val="00B27E36"/>
    <w:rsid w:val="00B33E82"/>
    <w:rsid w:val="00B34C7E"/>
    <w:rsid w:val="00B36BCC"/>
    <w:rsid w:val="00B4008B"/>
    <w:rsid w:val="00B40EFE"/>
    <w:rsid w:val="00B43A41"/>
    <w:rsid w:val="00B43A8B"/>
    <w:rsid w:val="00B44959"/>
    <w:rsid w:val="00B459F3"/>
    <w:rsid w:val="00B47553"/>
    <w:rsid w:val="00B47BE4"/>
    <w:rsid w:val="00B513BB"/>
    <w:rsid w:val="00B5266A"/>
    <w:rsid w:val="00B5350B"/>
    <w:rsid w:val="00B549CD"/>
    <w:rsid w:val="00B55022"/>
    <w:rsid w:val="00B566DA"/>
    <w:rsid w:val="00B60D7B"/>
    <w:rsid w:val="00B613BE"/>
    <w:rsid w:val="00B670AD"/>
    <w:rsid w:val="00B670BD"/>
    <w:rsid w:val="00B6765A"/>
    <w:rsid w:val="00B67D12"/>
    <w:rsid w:val="00B70C98"/>
    <w:rsid w:val="00B70CBB"/>
    <w:rsid w:val="00B77BE9"/>
    <w:rsid w:val="00B77F26"/>
    <w:rsid w:val="00B8277E"/>
    <w:rsid w:val="00B82C72"/>
    <w:rsid w:val="00B8378E"/>
    <w:rsid w:val="00B838E7"/>
    <w:rsid w:val="00B84158"/>
    <w:rsid w:val="00B84A00"/>
    <w:rsid w:val="00B85D89"/>
    <w:rsid w:val="00B869E1"/>
    <w:rsid w:val="00B8791A"/>
    <w:rsid w:val="00B92694"/>
    <w:rsid w:val="00B93954"/>
    <w:rsid w:val="00B9443D"/>
    <w:rsid w:val="00B9484C"/>
    <w:rsid w:val="00B94D4D"/>
    <w:rsid w:val="00B969C5"/>
    <w:rsid w:val="00B96F76"/>
    <w:rsid w:val="00B972BA"/>
    <w:rsid w:val="00BA0495"/>
    <w:rsid w:val="00BA15A8"/>
    <w:rsid w:val="00BA27AC"/>
    <w:rsid w:val="00BA4275"/>
    <w:rsid w:val="00BA5363"/>
    <w:rsid w:val="00BA71A3"/>
    <w:rsid w:val="00BB0DD1"/>
    <w:rsid w:val="00BB495D"/>
    <w:rsid w:val="00BB68D8"/>
    <w:rsid w:val="00BC24E2"/>
    <w:rsid w:val="00BC39A7"/>
    <w:rsid w:val="00BC4D68"/>
    <w:rsid w:val="00BC4EFF"/>
    <w:rsid w:val="00BC5FF7"/>
    <w:rsid w:val="00BD06B5"/>
    <w:rsid w:val="00BD201B"/>
    <w:rsid w:val="00BD2D53"/>
    <w:rsid w:val="00BD4696"/>
    <w:rsid w:val="00BF1C9C"/>
    <w:rsid w:val="00BF28AB"/>
    <w:rsid w:val="00BF5549"/>
    <w:rsid w:val="00BF6881"/>
    <w:rsid w:val="00C004E7"/>
    <w:rsid w:val="00C01781"/>
    <w:rsid w:val="00C06269"/>
    <w:rsid w:val="00C069B6"/>
    <w:rsid w:val="00C1191A"/>
    <w:rsid w:val="00C13461"/>
    <w:rsid w:val="00C143DA"/>
    <w:rsid w:val="00C14A85"/>
    <w:rsid w:val="00C14F86"/>
    <w:rsid w:val="00C16BB7"/>
    <w:rsid w:val="00C2093A"/>
    <w:rsid w:val="00C20D03"/>
    <w:rsid w:val="00C3158A"/>
    <w:rsid w:val="00C31FE1"/>
    <w:rsid w:val="00C321F8"/>
    <w:rsid w:val="00C33E2A"/>
    <w:rsid w:val="00C3662F"/>
    <w:rsid w:val="00C37ABC"/>
    <w:rsid w:val="00C37E99"/>
    <w:rsid w:val="00C40809"/>
    <w:rsid w:val="00C41531"/>
    <w:rsid w:val="00C418BA"/>
    <w:rsid w:val="00C45900"/>
    <w:rsid w:val="00C46C5B"/>
    <w:rsid w:val="00C46F99"/>
    <w:rsid w:val="00C51AF6"/>
    <w:rsid w:val="00C5500D"/>
    <w:rsid w:val="00C56B33"/>
    <w:rsid w:val="00C61D55"/>
    <w:rsid w:val="00C61FD6"/>
    <w:rsid w:val="00C6274A"/>
    <w:rsid w:val="00C66BF3"/>
    <w:rsid w:val="00C67916"/>
    <w:rsid w:val="00C67ECD"/>
    <w:rsid w:val="00C708EC"/>
    <w:rsid w:val="00C71E30"/>
    <w:rsid w:val="00C72074"/>
    <w:rsid w:val="00C72334"/>
    <w:rsid w:val="00C7368F"/>
    <w:rsid w:val="00C74498"/>
    <w:rsid w:val="00C8123B"/>
    <w:rsid w:val="00C81505"/>
    <w:rsid w:val="00C85A7C"/>
    <w:rsid w:val="00C86627"/>
    <w:rsid w:val="00C91F26"/>
    <w:rsid w:val="00C92884"/>
    <w:rsid w:val="00C94B68"/>
    <w:rsid w:val="00C9786C"/>
    <w:rsid w:val="00CA1A81"/>
    <w:rsid w:val="00CA2007"/>
    <w:rsid w:val="00CA37FB"/>
    <w:rsid w:val="00CA4A93"/>
    <w:rsid w:val="00CA4F57"/>
    <w:rsid w:val="00CA53AF"/>
    <w:rsid w:val="00CA6620"/>
    <w:rsid w:val="00CB04B0"/>
    <w:rsid w:val="00CB0DE5"/>
    <w:rsid w:val="00CB12DD"/>
    <w:rsid w:val="00CB6679"/>
    <w:rsid w:val="00CB66C1"/>
    <w:rsid w:val="00CB6D8B"/>
    <w:rsid w:val="00CC00BD"/>
    <w:rsid w:val="00CC218B"/>
    <w:rsid w:val="00CC361A"/>
    <w:rsid w:val="00CC3A4B"/>
    <w:rsid w:val="00CC6B6D"/>
    <w:rsid w:val="00CC7EEA"/>
    <w:rsid w:val="00CD1761"/>
    <w:rsid w:val="00CD42E2"/>
    <w:rsid w:val="00CD43E9"/>
    <w:rsid w:val="00CD4D50"/>
    <w:rsid w:val="00CD52E1"/>
    <w:rsid w:val="00CD5ED4"/>
    <w:rsid w:val="00CE079B"/>
    <w:rsid w:val="00CE25EA"/>
    <w:rsid w:val="00CE387B"/>
    <w:rsid w:val="00CE7917"/>
    <w:rsid w:val="00CF240A"/>
    <w:rsid w:val="00CF2998"/>
    <w:rsid w:val="00CF3ABA"/>
    <w:rsid w:val="00CF3EE0"/>
    <w:rsid w:val="00CF6FF5"/>
    <w:rsid w:val="00D008E6"/>
    <w:rsid w:val="00D00CB4"/>
    <w:rsid w:val="00D017F5"/>
    <w:rsid w:val="00D01A41"/>
    <w:rsid w:val="00D03616"/>
    <w:rsid w:val="00D04827"/>
    <w:rsid w:val="00D076D5"/>
    <w:rsid w:val="00D07BDC"/>
    <w:rsid w:val="00D07CA1"/>
    <w:rsid w:val="00D1296F"/>
    <w:rsid w:val="00D1440F"/>
    <w:rsid w:val="00D1574F"/>
    <w:rsid w:val="00D15CF7"/>
    <w:rsid w:val="00D1743B"/>
    <w:rsid w:val="00D22054"/>
    <w:rsid w:val="00D23BBE"/>
    <w:rsid w:val="00D25B20"/>
    <w:rsid w:val="00D26928"/>
    <w:rsid w:val="00D352F8"/>
    <w:rsid w:val="00D3615F"/>
    <w:rsid w:val="00D36F53"/>
    <w:rsid w:val="00D40B53"/>
    <w:rsid w:val="00D41941"/>
    <w:rsid w:val="00D42193"/>
    <w:rsid w:val="00D4238D"/>
    <w:rsid w:val="00D42CA4"/>
    <w:rsid w:val="00D43B2C"/>
    <w:rsid w:val="00D44164"/>
    <w:rsid w:val="00D441F4"/>
    <w:rsid w:val="00D4596E"/>
    <w:rsid w:val="00D515A2"/>
    <w:rsid w:val="00D51E97"/>
    <w:rsid w:val="00D52405"/>
    <w:rsid w:val="00D53022"/>
    <w:rsid w:val="00D54163"/>
    <w:rsid w:val="00D57162"/>
    <w:rsid w:val="00D61549"/>
    <w:rsid w:val="00D6177A"/>
    <w:rsid w:val="00D70DDB"/>
    <w:rsid w:val="00D734D0"/>
    <w:rsid w:val="00D73538"/>
    <w:rsid w:val="00D73648"/>
    <w:rsid w:val="00D743B4"/>
    <w:rsid w:val="00D807F4"/>
    <w:rsid w:val="00D81C57"/>
    <w:rsid w:val="00D820D1"/>
    <w:rsid w:val="00D824B3"/>
    <w:rsid w:val="00D83083"/>
    <w:rsid w:val="00D8475F"/>
    <w:rsid w:val="00D903AD"/>
    <w:rsid w:val="00D92E62"/>
    <w:rsid w:val="00D94317"/>
    <w:rsid w:val="00D95546"/>
    <w:rsid w:val="00D96BCE"/>
    <w:rsid w:val="00D97958"/>
    <w:rsid w:val="00DA2604"/>
    <w:rsid w:val="00DA2F70"/>
    <w:rsid w:val="00DA3772"/>
    <w:rsid w:val="00DA4DEE"/>
    <w:rsid w:val="00DA4F68"/>
    <w:rsid w:val="00DA5536"/>
    <w:rsid w:val="00DB092E"/>
    <w:rsid w:val="00DB2E8D"/>
    <w:rsid w:val="00DB4164"/>
    <w:rsid w:val="00DC19AD"/>
    <w:rsid w:val="00DC20B7"/>
    <w:rsid w:val="00DC2FDE"/>
    <w:rsid w:val="00DC5A8A"/>
    <w:rsid w:val="00DC6807"/>
    <w:rsid w:val="00DC6E1A"/>
    <w:rsid w:val="00DD3CA1"/>
    <w:rsid w:val="00DD51B1"/>
    <w:rsid w:val="00DD6766"/>
    <w:rsid w:val="00DD69B4"/>
    <w:rsid w:val="00DE0218"/>
    <w:rsid w:val="00DE14D7"/>
    <w:rsid w:val="00DE1C07"/>
    <w:rsid w:val="00DE1C4D"/>
    <w:rsid w:val="00DE4777"/>
    <w:rsid w:val="00DE66FE"/>
    <w:rsid w:val="00DF0363"/>
    <w:rsid w:val="00DF6A18"/>
    <w:rsid w:val="00DF77F8"/>
    <w:rsid w:val="00E02228"/>
    <w:rsid w:val="00E02D3E"/>
    <w:rsid w:val="00E02D51"/>
    <w:rsid w:val="00E04C7A"/>
    <w:rsid w:val="00E05BB4"/>
    <w:rsid w:val="00E05BEB"/>
    <w:rsid w:val="00E06E3B"/>
    <w:rsid w:val="00E07BD7"/>
    <w:rsid w:val="00E11A12"/>
    <w:rsid w:val="00E1386B"/>
    <w:rsid w:val="00E142C4"/>
    <w:rsid w:val="00E14D4B"/>
    <w:rsid w:val="00E203C0"/>
    <w:rsid w:val="00E2416A"/>
    <w:rsid w:val="00E251C4"/>
    <w:rsid w:val="00E2788B"/>
    <w:rsid w:val="00E27E0D"/>
    <w:rsid w:val="00E30029"/>
    <w:rsid w:val="00E31F53"/>
    <w:rsid w:val="00E32CB2"/>
    <w:rsid w:val="00E330E7"/>
    <w:rsid w:val="00E33557"/>
    <w:rsid w:val="00E43A5F"/>
    <w:rsid w:val="00E4461A"/>
    <w:rsid w:val="00E44F3E"/>
    <w:rsid w:val="00E46AD5"/>
    <w:rsid w:val="00E51EC6"/>
    <w:rsid w:val="00E5210E"/>
    <w:rsid w:val="00E53E97"/>
    <w:rsid w:val="00E55448"/>
    <w:rsid w:val="00E60E00"/>
    <w:rsid w:val="00E63149"/>
    <w:rsid w:val="00E63AB6"/>
    <w:rsid w:val="00E64C18"/>
    <w:rsid w:val="00E66851"/>
    <w:rsid w:val="00E672E1"/>
    <w:rsid w:val="00E67305"/>
    <w:rsid w:val="00E725B7"/>
    <w:rsid w:val="00E7425E"/>
    <w:rsid w:val="00E7611B"/>
    <w:rsid w:val="00E77FC3"/>
    <w:rsid w:val="00E81C52"/>
    <w:rsid w:val="00E94505"/>
    <w:rsid w:val="00EA0969"/>
    <w:rsid w:val="00EA112F"/>
    <w:rsid w:val="00EA21AD"/>
    <w:rsid w:val="00EA2355"/>
    <w:rsid w:val="00EA7C7C"/>
    <w:rsid w:val="00EB0BD2"/>
    <w:rsid w:val="00EB4311"/>
    <w:rsid w:val="00EB449D"/>
    <w:rsid w:val="00EC07BF"/>
    <w:rsid w:val="00EC279E"/>
    <w:rsid w:val="00EC4F55"/>
    <w:rsid w:val="00EC784D"/>
    <w:rsid w:val="00ED135D"/>
    <w:rsid w:val="00ED3D59"/>
    <w:rsid w:val="00ED3DBA"/>
    <w:rsid w:val="00ED65C7"/>
    <w:rsid w:val="00ED6D13"/>
    <w:rsid w:val="00ED7642"/>
    <w:rsid w:val="00EE6A5D"/>
    <w:rsid w:val="00EF0207"/>
    <w:rsid w:val="00EF2EC5"/>
    <w:rsid w:val="00EF43EE"/>
    <w:rsid w:val="00EF54D8"/>
    <w:rsid w:val="00EF5D10"/>
    <w:rsid w:val="00EF62CD"/>
    <w:rsid w:val="00F0138A"/>
    <w:rsid w:val="00F01A00"/>
    <w:rsid w:val="00F01C4F"/>
    <w:rsid w:val="00F02366"/>
    <w:rsid w:val="00F031EC"/>
    <w:rsid w:val="00F04DE9"/>
    <w:rsid w:val="00F05861"/>
    <w:rsid w:val="00F12038"/>
    <w:rsid w:val="00F136A1"/>
    <w:rsid w:val="00F14408"/>
    <w:rsid w:val="00F2028D"/>
    <w:rsid w:val="00F256A4"/>
    <w:rsid w:val="00F2692A"/>
    <w:rsid w:val="00F27EDA"/>
    <w:rsid w:val="00F30A90"/>
    <w:rsid w:val="00F3187A"/>
    <w:rsid w:val="00F31EFA"/>
    <w:rsid w:val="00F3235B"/>
    <w:rsid w:val="00F37009"/>
    <w:rsid w:val="00F42A10"/>
    <w:rsid w:val="00F52EEA"/>
    <w:rsid w:val="00F53BC2"/>
    <w:rsid w:val="00F60E89"/>
    <w:rsid w:val="00F64300"/>
    <w:rsid w:val="00F65528"/>
    <w:rsid w:val="00F742C8"/>
    <w:rsid w:val="00F74FDA"/>
    <w:rsid w:val="00F75FAE"/>
    <w:rsid w:val="00F8086A"/>
    <w:rsid w:val="00F80A77"/>
    <w:rsid w:val="00F81A04"/>
    <w:rsid w:val="00F85068"/>
    <w:rsid w:val="00F9146D"/>
    <w:rsid w:val="00F976E4"/>
    <w:rsid w:val="00FA0824"/>
    <w:rsid w:val="00FA15E7"/>
    <w:rsid w:val="00FA244B"/>
    <w:rsid w:val="00FA53CA"/>
    <w:rsid w:val="00FA6AA4"/>
    <w:rsid w:val="00FB0616"/>
    <w:rsid w:val="00FB5FAA"/>
    <w:rsid w:val="00FB6146"/>
    <w:rsid w:val="00FC0E64"/>
    <w:rsid w:val="00FC5260"/>
    <w:rsid w:val="00FC5B6D"/>
    <w:rsid w:val="00FC6F4F"/>
    <w:rsid w:val="00FC7085"/>
    <w:rsid w:val="00FD0C4B"/>
    <w:rsid w:val="00FD128B"/>
    <w:rsid w:val="00FD2165"/>
    <w:rsid w:val="00FD38A8"/>
    <w:rsid w:val="00FD3C97"/>
    <w:rsid w:val="00FD43DB"/>
    <w:rsid w:val="00FD449A"/>
    <w:rsid w:val="00FD5669"/>
    <w:rsid w:val="00FD6009"/>
    <w:rsid w:val="00FD7243"/>
    <w:rsid w:val="00FE2DD5"/>
    <w:rsid w:val="00FE3EAC"/>
    <w:rsid w:val="00FE55FF"/>
    <w:rsid w:val="00FE658B"/>
    <w:rsid w:val="00FE7D92"/>
    <w:rsid w:val="00FF070B"/>
    <w:rsid w:val="00FF0741"/>
    <w:rsid w:val="00FF228C"/>
    <w:rsid w:val="00FF3E35"/>
    <w:rsid w:val="00FF4059"/>
    <w:rsid w:val="00FF4F31"/>
    <w:rsid w:val="DFFF86C4"/>
    <w:rsid w:val="F8FF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imes New Roman"/>
      <w:kern w:val="2"/>
      <w:sz w:val="32"/>
      <w:szCs w:val="20"/>
      <w:lang w:val="en-US" w:eastAsia="zh-CN" w:bidi="ar-SA"/>
    </w:rPr>
  </w:style>
  <w:style w:type="paragraph" w:styleId="2">
    <w:name w:val="heading 1"/>
    <w:basedOn w:val="1"/>
    <w:next w:val="1"/>
    <w:link w:val="33"/>
    <w:qFormat/>
    <w:uiPriority w:val="0"/>
    <w:pPr>
      <w:keepNext/>
      <w:keepLines/>
      <w:outlineLvl w:val="0"/>
    </w:pPr>
    <w:rPr>
      <w:rFonts w:eastAsia="黑体"/>
      <w:b/>
      <w:bCs/>
      <w:kern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35"/>
    <w:unhideWhenUsed/>
    <w:qFormat/>
    <w:uiPriority w:val="0"/>
    <w:pPr>
      <w:keepNext/>
      <w:keepLines/>
      <w:outlineLvl w:val="2"/>
    </w:pPr>
    <w:rPr>
      <w:rFonts w:eastAsia="楷体"/>
      <w:b/>
      <w:bCs/>
      <w:szCs w:val="32"/>
    </w:rPr>
  </w:style>
  <w:style w:type="paragraph" w:styleId="5">
    <w:name w:val="heading 4"/>
    <w:basedOn w:val="1"/>
    <w:next w:val="1"/>
    <w:link w:val="56"/>
    <w:unhideWhenUsed/>
    <w:qFormat/>
    <w:uiPriority w:val="9"/>
    <w:pPr>
      <w:adjustRightInd w:val="0"/>
      <w:ind w:firstLine="482"/>
      <w:outlineLvl w:val="3"/>
    </w:pPr>
    <w:rPr>
      <w:rFonts w:eastAsia="宋体"/>
      <w:b/>
      <w:bCs/>
      <w:sz w:val="24"/>
      <w:szCs w:val="21"/>
    </w:rPr>
  </w:style>
  <w:style w:type="paragraph" w:styleId="6">
    <w:name w:val="heading 5"/>
    <w:basedOn w:val="1"/>
    <w:next w:val="1"/>
    <w:link w:val="57"/>
    <w:unhideWhenUsed/>
    <w:qFormat/>
    <w:uiPriority w:val="9"/>
    <w:pPr>
      <w:keepNext/>
      <w:keepLines/>
      <w:adjustRightInd w:val="0"/>
      <w:outlineLvl w:val="4"/>
    </w:pPr>
    <w:rPr>
      <w:rFonts w:eastAsia="宋体"/>
      <w:b/>
      <w:bCs/>
      <w:sz w:val="24"/>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51"/>
    <w:qFormat/>
    <w:uiPriority w:val="35"/>
    <w:rPr>
      <w:rFonts w:ascii="Arial" w:hAnsi="Arial" w:eastAsia="黑体" w:cs="Arial"/>
      <w:sz w:val="21"/>
      <w:szCs w:val="22"/>
    </w:rPr>
  </w:style>
  <w:style w:type="paragraph" w:styleId="8">
    <w:name w:val="annotation text"/>
    <w:basedOn w:val="1"/>
    <w:link w:val="36"/>
    <w:semiHidden/>
    <w:unhideWhenUsed/>
    <w:qFormat/>
    <w:uiPriority w:val="99"/>
    <w:pPr>
      <w:jc w:val="left"/>
    </w:pPr>
  </w:style>
  <w:style w:type="paragraph" w:styleId="9">
    <w:name w:val="Body Text"/>
    <w:basedOn w:val="1"/>
    <w:link w:val="37"/>
    <w:qFormat/>
    <w:uiPriority w:val="99"/>
    <w:rPr>
      <w:szCs w:val="24"/>
    </w:rPr>
  </w:style>
  <w:style w:type="paragraph" w:styleId="10">
    <w:name w:val="Body Text Indent"/>
    <w:basedOn w:val="1"/>
    <w:link w:val="96"/>
    <w:qFormat/>
    <w:uiPriority w:val="0"/>
    <w:pPr>
      <w:spacing w:after="120" w:line="240" w:lineRule="auto"/>
      <w:ind w:left="420" w:leftChars="200" w:firstLine="0" w:firstLineChars="0"/>
    </w:pPr>
    <w:rPr>
      <w:rFonts w:eastAsia="宋体"/>
      <w:sz w:val="21"/>
      <w:szCs w:val="24"/>
      <w:lang w:val="zh-CN"/>
    </w:rPr>
  </w:style>
  <w:style w:type="paragraph" w:styleId="11">
    <w:name w:val="toc 3"/>
    <w:basedOn w:val="1"/>
    <w:next w:val="1"/>
    <w:unhideWhenUsed/>
    <w:qFormat/>
    <w:uiPriority w:val="39"/>
    <w:pPr>
      <w:ind w:left="840" w:leftChars="400"/>
    </w:pPr>
    <w:rPr>
      <w:rFonts w:asciiTheme="minorHAnsi" w:hAnsiTheme="minorHAnsi" w:eastAsiaTheme="minorEastAsia" w:cstheme="minorBidi"/>
      <w:sz w:val="21"/>
      <w:szCs w:val="22"/>
    </w:rPr>
  </w:style>
  <w:style w:type="paragraph" w:styleId="12">
    <w:name w:val="Date"/>
    <w:basedOn w:val="1"/>
    <w:next w:val="1"/>
    <w:link w:val="44"/>
    <w:unhideWhenUsed/>
    <w:qFormat/>
    <w:uiPriority w:val="99"/>
    <w:pPr>
      <w:ind w:left="100" w:leftChars="2500"/>
    </w:pPr>
  </w:style>
  <w:style w:type="paragraph" w:styleId="13">
    <w:name w:val="Body Text Indent 2"/>
    <w:basedOn w:val="1"/>
    <w:link w:val="68"/>
    <w:qFormat/>
    <w:uiPriority w:val="99"/>
    <w:pPr>
      <w:adjustRightInd w:val="0"/>
      <w:snapToGrid w:val="0"/>
      <w:ind w:firstLine="570" w:firstLineChars="0"/>
      <w:textAlignment w:val="baseline"/>
    </w:pPr>
    <w:rPr>
      <w:rFonts w:eastAsia="宋体"/>
      <w:kern w:val="0"/>
      <w:sz w:val="28"/>
    </w:rPr>
  </w:style>
  <w:style w:type="paragraph" w:styleId="14">
    <w:name w:val="Balloon Text"/>
    <w:basedOn w:val="1"/>
    <w:link w:val="40"/>
    <w:unhideWhenUsed/>
    <w:qFormat/>
    <w:uiPriority w:val="99"/>
    <w:rPr>
      <w:sz w:val="18"/>
      <w:szCs w:val="18"/>
    </w:rPr>
  </w:style>
  <w:style w:type="paragraph" w:styleId="15">
    <w:name w:val="footer"/>
    <w:basedOn w:val="1"/>
    <w:link w:val="42"/>
    <w:unhideWhenUsed/>
    <w:qFormat/>
    <w:uiPriority w:val="99"/>
    <w:pPr>
      <w:tabs>
        <w:tab w:val="center" w:pos="4153"/>
        <w:tab w:val="right" w:pos="8306"/>
      </w:tabs>
      <w:snapToGrid w:val="0"/>
      <w:jc w:val="left"/>
    </w:pPr>
    <w:rPr>
      <w:sz w:val="18"/>
      <w:szCs w:val="18"/>
    </w:rPr>
  </w:style>
  <w:style w:type="paragraph" w:styleId="16">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ind w:firstLine="0" w:firstLineChars="0"/>
    </w:pPr>
    <w:rPr>
      <w:rFonts w:ascii="仿宋_GB2312" w:eastAsia="仿宋_GB2312"/>
      <w:b/>
      <w:bCs/>
      <w:sz w:val="28"/>
      <w:szCs w:val="28"/>
      <w:shd w:val="clear" w:color="auto" w:fill="FFFFFF"/>
      <w:lang w:val="zh-CN"/>
    </w:rPr>
  </w:style>
  <w:style w:type="paragraph" w:styleId="18">
    <w:name w:val="Subtitle"/>
    <w:basedOn w:val="1"/>
    <w:next w:val="1"/>
    <w:link w:val="89"/>
    <w:qFormat/>
    <w:uiPriority w:val="99"/>
    <w:pPr>
      <w:widowControl/>
      <w:numPr>
        <w:ilvl w:val="2"/>
        <w:numId w:val="1"/>
      </w:numPr>
      <w:snapToGrid w:val="0"/>
      <w:spacing w:before="156" w:beforeLines="50"/>
      <w:ind w:left="0" w:firstLine="1134" w:firstLineChars="0"/>
      <w:jc w:val="left"/>
      <w:outlineLvl w:val="2"/>
    </w:pPr>
    <w:rPr>
      <w:rFonts w:eastAsia="宋体"/>
      <w:b/>
      <w:color w:val="000000"/>
      <w:sz w:val="28"/>
      <w:szCs w:val="28"/>
    </w:rPr>
  </w:style>
  <w:style w:type="paragraph" w:styleId="19">
    <w:name w:val="footnote text"/>
    <w:basedOn w:val="1"/>
    <w:link w:val="52"/>
    <w:unhideWhenUsed/>
    <w:qFormat/>
    <w:uiPriority w:val="99"/>
    <w:pPr>
      <w:snapToGrid w:val="0"/>
      <w:jc w:val="left"/>
    </w:pPr>
    <w:rPr>
      <w:rFonts w:eastAsia="Times New Roman"/>
      <w:kern w:val="0"/>
      <w:sz w:val="18"/>
      <w:szCs w:val="18"/>
    </w:rPr>
  </w:style>
  <w:style w:type="paragraph" w:styleId="20">
    <w:name w:val="Body Text Indent 3"/>
    <w:basedOn w:val="1"/>
    <w:link w:val="119"/>
    <w:semiHidden/>
    <w:unhideWhenUsed/>
    <w:qFormat/>
    <w:uiPriority w:val="99"/>
    <w:pPr>
      <w:spacing w:after="120" w:line="240" w:lineRule="auto"/>
      <w:ind w:left="420" w:leftChars="200" w:firstLine="0" w:firstLineChars="0"/>
    </w:pPr>
    <w:rPr>
      <w:rFonts w:eastAsia="宋体"/>
      <w:sz w:val="16"/>
      <w:szCs w:val="16"/>
    </w:rPr>
  </w:style>
  <w:style w:type="paragraph" w:styleId="21">
    <w:name w:val="toc 2"/>
    <w:basedOn w:val="1"/>
    <w:next w:val="1"/>
    <w:unhideWhenUsed/>
    <w:qFormat/>
    <w:uiPriority w:val="39"/>
    <w:pPr>
      <w:ind w:left="420" w:leftChars="200"/>
    </w:pPr>
    <w:rPr>
      <w:rFonts w:asciiTheme="minorHAnsi" w:hAnsiTheme="minorHAnsi" w:eastAsiaTheme="minorEastAsia" w:cstheme="minorBidi"/>
      <w:sz w:val="21"/>
      <w:szCs w:val="22"/>
    </w:rPr>
  </w:style>
  <w:style w:type="paragraph" w:styleId="2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8"/>
    <w:next w:val="8"/>
    <w:link w:val="54"/>
    <w:semiHidden/>
    <w:unhideWhenUsed/>
    <w:qFormat/>
    <w:uiPriority w:val="99"/>
    <w:rPr>
      <w:b/>
      <w:bCs/>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800080" w:themeColor="followedHyperlink"/>
      <w:u w:val="single"/>
      <w14:textFill>
        <w14:solidFill>
          <w14:schemeClr w14:val="folHlink"/>
        </w14:solidFill>
      </w14:textFill>
    </w:rPr>
  </w:style>
  <w:style w:type="character" w:styleId="29">
    <w:name w:val="Emphasis"/>
    <w:basedOn w:val="26"/>
    <w:qFormat/>
    <w:uiPriority w:val="20"/>
    <w:rPr>
      <w:color w:val="F73131"/>
    </w:rPr>
  </w:style>
  <w:style w:type="character" w:styleId="30">
    <w:name w:val="Hyperlink"/>
    <w:basedOn w:val="26"/>
    <w:unhideWhenUsed/>
    <w:qFormat/>
    <w:uiPriority w:val="99"/>
    <w:rPr>
      <w:color w:val="0000FF" w:themeColor="hyperlink"/>
      <w:u w:val="single"/>
      <w14:textFill>
        <w14:solidFill>
          <w14:schemeClr w14:val="hlink"/>
        </w14:solidFill>
      </w14:textFill>
    </w:rPr>
  </w:style>
  <w:style w:type="character" w:styleId="31">
    <w:name w:val="annotation reference"/>
    <w:basedOn w:val="26"/>
    <w:semiHidden/>
    <w:unhideWhenUsed/>
    <w:qFormat/>
    <w:uiPriority w:val="0"/>
    <w:rPr>
      <w:sz w:val="21"/>
      <w:szCs w:val="21"/>
    </w:rPr>
  </w:style>
  <w:style w:type="character" w:styleId="32">
    <w:name w:val="footnote reference"/>
    <w:unhideWhenUsed/>
    <w:qFormat/>
    <w:uiPriority w:val="0"/>
    <w:rPr>
      <w:rFonts w:hint="default" w:ascii="Times New Roman" w:hAnsi="Times New Roman" w:cs="Times New Roman"/>
      <w:vertAlign w:val="superscript"/>
    </w:rPr>
  </w:style>
  <w:style w:type="character" w:customStyle="1" w:styleId="33">
    <w:name w:val="标题 1 Char"/>
    <w:basedOn w:val="26"/>
    <w:link w:val="2"/>
    <w:qFormat/>
    <w:uiPriority w:val="9"/>
    <w:rPr>
      <w:rFonts w:ascii="Times New Roman" w:hAnsi="Times New Roman" w:eastAsia="黑体" w:cs="Times New Roman"/>
      <w:b/>
      <w:bCs/>
      <w:kern w:val="44"/>
      <w:sz w:val="32"/>
      <w:szCs w:val="44"/>
    </w:rPr>
  </w:style>
  <w:style w:type="character" w:customStyle="1" w:styleId="34">
    <w:name w:val="标题 2 Char"/>
    <w:basedOn w:val="26"/>
    <w:link w:val="3"/>
    <w:qFormat/>
    <w:uiPriority w:val="9"/>
    <w:rPr>
      <w:rFonts w:asciiTheme="majorHAnsi" w:hAnsiTheme="majorHAnsi" w:eastAsiaTheme="majorEastAsia" w:cstheme="majorBidi"/>
      <w:b/>
      <w:bCs/>
      <w:sz w:val="32"/>
      <w:szCs w:val="32"/>
    </w:rPr>
  </w:style>
  <w:style w:type="character" w:customStyle="1" w:styleId="35">
    <w:name w:val="标题 3 Char"/>
    <w:basedOn w:val="26"/>
    <w:link w:val="4"/>
    <w:qFormat/>
    <w:uiPriority w:val="0"/>
    <w:rPr>
      <w:rFonts w:ascii="Times New Roman" w:hAnsi="Times New Roman" w:eastAsia="楷体" w:cs="Times New Roman"/>
      <w:b/>
      <w:bCs/>
      <w:sz w:val="32"/>
      <w:szCs w:val="32"/>
    </w:rPr>
  </w:style>
  <w:style w:type="character" w:customStyle="1" w:styleId="36">
    <w:name w:val="批注文字 Char"/>
    <w:basedOn w:val="26"/>
    <w:link w:val="8"/>
    <w:semiHidden/>
    <w:qFormat/>
    <w:uiPriority w:val="99"/>
    <w:rPr>
      <w:rFonts w:ascii="Times New Roman" w:hAnsi="Times New Roman" w:eastAsia="仿宋_GB2312" w:cs="Times New Roman"/>
      <w:sz w:val="32"/>
      <w:szCs w:val="20"/>
    </w:rPr>
  </w:style>
  <w:style w:type="character" w:customStyle="1" w:styleId="37">
    <w:name w:val="正文文本 Char"/>
    <w:basedOn w:val="26"/>
    <w:link w:val="9"/>
    <w:qFormat/>
    <w:uiPriority w:val="99"/>
    <w:rPr>
      <w:rFonts w:ascii="Times New Roman" w:hAnsi="Times New Roman" w:eastAsia="仿宋" w:cs="Times New Roman"/>
      <w:sz w:val="32"/>
      <w:szCs w:val="24"/>
    </w:rPr>
  </w:style>
  <w:style w:type="character" w:customStyle="1" w:styleId="38">
    <w:name w:val="bjh-p"/>
    <w:basedOn w:val="26"/>
    <w:qFormat/>
    <w:uiPriority w:val="0"/>
  </w:style>
  <w:style w:type="character" w:customStyle="1" w:styleId="39">
    <w:name w:val="content-right_8zs401"/>
    <w:basedOn w:val="26"/>
    <w:qFormat/>
    <w:uiPriority w:val="0"/>
  </w:style>
  <w:style w:type="character" w:customStyle="1" w:styleId="40">
    <w:name w:val="批注框文本 Char"/>
    <w:basedOn w:val="26"/>
    <w:link w:val="14"/>
    <w:qFormat/>
    <w:uiPriority w:val="99"/>
    <w:rPr>
      <w:rFonts w:ascii="Times New Roman" w:hAnsi="Times New Roman" w:eastAsia="仿宋_GB2312" w:cs="Times New Roman"/>
      <w:sz w:val="18"/>
      <w:szCs w:val="18"/>
    </w:rPr>
  </w:style>
  <w:style w:type="character" w:customStyle="1" w:styleId="41">
    <w:name w:val="页眉 Char"/>
    <w:basedOn w:val="26"/>
    <w:link w:val="16"/>
    <w:qFormat/>
    <w:uiPriority w:val="99"/>
    <w:rPr>
      <w:rFonts w:ascii="Times New Roman" w:hAnsi="Times New Roman" w:eastAsia="仿宋_GB2312" w:cs="Times New Roman"/>
      <w:sz w:val="18"/>
      <w:szCs w:val="18"/>
    </w:rPr>
  </w:style>
  <w:style w:type="character" w:customStyle="1" w:styleId="42">
    <w:name w:val="页脚 Char"/>
    <w:basedOn w:val="26"/>
    <w:link w:val="15"/>
    <w:qFormat/>
    <w:uiPriority w:val="99"/>
    <w:rPr>
      <w:rFonts w:ascii="Times New Roman" w:hAnsi="Times New Roman" w:eastAsia="仿宋_GB2312" w:cs="Times New Roman"/>
      <w:sz w:val="18"/>
      <w:szCs w:val="18"/>
    </w:rPr>
  </w:style>
  <w:style w:type="character" w:customStyle="1" w:styleId="43">
    <w:name w:val="书籍标题1"/>
    <w:basedOn w:val="26"/>
    <w:qFormat/>
    <w:uiPriority w:val="33"/>
    <w:rPr>
      <w:rFonts w:ascii="方正小标宋简体" w:eastAsia="方正小标宋简体"/>
      <w:b/>
      <w:spacing w:val="5"/>
      <w:sz w:val="52"/>
      <w:szCs w:val="52"/>
    </w:rPr>
  </w:style>
  <w:style w:type="character" w:customStyle="1" w:styleId="44">
    <w:name w:val="日期 Char"/>
    <w:basedOn w:val="26"/>
    <w:link w:val="12"/>
    <w:qFormat/>
    <w:uiPriority w:val="99"/>
    <w:rPr>
      <w:rFonts w:ascii="Times New Roman" w:hAnsi="Times New Roman" w:eastAsia="仿宋_GB2312" w:cs="Times New Roman"/>
      <w:sz w:val="32"/>
      <w:szCs w:val="20"/>
    </w:rPr>
  </w:style>
  <w:style w:type="paragraph" w:customStyle="1" w:styleId="45">
    <w:name w:val="Revision"/>
    <w:hidden/>
    <w:semiHidden/>
    <w:qFormat/>
    <w:uiPriority w:val="99"/>
    <w:rPr>
      <w:rFonts w:ascii="Times New Roman" w:hAnsi="Times New Roman" w:eastAsia="仿宋_GB2312" w:cs="Times New Roman"/>
      <w:kern w:val="2"/>
      <w:sz w:val="32"/>
      <w:szCs w:val="20"/>
      <w:lang w:val="en-US" w:eastAsia="zh-CN" w:bidi="ar-SA"/>
    </w:rPr>
  </w:style>
  <w:style w:type="paragraph" w:styleId="46">
    <w:name w:val="List Paragraph"/>
    <w:basedOn w:val="1"/>
    <w:qFormat/>
    <w:uiPriority w:val="34"/>
    <w:pPr>
      <w:ind w:firstLine="420"/>
    </w:pPr>
  </w:style>
  <w:style w:type="paragraph" w:customStyle="1" w:styleId="47">
    <w:name w:val="10正文"/>
    <w:basedOn w:val="1"/>
    <w:link w:val="48"/>
    <w:qFormat/>
    <w:uiPriority w:val="0"/>
    <w:pPr>
      <w:ind w:firstLine="624"/>
    </w:pPr>
    <w:rPr>
      <w:szCs w:val="32"/>
    </w:rPr>
  </w:style>
  <w:style w:type="character" w:customStyle="1" w:styleId="48">
    <w:name w:val="10正文 Char"/>
    <w:link w:val="47"/>
    <w:qFormat/>
    <w:uiPriority w:val="0"/>
    <w:rPr>
      <w:rFonts w:ascii="Times New Roman" w:hAnsi="Times New Roman" w:eastAsia="仿宋_GB2312" w:cs="Times New Roman"/>
      <w:sz w:val="32"/>
      <w:szCs w:val="32"/>
    </w:rPr>
  </w:style>
  <w:style w:type="paragraph" w:customStyle="1" w:styleId="49">
    <w:name w:val="Char Char11 Char Char"/>
    <w:basedOn w:val="1"/>
    <w:qFormat/>
    <w:uiPriority w:val="0"/>
    <w:rPr>
      <w:rFonts w:ascii="Arial" w:hAnsi="Arial" w:eastAsia="宋体" w:cs="Arial"/>
      <w:sz w:val="20"/>
    </w:rPr>
  </w:style>
  <w:style w:type="paragraph" w:customStyle="1" w:styleId="50">
    <w:name w:val="TOC Heading"/>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题注 Char"/>
    <w:link w:val="7"/>
    <w:qFormat/>
    <w:uiPriority w:val="35"/>
    <w:rPr>
      <w:rFonts w:ascii="Arial" w:hAnsi="Arial" w:eastAsia="黑体" w:cs="Arial"/>
    </w:rPr>
  </w:style>
  <w:style w:type="character" w:customStyle="1" w:styleId="52">
    <w:name w:val="脚注文本 Char1"/>
    <w:basedOn w:val="26"/>
    <w:link w:val="19"/>
    <w:qFormat/>
    <w:uiPriority w:val="99"/>
    <w:rPr>
      <w:rFonts w:ascii="Times New Roman" w:hAnsi="Times New Roman" w:eastAsia="Times New Roman" w:cs="Times New Roman"/>
      <w:kern w:val="0"/>
      <w:sz w:val="18"/>
      <w:szCs w:val="18"/>
    </w:rPr>
  </w:style>
  <w:style w:type="character" w:customStyle="1" w:styleId="53">
    <w:name w:val="脚注文本 Char"/>
    <w:basedOn w:val="26"/>
    <w:semiHidden/>
    <w:qFormat/>
    <w:uiPriority w:val="99"/>
    <w:rPr>
      <w:rFonts w:ascii="Times New Roman" w:hAnsi="Times New Roman" w:eastAsia="仿宋_GB2312" w:cs="Times New Roman"/>
      <w:sz w:val="18"/>
      <w:szCs w:val="18"/>
    </w:rPr>
  </w:style>
  <w:style w:type="character" w:customStyle="1" w:styleId="54">
    <w:name w:val="批注主题 Char"/>
    <w:basedOn w:val="36"/>
    <w:link w:val="23"/>
    <w:semiHidden/>
    <w:qFormat/>
    <w:uiPriority w:val="99"/>
    <w:rPr>
      <w:rFonts w:ascii="Times New Roman" w:hAnsi="Times New Roman" w:eastAsia="仿宋_GB2312" w:cs="Times New Roman"/>
      <w:b/>
      <w:bCs/>
      <w:sz w:val="32"/>
      <w:szCs w:val="20"/>
    </w:rPr>
  </w:style>
  <w:style w:type="table" w:customStyle="1" w:styleId="55">
    <w:name w:val="网格型1"/>
    <w:basedOn w:val="2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6">
    <w:name w:val="标题 4 Char"/>
    <w:basedOn w:val="26"/>
    <w:link w:val="5"/>
    <w:qFormat/>
    <w:uiPriority w:val="9"/>
    <w:rPr>
      <w:rFonts w:ascii="Times New Roman" w:hAnsi="Times New Roman" w:eastAsia="宋体" w:cs="Times New Roman"/>
      <w:b/>
      <w:bCs/>
      <w:sz w:val="24"/>
      <w:szCs w:val="21"/>
    </w:rPr>
  </w:style>
  <w:style w:type="character" w:customStyle="1" w:styleId="57">
    <w:name w:val="标题 5 Char"/>
    <w:basedOn w:val="26"/>
    <w:link w:val="6"/>
    <w:qFormat/>
    <w:uiPriority w:val="9"/>
    <w:rPr>
      <w:rFonts w:ascii="Times New Roman" w:hAnsi="Times New Roman" w:eastAsia="宋体" w:cs="Times New Roman"/>
      <w:b/>
      <w:bCs/>
      <w:sz w:val="24"/>
      <w:szCs w:val="28"/>
    </w:rPr>
  </w:style>
  <w:style w:type="paragraph" w:customStyle="1" w:styleId="58">
    <w:name w:val="页眉样式"/>
    <w:basedOn w:val="59"/>
    <w:link w:val="61"/>
    <w:qFormat/>
    <w:uiPriority w:val="0"/>
    <w:pPr>
      <w:pBdr>
        <w:bottom w:val="thickThinSmallGap" w:color="auto" w:sz="24" w:space="1"/>
      </w:pBdr>
      <w:tabs>
        <w:tab w:val="right" w:pos="8647"/>
      </w:tabs>
      <w:ind w:firstLine="0" w:firstLineChars="0"/>
      <w:jc w:val="left"/>
    </w:pPr>
    <w:rPr>
      <w:rFonts w:ascii="Times New Roman" w:hAnsi="Times New Roman" w:eastAsia="宋体"/>
      <w:b/>
      <w:sz w:val="18"/>
    </w:rPr>
  </w:style>
  <w:style w:type="paragraph" w:styleId="59">
    <w:name w:val="No Spacing"/>
    <w:link w:val="60"/>
    <w:qFormat/>
    <w:uiPriority w:val="99"/>
    <w:pPr>
      <w:widowControl w:val="0"/>
      <w:adjustRightInd w:val="0"/>
      <w:snapToGrid w:val="0"/>
      <w:ind w:firstLine="480" w:firstLineChars="200"/>
      <w:jc w:val="both"/>
    </w:pPr>
    <w:rPr>
      <w:rFonts w:asciiTheme="minorHAnsi" w:hAnsiTheme="minorHAnsi" w:eastAsiaTheme="minorEastAsia" w:cstheme="minorBidi"/>
      <w:kern w:val="2"/>
      <w:sz w:val="21"/>
      <w:szCs w:val="21"/>
      <w:lang w:val="en-US" w:eastAsia="zh-CN" w:bidi="ar-SA"/>
    </w:rPr>
  </w:style>
  <w:style w:type="character" w:customStyle="1" w:styleId="60">
    <w:name w:val="无间隔 Char"/>
    <w:basedOn w:val="26"/>
    <w:link w:val="59"/>
    <w:qFormat/>
    <w:uiPriority w:val="99"/>
    <w:rPr>
      <w:szCs w:val="21"/>
    </w:rPr>
  </w:style>
  <w:style w:type="character" w:customStyle="1" w:styleId="61">
    <w:name w:val="页眉样式 Char"/>
    <w:basedOn w:val="60"/>
    <w:link w:val="58"/>
    <w:qFormat/>
    <w:uiPriority w:val="0"/>
    <w:rPr>
      <w:rFonts w:ascii="Times New Roman" w:hAnsi="Times New Roman" w:eastAsia="宋体"/>
      <w:b/>
      <w:sz w:val="18"/>
      <w:szCs w:val="21"/>
    </w:rPr>
  </w:style>
  <w:style w:type="paragraph" w:customStyle="1" w:styleId="62">
    <w:name w:val="图名"/>
    <w:basedOn w:val="7"/>
    <w:link w:val="63"/>
    <w:qFormat/>
    <w:uiPriority w:val="0"/>
    <w:pPr>
      <w:adjustRightInd w:val="0"/>
      <w:ind w:firstLine="0" w:firstLineChars="0"/>
      <w:jc w:val="center"/>
    </w:pPr>
    <w:rPr>
      <w:rFonts w:ascii="Times New Roman" w:hAnsi="Times New Roman" w:eastAsia="宋体"/>
      <w:b/>
      <w:sz w:val="24"/>
      <w:szCs w:val="21"/>
    </w:rPr>
  </w:style>
  <w:style w:type="character" w:customStyle="1" w:styleId="63">
    <w:name w:val="图名 字符"/>
    <w:basedOn w:val="26"/>
    <w:link w:val="62"/>
    <w:qFormat/>
    <w:uiPriority w:val="0"/>
    <w:rPr>
      <w:rFonts w:ascii="Times New Roman" w:hAnsi="Times New Roman" w:eastAsia="宋体" w:cs="Arial"/>
      <w:b/>
      <w:sz w:val="24"/>
      <w:szCs w:val="21"/>
    </w:rPr>
  </w:style>
  <w:style w:type="paragraph" w:customStyle="1" w:styleId="64">
    <w:name w:val="TOC 71"/>
    <w:basedOn w:val="1"/>
    <w:next w:val="1"/>
    <w:unhideWhenUsed/>
    <w:qFormat/>
    <w:uiPriority w:val="39"/>
    <w:pPr>
      <w:ind w:left="1440"/>
      <w:jc w:val="left"/>
    </w:pPr>
    <w:rPr>
      <w:rFonts w:eastAsia="宋体" w:cs="等线"/>
      <w:sz w:val="20"/>
    </w:rPr>
  </w:style>
  <w:style w:type="character" w:customStyle="1" w:styleId="65">
    <w:name w:val="正文文本缩进 字符"/>
    <w:basedOn w:val="26"/>
    <w:qFormat/>
    <w:uiPriority w:val="0"/>
    <w:rPr>
      <w:rFonts w:ascii="Times New Roman" w:hAnsi="Times New Roman" w:eastAsia="仿宋" w:cs="Times New Roman"/>
      <w:sz w:val="32"/>
      <w:szCs w:val="20"/>
    </w:rPr>
  </w:style>
  <w:style w:type="paragraph" w:customStyle="1" w:styleId="66">
    <w:name w:val="TOC 51"/>
    <w:basedOn w:val="1"/>
    <w:next w:val="1"/>
    <w:unhideWhenUsed/>
    <w:qFormat/>
    <w:uiPriority w:val="39"/>
    <w:pPr>
      <w:ind w:left="960"/>
      <w:jc w:val="left"/>
    </w:pPr>
    <w:rPr>
      <w:rFonts w:eastAsia="宋体" w:cs="等线"/>
      <w:sz w:val="20"/>
    </w:rPr>
  </w:style>
  <w:style w:type="paragraph" w:customStyle="1" w:styleId="67">
    <w:name w:val="TOC 81"/>
    <w:basedOn w:val="1"/>
    <w:next w:val="1"/>
    <w:unhideWhenUsed/>
    <w:qFormat/>
    <w:uiPriority w:val="39"/>
    <w:pPr>
      <w:ind w:left="1680"/>
      <w:jc w:val="left"/>
    </w:pPr>
    <w:rPr>
      <w:rFonts w:eastAsia="宋体" w:cs="等线"/>
      <w:sz w:val="20"/>
    </w:rPr>
  </w:style>
  <w:style w:type="character" w:customStyle="1" w:styleId="68">
    <w:name w:val="正文文本缩进 2 Char1"/>
    <w:basedOn w:val="26"/>
    <w:link w:val="13"/>
    <w:qFormat/>
    <w:uiPriority w:val="99"/>
    <w:rPr>
      <w:rFonts w:ascii="Times New Roman" w:hAnsi="Times New Roman" w:eastAsia="宋体" w:cs="Times New Roman"/>
      <w:kern w:val="0"/>
      <w:sz w:val="28"/>
      <w:szCs w:val="20"/>
    </w:rPr>
  </w:style>
  <w:style w:type="paragraph" w:customStyle="1" w:styleId="69">
    <w:name w:val="TOC 41"/>
    <w:basedOn w:val="1"/>
    <w:next w:val="1"/>
    <w:unhideWhenUsed/>
    <w:qFormat/>
    <w:uiPriority w:val="39"/>
    <w:pPr>
      <w:ind w:left="720"/>
      <w:jc w:val="left"/>
    </w:pPr>
    <w:rPr>
      <w:rFonts w:eastAsia="宋体" w:cs="等线"/>
      <w:sz w:val="20"/>
    </w:rPr>
  </w:style>
  <w:style w:type="character" w:customStyle="1" w:styleId="70">
    <w:name w:val="副标题 字符"/>
    <w:basedOn w:val="26"/>
    <w:qFormat/>
    <w:uiPriority w:val="0"/>
    <w:rPr>
      <w:b/>
      <w:bCs/>
      <w:kern w:val="28"/>
      <w:sz w:val="32"/>
      <w:szCs w:val="32"/>
    </w:rPr>
  </w:style>
  <w:style w:type="paragraph" w:customStyle="1" w:styleId="71">
    <w:name w:val="TOC 61"/>
    <w:basedOn w:val="1"/>
    <w:next w:val="1"/>
    <w:unhideWhenUsed/>
    <w:qFormat/>
    <w:uiPriority w:val="39"/>
    <w:pPr>
      <w:ind w:left="1200"/>
      <w:jc w:val="left"/>
    </w:pPr>
    <w:rPr>
      <w:rFonts w:eastAsia="宋体" w:cs="等线"/>
      <w:sz w:val="20"/>
    </w:rPr>
  </w:style>
  <w:style w:type="paragraph" w:customStyle="1" w:styleId="72">
    <w:name w:val="TOC 91"/>
    <w:basedOn w:val="1"/>
    <w:next w:val="1"/>
    <w:unhideWhenUsed/>
    <w:qFormat/>
    <w:uiPriority w:val="39"/>
    <w:pPr>
      <w:ind w:left="1920"/>
      <w:jc w:val="left"/>
    </w:pPr>
    <w:rPr>
      <w:rFonts w:eastAsia="宋体" w:cs="等线"/>
      <w:sz w:val="20"/>
    </w:rPr>
  </w:style>
  <w:style w:type="table" w:customStyle="1" w:styleId="73">
    <w:name w:val="liucj1"/>
    <w:basedOn w:val="24"/>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4">
    <w:name w:val="xl33"/>
    <w:basedOn w:val="1"/>
    <w:qFormat/>
    <w:uiPriority w:val="99"/>
    <w:pPr>
      <w:widowControl/>
      <w:spacing w:before="100" w:beforeAutospacing="1" w:after="100" w:afterAutospacing="1" w:line="240" w:lineRule="auto"/>
      <w:ind w:firstLine="0" w:firstLineChars="0"/>
      <w:jc w:val="center"/>
      <w:textAlignment w:val="center"/>
    </w:pPr>
    <w:rPr>
      <w:rFonts w:ascii="宋体" w:hAnsi="宋体" w:eastAsia="宋体"/>
      <w:b/>
      <w:bCs/>
      <w:kern w:val="0"/>
      <w:sz w:val="24"/>
      <w:szCs w:val="24"/>
    </w:rPr>
  </w:style>
  <w:style w:type="paragraph" w:customStyle="1" w:styleId="75">
    <w:name w:val="xl31"/>
    <w:basedOn w:val="1"/>
    <w:qFormat/>
    <w:uiPriority w:val="99"/>
    <w:pPr>
      <w:widowControl/>
      <w:pBdr>
        <w:left w:val="single" w:color="auto" w:sz="4" w:space="0"/>
        <w:bottom w:val="single" w:color="auto" w:sz="4" w:space="0"/>
        <w:right w:val="single" w:color="auto" w:sz="4" w:space="0"/>
      </w:pBdr>
      <w:spacing w:before="100" w:after="100" w:line="240" w:lineRule="auto"/>
      <w:ind w:firstLine="0" w:firstLineChars="0"/>
      <w:jc w:val="center"/>
    </w:pPr>
    <w:rPr>
      <w:rFonts w:ascii="宋体" w:hAnsi="宋体" w:eastAsia="宋体"/>
      <w:kern w:val="0"/>
      <w:sz w:val="20"/>
    </w:rPr>
  </w:style>
  <w:style w:type="character" w:customStyle="1" w:styleId="76">
    <w:name w:val="表名 Char"/>
    <w:link w:val="77"/>
    <w:qFormat/>
    <w:uiPriority w:val="0"/>
    <w:rPr>
      <w:rFonts w:ascii="Arial" w:hAnsi="Arial" w:eastAsia="楷体_GB2312"/>
    </w:rPr>
  </w:style>
  <w:style w:type="paragraph" w:customStyle="1" w:styleId="77">
    <w:name w:val="表名"/>
    <w:basedOn w:val="1"/>
    <w:next w:val="1"/>
    <w:link w:val="76"/>
    <w:qFormat/>
    <w:uiPriority w:val="0"/>
    <w:pPr>
      <w:spacing w:line="240" w:lineRule="auto"/>
      <w:ind w:firstLine="0" w:firstLineChars="0"/>
    </w:pPr>
    <w:rPr>
      <w:rFonts w:ascii="Arial" w:hAnsi="Arial" w:eastAsia="楷体_GB2312" w:cstheme="minorBidi"/>
      <w:sz w:val="21"/>
      <w:szCs w:val="22"/>
    </w:rPr>
  </w:style>
  <w:style w:type="paragraph" w:customStyle="1" w:styleId="78">
    <w:name w:val="表格五号"/>
    <w:basedOn w:val="1"/>
    <w:qFormat/>
    <w:uiPriority w:val="0"/>
    <w:pPr>
      <w:adjustRightInd w:val="0"/>
      <w:spacing w:line="240" w:lineRule="auto"/>
      <w:ind w:firstLine="0" w:firstLineChars="0"/>
      <w:jc w:val="left"/>
    </w:pPr>
    <w:rPr>
      <w:rFonts w:ascii="Arial" w:hAnsi="Arial" w:eastAsia="楷体_GB2312"/>
      <w:sz w:val="21"/>
    </w:rPr>
  </w:style>
  <w:style w:type="paragraph" w:customStyle="1" w:styleId="79">
    <w:name w:val="正文1"/>
    <w:basedOn w:val="1"/>
    <w:qFormat/>
    <w:uiPriority w:val="99"/>
    <w:pPr>
      <w:adjustRightInd w:val="0"/>
      <w:snapToGrid w:val="0"/>
      <w:spacing w:before="120" w:after="120"/>
    </w:pPr>
    <w:rPr>
      <w:rFonts w:ascii="宋体" w:eastAsia="宋体"/>
      <w:sz w:val="24"/>
      <w:szCs w:val="24"/>
    </w:rPr>
  </w:style>
  <w:style w:type="character" w:customStyle="1" w:styleId="80">
    <w:name w:val="新重点文字 Char Char"/>
    <w:link w:val="81"/>
    <w:qFormat/>
    <w:uiPriority w:val="0"/>
    <w:rPr>
      <w:b/>
      <w:color w:val="000000"/>
      <w:sz w:val="24"/>
      <w:szCs w:val="24"/>
      <w:lang w:val="zh-CN"/>
    </w:rPr>
  </w:style>
  <w:style w:type="paragraph" w:customStyle="1" w:styleId="81">
    <w:name w:val="新重点文字"/>
    <w:basedOn w:val="1"/>
    <w:link w:val="80"/>
    <w:qFormat/>
    <w:uiPriority w:val="0"/>
    <w:pPr>
      <w:spacing w:before="120" w:after="120"/>
    </w:pPr>
    <w:rPr>
      <w:rFonts w:asciiTheme="minorHAnsi" w:hAnsiTheme="minorHAnsi" w:eastAsiaTheme="minorEastAsia" w:cstheme="minorBidi"/>
      <w:b/>
      <w:color w:val="000000"/>
      <w:sz w:val="24"/>
      <w:szCs w:val="24"/>
      <w:lang w:val="zh-CN"/>
    </w:rPr>
  </w:style>
  <w:style w:type="paragraph" w:customStyle="1" w:styleId="82">
    <w:name w:val="Default"/>
    <w:qFormat/>
    <w:uiPriority w:val="99"/>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83">
    <w:name w:val="基本正文 Char Char"/>
    <w:link w:val="84"/>
    <w:qFormat/>
    <w:uiPriority w:val="0"/>
    <w:rPr>
      <w:rFonts w:ascii="宋体" w:hAnsi="宋体" w:cs="宋体"/>
      <w:sz w:val="24"/>
    </w:rPr>
  </w:style>
  <w:style w:type="paragraph" w:customStyle="1" w:styleId="84">
    <w:name w:val="基本正文"/>
    <w:basedOn w:val="1"/>
    <w:link w:val="83"/>
    <w:qFormat/>
    <w:uiPriority w:val="0"/>
    <w:pPr>
      <w:spacing w:before="156" w:beforeLines="50"/>
    </w:pPr>
    <w:rPr>
      <w:rFonts w:ascii="宋体" w:hAnsi="宋体" w:cs="宋体" w:eastAsiaTheme="minorEastAsia"/>
      <w:sz w:val="24"/>
      <w:szCs w:val="22"/>
    </w:rPr>
  </w:style>
  <w:style w:type="paragraph" w:customStyle="1" w:styleId="85">
    <w:name w:val="样式 首行缩进:  0.85 厘米5"/>
    <w:basedOn w:val="1"/>
    <w:qFormat/>
    <w:uiPriority w:val="99"/>
    <w:pPr>
      <w:spacing w:line="264" w:lineRule="auto"/>
      <w:ind w:firstLine="482" w:firstLineChars="0"/>
    </w:pPr>
    <w:rPr>
      <w:rFonts w:eastAsia="宋体" w:cs="宋体"/>
      <w:sz w:val="24"/>
    </w:rPr>
  </w:style>
  <w:style w:type="paragraph" w:customStyle="1" w:styleId="86">
    <w:name w:val="二级标题"/>
    <w:basedOn w:val="1"/>
    <w:next w:val="1"/>
    <w:qFormat/>
    <w:uiPriority w:val="99"/>
    <w:pPr>
      <w:widowControl/>
      <w:numPr>
        <w:ilvl w:val="1"/>
        <w:numId w:val="1"/>
      </w:numPr>
      <w:adjustRightInd w:val="0"/>
      <w:snapToGrid w:val="0"/>
      <w:ind w:firstLine="0" w:firstLineChars="0"/>
      <w:jc w:val="left"/>
      <w:outlineLvl w:val="1"/>
    </w:pPr>
    <w:rPr>
      <w:rFonts w:eastAsia="宋体"/>
      <w:kern w:val="0"/>
      <w:sz w:val="24"/>
      <w:szCs w:val="24"/>
      <w:lang w:val="zh-CN"/>
    </w:rPr>
  </w:style>
  <w:style w:type="character" w:customStyle="1" w:styleId="87">
    <w:name w:val="正文 Char Char Char Char Char Char Char"/>
    <w:link w:val="88"/>
    <w:qFormat/>
    <w:uiPriority w:val="0"/>
    <w:rPr>
      <w:rFonts w:ascii="宋体" w:cs="宋体"/>
      <w:sz w:val="24"/>
    </w:rPr>
  </w:style>
  <w:style w:type="paragraph" w:customStyle="1" w:styleId="88">
    <w:name w:val="正文 Char Char Char Char Char"/>
    <w:basedOn w:val="1"/>
    <w:link w:val="87"/>
    <w:qFormat/>
    <w:uiPriority w:val="0"/>
    <w:pPr>
      <w:widowControl/>
      <w:ind w:firstLine="480"/>
    </w:pPr>
    <w:rPr>
      <w:rFonts w:ascii="宋体" w:cs="宋体" w:hAnsiTheme="minorHAnsi" w:eastAsiaTheme="minorEastAsia"/>
      <w:sz w:val="24"/>
      <w:szCs w:val="22"/>
    </w:rPr>
  </w:style>
  <w:style w:type="character" w:customStyle="1" w:styleId="89">
    <w:name w:val="副标题 Char"/>
    <w:link w:val="18"/>
    <w:qFormat/>
    <w:uiPriority w:val="99"/>
    <w:rPr>
      <w:rFonts w:ascii="Times New Roman" w:hAnsi="Times New Roman" w:eastAsia="宋体" w:cs="Times New Roman"/>
      <w:b/>
      <w:color w:val="000000"/>
      <w:sz w:val="28"/>
      <w:szCs w:val="28"/>
    </w:rPr>
  </w:style>
  <w:style w:type="paragraph" w:customStyle="1" w:styleId="90">
    <w:name w:val="正文A"/>
    <w:basedOn w:val="1"/>
    <w:qFormat/>
    <w:uiPriority w:val="99"/>
    <w:pPr>
      <w:adjustRightInd w:val="0"/>
      <w:snapToGrid w:val="0"/>
      <w:spacing w:before="156" w:beforeLines="50" w:after="156" w:afterLines="50"/>
      <w:ind w:firstLine="560"/>
    </w:pPr>
    <w:rPr>
      <w:rFonts w:eastAsia="宋体" w:cs="宋体"/>
      <w:sz w:val="28"/>
    </w:rPr>
  </w:style>
  <w:style w:type="paragraph" w:customStyle="1" w:styleId="91">
    <w:name w:val="333"/>
    <w:basedOn w:val="1"/>
    <w:qFormat/>
    <w:uiPriority w:val="99"/>
    <w:pPr>
      <w:adjustRightInd w:val="0"/>
      <w:snapToGrid w:val="0"/>
      <w:spacing w:before="163" w:after="163" w:line="312" w:lineRule="auto"/>
      <w:ind w:firstLine="480"/>
      <w:jc w:val="center"/>
    </w:pPr>
    <w:rPr>
      <w:rFonts w:eastAsia="宋体" w:cs="宋体"/>
      <w:sz w:val="24"/>
    </w:rPr>
  </w:style>
  <w:style w:type="character" w:customStyle="1" w:styleId="92">
    <w:name w:val="脚注文本 字符1"/>
    <w:basedOn w:val="26"/>
    <w:qFormat/>
    <w:uiPriority w:val="0"/>
    <w:rPr>
      <w:sz w:val="18"/>
      <w:szCs w:val="18"/>
    </w:rPr>
  </w:style>
  <w:style w:type="paragraph" w:customStyle="1" w:styleId="93">
    <w:name w:val="样式 正文A + 小四 首行缩进:  2 字符 段前: 0.5 行 段后: 0.5 行2"/>
    <w:basedOn w:val="90"/>
    <w:qFormat/>
    <w:uiPriority w:val="99"/>
    <w:pPr>
      <w:spacing w:before="163" w:beforeLines="0" w:after="163" w:afterLines="0" w:line="312" w:lineRule="auto"/>
      <w:ind w:firstLine="480"/>
      <w:jc w:val="center"/>
    </w:pPr>
    <w:rPr>
      <w:sz w:val="24"/>
    </w:rPr>
  </w:style>
  <w:style w:type="character" w:customStyle="1" w:styleId="94">
    <w:name w:val="正文文本缩进 2 Char"/>
    <w:qFormat/>
    <w:uiPriority w:val="0"/>
    <w:rPr>
      <w:sz w:val="28"/>
    </w:rPr>
  </w:style>
  <w:style w:type="character" w:customStyle="1" w:styleId="95">
    <w:name w:val="swy11"/>
    <w:qFormat/>
    <w:uiPriority w:val="0"/>
    <w:rPr>
      <w:rFonts w:hint="eastAsia" w:ascii="宋体" w:hAnsi="宋体" w:eastAsia="宋体"/>
      <w:sz w:val="24"/>
      <w:szCs w:val="24"/>
    </w:rPr>
  </w:style>
  <w:style w:type="character" w:customStyle="1" w:styleId="96">
    <w:name w:val="正文文本缩进 Char"/>
    <w:link w:val="10"/>
    <w:qFormat/>
    <w:uiPriority w:val="0"/>
    <w:rPr>
      <w:rFonts w:ascii="Times New Roman" w:hAnsi="Times New Roman" w:eastAsia="宋体" w:cs="Times New Roman"/>
      <w:szCs w:val="24"/>
      <w:lang w:val="zh-CN"/>
    </w:rPr>
  </w:style>
  <w:style w:type="paragraph" w:customStyle="1" w:styleId="97">
    <w:name w:val="表格啊啊"/>
    <w:basedOn w:val="1"/>
    <w:link w:val="98"/>
    <w:qFormat/>
    <w:uiPriority w:val="0"/>
    <w:pPr>
      <w:autoSpaceDE w:val="0"/>
      <w:autoSpaceDN w:val="0"/>
      <w:adjustRightInd w:val="0"/>
      <w:snapToGrid w:val="0"/>
      <w:spacing w:line="240" w:lineRule="auto"/>
      <w:ind w:firstLine="0" w:firstLineChars="0"/>
      <w:jc w:val="center"/>
    </w:pPr>
    <w:rPr>
      <w:rFonts w:ascii="Calibri" w:hAnsi="宋体" w:eastAsia="宋体"/>
      <w:kern w:val="0"/>
      <w:sz w:val="21"/>
      <w:szCs w:val="21"/>
    </w:rPr>
  </w:style>
  <w:style w:type="character" w:customStyle="1" w:styleId="98">
    <w:name w:val="表格啊啊 Char"/>
    <w:basedOn w:val="26"/>
    <w:link w:val="97"/>
    <w:qFormat/>
    <w:uiPriority w:val="0"/>
    <w:rPr>
      <w:rFonts w:ascii="Calibri" w:hAnsi="宋体" w:eastAsia="宋体" w:cs="Times New Roman"/>
      <w:kern w:val="0"/>
      <w:szCs w:val="21"/>
    </w:rPr>
  </w:style>
  <w:style w:type="paragraph" w:customStyle="1" w:styleId="99">
    <w:name w:val="正"/>
    <w:basedOn w:val="1"/>
    <w:link w:val="100"/>
    <w:qFormat/>
    <w:uiPriority w:val="0"/>
    <w:pPr>
      <w:adjustRightInd w:val="0"/>
      <w:ind w:left="23" w:leftChars="11" w:firstLine="480"/>
    </w:pPr>
    <w:rPr>
      <w:rFonts w:eastAsia="宋体"/>
      <w:sz w:val="24"/>
      <w:szCs w:val="24"/>
    </w:rPr>
  </w:style>
  <w:style w:type="character" w:customStyle="1" w:styleId="100">
    <w:name w:val="正 Char"/>
    <w:basedOn w:val="26"/>
    <w:link w:val="99"/>
    <w:qFormat/>
    <w:uiPriority w:val="0"/>
    <w:rPr>
      <w:rFonts w:ascii="Times New Roman" w:hAnsi="Times New Roman" w:eastAsia="宋体" w:cs="Times New Roman"/>
      <w:sz w:val="24"/>
      <w:szCs w:val="24"/>
    </w:rPr>
  </w:style>
  <w:style w:type="paragraph" w:customStyle="1" w:styleId="101">
    <w:name w:val="TOC 标题1"/>
    <w:basedOn w:val="2"/>
    <w:next w:val="1"/>
    <w:unhideWhenUsed/>
    <w:qFormat/>
    <w:uiPriority w:val="39"/>
    <w:pPr>
      <w:widowControl/>
      <w:spacing w:before="240" w:line="259" w:lineRule="auto"/>
      <w:ind w:firstLine="0" w:firstLineChars="0"/>
      <w:jc w:val="left"/>
      <w:outlineLvl w:val="9"/>
    </w:pPr>
    <w:rPr>
      <w:rFonts w:eastAsia="等线 Light"/>
      <w:b w:val="0"/>
      <w:bCs w:val="0"/>
      <w:color w:val="2F5496"/>
      <w:kern w:val="0"/>
      <w:sz w:val="36"/>
      <w:szCs w:val="32"/>
    </w:rPr>
  </w:style>
  <w:style w:type="character" w:customStyle="1" w:styleId="102">
    <w:name w:val="未处理的提及1"/>
    <w:basedOn w:val="26"/>
    <w:semiHidden/>
    <w:unhideWhenUsed/>
    <w:qFormat/>
    <w:uiPriority w:val="99"/>
    <w:rPr>
      <w:color w:val="605E5C"/>
      <w:shd w:val="clear" w:color="auto" w:fill="E1DFDD"/>
    </w:rPr>
  </w:style>
  <w:style w:type="character" w:customStyle="1" w:styleId="103">
    <w:name w:val="未处理的提及2"/>
    <w:basedOn w:val="26"/>
    <w:semiHidden/>
    <w:unhideWhenUsed/>
    <w:qFormat/>
    <w:uiPriority w:val="99"/>
    <w:rPr>
      <w:color w:val="605E5C"/>
      <w:shd w:val="clear" w:color="auto" w:fill="E1DFDD"/>
    </w:rPr>
  </w:style>
  <w:style w:type="character" w:customStyle="1" w:styleId="104">
    <w:name w:val="不明显强调1"/>
    <w:basedOn w:val="26"/>
    <w:qFormat/>
    <w:uiPriority w:val="19"/>
    <w:rPr>
      <w:i/>
      <w:iCs/>
      <w:color w:val="404040"/>
    </w:rPr>
  </w:style>
  <w:style w:type="character" w:customStyle="1" w:styleId="105">
    <w:name w:val="未处理的提及3"/>
    <w:basedOn w:val="26"/>
    <w:semiHidden/>
    <w:unhideWhenUsed/>
    <w:qFormat/>
    <w:uiPriority w:val="99"/>
    <w:rPr>
      <w:color w:val="605E5C"/>
      <w:shd w:val="clear" w:color="auto" w:fill="E1DFDD"/>
    </w:rPr>
  </w:style>
  <w:style w:type="paragraph" w:customStyle="1" w:styleId="106">
    <w:name w:val="表"/>
    <w:basedOn w:val="1"/>
    <w:link w:val="107"/>
    <w:qFormat/>
    <w:uiPriority w:val="0"/>
    <w:pPr>
      <w:spacing w:line="120" w:lineRule="exact"/>
      <w:ind w:firstLine="0" w:firstLineChars="0"/>
      <w:jc w:val="center"/>
    </w:pPr>
    <w:rPr>
      <w:rFonts w:ascii="等线" w:hAnsi="等线" w:eastAsia="宋体" w:cs="宋体"/>
      <w:kern w:val="0"/>
      <w:sz w:val="21"/>
      <w:szCs w:val="21"/>
    </w:rPr>
  </w:style>
  <w:style w:type="character" w:customStyle="1" w:styleId="107">
    <w:name w:val="表 字符"/>
    <w:basedOn w:val="26"/>
    <w:link w:val="106"/>
    <w:qFormat/>
    <w:uiPriority w:val="0"/>
    <w:rPr>
      <w:rFonts w:ascii="等线" w:hAnsi="等线" w:eastAsia="宋体" w:cs="宋体"/>
      <w:kern w:val="0"/>
      <w:szCs w:val="21"/>
    </w:rPr>
  </w:style>
  <w:style w:type="character" w:customStyle="1" w:styleId="108">
    <w:name w:val="未处理的提及4"/>
    <w:basedOn w:val="26"/>
    <w:semiHidden/>
    <w:unhideWhenUsed/>
    <w:qFormat/>
    <w:uiPriority w:val="99"/>
    <w:rPr>
      <w:color w:val="605E5C"/>
      <w:shd w:val="clear" w:color="auto" w:fill="E1DFDD"/>
    </w:rPr>
  </w:style>
  <w:style w:type="paragraph" w:customStyle="1" w:styleId="109">
    <w:name w:val="Char Char Char Char Char Char Char"/>
    <w:basedOn w:val="1"/>
    <w:qFormat/>
    <w:uiPriority w:val="0"/>
    <w:pPr>
      <w:spacing w:line="240" w:lineRule="auto"/>
      <w:ind w:firstLine="0" w:firstLineChars="0"/>
    </w:pPr>
    <w:rPr>
      <w:rFonts w:ascii="Arial" w:hAnsi="Arial" w:eastAsia="黑体"/>
      <w:bCs/>
      <w:snapToGrid w:val="0"/>
      <w:szCs w:val="24"/>
    </w:rPr>
  </w:style>
  <w:style w:type="character" w:customStyle="1" w:styleId="110">
    <w:name w:val="未处理的提及5"/>
    <w:basedOn w:val="26"/>
    <w:semiHidden/>
    <w:unhideWhenUsed/>
    <w:qFormat/>
    <w:uiPriority w:val="99"/>
    <w:rPr>
      <w:color w:val="605E5C"/>
      <w:shd w:val="clear" w:color="auto" w:fill="E1DFDD"/>
    </w:rPr>
  </w:style>
  <w:style w:type="paragraph" w:customStyle="1" w:styleId="111">
    <w:name w:val="文本"/>
    <w:link w:val="112"/>
    <w:qFormat/>
    <w:uiPriority w:val="0"/>
    <w:pPr>
      <w:widowControl w:val="0"/>
      <w:spacing w:line="36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12">
    <w:name w:val="文本 Char"/>
    <w:link w:val="111"/>
    <w:qFormat/>
    <w:uiPriority w:val="0"/>
    <w:rPr>
      <w:rFonts w:ascii="Times New Roman" w:hAnsi="Times New Roman" w:eastAsia="宋体" w:cs="Times New Roman"/>
      <w:sz w:val="28"/>
      <w:szCs w:val="24"/>
    </w:rPr>
  </w:style>
  <w:style w:type="table" w:customStyle="1" w:styleId="113">
    <w:name w:val="无格式表格 21"/>
    <w:basedOn w:val="24"/>
    <w:qFormat/>
    <w:uiPriority w:val="42"/>
    <w:rPr>
      <w:kern w:val="0"/>
      <w:sz w:val="20"/>
      <w:szCs w:val="20"/>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14">
    <w:name w:val="网格表 1 浅色1"/>
    <w:basedOn w:val="24"/>
    <w:qFormat/>
    <w:uiPriority w:val="46"/>
    <w:rPr>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15">
    <w:name w:val="未处理的提及6"/>
    <w:basedOn w:val="26"/>
    <w:semiHidden/>
    <w:unhideWhenUsed/>
    <w:qFormat/>
    <w:uiPriority w:val="99"/>
    <w:rPr>
      <w:color w:val="605E5C"/>
      <w:shd w:val="clear" w:color="auto" w:fill="E1DFDD"/>
    </w:rPr>
  </w:style>
  <w:style w:type="paragraph" w:customStyle="1" w:styleId="116">
    <w:name w:val="A正文"/>
    <w:basedOn w:val="1"/>
    <w:qFormat/>
    <w:uiPriority w:val="99"/>
    <w:pPr>
      <w:adjustRightInd w:val="0"/>
      <w:snapToGrid w:val="0"/>
      <w:spacing w:after="156" w:afterLines="50"/>
      <w:ind w:firstLine="504"/>
    </w:pPr>
    <w:rPr>
      <w:rFonts w:eastAsia="宋体"/>
      <w:spacing w:val="6"/>
      <w:sz w:val="24"/>
      <w:szCs w:val="21"/>
    </w:rPr>
  </w:style>
  <w:style w:type="character" w:customStyle="1" w:styleId="117">
    <w:name w:val="访问过的超链接1"/>
    <w:basedOn w:val="26"/>
    <w:semiHidden/>
    <w:unhideWhenUsed/>
    <w:qFormat/>
    <w:uiPriority w:val="99"/>
    <w:rPr>
      <w:color w:val="954F72"/>
      <w:u w:val="single"/>
    </w:rPr>
  </w:style>
  <w:style w:type="paragraph" w:customStyle="1" w:styleId="118">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19">
    <w:name w:val="正文文本缩进 3 Char"/>
    <w:basedOn w:val="26"/>
    <w:link w:val="20"/>
    <w:semiHidden/>
    <w:qFormat/>
    <w:uiPriority w:val="99"/>
    <w:rPr>
      <w:rFonts w:ascii="Times New Roman" w:hAnsi="Times New Roman" w:eastAsia="宋体" w:cs="Times New Roman"/>
      <w:sz w:val="16"/>
      <w:szCs w:val="16"/>
    </w:rPr>
  </w:style>
  <w:style w:type="paragraph" w:customStyle="1" w:styleId="120">
    <w:name w:val="列出段落1"/>
    <w:basedOn w:val="1"/>
    <w:qFormat/>
    <w:uiPriority w:val="34"/>
    <w:pPr>
      <w:ind w:firstLine="420"/>
      <w:jc w:val="left"/>
    </w:pPr>
    <w:rPr>
      <w:rFonts w:eastAsia="宋体"/>
      <w:sz w:val="24"/>
      <w:szCs w:val="24"/>
    </w:rPr>
  </w:style>
  <w:style w:type="character" w:customStyle="1" w:styleId="121">
    <w:name w:val="tj说明书-正文 Char Char"/>
    <w:link w:val="122"/>
    <w:qFormat/>
    <w:locked/>
    <w:uiPriority w:val="0"/>
    <w:rPr>
      <w:rFonts w:ascii="宋体" w:hAnsi="宋体" w:eastAsia="宋体"/>
      <w:sz w:val="24"/>
    </w:rPr>
  </w:style>
  <w:style w:type="paragraph" w:customStyle="1" w:styleId="122">
    <w:name w:val="tj说明书-正文"/>
    <w:link w:val="121"/>
    <w:qFormat/>
    <w:uiPriority w:val="0"/>
    <w:pPr>
      <w:spacing w:line="360" w:lineRule="auto"/>
      <w:ind w:firstLine="200" w:firstLineChars="200"/>
    </w:pPr>
    <w:rPr>
      <w:rFonts w:ascii="宋体" w:hAnsi="宋体" w:eastAsia="宋体" w:cstheme="minorBidi"/>
      <w:kern w:val="2"/>
      <w:sz w:val="24"/>
      <w:szCs w:val="22"/>
      <w:lang w:val="en-US" w:eastAsia="zh-CN" w:bidi="ar-SA"/>
    </w:rPr>
  </w:style>
  <w:style w:type="character" w:customStyle="1" w:styleId="123">
    <w:name w:val="条题[858D7CFB-ED40-4347-BF05-701D383B685F]2"/>
    <w:link w:val="124"/>
    <w:qFormat/>
    <w:locked/>
    <w:uiPriority w:val="0"/>
    <w:rPr>
      <w:sz w:val="24"/>
      <w:szCs w:val="24"/>
    </w:rPr>
  </w:style>
  <w:style w:type="paragraph" w:customStyle="1" w:styleId="124">
    <w:name w:val="条题"/>
    <w:basedOn w:val="1"/>
    <w:link w:val="123"/>
    <w:qFormat/>
    <w:uiPriority w:val="0"/>
    <w:pPr>
      <w:tabs>
        <w:tab w:val="left" w:pos="420"/>
      </w:tabs>
      <w:spacing w:line="420" w:lineRule="exact"/>
      <w:ind w:firstLine="0" w:firstLineChars="0"/>
    </w:pPr>
    <w:rPr>
      <w:rFonts w:asciiTheme="minorHAnsi" w:hAnsiTheme="minorHAnsi" w:eastAsiaTheme="minorEastAsia" w:cstheme="minorBidi"/>
      <w:sz w:val="24"/>
      <w:szCs w:val="24"/>
    </w:rPr>
  </w:style>
  <w:style w:type="paragraph" w:customStyle="1" w:styleId="125">
    <w:name w:val="tj说明书-标题2"/>
    <w:basedOn w:val="1"/>
    <w:next w:val="126"/>
    <w:qFormat/>
    <w:uiPriority w:val="99"/>
    <w:pPr>
      <w:numPr>
        <w:ilvl w:val="1"/>
        <w:numId w:val="2"/>
      </w:numPr>
      <w:spacing w:beforeLines="100" w:line="480" w:lineRule="auto"/>
      <w:ind w:firstLineChars="0"/>
      <w:jc w:val="left"/>
      <w:outlineLvl w:val="1"/>
    </w:pPr>
    <w:rPr>
      <w:rFonts w:ascii="黑体" w:hAnsi="黑体" w:eastAsia="黑体"/>
      <w:sz w:val="30"/>
      <w:szCs w:val="24"/>
      <w:lang w:val="zh-CN" w:eastAsia="zh-CN"/>
    </w:rPr>
  </w:style>
  <w:style w:type="paragraph" w:customStyle="1" w:styleId="126">
    <w:name w:val="tj说明书-标题3"/>
    <w:basedOn w:val="1"/>
    <w:next w:val="127"/>
    <w:link w:val="129"/>
    <w:qFormat/>
    <w:uiPriority w:val="99"/>
    <w:pPr>
      <w:numPr>
        <w:ilvl w:val="2"/>
        <w:numId w:val="2"/>
      </w:numPr>
      <w:spacing w:beforeLines="50"/>
      <w:ind w:left="1704" w:firstLineChars="0"/>
      <w:outlineLvl w:val="2"/>
    </w:pPr>
    <w:rPr>
      <w:rFonts w:ascii="黑体" w:hAnsi="黑体" w:eastAsia="黑体"/>
      <w:sz w:val="28"/>
      <w:szCs w:val="24"/>
      <w:lang w:val="zh-CN" w:eastAsia="zh-CN"/>
    </w:rPr>
  </w:style>
  <w:style w:type="paragraph" w:customStyle="1" w:styleId="127">
    <w:name w:val="tj说明书-标题4"/>
    <w:basedOn w:val="1"/>
    <w:next w:val="122"/>
    <w:qFormat/>
    <w:uiPriority w:val="99"/>
    <w:pPr>
      <w:numPr>
        <w:ilvl w:val="3"/>
        <w:numId w:val="2"/>
      </w:numPr>
      <w:ind w:firstLineChars="0"/>
      <w:outlineLvl w:val="3"/>
    </w:pPr>
    <w:rPr>
      <w:rFonts w:ascii="宋体" w:hAnsi="宋体" w:eastAsia="宋体"/>
      <w:b/>
      <w:sz w:val="24"/>
      <w:szCs w:val="24"/>
    </w:rPr>
  </w:style>
  <w:style w:type="paragraph" w:customStyle="1" w:styleId="128">
    <w:name w:val="tj说明书-标题1"/>
    <w:basedOn w:val="1"/>
    <w:next w:val="125"/>
    <w:qFormat/>
    <w:uiPriority w:val="99"/>
    <w:pPr>
      <w:numPr>
        <w:ilvl w:val="0"/>
        <w:numId w:val="2"/>
      </w:numPr>
      <w:spacing w:beforeLines="200"/>
      <w:ind w:left="3970" w:firstLineChars="0"/>
      <w:jc w:val="center"/>
      <w:outlineLvl w:val="0"/>
    </w:pPr>
    <w:rPr>
      <w:rFonts w:ascii="黑体" w:hAnsi="黑体" w:eastAsia="黑体"/>
      <w:sz w:val="36"/>
      <w:szCs w:val="24"/>
    </w:rPr>
  </w:style>
  <w:style w:type="character" w:customStyle="1" w:styleId="129">
    <w:name w:val="tj说明书-标题3 Char"/>
    <w:link w:val="126"/>
    <w:qFormat/>
    <w:locked/>
    <w:uiPriority w:val="99"/>
    <w:rPr>
      <w:rFonts w:ascii="黑体" w:hAnsi="黑体" w:eastAsia="黑体" w:cs="Times New Roman"/>
      <w:sz w:val="28"/>
      <w:szCs w:val="24"/>
      <w:lang w:val="zh-CN" w:eastAsia="zh-CN"/>
    </w:rPr>
  </w:style>
  <w:style w:type="paragraph" w:customStyle="1" w:styleId="130">
    <w:name w:val="Z-正文"/>
    <w:basedOn w:val="1"/>
    <w:qFormat/>
    <w:uiPriority w:val="99"/>
    <w:pPr>
      <w:ind w:firstLine="482" w:firstLineChars="0"/>
    </w:pPr>
    <w:rPr>
      <w:rFonts w:eastAsia="宋体"/>
      <w:kern w:val="0"/>
      <w:sz w:val="24"/>
      <w:szCs w:val="24"/>
    </w:rPr>
  </w:style>
  <w:style w:type="paragraph" w:customStyle="1" w:styleId="131">
    <w:name w:val="Char1"/>
    <w:basedOn w:val="1"/>
    <w:qFormat/>
    <w:uiPriority w:val="99"/>
    <w:pPr>
      <w:widowControl/>
      <w:spacing w:after="160" w:line="240" w:lineRule="exact"/>
      <w:ind w:firstLine="0" w:firstLineChars="0"/>
      <w:jc w:val="left"/>
    </w:pPr>
    <w:rPr>
      <w:rFonts w:eastAsia="宋体"/>
      <w:sz w:val="21"/>
    </w:rPr>
  </w:style>
  <w:style w:type="character" w:customStyle="1" w:styleId="132">
    <w:name w:val="页眉 字符1"/>
    <w:basedOn w:val="26"/>
    <w:semiHidden/>
    <w:qFormat/>
    <w:uiPriority w:val="99"/>
    <w:rPr>
      <w:kern w:val="2"/>
      <w:sz w:val="18"/>
      <w:szCs w:val="18"/>
    </w:rPr>
  </w:style>
  <w:style w:type="character" w:customStyle="1" w:styleId="133">
    <w:name w:val="页脚 字符1"/>
    <w:basedOn w:val="26"/>
    <w:semiHidden/>
    <w:qFormat/>
    <w:uiPriority w:val="99"/>
    <w:rPr>
      <w:kern w:val="2"/>
      <w:sz w:val="18"/>
      <w:szCs w:val="18"/>
    </w:rPr>
  </w:style>
  <w:style w:type="character" w:customStyle="1" w:styleId="134">
    <w:name w:val="apple-converted-space"/>
    <w:basedOn w:val="26"/>
    <w:qFormat/>
    <w:uiPriority w:val="0"/>
  </w:style>
  <w:style w:type="character" w:customStyle="1" w:styleId="135">
    <w:name w:val="未处理的提及7"/>
    <w:basedOn w:val="26"/>
    <w:semiHidden/>
    <w:unhideWhenUsed/>
    <w:qFormat/>
    <w:uiPriority w:val="99"/>
    <w:rPr>
      <w:color w:val="605E5C"/>
      <w:shd w:val="clear" w:color="auto" w:fill="E1DFDD"/>
    </w:rPr>
  </w:style>
  <w:style w:type="paragraph" w:customStyle="1" w:styleId="136">
    <w:name w:val="图表"/>
    <w:basedOn w:val="1"/>
    <w:qFormat/>
    <w:uiPriority w:val="0"/>
    <w:pPr>
      <w:widowControl/>
      <w:ind w:firstLine="0" w:firstLineChars="0"/>
      <w:jc w:val="center"/>
    </w:pPr>
    <w:rPr>
      <w:rFonts w:eastAsia="宋体"/>
      <w:kern w:val="0"/>
      <w:sz w:val="21"/>
      <w:szCs w:val="32"/>
    </w:rPr>
  </w:style>
  <w:style w:type="paragraph" w:customStyle="1" w:styleId="137">
    <w:name w:val="表格名称"/>
    <w:basedOn w:val="62"/>
    <w:link w:val="138"/>
    <w:qFormat/>
    <w:uiPriority w:val="0"/>
    <w:pPr>
      <w:numPr>
        <w:ilvl w:val="0"/>
        <w:numId w:val="3"/>
      </w:numPr>
      <w:ind w:left="0" w:firstLine="0"/>
    </w:pPr>
  </w:style>
  <w:style w:type="character" w:customStyle="1" w:styleId="138">
    <w:name w:val="表格名称 字符"/>
    <w:basedOn w:val="51"/>
    <w:link w:val="137"/>
    <w:qFormat/>
    <w:uiPriority w:val="0"/>
    <w:rPr>
      <w:rFonts w:ascii="Times New Roman" w:hAnsi="Times New Roman" w:eastAsia="宋体" w:cs="Arial"/>
      <w:b/>
      <w:sz w:val="24"/>
      <w:szCs w:val="21"/>
    </w:rPr>
  </w:style>
  <w:style w:type="paragraph" w:customStyle="1" w:styleId="139">
    <w:name w:val="图表格式"/>
    <w:basedOn w:val="1"/>
    <w:qFormat/>
    <w:uiPriority w:val="0"/>
    <w:pPr>
      <w:spacing w:line="240" w:lineRule="auto"/>
      <w:ind w:firstLine="0" w:firstLineChars="0"/>
      <w:jc w:val="center"/>
    </w:pPr>
    <w:rPr>
      <w:rFonts w:eastAsia="宋体"/>
      <w:bCs/>
      <w:sz w:val="21"/>
      <w:szCs w:val="24"/>
    </w:rPr>
  </w:style>
  <w:style w:type="table" w:customStyle="1" w:styleId="140">
    <w:name w:val="无格式表格 22"/>
    <w:basedOn w:val="24"/>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141">
    <w:name w:val="网格表 1 浅色2"/>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42">
    <w:name w:val="font5"/>
    <w:basedOn w:val="1"/>
    <w:qFormat/>
    <w:uiPriority w:val="0"/>
    <w:pPr>
      <w:widowControl/>
      <w:spacing w:before="100" w:beforeAutospacing="1" w:after="100" w:afterAutospacing="1" w:line="240" w:lineRule="auto"/>
      <w:ind w:firstLine="0" w:firstLineChars="0"/>
      <w:jc w:val="left"/>
    </w:pPr>
    <w:rPr>
      <w:rFonts w:eastAsia="宋体"/>
      <w:color w:val="000000"/>
      <w:kern w:val="0"/>
      <w:sz w:val="22"/>
      <w:szCs w:val="22"/>
    </w:rPr>
  </w:style>
  <w:style w:type="paragraph" w:customStyle="1" w:styleId="143">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szCs w:val="22"/>
    </w:rPr>
  </w:style>
  <w:style w:type="paragraph" w:customStyle="1" w:styleId="144">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22"/>
      <w:szCs w:val="22"/>
    </w:rPr>
  </w:style>
  <w:style w:type="paragraph" w:customStyle="1" w:styleId="145">
    <w:name w:val="font8"/>
    <w:basedOn w:val="1"/>
    <w:qFormat/>
    <w:uiPriority w:val="0"/>
    <w:pPr>
      <w:widowControl/>
      <w:spacing w:before="100" w:beforeAutospacing="1" w:after="100" w:afterAutospacing="1" w:line="240" w:lineRule="auto"/>
      <w:ind w:firstLine="0" w:firstLineChars="0"/>
      <w:jc w:val="left"/>
    </w:pPr>
    <w:rPr>
      <w:rFonts w:eastAsia="宋体"/>
      <w:color w:val="000000"/>
      <w:kern w:val="0"/>
      <w:sz w:val="22"/>
      <w:szCs w:val="22"/>
    </w:rPr>
  </w:style>
  <w:style w:type="paragraph" w:customStyle="1" w:styleId="146">
    <w:name w:val="font9"/>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szCs w:val="22"/>
    </w:rPr>
  </w:style>
  <w:style w:type="paragraph" w:customStyle="1" w:styleId="147">
    <w:name w:val="font10"/>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22"/>
      <w:szCs w:val="22"/>
    </w:rPr>
  </w:style>
  <w:style w:type="paragraph" w:customStyle="1" w:styleId="148">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149">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b/>
      <w:bCs/>
      <w:kern w:val="0"/>
      <w:sz w:val="24"/>
      <w:szCs w:val="24"/>
    </w:rPr>
  </w:style>
  <w:style w:type="paragraph" w:customStyle="1" w:styleId="150">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color w:val="000000"/>
      <w:kern w:val="0"/>
      <w:sz w:val="24"/>
      <w:szCs w:val="24"/>
    </w:rPr>
  </w:style>
  <w:style w:type="paragraph" w:customStyle="1" w:styleId="151">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color w:val="000000"/>
      <w:kern w:val="0"/>
      <w:sz w:val="24"/>
      <w:szCs w:val="24"/>
    </w:rPr>
  </w:style>
  <w:style w:type="paragraph" w:customStyle="1" w:styleId="152">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color w:val="000000"/>
      <w:kern w:val="0"/>
      <w:sz w:val="24"/>
      <w:szCs w:val="24"/>
    </w:rPr>
  </w:style>
  <w:style w:type="paragraph" w:customStyle="1" w:styleId="153">
    <w:name w:val="xl70"/>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color w:val="000000"/>
      <w:kern w:val="0"/>
      <w:sz w:val="24"/>
      <w:szCs w:val="24"/>
    </w:rPr>
  </w:style>
  <w:style w:type="paragraph" w:customStyle="1" w:styleId="154">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color w:val="000000"/>
      <w:kern w:val="0"/>
      <w:sz w:val="24"/>
      <w:szCs w:val="24"/>
    </w:rPr>
  </w:style>
  <w:style w:type="paragraph" w:customStyle="1" w:styleId="155">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kern w:val="0"/>
      <w:sz w:val="24"/>
      <w:szCs w:val="24"/>
    </w:rPr>
  </w:style>
  <w:style w:type="paragraph" w:customStyle="1" w:styleId="156">
    <w:name w:val="xl7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color w:val="000000"/>
      <w:kern w:val="0"/>
      <w:sz w:val="24"/>
      <w:szCs w:val="24"/>
    </w:rPr>
  </w:style>
  <w:style w:type="paragraph" w:customStyle="1" w:styleId="157">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58">
    <w:name w:val="xl75"/>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color w:val="000000"/>
      <w:kern w:val="0"/>
      <w:sz w:val="24"/>
      <w:szCs w:val="24"/>
    </w:rPr>
  </w:style>
  <w:style w:type="paragraph" w:customStyle="1" w:styleId="159">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60">
    <w:name w:val="xl77"/>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kern w:val="0"/>
      <w:sz w:val="24"/>
      <w:szCs w:val="24"/>
    </w:rPr>
  </w:style>
  <w:style w:type="paragraph" w:customStyle="1" w:styleId="161">
    <w:name w:val="xl78"/>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color w:val="000000"/>
      <w:kern w:val="0"/>
      <w:sz w:val="24"/>
      <w:szCs w:val="24"/>
    </w:rPr>
  </w:style>
  <w:style w:type="paragraph" w:customStyle="1" w:styleId="162">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b/>
      <w:bCs/>
      <w:color w:val="000000"/>
      <w:kern w:val="0"/>
      <w:sz w:val="24"/>
      <w:szCs w:val="24"/>
    </w:rPr>
  </w:style>
  <w:style w:type="paragraph" w:customStyle="1" w:styleId="163">
    <w:name w:val="xl8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kern w:val="0"/>
      <w:sz w:val="24"/>
      <w:szCs w:val="24"/>
    </w:rPr>
  </w:style>
  <w:style w:type="paragraph" w:customStyle="1" w:styleId="164">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65">
    <w:name w:val="xl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66">
    <w:name w:val="xl8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67">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kern w:val="0"/>
      <w:sz w:val="24"/>
      <w:szCs w:val="24"/>
    </w:rPr>
  </w:style>
  <w:style w:type="paragraph" w:customStyle="1" w:styleId="168">
    <w:name w:val="xl85"/>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color w:val="000000"/>
      <w:kern w:val="0"/>
      <w:sz w:val="24"/>
      <w:szCs w:val="24"/>
    </w:rPr>
  </w:style>
  <w:style w:type="paragraph" w:customStyle="1" w:styleId="169">
    <w:name w:val="xl86"/>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70">
    <w:name w:val="xl87"/>
    <w:basedOn w:val="1"/>
    <w:qFormat/>
    <w:uiPriority w:val="0"/>
    <w:pPr>
      <w:widowControl/>
      <w:pBdr>
        <w:right w:val="single" w:color="auto" w:sz="8" w:space="0"/>
      </w:pBdr>
      <w:spacing w:before="100" w:beforeAutospacing="1" w:after="100" w:afterAutospacing="1" w:line="240" w:lineRule="auto"/>
      <w:ind w:firstLine="0" w:firstLineChars="0"/>
      <w:jc w:val="center"/>
    </w:pPr>
    <w:rPr>
      <w:rFonts w:ascii="宋体" w:hAnsi="宋体" w:eastAsia="宋体" w:cs="宋体"/>
      <w:color w:val="000000"/>
      <w:kern w:val="0"/>
      <w:sz w:val="24"/>
      <w:szCs w:val="24"/>
    </w:rPr>
  </w:style>
  <w:style w:type="paragraph" w:customStyle="1" w:styleId="171">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eastAsia="宋体"/>
      <w:b/>
      <w:bCs/>
      <w:kern w:val="0"/>
      <w:sz w:val="24"/>
      <w:szCs w:val="24"/>
    </w:rPr>
  </w:style>
  <w:style w:type="paragraph" w:customStyle="1" w:styleId="172">
    <w:name w:val="xl8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73">
    <w:name w:val="xl9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74">
    <w:name w:val="xl91"/>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75">
    <w:name w:val="xl92"/>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b/>
      <w:bCs/>
      <w:color w:val="000000"/>
      <w:kern w:val="0"/>
      <w:sz w:val="24"/>
      <w:szCs w:val="24"/>
    </w:rPr>
  </w:style>
  <w:style w:type="paragraph" w:customStyle="1" w:styleId="176">
    <w:name w:val="xl9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177">
    <w:name w:val="xl94"/>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178">
    <w:name w:val="xl95"/>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eastAsia="宋体" w:cs="宋体"/>
      <w:b/>
      <w:bCs/>
      <w:color w:val="000000"/>
      <w:kern w:val="0"/>
      <w:sz w:val="24"/>
      <w:szCs w:val="24"/>
    </w:rPr>
  </w:style>
  <w:style w:type="paragraph" w:customStyle="1" w:styleId="179">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eastAsia="宋体" w:cs="宋体"/>
      <w:b/>
      <w:bCs/>
      <w:kern w:val="0"/>
      <w:sz w:val="24"/>
      <w:szCs w:val="24"/>
    </w:rPr>
  </w:style>
  <w:style w:type="paragraph" w:customStyle="1" w:styleId="180">
    <w:name w:val="xl9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eastAsia="宋体" w:cs="宋体"/>
      <w:b/>
      <w:bCs/>
      <w:kern w:val="0"/>
      <w:sz w:val="24"/>
      <w:szCs w:val="24"/>
    </w:rPr>
  </w:style>
  <w:style w:type="paragraph" w:customStyle="1" w:styleId="181">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eastAsia="宋体" w:cs="宋体"/>
      <w:b/>
      <w:bCs/>
      <w:kern w:val="0"/>
      <w:sz w:val="24"/>
      <w:szCs w:val="24"/>
    </w:rPr>
  </w:style>
  <w:style w:type="paragraph" w:customStyle="1" w:styleId="182">
    <w:name w:val="xl9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eastAsia="宋体" w:cs="宋体"/>
      <w:b/>
      <w:bCs/>
      <w:kern w:val="0"/>
      <w:sz w:val="24"/>
      <w:szCs w:val="24"/>
    </w:rPr>
  </w:style>
  <w:style w:type="paragraph" w:customStyle="1" w:styleId="183">
    <w:name w:val="xl100"/>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eastAsia="宋体" w:cs="宋体"/>
      <w:b/>
      <w:bCs/>
      <w:kern w:val="0"/>
      <w:sz w:val="24"/>
      <w:szCs w:val="24"/>
    </w:rPr>
  </w:style>
  <w:style w:type="paragraph" w:customStyle="1" w:styleId="184">
    <w:name w:val="xl101"/>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left"/>
    </w:pPr>
    <w:rPr>
      <w:rFonts w:ascii="宋体" w:hAnsi="宋体" w:eastAsia="宋体" w:cs="宋体"/>
      <w:b/>
      <w:bCs/>
      <w:kern w:val="0"/>
      <w:sz w:val="24"/>
      <w:szCs w:val="24"/>
    </w:rPr>
  </w:style>
  <w:style w:type="paragraph" w:customStyle="1" w:styleId="185">
    <w:name w:val="xl102"/>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186">
    <w:name w:val="font11"/>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szCs w:val="22"/>
    </w:rPr>
  </w:style>
  <w:style w:type="paragraph" w:customStyle="1" w:styleId="187">
    <w:name w:val="font1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88">
    <w:name w:val="xl103"/>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center"/>
    </w:pPr>
    <w:rPr>
      <w:rFonts w:ascii="宋体" w:hAnsi="宋体" w:eastAsia="宋体" w:cs="宋体"/>
      <w:b/>
      <w:bCs/>
      <w:color w:val="000000"/>
      <w:kern w:val="0"/>
      <w:sz w:val="24"/>
      <w:szCs w:val="24"/>
    </w:rPr>
  </w:style>
  <w:style w:type="paragraph" w:customStyle="1" w:styleId="189">
    <w:name w:val="xl104"/>
    <w:basedOn w:val="1"/>
    <w:qFormat/>
    <w:uiPriority w:val="0"/>
    <w:pPr>
      <w:widowControl/>
      <w:pBdr>
        <w:bottom w:val="single" w:color="auto" w:sz="8" w:space="0"/>
      </w:pBdr>
      <w:spacing w:before="100" w:beforeAutospacing="1" w:after="100" w:afterAutospacing="1" w:line="240" w:lineRule="auto"/>
      <w:ind w:firstLine="0" w:firstLineChars="0"/>
      <w:jc w:val="center"/>
    </w:pPr>
    <w:rPr>
      <w:rFonts w:eastAsia="宋体"/>
      <w:b/>
      <w:bCs/>
      <w:color w:val="000000"/>
      <w:kern w:val="0"/>
      <w:sz w:val="24"/>
      <w:szCs w:val="24"/>
    </w:rPr>
  </w:style>
  <w:style w:type="paragraph" w:customStyle="1" w:styleId="190">
    <w:name w:val="xl105"/>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jc w:val="center"/>
    </w:pPr>
    <w:rPr>
      <w:rFonts w:eastAsia="宋体"/>
      <w:b/>
      <w:bCs/>
      <w:color w:val="000000"/>
      <w:kern w:val="0"/>
      <w:sz w:val="24"/>
      <w:szCs w:val="24"/>
    </w:rPr>
  </w:style>
  <w:style w:type="paragraph" w:customStyle="1" w:styleId="1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kern w:val="0"/>
      <w:sz w:val="21"/>
      <w:szCs w:val="21"/>
    </w:rPr>
  </w:style>
  <w:style w:type="paragraph" w:customStyle="1" w:styleId="192">
    <w:name w:val="xl107"/>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center"/>
    </w:pPr>
    <w:rPr>
      <w:rFonts w:eastAsia="宋体"/>
      <w:b/>
      <w:bCs/>
      <w:color w:val="000000"/>
      <w:kern w:val="0"/>
      <w:sz w:val="24"/>
      <w:szCs w:val="24"/>
    </w:rPr>
  </w:style>
  <w:style w:type="paragraph" w:customStyle="1" w:styleId="193">
    <w:name w:val="xl108"/>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eastAsia="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7957</Words>
  <Characters>45358</Characters>
  <Lines>377</Lines>
  <Paragraphs>106</Paragraphs>
  <TotalTime>2</TotalTime>
  <ScaleCrop>false</ScaleCrop>
  <LinksUpToDate>false</LinksUpToDate>
  <CharactersWithSpaces>53209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2024-10-30T01:34:00Z</dcterms:created>
  <dc:creator>xb21cn</dc:creator>
  <cp:lastModifiedBy>徐涛</cp:lastModifiedBy>
  <dcterms:modified xsi:type="dcterms:W3CDTF">2024-11-06T15:28:49Z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