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20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val="en-US" w:eastAsia="zh-CN"/>
        </w:rPr>
        <w:t>南乐县综合行政执法局</w:t>
      </w:r>
    </w:p>
    <w:p w14:paraId="44EFB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行政处罚决定书</w:t>
      </w:r>
    </w:p>
    <w:p w14:paraId="69C16B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乐综执 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罚决字〔2024〕公第00x号</w:t>
      </w:r>
    </w:p>
    <w:p w14:paraId="147550D1">
      <w:pPr>
        <w:pStyle w:val="2"/>
        <w:spacing w:line="46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6B885389">
      <w:pPr>
        <w:pStyle w:val="2"/>
        <w:spacing w:after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南乐县安达液化气站</w:t>
      </w:r>
    </w:p>
    <w:p w14:paraId="35101355">
      <w:pPr>
        <w:pStyle w:val="2"/>
        <w:spacing w:after="0" w:line="580" w:lineRule="exact"/>
        <w:ind w:firstLine="62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9141xx23x98xx171xx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　                                                                        </w:t>
      </w:r>
    </w:p>
    <w:p w14:paraId="123C9E06">
      <w:pPr>
        <w:pStyle w:val="2"/>
        <w:spacing w:after="0"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南乐县xx镇xx村东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</w:t>
      </w:r>
    </w:p>
    <w:p w14:paraId="37459E78">
      <w:pPr>
        <w:pStyle w:val="2"/>
        <w:spacing w:after="0"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u w:val="none"/>
          <w:shd w:val="clear" w:fill="FFFFFF"/>
          <w:lang w:val="en-US" w:eastAsia="zh-CN"/>
        </w:rPr>
        <w:t>南乐县安达液化气站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厢式货车违规进入灌装区存在安全隐患，涉嫌违反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城镇燃气管理条例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u w:val="none"/>
          <w:shd w:val="clear" w:fill="FFFFFF"/>
          <w:lang w:val="en-US" w:eastAsia="zh-CN"/>
        </w:rPr>
        <w:t>一事进行立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案调查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。经调查，你（单位）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未严格落实安全管理，致使非工作人员、私家车和厢式货车违规运输气瓶进入灌装区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。上述行为违反了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《城镇燃气管理条例》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第四十一条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第一款“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燃气经营者应当建立健全燃气安全评估和风险管理体系，发现燃气安全事故隐患的，应当及时采取措施消除隐患。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的规定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，已经构成违法。</w:t>
      </w:r>
    </w:p>
    <w:p w14:paraId="40510A2C">
      <w:pPr>
        <w:pStyle w:val="2"/>
        <w:spacing w:after="0" w:line="58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当事人违法证据:1.2024年1月11日现场检查(勘验)笔录1份，现场检查照片及监控回放照片3张；证明：2024年1月11日现场检查视频监控记录显示有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非工作人员、私家车和厢式货车违规运输气瓶进入灌装区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。2.企业营业执照、投资人身份证、燃气经营许可证、中华人民共和国气瓶充装许可证；证明：你单位经营主体资格及经营范围、基本身份信息、许可事项资格等情况。3.调查询问笔录；证明：你单位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未严格落实安全管理，存在非工作人员、私家车和厢式货车违规运输气瓶进入灌装区。</w:t>
      </w:r>
    </w:p>
    <w:p w14:paraId="0FE9ABDB">
      <w:pPr>
        <w:pStyle w:val="2"/>
        <w:spacing w:after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2024年1月17日执法人员将《行政处罚事先告知书》（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u w:val="single"/>
          <w:lang w:val="en-US" w:eastAsia="zh-CN" w:bidi="ar-SA"/>
        </w:rPr>
        <w:t>乐综执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罚先告字〔2024〕公第00x号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）直接送达至南乐县安达液化气站，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根据《中华人民共和国行政处罚法》第四十四条、第四十五条的规定，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你单位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在收到告知书之日起5日内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提出陈述、申辩意见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67A3D9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根据你单位违法行为的事实、性质、情节、社会危害程度和相关证据，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照《河南省住房和城乡建设行政处罚裁量基准》中关于《城镇燃气管理条例》第四十八条第三款违法行为情形和处罚基准:“......3.燃气经营者未采取措施及时消除燃气安全事故隐患的；(1)轻微违法行为的表现情形:尚未危及燃气设施或妨碍燃气设施正常使用的。处罚基准:处1万元以上4万元以下罚款。......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之规定，你（单位）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的违法行为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等次属于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轻微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违法行为(轻微、一般、严重或者特别严重)。</w:t>
      </w:r>
    </w:p>
    <w:p w14:paraId="45252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城镇燃气管理条例》第四十八条“违反本条例规定，燃气经营者未按照国家有关工程建设标准和安全生产管理的规定，设置燃气设施防腐、绝缘、防雷、降压、隔离等保护装置和安全警示标志的，或者未定期进行巡查、检测、维修和维护的，或者未采取措施及时消除燃气安全事故隐患的，由燃气管理部门责令限期改正，处1万元以上10万元以下罚款。”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的规定，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鉴于当事人立即改正违法行为，并积极配合调查，按照处罚与教育相结合的原则，参照《中华人民共和国行政处罚法》从轻处罚的表现情形，本机关决定对你单位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作出以下行政处罚：</w:t>
      </w:r>
    </w:p>
    <w:p w14:paraId="1E260BE6">
      <w:pPr>
        <w:pStyle w:val="2"/>
        <w:spacing w:after="0" w:line="580" w:lineRule="exact"/>
        <w:ind w:firstLine="614" w:firstLineChars="200"/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96"/>
          <w:kern w:val="2"/>
          <w:sz w:val="32"/>
          <w:szCs w:val="32"/>
          <w:u w:val="none"/>
          <w:lang w:val="en-US" w:eastAsia="zh-CN" w:bidi="ar-SA"/>
        </w:rPr>
        <w:t>罚款人民币：</w:t>
      </w:r>
      <w:r>
        <w:rPr>
          <w:rFonts w:hint="eastAsia" w:ascii="仿宋_GB2312" w:hAnsi="仿宋_GB2312" w:eastAsia="仿宋_GB2312" w:cs="仿宋_GB2312"/>
          <w:color w:val="000000"/>
          <w:w w:val="96"/>
          <w:kern w:val="2"/>
          <w:sz w:val="32"/>
          <w:szCs w:val="32"/>
          <w:u w:val="none"/>
          <w:lang w:val="en-US" w:eastAsia="zh-CN" w:bidi="ar-SA"/>
        </w:rPr>
        <w:t>壹万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元整。</w:t>
      </w:r>
    </w:p>
    <w:p w14:paraId="5EF5AB81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你单位应当自收到本决定书之日起15日内将罚款缴纳至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南乐县农商银行营业部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银行（账号：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00000000154233124012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）或者通过电子支付系统缴纳罚款。逾期不缴纳罚款的，每日按罚款数额的3%加处罚款。</w:t>
      </w:r>
    </w:p>
    <w:p w14:paraId="17584062">
      <w:pPr>
        <w:pStyle w:val="2"/>
        <w:spacing w:after="0"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你单位如不服本决定，可以自收到本决定书之日起六十日内依法向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南乐县人民政府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申请行政复议，也可以自收到本决定书之日起六个月内依法向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>南乐县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民法院提起行政诉讼。逾期不申请行政复议，也不提起行政诉讼，又不履行本行政处罚决定的，本机关将依法申请人民法院强制执行。                                      </w:t>
      </w:r>
    </w:p>
    <w:p w14:paraId="70EE9083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163B2338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2862959B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62CC80ED">
      <w:pPr>
        <w:pStyle w:val="2"/>
        <w:spacing w:after="0" w:line="540" w:lineRule="exact"/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南乐县综合行政执法局</w:t>
      </w:r>
    </w:p>
    <w:p w14:paraId="2FEEA6F8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日 </w:t>
      </w:r>
    </w:p>
    <w:p w14:paraId="43A8E21A">
      <w:pPr>
        <w:spacing w:line="0" w:lineRule="atLeast"/>
        <w:jc w:val="center"/>
        <w:rPr>
          <w:rFonts w:hint="eastAsia" w:ascii="新宋体" w:hAnsi="新宋体" w:eastAsia="新宋体" w:cs="新宋体"/>
          <w:b/>
          <w:bCs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</w:rPr>
        <w:t xml:space="preserve"> </w:t>
      </w:r>
    </w:p>
    <w:p w14:paraId="5383F69F">
      <w:pPr>
        <w:spacing w:line="0" w:lineRule="atLeast"/>
        <w:jc w:val="center"/>
        <w:rPr>
          <w:rFonts w:hint="eastAsia" w:ascii="新宋体" w:hAnsi="新宋体" w:eastAsia="新宋体" w:cs="新宋体"/>
          <w:b/>
          <w:bCs/>
          <w:color w:val="000000"/>
          <w:sz w:val="32"/>
          <w:szCs w:val="32"/>
        </w:rPr>
      </w:pPr>
    </w:p>
    <w:p w14:paraId="0E974C5F">
      <w:pPr>
        <w:rPr>
          <w:sz w:val="32"/>
          <w:szCs w:val="32"/>
        </w:rPr>
      </w:pPr>
    </w:p>
    <w:sectPr>
      <w:footerReference r:id="rId3" w:type="default"/>
      <w:pgSz w:w="11906" w:h="16838"/>
      <w:pgMar w:top="2098" w:right="1474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38AC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C76C7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7C76C7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I1MGI2Njg2MTAyZTlmZmU1MjQ3NDllZmI2YjAifQ=="/>
  </w:docVars>
  <w:rsids>
    <w:rsidRoot w:val="00000000"/>
    <w:rsid w:val="20F54F9E"/>
    <w:rsid w:val="26530197"/>
    <w:rsid w:val="51122812"/>
    <w:rsid w:val="768647EF"/>
    <w:rsid w:val="77E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1285</Words>
  <Characters>1372</Characters>
  <Lines>0</Lines>
  <Paragraphs>0</Paragraphs>
  <TotalTime>13</TotalTime>
  <ScaleCrop>false</ScaleCrop>
  <LinksUpToDate>false</LinksUpToDate>
  <CharactersWithSpaces>1593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2024-03-04T07:31:00Z</dcterms:created>
  <dc:creator>Administrator</dc:creator>
  <cp:lastModifiedBy>懂我不言</cp:lastModifiedBy>
  <cp:lastPrinted>2024-03-04T10:20:00Z</cp:lastPrinted>
  <dcterms:modified xsi:type="dcterms:W3CDTF">2024-11-11T02:07:53Z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CD29FB564F654F709BB68214A10555BD_12</vt:lpwstr>
  </property>
</Properties>
</file>