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03B42">
      <w:pPr>
        <w:pStyle w:val="5"/>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color w:val="000000"/>
          <w:sz w:val="28"/>
          <w:szCs w:val="28"/>
          <w:lang w:val="en-US" w:eastAsia="zh-CN"/>
        </w:rPr>
      </w:pPr>
      <w:r>
        <w:rPr>
          <w:rFonts w:hint="default" w:ascii="Times New Roman" w:hAnsi="Times New Roman" w:eastAsia="黑体" w:cs="Times New Roman"/>
          <w:color w:val="000000"/>
          <w:sz w:val="28"/>
          <w:szCs w:val="28"/>
          <w:lang w:val="en-US" w:eastAsia="zh-CN"/>
        </w:rPr>
        <w:t>附件2</w:t>
      </w:r>
    </w:p>
    <w:p w14:paraId="4E024D7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楷体_GB2312" w:cs="Times New Roman"/>
          <w:sz w:val="32"/>
          <w:szCs w:val="32"/>
          <w:highlight w:val="none"/>
          <w:lang w:val="en-US" w:eastAsia="zh-CN"/>
        </w:rPr>
      </w:pPr>
      <w:bookmarkStart w:id="0" w:name="_GoBack"/>
      <w:r>
        <w:rPr>
          <w:rFonts w:hint="default" w:ascii="Times New Roman" w:hAnsi="Times New Roman" w:eastAsia="方正小标宋简体" w:cs="Times New Roman"/>
          <w:b w:val="0"/>
          <w:bCs w:val="0"/>
          <w:sz w:val="44"/>
          <w:szCs w:val="44"/>
          <w:lang w:val="en-US" w:eastAsia="zh-CN"/>
        </w:rPr>
        <w:t>息县人民政府决定废止的行政规范性文件目录</w:t>
      </w:r>
      <w:r>
        <w:rPr>
          <w:rFonts w:hint="default" w:ascii="Times New Roman" w:hAnsi="Times New Roman" w:eastAsia="方正小标宋简体" w:cs="Times New Roman"/>
          <w:b w:val="0"/>
          <w:bCs w:val="0"/>
          <w:sz w:val="32"/>
          <w:szCs w:val="32"/>
          <w:highlight w:val="none"/>
          <w:lang w:val="en-US" w:eastAsia="zh-CN"/>
        </w:rPr>
        <w:t>（2件）</w:t>
      </w:r>
    </w:p>
    <w:bookmarkEnd w:id="0"/>
    <w:p w14:paraId="394D2D87">
      <w:pPr>
        <w:keepNext w:val="0"/>
        <w:keepLines w:val="0"/>
        <w:pageBreakBefore w:val="0"/>
        <w:kinsoku/>
        <w:wordWrap/>
        <w:overflowPunct/>
        <w:topLinePunct w:val="0"/>
        <w:autoSpaceDE/>
        <w:autoSpaceDN/>
        <w:bidi w:val="0"/>
        <w:snapToGrid/>
        <w:spacing w:line="540" w:lineRule="exact"/>
        <w:jc w:val="center"/>
        <w:rPr>
          <w:rFonts w:hint="default" w:ascii="Times New Roman" w:hAnsi="Times New Roman" w:eastAsia="方正小标宋简体" w:cs="Times New Roman"/>
          <w:sz w:val="44"/>
          <w:szCs w:val="44"/>
        </w:rPr>
      </w:pPr>
    </w:p>
    <w:tbl>
      <w:tblPr>
        <w:tblStyle w:val="6"/>
        <w:tblW w:w="12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442"/>
        <w:gridCol w:w="2283"/>
        <w:gridCol w:w="1364"/>
      </w:tblGrid>
      <w:tr w14:paraId="1891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bottom"/>
          </w:tcPr>
          <w:p w14:paraId="7FE7D72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kern w:val="0"/>
                <w:position w:val="10"/>
                <w:sz w:val="28"/>
                <w:szCs w:val="28"/>
              </w:rPr>
            </w:pPr>
            <w:r>
              <w:rPr>
                <w:rFonts w:hint="default" w:ascii="Times New Roman" w:hAnsi="Times New Roman" w:eastAsia="黑体" w:cs="Times New Roman"/>
                <w:kern w:val="0"/>
                <w:position w:val="10"/>
                <w:sz w:val="24"/>
                <w:szCs w:val="24"/>
              </w:rPr>
              <w:t>序号</w:t>
            </w:r>
          </w:p>
        </w:tc>
        <w:tc>
          <w:tcPr>
            <w:tcW w:w="8442" w:type="dxa"/>
            <w:noWrap w:val="0"/>
            <w:vAlign w:val="bottom"/>
          </w:tcPr>
          <w:p w14:paraId="5B61E1B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kern w:val="0"/>
                <w:position w:val="10"/>
                <w:sz w:val="28"/>
                <w:szCs w:val="28"/>
              </w:rPr>
            </w:pPr>
            <w:r>
              <w:rPr>
                <w:rFonts w:hint="default" w:ascii="Times New Roman" w:hAnsi="Times New Roman" w:eastAsia="黑体" w:cs="Times New Roman"/>
                <w:kern w:val="0"/>
                <w:position w:val="10"/>
                <w:sz w:val="24"/>
                <w:szCs w:val="24"/>
                <w:lang w:eastAsia="zh-CN"/>
              </w:rPr>
              <w:t>行政规范性文件</w:t>
            </w:r>
            <w:r>
              <w:rPr>
                <w:rFonts w:hint="default" w:ascii="Times New Roman" w:hAnsi="Times New Roman" w:eastAsia="黑体" w:cs="Times New Roman"/>
                <w:kern w:val="0"/>
                <w:position w:val="10"/>
                <w:sz w:val="24"/>
                <w:szCs w:val="24"/>
              </w:rPr>
              <w:t>名称</w:t>
            </w:r>
          </w:p>
        </w:tc>
        <w:tc>
          <w:tcPr>
            <w:tcW w:w="2283" w:type="dxa"/>
            <w:noWrap w:val="0"/>
            <w:vAlign w:val="bottom"/>
          </w:tcPr>
          <w:p w14:paraId="7ED1002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kern w:val="0"/>
                <w:position w:val="10"/>
                <w:sz w:val="24"/>
                <w:szCs w:val="24"/>
              </w:rPr>
            </w:pPr>
            <w:r>
              <w:rPr>
                <w:rFonts w:hint="default" w:ascii="Times New Roman" w:hAnsi="Times New Roman" w:eastAsia="黑体" w:cs="Times New Roman"/>
                <w:kern w:val="0"/>
                <w:position w:val="10"/>
                <w:sz w:val="24"/>
                <w:szCs w:val="24"/>
              </w:rPr>
              <w:t>文号</w:t>
            </w:r>
          </w:p>
        </w:tc>
        <w:tc>
          <w:tcPr>
            <w:tcW w:w="1364" w:type="dxa"/>
            <w:noWrap w:val="0"/>
            <w:vAlign w:val="bottom"/>
          </w:tcPr>
          <w:p w14:paraId="7DE76AA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kern w:val="0"/>
                <w:position w:val="10"/>
                <w:sz w:val="24"/>
                <w:szCs w:val="24"/>
              </w:rPr>
            </w:pPr>
            <w:r>
              <w:rPr>
                <w:rFonts w:hint="default" w:ascii="Times New Roman" w:hAnsi="Times New Roman" w:eastAsia="黑体" w:cs="Times New Roman"/>
                <w:kern w:val="0"/>
                <w:position w:val="10"/>
                <w:sz w:val="24"/>
                <w:szCs w:val="24"/>
                <w:lang w:eastAsia="zh-CN"/>
              </w:rPr>
              <w:t>清理结果</w:t>
            </w:r>
          </w:p>
        </w:tc>
      </w:tr>
      <w:tr w14:paraId="6DC8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center"/>
          </w:tcPr>
          <w:p w14:paraId="385CC6E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color w:val="auto"/>
                <w:kern w:val="0"/>
                <w:position w:val="10"/>
                <w:sz w:val="21"/>
                <w:szCs w:val="21"/>
                <w:lang w:val="en-US" w:eastAsia="zh-CN"/>
              </w:rPr>
            </w:pPr>
            <w:r>
              <w:rPr>
                <w:rFonts w:hint="default" w:ascii="Times New Roman" w:hAnsi="Times New Roman" w:eastAsia="方正仿宋_GBK" w:cs="Times New Roman"/>
                <w:color w:val="auto"/>
                <w:kern w:val="0"/>
                <w:position w:val="10"/>
                <w:sz w:val="21"/>
                <w:szCs w:val="21"/>
                <w:lang w:val="en-US" w:eastAsia="zh-CN"/>
              </w:rPr>
              <w:t>1</w:t>
            </w:r>
          </w:p>
        </w:tc>
        <w:tc>
          <w:tcPr>
            <w:tcW w:w="8442" w:type="dxa"/>
            <w:noWrap w:val="0"/>
            <w:vAlign w:val="center"/>
          </w:tcPr>
          <w:p w14:paraId="5E7655FA">
            <w:pPr>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color w:val="auto"/>
                <w:sz w:val="21"/>
                <w:szCs w:val="21"/>
                <w:vertAlign w:val="baseline"/>
              </w:rPr>
              <w:t>《息县人民政府办公室关于对企业购买非住宅用房予以奖励的通知》</w:t>
            </w:r>
          </w:p>
        </w:tc>
        <w:tc>
          <w:tcPr>
            <w:tcW w:w="2283" w:type="dxa"/>
            <w:noWrap w:val="0"/>
            <w:vAlign w:val="center"/>
          </w:tcPr>
          <w:p w14:paraId="65462128">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color w:val="auto"/>
                <w:sz w:val="21"/>
                <w:szCs w:val="21"/>
                <w:vertAlign w:val="baseline"/>
              </w:rPr>
              <w:t>息政办〔2022〕59号</w:t>
            </w:r>
          </w:p>
        </w:tc>
        <w:tc>
          <w:tcPr>
            <w:tcW w:w="1364" w:type="dxa"/>
            <w:noWrap w:val="0"/>
            <w:vAlign w:val="center"/>
          </w:tcPr>
          <w:p w14:paraId="101A5988">
            <w:pPr>
              <w:keepNext w:val="0"/>
              <w:keepLines w:val="0"/>
              <w:pageBreakBefore w:val="0"/>
              <w:widowControl/>
              <w:suppressLineNumbers w:val="0"/>
              <w:kinsoku/>
              <w:wordWrap/>
              <w:overflowPunct/>
              <w:topLinePunct w:val="0"/>
              <w:autoSpaceDE/>
              <w:autoSpaceDN/>
              <w:bidi w:val="0"/>
              <w:snapToGrid/>
              <w:spacing w:line="54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拟废止</w:t>
            </w:r>
          </w:p>
        </w:tc>
      </w:tr>
      <w:tr w14:paraId="1FA7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0" w:type="dxa"/>
            <w:noWrap w:val="0"/>
            <w:vAlign w:val="center"/>
          </w:tcPr>
          <w:p w14:paraId="7FA13D2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position w:val="10"/>
                <w:sz w:val="21"/>
                <w:szCs w:val="21"/>
                <w:lang w:val="en-US" w:eastAsia="zh-CN"/>
              </w:rPr>
            </w:pPr>
            <w:r>
              <w:rPr>
                <w:rFonts w:hint="default" w:ascii="Times New Roman" w:hAnsi="Times New Roman" w:eastAsia="方正仿宋_GBK" w:cs="Times New Roman"/>
                <w:kern w:val="0"/>
                <w:position w:val="10"/>
                <w:sz w:val="21"/>
                <w:szCs w:val="21"/>
                <w:lang w:val="en-US" w:eastAsia="zh-CN"/>
              </w:rPr>
              <w:t>2</w:t>
            </w:r>
          </w:p>
        </w:tc>
        <w:tc>
          <w:tcPr>
            <w:tcW w:w="8442" w:type="dxa"/>
            <w:noWrap w:val="0"/>
            <w:vAlign w:val="center"/>
          </w:tcPr>
          <w:p w14:paraId="4C5802B6">
            <w:pPr>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color w:val="auto"/>
                <w:sz w:val="21"/>
                <w:szCs w:val="21"/>
                <w:vertAlign w:val="baseline"/>
              </w:rPr>
              <w:t>《息县人民政府办公室关于印发息县鼓励加大全社会研发投入若干政策措施的通知》</w:t>
            </w:r>
          </w:p>
        </w:tc>
        <w:tc>
          <w:tcPr>
            <w:tcW w:w="2283" w:type="dxa"/>
            <w:noWrap w:val="0"/>
            <w:vAlign w:val="center"/>
          </w:tcPr>
          <w:p w14:paraId="18883624">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color w:val="auto"/>
                <w:sz w:val="21"/>
                <w:szCs w:val="21"/>
                <w:vertAlign w:val="baseline"/>
              </w:rPr>
              <w:t>息政办〔2022〕61号</w:t>
            </w:r>
          </w:p>
        </w:tc>
        <w:tc>
          <w:tcPr>
            <w:tcW w:w="1364" w:type="dxa"/>
            <w:noWrap w:val="0"/>
            <w:vAlign w:val="center"/>
          </w:tcPr>
          <w:p w14:paraId="660EB74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sz w:val="21"/>
                <w:szCs w:val="21"/>
                <w:lang w:val="en-US" w:eastAsia="zh-CN"/>
              </w:rPr>
              <w:t>拟废止</w:t>
            </w:r>
          </w:p>
        </w:tc>
      </w:tr>
    </w:tbl>
    <w:p w14:paraId="4AA2803E">
      <w:pPr>
        <w:pStyle w:val="5"/>
        <w:keepNext w:val="0"/>
        <w:keepLines w:val="0"/>
        <w:pageBreakBefore w:val="0"/>
        <w:widowControl w:val="0"/>
        <w:numPr>
          <w:ilvl w:val="0"/>
          <w:numId w:val="0"/>
        </w:numPr>
        <w:kinsoku/>
        <w:wordWrap/>
        <w:overflowPunct/>
        <w:topLinePunct w:val="0"/>
        <w:autoSpaceDE/>
        <w:autoSpaceDN/>
        <w:bidi w:val="0"/>
        <w:snapToGrid/>
        <w:spacing w:line="540" w:lineRule="exact"/>
        <w:ind w:left="0" w:leftChars="0" w:firstLine="1600" w:firstLineChars="500"/>
        <w:jc w:val="left"/>
        <w:textAlignment w:val="auto"/>
        <w:rPr>
          <w:rFonts w:hint="default" w:ascii="Times New Roman" w:hAnsi="Times New Roman" w:eastAsia="仿宋_GB2312" w:cs="Times New Roman"/>
          <w:color w:val="auto"/>
          <w:sz w:val="32"/>
          <w:szCs w:val="32"/>
          <w:lang w:val="en-US" w:eastAsia="zh-CN"/>
        </w:rPr>
      </w:pPr>
    </w:p>
    <w:p w14:paraId="515187A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A6377"/>
    <w:multiLevelType w:val="singleLevel"/>
    <w:tmpl w:val="515A6377"/>
    <w:lvl w:ilvl="0" w:tentative="0">
      <w:start w:val="1"/>
      <w:numFmt w:val="chineseCounting"/>
      <w:pStyle w:val="3"/>
      <w:suff w:val="nothing"/>
      <w:lvlText w:val="%1、"/>
      <w:lvlJc w:val="left"/>
      <w:pPr>
        <w:ind w:left="540" w:firstLine="420"/>
      </w:pPr>
      <w:rPr>
        <w:rFonts w:hint="eastAsia" w:eastAsia="仿宋_GB2312" w:cs="Times New Roman"/>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TdiYjdlOTFlYjJhYmM3MzgyMzcyYjQ3NTYxNmMifQ=="/>
  </w:docVars>
  <w:rsids>
    <w:rsidRoot w:val="51830EA8"/>
    <w:rsid w:val="51830EA8"/>
    <w:rsid w:val="756F5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Autospacing="1"/>
    </w:pPr>
    <w:rPr>
      <w:rFonts w:ascii="Calibri" w:hAnsi="Calibri"/>
    </w:rPr>
  </w:style>
  <w:style w:type="paragraph" w:styleId="3">
    <w:name w:val="Body Text Indent"/>
    <w:basedOn w:val="1"/>
    <w:qFormat/>
    <w:uiPriority w:val="99"/>
    <w:pPr>
      <w:numPr>
        <w:ilvl w:val="0"/>
        <w:numId w:val="1"/>
      </w:num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qFormat/>
    <w:uiPriority w:val="99"/>
    <w:pPr>
      <w:widowControl w:val="0"/>
      <w:spacing w:line="560" w:lineRule="exact"/>
      <w:ind w:left="420" w:leftChars="200" w:firstLine="420" w:firstLineChars="200"/>
      <w:jc w:val="both"/>
    </w:pPr>
    <w:rPr>
      <w:rFonts w:ascii="Calibri" w:hAnsi="Calibri" w:eastAsia="仿宋_GB2312" w:cs="Times New Roman"/>
      <w:kern w:val="2"/>
      <w:sz w:val="32"/>
      <w:szCs w:val="24"/>
      <w:lang w:val="en-US" w:eastAsia="zh-CN" w:bidi="ar-SA"/>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2024-11-21T02:05:00Z</dcterms:created>
  <dc:creator>Administrator</dc:creator>
  <cp:lastModifiedBy>Administrator</cp:lastModifiedBy>
  <dcterms:modified xsi:type="dcterms:W3CDTF">2024-11-21T02:06:35Z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3B284221AD4C41888B1291B1868E06FC_13</vt:lpwstr>
  </property>
</Properties>
</file>