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D478F">
      <w:pPr>
        <w:pStyle w:val="2"/>
        <w:ind w:left="0" w:leftChars="0" w:firstLine="0" w:firstLineChars="0"/>
        <w:rPr>
          <w:rFonts w:hint="eastAsia" w:ascii="Times New Roman Regular" w:hAnsi="Times New Roman Regular" w:eastAsia="黑体" w:cs="Times New Roman Regular"/>
          <w:i w:val="0"/>
          <w:iCs w:val="0"/>
          <w:caps w:val="0"/>
          <w:color w:val="auto"/>
          <w:spacing w:val="0"/>
          <w:kern w:val="2"/>
          <w:sz w:val="32"/>
          <w:szCs w:val="32"/>
          <w:highlight w:val="none"/>
          <w:shd w:val="clear" w:fill="FFFFFF"/>
          <w:lang w:val="en-US" w:eastAsia="zh-CN" w:bidi="ar-SA"/>
        </w:rPr>
      </w:pPr>
      <w:r>
        <w:rPr>
          <w:rFonts w:hint="eastAsia" w:ascii="Times New Roman Regular" w:hAnsi="Times New Roman Regular" w:eastAsia="黑体" w:cs="Times New Roman Regular"/>
          <w:i w:val="0"/>
          <w:iCs w:val="0"/>
          <w:caps w:val="0"/>
          <w:color w:val="auto"/>
          <w:spacing w:val="0"/>
          <w:kern w:val="2"/>
          <w:sz w:val="32"/>
          <w:szCs w:val="32"/>
          <w:highlight w:val="none"/>
          <w:shd w:val="clear" w:fill="FFFFFF"/>
          <w:lang w:val="en-US" w:eastAsia="zh-CN" w:bidi="ar-SA"/>
        </w:rPr>
        <w:t>附件：</w:t>
      </w:r>
    </w:p>
    <w:p w14:paraId="7BCA417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Regular" w:hAnsi="Times New Roman Regular" w:eastAsia="方正小标宋简体" w:cs="Times New Roman Regular"/>
          <w:b w:val="0"/>
          <w:bCs w:val="0"/>
          <w:color w:val="auto"/>
          <w:sz w:val="44"/>
          <w:szCs w:val="44"/>
          <w:highlight w:val="none"/>
          <w:lang w:val="en-US" w:eastAsia="zh-CN"/>
        </w:rPr>
      </w:pPr>
      <w:bookmarkStart w:id="0" w:name="_GoBack"/>
      <w:r>
        <w:rPr>
          <w:rFonts w:hint="default" w:ascii="Times New Roman Regular" w:hAnsi="Times New Roman Regular" w:eastAsia="方正小标宋简体" w:cs="Times New Roman Regular"/>
          <w:b w:val="0"/>
          <w:bCs w:val="0"/>
          <w:color w:val="auto"/>
          <w:sz w:val="44"/>
          <w:szCs w:val="44"/>
          <w:highlight w:val="none"/>
          <w:lang w:val="en-US" w:eastAsia="zh-CN"/>
        </w:rPr>
        <w:t>郑州航空港经济综合实验区</w:t>
      </w:r>
    </w:p>
    <w:p w14:paraId="7D827E2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Regular" w:hAnsi="Times New Roman Regular" w:eastAsia="方正小标宋简体" w:cs="Times New Roman Regular"/>
          <w:b w:val="0"/>
          <w:bCs w:val="0"/>
          <w:sz w:val="44"/>
          <w:szCs w:val="44"/>
          <w:highlight w:val="none"/>
          <w:lang w:val="en-US" w:eastAsia="zh-CN"/>
        </w:rPr>
      </w:pPr>
      <w:r>
        <w:rPr>
          <w:rFonts w:hint="default" w:ascii="Times New Roman Regular" w:hAnsi="Times New Roman Regular" w:eastAsia="方正小标宋简体" w:cs="Times New Roman Regular"/>
          <w:b w:val="0"/>
          <w:bCs w:val="0"/>
          <w:color w:val="auto"/>
          <w:sz w:val="44"/>
          <w:szCs w:val="44"/>
          <w:highlight w:val="none"/>
          <w:lang w:val="en-US" w:eastAsia="zh-CN"/>
        </w:rPr>
        <w:t>关于促进中原医学科学城细胞和基因治疗产业高质量集聚发展的若干政策</w:t>
      </w:r>
    </w:p>
    <w:p w14:paraId="3CACA24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Regular" w:hAnsi="Times New Roman Regular" w:eastAsia="楷体_GB2312" w:cs="Times New Roman Regular"/>
          <w:kern w:val="2"/>
          <w:sz w:val="32"/>
          <w:szCs w:val="32"/>
          <w:highlight w:val="none"/>
          <w:lang w:eastAsia="zh-CN" w:bidi="ar-SA"/>
        </w:rPr>
      </w:pPr>
      <w:r>
        <w:rPr>
          <w:rFonts w:hint="default" w:ascii="Times New Roman Regular" w:hAnsi="Times New Roman Regular" w:eastAsia="楷体_GB2312" w:cs="Times New Roman Regular"/>
          <w:kern w:val="2"/>
          <w:sz w:val="32"/>
          <w:szCs w:val="32"/>
          <w:highlight w:val="none"/>
          <w:lang w:eastAsia="zh-CN" w:bidi="ar-SA"/>
        </w:rPr>
        <w:t>（</w:t>
      </w:r>
      <w:r>
        <w:rPr>
          <w:rFonts w:hint="eastAsia" w:ascii="Times New Roman Regular" w:hAnsi="Times New Roman Regular" w:eastAsia="楷体_GB2312" w:cs="Times New Roman Regular"/>
          <w:kern w:val="2"/>
          <w:sz w:val="32"/>
          <w:szCs w:val="32"/>
          <w:highlight w:val="none"/>
          <w:lang w:val="en-US" w:eastAsia="zh-CN" w:bidi="ar-SA"/>
        </w:rPr>
        <w:t>征求意见</w:t>
      </w:r>
      <w:r>
        <w:rPr>
          <w:rFonts w:hint="default" w:ascii="Times New Roman Regular" w:hAnsi="Times New Roman Regular" w:eastAsia="楷体_GB2312" w:cs="Times New Roman Regular"/>
          <w:kern w:val="2"/>
          <w:sz w:val="32"/>
          <w:szCs w:val="32"/>
          <w:highlight w:val="none"/>
          <w:lang w:val="en-US" w:eastAsia="zh-CN" w:bidi="ar-SA"/>
        </w:rPr>
        <w:t>稿</w:t>
      </w:r>
      <w:r>
        <w:rPr>
          <w:rFonts w:hint="default" w:ascii="Times New Roman Regular" w:hAnsi="Times New Roman Regular" w:eastAsia="楷体_GB2312" w:cs="Times New Roman Regular"/>
          <w:kern w:val="2"/>
          <w:sz w:val="32"/>
          <w:szCs w:val="32"/>
          <w:highlight w:val="none"/>
          <w:lang w:eastAsia="zh-CN" w:bidi="ar-SA"/>
        </w:rPr>
        <w:t>）</w:t>
      </w:r>
    </w:p>
    <w:bookmarkEnd w:id="0"/>
    <w:p w14:paraId="1BABDCC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Regular" w:hAnsi="Times New Roman Regular" w:eastAsia="楷体_GB2312" w:cs="Times New Roman Regular"/>
          <w:kern w:val="2"/>
          <w:sz w:val="32"/>
          <w:szCs w:val="32"/>
          <w:highlight w:val="none"/>
          <w:lang w:val="en-US" w:eastAsia="zh-CN" w:bidi="ar-SA"/>
        </w:rPr>
      </w:pPr>
      <w:r>
        <w:rPr>
          <w:rFonts w:hint="default" w:ascii="Times New Roman Regular" w:hAnsi="Times New Roman Regular" w:eastAsia="楷体_GB2312" w:cs="Times New Roman Regular"/>
          <w:kern w:val="2"/>
          <w:sz w:val="32"/>
          <w:szCs w:val="32"/>
          <w:highlight w:val="none"/>
          <w:lang w:val="en-US" w:eastAsia="zh-CN" w:bidi="ar-SA"/>
        </w:rPr>
        <w:t>2024年12月</w:t>
      </w:r>
    </w:p>
    <w:p w14:paraId="38436EA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p>
    <w:p w14:paraId="258369A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为深入贯彻省委省政府关于</w:t>
      </w:r>
      <w:r>
        <w:rPr>
          <w:rFonts w:hint="eastAsia" w:ascii="Times New Roman Regular" w:hAnsi="Times New Roman Regular" w:eastAsia="仿宋_GB2312" w:cs="Times New Roman Regular"/>
          <w:color w:val="auto"/>
          <w:kern w:val="2"/>
          <w:sz w:val="32"/>
          <w:szCs w:val="32"/>
          <w:highlight w:val="none"/>
          <w:lang w:val="en-US" w:eastAsia="zh-CN" w:bidi="ar-SA"/>
        </w:rPr>
        <w:t>院城产融合发展</w:t>
      </w:r>
      <w:r>
        <w:rPr>
          <w:rFonts w:hint="default" w:ascii="Times New Roman Regular" w:hAnsi="Times New Roman Regular" w:eastAsia="仿宋_GB2312" w:cs="Times New Roman Regular"/>
          <w:color w:val="auto"/>
          <w:kern w:val="2"/>
          <w:sz w:val="32"/>
          <w:szCs w:val="32"/>
          <w:highlight w:val="none"/>
          <w:lang w:val="en-US" w:eastAsia="zh-CN" w:bidi="ar-SA"/>
        </w:rPr>
        <w:t>的决策部署，全面落实《河南省医学科学院发展促进条例》关于支持中原医学科学城开展细胞、免疫和基因治疗技术等医学创新技术规范化先行先试的重大举措，加快汇聚集“制备存储、研发生产、应用转化、质检服务、装备耗材”于一体的细胞和基因产业链，将中原医学科学城打造为具有重要影响力的细胞和基因治疗研发、应用和产业化高地。结合航空港区实际，制定本政策。</w:t>
      </w:r>
    </w:p>
    <w:p w14:paraId="39CCE68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Regular" w:hAnsi="Times New Roman Regular" w:eastAsia="黑体" w:cs="Times New Roman Regular"/>
          <w:i w:val="0"/>
          <w:iCs w:val="0"/>
          <w:caps w:val="0"/>
          <w:color w:val="auto"/>
          <w:spacing w:val="0"/>
          <w:sz w:val="32"/>
          <w:szCs w:val="32"/>
          <w:highlight w:val="none"/>
          <w:shd w:val="clear" w:fill="FFFFFF"/>
        </w:rPr>
      </w:pPr>
      <w:r>
        <w:rPr>
          <w:rFonts w:hint="default" w:ascii="Times New Roman Regular" w:hAnsi="Times New Roman Regular" w:eastAsia="黑体" w:cs="Times New Roman Regular"/>
          <w:i w:val="0"/>
          <w:iCs w:val="0"/>
          <w:caps w:val="0"/>
          <w:color w:val="auto"/>
          <w:spacing w:val="0"/>
          <w:sz w:val="32"/>
          <w:szCs w:val="32"/>
          <w:highlight w:val="none"/>
          <w:shd w:val="clear" w:fill="FFFFFF"/>
          <w:lang w:val="en-US" w:eastAsia="zh-CN"/>
        </w:rPr>
        <w:t>一、</w:t>
      </w:r>
      <w:r>
        <w:rPr>
          <w:rFonts w:hint="default" w:ascii="Times New Roman Regular" w:hAnsi="Times New Roman Regular" w:eastAsia="黑体" w:cs="Times New Roman Regular"/>
          <w:i w:val="0"/>
          <w:iCs w:val="0"/>
          <w:caps w:val="0"/>
          <w:color w:val="auto"/>
          <w:spacing w:val="0"/>
          <w:sz w:val="32"/>
          <w:szCs w:val="32"/>
          <w:highlight w:val="none"/>
          <w:shd w:val="clear" w:fill="FFFFFF"/>
        </w:rPr>
        <w:t>支持范围和方式</w:t>
      </w:r>
    </w:p>
    <w:p w14:paraId="0B3D417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楷体_GB2312" w:cs="Times New Roman Regular"/>
          <w:kern w:val="2"/>
          <w:sz w:val="32"/>
          <w:szCs w:val="32"/>
          <w:highlight w:val="none"/>
          <w:lang w:val="en-US" w:eastAsia="zh-CN" w:bidi="ar-SA"/>
        </w:rPr>
        <w:t>（一）</w:t>
      </w:r>
      <w:r>
        <w:rPr>
          <w:rFonts w:hint="default" w:ascii="Times New Roman Regular" w:hAnsi="Times New Roman Regular" w:eastAsia="楷体_GB2312" w:cs="Times New Roman Regular"/>
          <w:kern w:val="2"/>
          <w:sz w:val="32"/>
          <w:szCs w:val="32"/>
          <w:highlight w:val="none"/>
          <w:lang w:val="en-US" w:eastAsia="zh-Hans" w:bidi="ar-SA"/>
        </w:rPr>
        <w:t>支持对象。</w:t>
      </w:r>
      <w:r>
        <w:rPr>
          <w:rFonts w:hint="default" w:ascii="Times New Roman Regular" w:hAnsi="Times New Roman Regular" w:eastAsia="仿宋_GB2312" w:cs="Times New Roman Regular"/>
          <w:color w:val="auto"/>
          <w:kern w:val="2"/>
          <w:sz w:val="32"/>
          <w:szCs w:val="32"/>
          <w:highlight w:val="none"/>
          <w:lang w:val="en-US" w:eastAsia="zh-Hans" w:bidi="ar-SA"/>
        </w:rPr>
        <w:t>本</w:t>
      </w:r>
      <w:r>
        <w:rPr>
          <w:rFonts w:hint="default" w:ascii="Times New Roman Regular" w:hAnsi="Times New Roman Regular" w:eastAsia="仿宋_GB2312" w:cs="Times New Roman Regular"/>
          <w:color w:val="auto"/>
          <w:kern w:val="2"/>
          <w:sz w:val="32"/>
          <w:szCs w:val="32"/>
          <w:highlight w:val="none"/>
          <w:lang w:val="en-US" w:eastAsia="zh-CN" w:bidi="ar-SA"/>
        </w:rPr>
        <w:t>政策</w:t>
      </w:r>
      <w:r>
        <w:rPr>
          <w:rFonts w:hint="default" w:ascii="Times New Roman Regular" w:hAnsi="Times New Roman Regular" w:eastAsia="仿宋_GB2312" w:cs="Times New Roman Regular"/>
          <w:color w:val="auto"/>
          <w:kern w:val="2"/>
          <w:sz w:val="32"/>
          <w:szCs w:val="32"/>
          <w:highlight w:val="none"/>
          <w:lang w:val="en-US" w:eastAsia="zh-Hans" w:bidi="ar-SA"/>
        </w:rPr>
        <w:t>适用于在</w:t>
      </w:r>
      <w:r>
        <w:rPr>
          <w:rFonts w:hint="default" w:ascii="Times New Roman Regular" w:hAnsi="Times New Roman Regular" w:eastAsia="仿宋_GB2312" w:cs="Times New Roman Regular"/>
          <w:color w:val="auto"/>
          <w:kern w:val="2"/>
          <w:sz w:val="32"/>
          <w:szCs w:val="32"/>
          <w:highlight w:val="none"/>
          <w:lang w:val="en-US" w:eastAsia="zh-CN" w:bidi="ar-SA"/>
        </w:rPr>
        <w:t>中原医学科学城</w:t>
      </w:r>
      <w:r>
        <w:rPr>
          <w:rFonts w:hint="eastAsia" w:ascii="Times New Roman Regular" w:hAnsi="Times New Roman Regular" w:eastAsia="仿宋_GB2312" w:cs="Times New Roman Regular"/>
          <w:color w:val="auto"/>
          <w:kern w:val="2"/>
          <w:sz w:val="32"/>
          <w:szCs w:val="32"/>
          <w:highlight w:val="none"/>
          <w:lang w:val="en-US" w:eastAsia="zh-CN" w:bidi="ar-SA"/>
        </w:rPr>
        <w:t>（包括以郑州大学一附院南院区为核心的国际医疗健康园，下同）</w:t>
      </w:r>
      <w:r>
        <w:rPr>
          <w:rFonts w:hint="default" w:ascii="Times New Roman Regular" w:hAnsi="Times New Roman Regular" w:eastAsia="仿宋_GB2312" w:cs="Times New Roman Regular"/>
          <w:color w:val="auto"/>
          <w:kern w:val="2"/>
          <w:sz w:val="32"/>
          <w:szCs w:val="32"/>
          <w:highlight w:val="none"/>
          <w:lang w:val="en-US" w:eastAsia="zh-Hans" w:bidi="ar-SA"/>
        </w:rPr>
        <w:t>完成工商注册、税务登记、统计登记，从事</w:t>
      </w:r>
      <w:r>
        <w:rPr>
          <w:rFonts w:hint="default" w:ascii="Times New Roman Regular" w:hAnsi="Times New Roman Regular" w:eastAsia="仿宋_GB2312" w:cs="Times New Roman Regular"/>
          <w:color w:val="auto"/>
          <w:kern w:val="2"/>
          <w:sz w:val="32"/>
          <w:szCs w:val="32"/>
          <w:highlight w:val="none"/>
          <w:lang w:val="en-US" w:eastAsia="zh-CN" w:bidi="ar-SA"/>
        </w:rPr>
        <w:t>细胞和基因</w:t>
      </w:r>
      <w:r>
        <w:rPr>
          <w:rFonts w:hint="default" w:ascii="Times New Roman Regular" w:hAnsi="Times New Roman Regular" w:eastAsia="仿宋_GB2312" w:cs="Times New Roman Regular"/>
          <w:color w:val="auto"/>
          <w:kern w:val="2"/>
          <w:sz w:val="32"/>
          <w:szCs w:val="32"/>
          <w:highlight w:val="none"/>
          <w:lang w:val="en-US" w:eastAsia="zh-Hans" w:bidi="ar-SA"/>
        </w:rPr>
        <w:t>治疗</w:t>
      </w:r>
      <w:r>
        <w:rPr>
          <w:rFonts w:hint="default" w:ascii="Times New Roman Regular" w:hAnsi="Times New Roman Regular" w:eastAsia="仿宋_GB2312" w:cs="Times New Roman Regular"/>
          <w:color w:val="auto"/>
          <w:kern w:val="2"/>
          <w:sz w:val="32"/>
          <w:szCs w:val="32"/>
          <w:highlight w:val="none"/>
          <w:lang w:val="en-US" w:eastAsia="zh-CN" w:bidi="ar-SA"/>
        </w:rPr>
        <w:t>相关</w:t>
      </w:r>
      <w:r>
        <w:rPr>
          <w:rFonts w:hint="default" w:ascii="Times New Roman Regular" w:hAnsi="Times New Roman Regular" w:eastAsia="仿宋_GB2312" w:cs="Times New Roman Regular"/>
          <w:color w:val="auto"/>
          <w:kern w:val="2"/>
          <w:sz w:val="32"/>
          <w:szCs w:val="32"/>
          <w:highlight w:val="none"/>
          <w:lang w:val="en-US" w:eastAsia="zh-Hans" w:bidi="ar-SA"/>
        </w:rPr>
        <w:t>领域研发、生产、</w:t>
      </w:r>
      <w:r>
        <w:rPr>
          <w:rFonts w:hint="default" w:ascii="Times New Roman Regular" w:hAnsi="Times New Roman Regular" w:eastAsia="仿宋_GB2312" w:cs="Times New Roman Regular"/>
          <w:color w:val="auto"/>
          <w:kern w:val="2"/>
          <w:sz w:val="32"/>
          <w:szCs w:val="32"/>
          <w:highlight w:val="none"/>
          <w:lang w:val="en-US" w:eastAsia="zh-CN" w:bidi="ar-SA"/>
        </w:rPr>
        <w:t>流通、</w:t>
      </w:r>
      <w:r>
        <w:rPr>
          <w:rFonts w:hint="default" w:ascii="Times New Roman Regular" w:hAnsi="Times New Roman Regular" w:eastAsia="仿宋_GB2312" w:cs="Times New Roman Regular"/>
          <w:color w:val="auto"/>
          <w:kern w:val="2"/>
          <w:sz w:val="32"/>
          <w:szCs w:val="32"/>
          <w:highlight w:val="none"/>
          <w:lang w:val="en-US" w:eastAsia="zh-Hans" w:bidi="ar-SA"/>
        </w:rPr>
        <w:t>服务等生产经营活动，具有独立法人资格的企</w:t>
      </w:r>
      <w:r>
        <w:rPr>
          <w:rFonts w:hint="default" w:ascii="Times New Roman Regular" w:hAnsi="Times New Roman Regular" w:eastAsia="仿宋_GB2312" w:cs="Times New Roman Regular"/>
          <w:color w:val="auto"/>
          <w:kern w:val="2"/>
          <w:sz w:val="32"/>
          <w:szCs w:val="32"/>
          <w:highlight w:val="none"/>
          <w:lang w:val="en-US" w:eastAsia="zh-CN" w:bidi="ar-SA"/>
        </w:rPr>
        <w:t>事业单位</w:t>
      </w:r>
      <w:r>
        <w:rPr>
          <w:rFonts w:hint="default" w:ascii="Times New Roman Regular" w:hAnsi="Times New Roman Regular" w:eastAsia="仿宋_GB2312" w:cs="Times New Roman Regular"/>
          <w:color w:val="auto"/>
          <w:kern w:val="2"/>
          <w:sz w:val="32"/>
          <w:szCs w:val="32"/>
          <w:highlight w:val="none"/>
          <w:lang w:val="en-US" w:eastAsia="zh-Hans" w:bidi="ar-SA"/>
        </w:rPr>
        <w:t>及其他创新主体</w:t>
      </w:r>
      <w:r>
        <w:rPr>
          <w:rFonts w:hint="default" w:ascii="Times New Roman Regular" w:hAnsi="Times New Roman Regular" w:eastAsia="仿宋_GB2312" w:cs="Times New Roman Regular"/>
          <w:color w:val="auto"/>
          <w:kern w:val="2"/>
          <w:sz w:val="32"/>
          <w:szCs w:val="32"/>
          <w:highlight w:val="none"/>
          <w:lang w:val="en-US" w:eastAsia="zh-CN" w:bidi="ar-SA"/>
        </w:rPr>
        <w:t>。整合创新资源和产业资源，支持高水平建设细胞和基因治疗领域专业园区、创新平台和服务平台，重点支持省医学科学院建设中原细胞和免疫实验室、省红十字血液中心建设细胞库等重大创新平台，支持多元主体合作共建公共技术服务平台，打造成为全省细胞和基因治疗领域的存储制备中心、制造业中试平台和科研成果转化支撑载体，构建从采集存储、临床转化至医疗应用的全要素创新生态和全链条支撑能力，切实推进中原医学科学城医学创新技术试点建设。</w:t>
      </w:r>
    </w:p>
    <w:p w14:paraId="3FB80C8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楷体_GB2312" w:cs="Times New Roman Regular"/>
          <w:kern w:val="2"/>
          <w:sz w:val="32"/>
          <w:szCs w:val="32"/>
          <w:highlight w:val="none"/>
          <w:lang w:val="en-US" w:eastAsia="zh-CN" w:bidi="ar-SA"/>
        </w:rPr>
        <w:t>（二）兑现方式。</w:t>
      </w:r>
      <w:r>
        <w:rPr>
          <w:rFonts w:hint="default" w:ascii="Times New Roman Regular" w:hAnsi="Times New Roman Regular" w:eastAsia="仿宋_GB2312" w:cs="Times New Roman Regular"/>
          <w:color w:val="auto"/>
          <w:kern w:val="2"/>
          <w:sz w:val="32"/>
          <w:szCs w:val="32"/>
          <w:highlight w:val="none"/>
          <w:lang w:val="en-US" w:eastAsia="zh-CN" w:bidi="ar-SA"/>
        </w:rPr>
        <w:t>航空港区设立中原医学科学城细胞和基因治疗产业发展专项资金，专项资金从省财政给予的航空港区综合财力补助资金和地方政府一般债券（《河南省人民政府办公厅关于印发支持中原医学科学城建设若干政策措施的通知》豫政办〔2024〕4号）中列支。中原医学科学城管委会负责制定实施细则并组织实施。</w:t>
      </w:r>
    </w:p>
    <w:p w14:paraId="4721FFE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Regular" w:hAnsi="Times New Roman Regular" w:eastAsia="黑体" w:cs="Times New Roman Regular"/>
          <w:i w:val="0"/>
          <w:iCs w:val="0"/>
          <w:caps w:val="0"/>
          <w:color w:val="auto"/>
          <w:spacing w:val="0"/>
          <w:sz w:val="32"/>
          <w:szCs w:val="32"/>
          <w:highlight w:val="none"/>
          <w:shd w:val="clear" w:fill="FFFFFF"/>
          <w:lang w:val="en-US" w:eastAsia="zh-CN"/>
        </w:rPr>
      </w:pPr>
      <w:r>
        <w:rPr>
          <w:rFonts w:hint="default" w:ascii="Times New Roman Regular" w:hAnsi="Times New Roman Regular" w:eastAsia="黑体" w:cs="Times New Roman Regular"/>
          <w:i w:val="0"/>
          <w:iCs w:val="0"/>
          <w:caps w:val="0"/>
          <w:color w:val="auto"/>
          <w:spacing w:val="0"/>
          <w:sz w:val="32"/>
          <w:szCs w:val="32"/>
          <w:highlight w:val="none"/>
          <w:shd w:val="clear" w:fill="FFFFFF"/>
          <w:lang w:val="en-US" w:eastAsia="zh-CN"/>
        </w:rPr>
        <w:t>二、政策措施</w:t>
      </w:r>
    </w:p>
    <w:p w14:paraId="7FEC82F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Regular" w:hAnsi="Times New Roman Regular" w:eastAsia="楷体_GB2312" w:cs="Times New Roman Regular"/>
          <w:kern w:val="2"/>
          <w:sz w:val="32"/>
          <w:szCs w:val="32"/>
          <w:highlight w:val="none"/>
          <w:lang w:val="en-US" w:eastAsia="zh-CN" w:bidi="ar-SA"/>
        </w:rPr>
      </w:pPr>
      <w:r>
        <w:rPr>
          <w:rFonts w:hint="default" w:ascii="Times New Roman Regular" w:hAnsi="Times New Roman Regular" w:eastAsia="楷体_GB2312" w:cs="Times New Roman Regular"/>
          <w:kern w:val="2"/>
          <w:sz w:val="32"/>
          <w:szCs w:val="32"/>
          <w:highlight w:val="none"/>
          <w:lang w:val="en-US" w:eastAsia="zh-CN" w:bidi="ar-SA"/>
        </w:rPr>
        <w:t>（一）支持先行先试，突破产业发展壁垒</w:t>
      </w:r>
    </w:p>
    <w:p w14:paraId="1A9D1C4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b/>
          <w:bCs/>
          <w:color w:val="auto"/>
          <w:kern w:val="2"/>
          <w:sz w:val="32"/>
          <w:szCs w:val="32"/>
          <w:highlight w:val="none"/>
          <w:lang w:val="en-US" w:eastAsia="zh-CN" w:bidi="ar-SA"/>
        </w:rPr>
        <w:t>1.</w:t>
      </w:r>
      <w:r>
        <w:rPr>
          <w:rFonts w:hint="eastAsia" w:ascii="Times New Roman Regular" w:hAnsi="Times New Roman Regular" w:eastAsia="仿宋_GB2312" w:cs="Times New Roman Regular"/>
          <w:b/>
          <w:bCs/>
          <w:color w:val="auto"/>
          <w:kern w:val="2"/>
          <w:sz w:val="32"/>
          <w:szCs w:val="32"/>
          <w:highlight w:val="none"/>
          <w:lang w:val="en-US" w:eastAsia="zh-CN" w:bidi="ar-SA"/>
        </w:rPr>
        <w:t>推动监管政策突破</w:t>
      </w:r>
      <w:r>
        <w:rPr>
          <w:rFonts w:hint="default" w:ascii="Times New Roman Regular" w:hAnsi="Times New Roman Regular" w:eastAsia="仿宋_GB2312" w:cs="Times New Roman Regular"/>
          <w:b/>
          <w:bCs/>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在省卫生健康委、药监局、医保局等相关管理部门的支持、指导和监督管理下，统筹专业力量建立来源统一、制备统一、应用统一的细胞标准体系，以中原医学科学城为试点探索细胞和基因治疗“风险分级，准入分类”管理制度，明确细胞和基因治疗技术的转化应用路径和定价收费机制。对已批准设立的新增细胞与基因治疗医疗服务价格项目，鼓励医疗机构随时备案并开展应用。</w:t>
      </w:r>
    </w:p>
    <w:p w14:paraId="5CE2F69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b/>
          <w:bCs/>
          <w:color w:val="auto"/>
          <w:kern w:val="2"/>
          <w:sz w:val="32"/>
          <w:szCs w:val="32"/>
          <w:highlight w:val="none"/>
          <w:lang w:val="en-US" w:eastAsia="zh-CN" w:bidi="ar-SA"/>
        </w:rPr>
        <w:t>2.支持制定行业标准。</w:t>
      </w:r>
      <w:r>
        <w:rPr>
          <w:rFonts w:hint="default" w:ascii="Times New Roman Regular" w:hAnsi="Times New Roman Regular" w:eastAsia="仿宋_GB2312" w:cs="Times New Roman Regular"/>
          <w:b w:val="0"/>
          <w:bCs w:val="0"/>
          <w:color w:val="auto"/>
          <w:kern w:val="2"/>
          <w:sz w:val="32"/>
          <w:szCs w:val="32"/>
          <w:highlight w:val="none"/>
          <w:lang w:val="en-US" w:eastAsia="zh-CN" w:bidi="ar-SA"/>
        </w:rPr>
        <w:t>鼓</w:t>
      </w:r>
      <w:r>
        <w:rPr>
          <w:rFonts w:hint="default" w:ascii="Times New Roman Regular" w:hAnsi="Times New Roman Regular" w:eastAsia="仿宋_GB2312" w:cs="Times New Roman Regular"/>
          <w:color w:val="auto"/>
          <w:kern w:val="2"/>
          <w:sz w:val="32"/>
          <w:szCs w:val="32"/>
          <w:highlight w:val="none"/>
          <w:lang w:val="en-US" w:eastAsia="zh-CN" w:bidi="ar-SA"/>
        </w:rPr>
        <w:t>励各类创新主体主导或参与制定细胞和基因治疗相关国际、国家、行业和地方标准，根据标准级别层次予以奖励。对主导国际标准制定并发布的，予以200万元奖励，参与国际标准制定并发布的，予以100万元奖励；对主导国家标准制定并发布的，予以100万元奖励，参与国家标准制定并发布的，予以50万元奖励；对主导行业标准、地方标准制定并发布的，分别予以50万元、30万元奖励。</w:t>
      </w:r>
    </w:p>
    <w:p w14:paraId="1047A57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Regular" w:hAnsi="Times New Roman Regular" w:eastAsia="楷体_GB2312" w:cs="Times New Roman Regular"/>
          <w:kern w:val="2"/>
          <w:sz w:val="32"/>
          <w:szCs w:val="32"/>
          <w:highlight w:val="none"/>
          <w:lang w:val="en-US" w:eastAsia="zh-CN" w:bidi="ar-SA"/>
        </w:rPr>
      </w:pPr>
      <w:r>
        <w:rPr>
          <w:rFonts w:hint="default" w:ascii="Times New Roman Regular" w:hAnsi="Times New Roman Regular" w:eastAsia="楷体_GB2312" w:cs="Times New Roman Regular"/>
          <w:kern w:val="2"/>
          <w:sz w:val="32"/>
          <w:szCs w:val="32"/>
          <w:highlight w:val="none"/>
          <w:lang w:val="en-US" w:eastAsia="zh-CN" w:bidi="ar-SA"/>
        </w:rPr>
        <w:t>（二）支持成果转化，构建协同创新生态</w:t>
      </w:r>
    </w:p>
    <w:p w14:paraId="5CC35E4F">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b/>
          <w:bCs/>
          <w:color w:val="auto"/>
          <w:kern w:val="2"/>
          <w:sz w:val="32"/>
          <w:szCs w:val="32"/>
          <w:highlight w:val="none"/>
          <w:lang w:val="en-US" w:eastAsia="zh-CN" w:bidi="ar-SA"/>
        </w:rPr>
        <w:t>3.加速创新</w:t>
      </w:r>
      <w:r>
        <w:rPr>
          <w:rFonts w:hint="eastAsia" w:ascii="Times New Roman Regular" w:hAnsi="Times New Roman Regular" w:eastAsia="仿宋_GB2312" w:cs="Times New Roman Regular"/>
          <w:b/>
          <w:bCs/>
          <w:color w:val="auto"/>
          <w:kern w:val="2"/>
          <w:sz w:val="32"/>
          <w:szCs w:val="32"/>
          <w:highlight w:val="none"/>
          <w:lang w:val="en-US" w:eastAsia="zh-CN" w:bidi="ar-SA"/>
        </w:rPr>
        <w:t>产品</w:t>
      </w:r>
      <w:r>
        <w:rPr>
          <w:rFonts w:hint="default" w:ascii="Times New Roman Regular" w:hAnsi="Times New Roman Regular" w:eastAsia="仿宋_GB2312" w:cs="Times New Roman Regular"/>
          <w:b/>
          <w:bCs/>
          <w:color w:val="auto"/>
          <w:kern w:val="2"/>
          <w:sz w:val="32"/>
          <w:szCs w:val="32"/>
          <w:highlight w:val="none"/>
          <w:lang w:val="en-US" w:eastAsia="zh-CN" w:bidi="ar-SA"/>
        </w:rPr>
        <w:t>研发上市进程。</w:t>
      </w:r>
      <w:r>
        <w:rPr>
          <w:rFonts w:hint="default" w:ascii="Times New Roman Regular" w:hAnsi="Times New Roman Regular" w:eastAsia="仿宋_GB2312" w:cs="Times New Roman Regular"/>
          <w:color w:val="auto"/>
          <w:kern w:val="2"/>
          <w:sz w:val="32"/>
          <w:szCs w:val="32"/>
          <w:highlight w:val="none"/>
          <w:lang w:val="en-US" w:eastAsia="zh-CN" w:bidi="ar-SA"/>
        </w:rPr>
        <w:t>鼓励开发细胞和基因治疗1类新药，对在国内开展Ⅰ期、Ⅱ期、Ⅲ期临床试验并承诺在中原医学科学城内实现产出的，按照临床进度分阶段给予单品种研发投入的30%，最高分别500万元、1000万元、1500万元支持，其中仅需完成早期临床试验、确证性临床试验的最高分别750万元、1500万元支持；对获得中国NMPA、美国FDA和欧洲EMA“突破性治疗药物”“孤儿药”资格认定的，给予100万元一次性奖励；对新取得药品注册证并在中原医学科学城生产结算的，给予2000万元一次性奖励。每个单位每年累计支持金额最高5000万元。</w:t>
      </w:r>
    </w:p>
    <w:p w14:paraId="58E7D4C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鼓励开发基于合成生物、再生医学技术的用于美容、抗衰、修复等的</w:t>
      </w:r>
      <w:r>
        <w:rPr>
          <w:rFonts w:hint="eastAsia" w:ascii="Times New Roman Regular" w:hAnsi="Times New Roman Regular" w:eastAsia="仿宋_GB2312" w:cs="Times New Roman Regular"/>
          <w:color w:val="auto"/>
          <w:kern w:val="2"/>
          <w:sz w:val="32"/>
          <w:szCs w:val="32"/>
          <w:highlight w:val="none"/>
          <w:lang w:val="en-US" w:eastAsia="zh-CN" w:bidi="ar-SA"/>
        </w:rPr>
        <w:t>医疗</w:t>
      </w:r>
      <w:r>
        <w:rPr>
          <w:rFonts w:hint="default" w:ascii="Times New Roman Regular" w:hAnsi="Times New Roman Regular" w:eastAsia="仿宋_GB2312" w:cs="Times New Roman Regular"/>
          <w:color w:val="auto"/>
          <w:kern w:val="2"/>
          <w:sz w:val="32"/>
          <w:szCs w:val="32"/>
          <w:highlight w:val="none"/>
          <w:lang w:val="en-US" w:eastAsia="zh-CN" w:bidi="ar-SA"/>
        </w:rPr>
        <w:t>器械和化妆品新原料，新取得Ⅲ类、Ⅱ类医疗器械注册证并在中原医学科学城生产结算的，分别给予100万元、50万元一次性奖励；对在NMPA注册备案并成功纳入《已使用化妆品原料目录》的化妆品新原料，给予30万元一次性奖励。每个单位每年累计支持金额最高1000万元。</w:t>
      </w:r>
    </w:p>
    <w:p w14:paraId="6EBA48F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对在中原医学科学城研发的细胞和基因治疗药品新通过FDA、EMA、日本PMDA等机构批准，获得境外上市资质并在相关国外市场实现销售的，按照该产品实际临床研发投入的30%给予一次性支持，每个单位每年累计支持金额最高1000万元。</w:t>
      </w:r>
    </w:p>
    <w:p w14:paraId="18C885D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b/>
          <w:bCs/>
          <w:color w:val="auto"/>
          <w:kern w:val="2"/>
          <w:sz w:val="32"/>
          <w:szCs w:val="32"/>
          <w:highlight w:val="none"/>
          <w:lang w:val="en-US" w:eastAsia="zh-CN" w:bidi="ar-SA"/>
        </w:rPr>
        <w:t>4.</w:t>
      </w:r>
      <w:r>
        <w:rPr>
          <w:rFonts w:hint="eastAsia" w:ascii="Times New Roman Regular" w:hAnsi="Times New Roman Regular" w:eastAsia="仿宋_GB2312" w:cs="Times New Roman Regular"/>
          <w:b/>
          <w:bCs/>
          <w:color w:val="auto"/>
          <w:kern w:val="2"/>
          <w:sz w:val="32"/>
          <w:szCs w:val="32"/>
          <w:highlight w:val="none"/>
          <w:lang w:val="en-US" w:eastAsia="zh-CN" w:bidi="ar-SA"/>
        </w:rPr>
        <w:t>加速创新技术临床转化应用</w:t>
      </w:r>
      <w:r>
        <w:rPr>
          <w:rFonts w:hint="default" w:ascii="Times New Roman Regular" w:hAnsi="Times New Roman Regular" w:eastAsia="仿宋_GB2312" w:cs="Times New Roman Regular"/>
          <w:b/>
          <w:bCs/>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鼓励</w:t>
      </w:r>
      <w:r>
        <w:rPr>
          <w:rFonts w:hint="eastAsia" w:ascii="Times New Roman Regular" w:hAnsi="Times New Roman Regular" w:eastAsia="仿宋_GB2312" w:cs="Times New Roman Regular"/>
          <w:color w:val="auto"/>
          <w:kern w:val="2"/>
          <w:sz w:val="32"/>
          <w:szCs w:val="32"/>
          <w:highlight w:val="none"/>
          <w:lang w:val="en-US" w:eastAsia="zh-CN" w:bidi="ar-SA"/>
        </w:rPr>
        <w:t>中原医学科学城内具备资质的</w:t>
      </w:r>
      <w:r>
        <w:rPr>
          <w:rFonts w:hint="default" w:ascii="Times New Roman Regular" w:hAnsi="Times New Roman Regular" w:eastAsia="仿宋_GB2312" w:cs="Times New Roman Regular"/>
          <w:color w:val="auto"/>
          <w:kern w:val="2"/>
          <w:sz w:val="32"/>
          <w:szCs w:val="32"/>
          <w:highlight w:val="none"/>
          <w:lang w:val="en-US" w:eastAsia="zh-CN" w:bidi="ar-SA"/>
        </w:rPr>
        <w:t>医疗机构申报开展CGT</w:t>
      </w:r>
      <w:r>
        <w:rPr>
          <w:rFonts w:hint="eastAsia" w:ascii="Times New Roman Regular" w:hAnsi="Times New Roman Regular" w:eastAsia="仿宋_GB2312" w:cs="Times New Roman Regular"/>
          <w:color w:val="auto"/>
          <w:kern w:val="2"/>
          <w:sz w:val="32"/>
          <w:szCs w:val="32"/>
          <w:highlight w:val="none"/>
          <w:lang w:val="en-US" w:eastAsia="zh-CN" w:bidi="ar-SA"/>
        </w:rPr>
        <w:t>领域</w:t>
      </w:r>
      <w:r>
        <w:rPr>
          <w:rFonts w:hint="default" w:ascii="Times New Roman Regular" w:hAnsi="Times New Roman Regular" w:eastAsia="仿宋_GB2312" w:cs="Times New Roman Regular"/>
          <w:color w:val="auto"/>
          <w:kern w:val="2"/>
          <w:sz w:val="32"/>
          <w:szCs w:val="32"/>
          <w:highlight w:val="none"/>
          <w:lang w:val="en-US" w:eastAsia="zh-CN" w:bidi="ar-SA"/>
        </w:rPr>
        <w:t>前沿医疗技术研究项目</w:t>
      </w:r>
      <w:r>
        <w:rPr>
          <w:rFonts w:hint="eastAsia" w:ascii="Times New Roman Regular" w:hAnsi="Times New Roman Regular" w:eastAsia="仿宋_GB2312" w:cs="Times New Roman Regular"/>
          <w:color w:val="auto"/>
          <w:kern w:val="2"/>
          <w:sz w:val="32"/>
          <w:szCs w:val="32"/>
          <w:highlight w:val="none"/>
          <w:lang w:val="en-US" w:eastAsia="zh-CN" w:bidi="ar-SA"/>
        </w:rPr>
        <w:t>，对通过国家临床研究机构和项目双备案的，给予50万元一次性奖励；完成临床研究的，给予临床研发投入的30%，最高100万元支持；列入新增医疗服务价格项目并成功转归的，给予100万元一次性奖励。每个医疗机构每年累计支持金额最高500万元。</w:t>
      </w:r>
    </w:p>
    <w:p w14:paraId="0A38AE2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b/>
          <w:bCs/>
          <w:color w:val="auto"/>
          <w:kern w:val="2"/>
          <w:sz w:val="32"/>
          <w:szCs w:val="32"/>
          <w:highlight w:val="none"/>
          <w:lang w:val="en-US" w:eastAsia="zh-CN" w:bidi="ar-SA"/>
        </w:rPr>
        <w:t>5.</w:t>
      </w:r>
      <w:r>
        <w:rPr>
          <w:rFonts w:hint="eastAsia" w:ascii="Times New Roman Regular" w:hAnsi="Times New Roman Regular" w:eastAsia="仿宋_GB2312" w:cs="Times New Roman Regular"/>
          <w:b/>
          <w:bCs/>
          <w:color w:val="auto"/>
          <w:kern w:val="2"/>
          <w:sz w:val="32"/>
          <w:szCs w:val="32"/>
          <w:highlight w:val="none"/>
          <w:lang w:val="en-US" w:eastAsia="zh-CN" w:bidi="ar-SA"/>
        </w:rPr>
        <w:t>推动</w:t>
      </w:r>
      <w:r>
        <w:rPr>
          <w:rFonts w:hint="default" w:ascii="Times New Roman Regular" w:hAnsi="Times New Roman Regular" w:eastAsia="仿宋_GB2312" w:cs="Times New Roman Regular"/>
          <w:b/>
          <w:bCs/>
          <w:color w:val="auto"/>
          <w:kern w:val="2"/>
          <w:sz w:val="32"/>
          <w:szCs w:val="32"/>
          <w:highlight w:val="none"/>
          <w:lang w:val="en-US" w:eastAsia="zh-CN" w:bidi="ar-SA"/>
        </w:rPr>
        <w:t>科技成果就地交易、就地转化。</w:t>
      </w:r>
      <w:r>
        <w:rPr>
          <w:rFonts w:hint="default" w:ascii="Times New Roman Regular" w:hAnsi="Times New Roman Regular" w:eastAsia="仿宋_GB2312" w:cs="Times New Roman Regular"/>
          <w:color w:val="auto"/>
          <w:kern w:val="2"/>
          <w:sz w:val="32"/>
          <w:szCs w:val="32"/>
          <w:highlight w:val="none"/>
          <w:lang w:val="en-US" w:eastAsia="zh-CN" w:bidi="ar-SA"/>
        </w:rPr>
        <w:t>对输出细胞和基因治疗及合成生物领域科技成果转化项目、单个技术合同实际交易额超过100万元的研发机构（受让方与转让方非关联），按技术合同实际交易额的5%予以奖励，每个机构每年最高50万元；对承接应用科技成果的企业，按技术合同实际交易额的10%予以奖励，每个企业每年累计支持金额最高100万元。</w:t>
      </w:r>
    </w:p>
    <w:p w14:paraId="301452F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Regular" w:hAnsi="Times New Roman Regular" w:eastAsia="楷体_GB2312" w:cs="Times New Roman Regular"/>
          <w:kern w:val="2"/>
          <w:sz w:val="32"/>
          <w:szCs w:val="32"/>
          <w:highlight w:val="none"/>
          <w:lang w:val="en-US" w:eastAsia="zh-CN" w:bidi="ar-SA"/>
        </w:rPr>
      </w:pPr>
      <w:r>
        <w:rPr>
          <w:rFonts w:hint="default" w:ascii="Times New Roman Regular" w:hAnsi="Times New Roman Regular" w:eastAsia="楷体_GB2312" w:cs="Times New Roman Regular"/>
          <w:kern w:val="2"/>
          <w:sz w:val="32"/>
          <w:szCs w:val="32"/>
          <w:highlight w:val="none"/>
          <w:lang w:val="en-US" w:eastAsia="zh-CN" w:bidi="ar-SA"/>
        </w:rPr>
        <w:t>（三）支持项目集聚，加快产业生态布局</w:t>
      </w:r>
    </w:p>
    <w:p w14:paraId="2F3BEA92">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b/>
          <w:bCs/>
          <w:color w:val="auto"/>
          <w:kern w:val="2"/>
          <w:sz w:val="32"/>
          <w:szCs w:val="32"/>
          <w:highlight w:val="none"/>
          <w:lang w:val="en-US" w:eastAsia="zh-CN" w:bidi="ar-SA"/>
        </w:rPr>
        <w:t>6.强化专业载体保障。</w:t>
      </w:r>
      <w:r>
        <w:rPr>
          <w:rFonts w:hint="default" w:ascii="Times New Roman Regular" w:hAnsi="Times New Roman Regular" w:eastAsia="仿宋_GB2312" w:cs="Times New Roman Regular"/>
          <w:color w:val="auto"/>
          <w:kern w:val="2"/>
          <w:sz w:val="32"/>
          <w:szCs w:val="32"/>
          <w:highlight w:val="none"/>
          <w:lang w:val="en-US" w:eastAsia="zh-CN" w:bidi="ar-SA"/>
        </w:rPr>
        <w:t>支持建设满足细胞和基因产业研发制造需要的专业特色产业园区，对入驻专业特色园区的细胞和基因治疗及合成生物领域相关企事业单位（包括新成立、新迁入、新增租用场地），给予最高连续3年20元/平方米/月的租金资助，每个单位资助面积不超过</w:t>
      </w:r>
      <w:r>
        <w:rPr>
          <w:rFonts w:hint="eastAsia" w:ascii="Times New Roman Regular" w:hAnsi="Times New Roman Regular" w:eastAsia="仿宋_GB2312" w:cs="Times New Roman Regular"/>
          <w:color w:val="auto"/>
          <w:kern w:val="2"/>
          <w:sz w:val="32"/>
          <w:szCs w:val="32"/>
          <w:highlight w:val="none"/>
          <w:lang w:val="en-US" w:eastAsia="zh-CN" w:bidi="ar-SA"/>
        </w:rPr>
        <w:t>1</w:t>
      </w:r>
      <w:r>
        <w:rPr>
          <w:rFonts w:hint="default" w:ascii="Times New Roman Regular" w:hAnsi="Times New Roman Regular" w:eastAsia="仿宋_GB2312" w:cs="Times New Roman Regular"/>
          <w:color w:val="auto"/>
          <w:kern w:val="2"/>
          <w:sz w:val="32"/>
          <w:szCs w:val="32"/>
          <w:highlight w:val="none"/>
          <w:lang w:val="en-US" w:eastAsia="zh-CN" w:bidi="ar-SA"/>
        </w:rPr>
        <w:t>0000平方米。对于重大</w:t>
      </w:r>
      <w:r>
        <w:rPr>
          <w:rFonts w:hint="eastAsia" w:ascii="Times New Roman Regular" w:hAnsi="Times New Roman Regular" w:eastAsia="仿宋_GB2312" w:cs="Times New Roman Regular"/>
          <w:color w:val="auto"/>
          <w:kern w:val="2"/>
          <w:sz w:val="32"/>
          <w:szCs w:val="32"/>
          <w:highlight w:val="none"/>
          <w:lang w:val="en-US" w:eastAsia="zh-CN" w:bidi="ar-SA"/>
        </w:rPr>
        <w:t>公共技术服务平台</w:t>
      </w:r>
      <w:r>
        <w:rPr>
          <w:rFonts w:hint="default" w:ascii="Times New Roman Regular" w:hAnsi="Times New Roman Regular" w:eastAsia="仿宋_GB2312" w:cs="Times New Roman Regular"/>
          <w:color w:val="auto"/>
          <w:kern w:val="2"/>
          <w:sz w:val="32"/>
          <w:szCs w:val="32"/>
          <w:highlight w:val="none"/>
          <w:lang w:val="en-US" w:eastAsia="zh-CN" w:bidi="ar-SA"/>
        </w:rPr>
        <w:t>，可提高补贴标准。</w:t>
      </w:r>
    </w:p>
    <w:p w14:paraId="41FC1BE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b/>
          <w:bCs/>
          <w:color w:val="auto"/>
          <w:kern w:val="2"/>
          <w:sz w:val="32"/>
          <w:szCs w:val="32"/>
          <w:highlight w:val="none"/>
          <w:lang w:val="en-US" w:eastAsia="zh-CN" w:bidi="ar-SA"/>
        </w:rPr>
        <w:t>7.加快重大项目落地。</w:t>
      </w:r>
      <w:r>
        <w:rPr>
          <w:rFonts w:hint="default" w:ascii="Times New Roman Regular" w:hAnsi="Times New Roman Regular" w:eastAsia="仿宋_GB2312" w:cs="Times New Roman Regular"/>
          <w:color w:val="auto"/>
          <w:kern w:val="2"/>
          <w:sz w:val="32"/>
          <w:szCs w:val="32"/>
          <w:highlight w:val="none"/>
          <w:lang w:val="en-US" w:eastAsia="zh-CN" w:bidi="ar-SA"/>
        </w:rPr>
        <w:t>支持攻关产业链关键环节“卡脖子”技术、自主研发取得重大突破、具有较强国际竞争力的细胞和基因治疗及合成生物领域项目落地，对实际固定资产投资（不含土地和房产购置款）达2000万元及以上的项目，按照实际固定资产投资的10%给予奖励，单个项目最高支持2000万元且补贴年限不超过3年。对世界500强、全球制药企业50强、中国医药工业百强等特别重大的产业项目，可提高补贴标准。</w:t>
      </w:r>
    </w:p>
    <w:p w14:paraId="08F0E115">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b/>
          <w:bCs/>
          <w:color w:val="auto"/>
          <w:kern w:val="2"/>
          <w:sz w:val="32"/>
          <w:szCs w:val="32"/>
          <w:highlight w:val="none"/>
          <w:lang w:val="en-US" w:eastAsia="zh-CN" w:bidi="ar-SA"/>
        </w:rPr>
        <w:t>8.支持公共平台建设。</w:t>
      </w:r>
      <w:r>
        <w:rPr>
          <w:rFonts w:hint="default" w:ascii="Times New Roman Regular" w:hAnsi="Times New Roman Regular" w:eastAsia="仿宋_GB2312" w:cs="Times New Roman Regular"/>
          <w:color w:val="auto"/>
          <w:kern w:val="2"/>
          <w:sz w:val="32"/>
          <w:szCs w:val="32"/>
          <w:highlight w:val="none"/>
          <w:lang w:val="en-US" w:eastAsia="zh-CN" w:bidi="ar-SA"/>
        </w:rPr>
        <w:t>鼓励新引进或建设细胞和基因治疗领域CDMO、</w:t>
      </w:r>
      <w:r>
        <w:rPr>
          <w:rFonts w:hint="eastAsia" w:ascii="Times New Roman Regular" w:hAnsi="Times New Roman Regular" w:eastAsia="仿宋_GB2312" w:cs="Times New Roman Regular"/>
          <w:color w:val="auto"/>
          <w:kern w:val="2"/>
          <w:sz w:val="32"/>
          <w:szCs w:val="32"/>
          <w:highlight w:val="none"/>
          <w:lang w:val="en-US" w:eastAsia="zh-CN" w:bidi="ar-SA"/>
        </w:rPr>
        <w:t>GLP、</w:t>
      </w:r>
      <w:r>
        <w:rPr>
          <w:rFonts w:hint="default" w:ascii="Times New Roman Regular" w:hAnsi="Times New Roman Regular" w:eastAsia="仿宋_GB2312" w:cs="Times New Roman Regular"/>
          <w:color w:val="auto"/>
          <w:kern w:val="2"/>
          <w:sz w:val="32"/>
          <w:szCs w:val="32"/>
          <w:highlight w:val="none"/>
          <w:lang w:val="en-US" w:eastAsia="zh-CN" w:bidi="ar-SA"/>
        </w:rPr>
        <w:t>质量检测等公共技术服务平台，提供涵盖科研及非注册临床样品开发、</w:t>
      </w:r>
      <w:r>
        <w:rPr>
          <w:rFonts w:hint="eastAsia" w:ascii="Times New Roman Regular" w:hAnsi="Times New Roman Regular" w:eastAsia="仿宋_GB2312" w:cs="Times New Roman Regular"/>
          <w:color w:val="auto"/>
          <w:kern w:val="2"/>
          <w:sz w:val="32"/>
          <w:szCs w:val="32"/>
          <w:highlight w:val="none"/>
          <w:lang w:val="en-US" w:eastAsia="zh-CN" w:bidi="ar-SA"/>
        </w:rPr>
        <w:t>安全性评价、</w:t>
      </w:r>
      <w:r>
        <w:rPr>
          <w:rFonts w:hint="default" w:ascii="Times New Roman Regular" w:hAnsi="Times New Roman Regular" w:eastAsia="仿宋_GB2312" w:cs="Times New Roman Regular"/>
          <w:color w:val="auto"/>
          <w:kern w:val="2"/>
          <w:sz w:val="32"/>
          <w:szCs w:val="32"/>
          <w:highlight w:val="none"/>
          <w:lang w:val="en-US" w:eastAsia="zh-CN" w:bidi="ar-SA"/>
        </w:rPr>
        <w:t>一体化IND申报、临床研究、临床样品及商业化GMP生产、质量控制和第三方质检认证等在内的端到端一站式服务。经中原医学科学城管委会认定的，按照</w:t>
      </w:r>
      <w:r>
        <w:rPr>
          <w:rFonts w:hint="eastAsia" w:ascii="Times New Roman Regular" w:hAnsi="Times New Roman Regular" w:eastAsia="仿宋_GB2312" w:cs="Times New Roman Regular"/>
          <w:color w:val="auto"/>
          <w:kern w:val="2"/>
          <w:sz w:val="32"/>
          <w:szCs w:val="32"/>
          <w:highlight w:val="none"/>
          <w:lang w:val="en-US" w:eastAsia="zh-CN" w:bidi="ar-SA"/>
        </w:rPr>
        <w:t>装修</w:t>
      </w:r>
      <w:r>
        <w:rPr>
          <w:rFonts w:hint="default" w:ascii="Times New Roman Regular" w:hAnsi="Times New Roman Regular" w:eastAsia="仿宋_GB2312" w:cs="Times New Roman Regular"/>
          <w:color w:val="auto"/>
          <w:kern w:val="2"/>
          <w:sz w:val="32"/>
          <w:szCs w:val="32"/>
          <w:highlight w:val="none"/>
          <w:lang w:val="en-US" w:eastAsia="zh-CN" w:bidi="ar-SA"/>
        </w:rPr>
        <w:t>、</w:t>
      </w:r>
      <w:r>
        <w:rPr>
          <w:rFonts w:hint="eastAsia" w:ascii="Times New Roman Regular" w:hAnsi="Times New Roman Regular" w:eastAsia="仿宋_GB2312" w:cs="Times New Roman Regular"/>
          <w:color w:val="auto"/>
          <w:kern w:val="2"/>
          <w:sz w:val="32"/>
          <w:szCs w:val="32"/>
          <w:highlight w:val="none"/>
          <w:lang w:val="en-US" w:eastAsia="zh-CN" w:bidi="ar-SA"/>
        </w:rPr>
        <w:t>设备和</w:t>
      </w:r>
      <w:r>
        <w:rPr>
          <w:rFonts w:hint="default" w:ascii="Times New Roman Regular" w:hAnsi="Times New Roman Regular" w:eastAsia="仿宋_GB2312" w:cs="Times New Roman Regular"/>
          <w:color w:val="auto"/>
          <w:kern w:val="2"/>
          <w:sz w:val="32"/>
          <w:szCs w:val="32"/>
          <w:highlight w:val="none"/>
          <w:lang w:val="en-US" w:eastAsia="zh-CN" w:bidi="ar-SA"/>
        </w:rPr>
        <w:t>软件投资额的30%给予奖励，每个平台最高支持</w:t>
      </w:r>
      <w:r>
        <w:rPr>
          <w:rFonts w:hint="eastAsia" w:ascii="Times New Roman Regular" w:hAnsi="Times New Roman Regular" w:eastAsia="仿宋_GB2312" w:cs="Times New Roman Regular"/>
          <w:color w:val="auto"/>
          <w:kern w:val="2"/>
          <w:sz w:val="32"/>
          <w:szCs w:val="32"/>
          <w:highlight w:val="none"/>
          <w:lang w:val="en-US" w:eastAsia="zh-CN" w:bidi="ar-SA"/>
        </w:rPr>
        <w:t>6</w:t>
      </w:r>
      <w:r>
        <w:rPr>
          <w:rFonts w:hint="default" w:ascii="Times New Roman Regular" w:hAnsi="Times New Roman Regular" w:eastAsia="仿宋_GB2312" w:cs="Times New Roman Regular"/>
          <w:color w:val="auto"/>
          <w:kern w:val="2"/>
          <w:sz w:val="32"/>
          <w:szCs w:val="32"/>
          <w:highlight w:val="none"/>
          <w:lang w:val="en-US" w:eastAsia="zh-CN" w:bidi="ar-SA"/>
        </w:rPr>
        <w:t>000万元。中原医学科学城内细胞和基因治疗企事业单位委托经认定的公共技术服务平台（企事业单位与平台非关联）研发生产的，按照技术合同实际发生额（转账及发票依据）10%的比例给予委托方一次性资金补贴，每个单位每年最高200万元，累计不超过1000万元。</w:t>
      </w:r>
    </w:p>
    <w:p w14:paraId="6CA276F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Regular" w:hAnsi="Times New Roman Regular" w:eastAsia="楷体_GB2312" w:cs="Times New Roman Regular"/>
          <w:kern w:val="2"/>
          <w:sz w:val="32"/>
          <w:szCs w:val="32"/>
          <w:highlight w:val="none"/>
          <w:lang w:val="en-US" w:eastAsia="zh-CN" w:bidi="ar-SA"/>
        </w:rPr>
      </w:pPr>
      <w:r>
        <w:rPr>
          <w:rFonts w:hint="default" w:ascii="Times New Roman Regular" w:hAnsi="Times New Roman Regular" w:eastAsia="楷体_GB2312" w:cs="Times New Roman Regular"/>
          <w:kern w:val="2"/>
          <w:sz w:val="32"/>
          <w:szCs w:val="32"/>
          <w:highlight w:val="none"/>
          <w:lang w:val="en-US" w:eastAsia="zh-CN" w:bidi="ar-SA"/>
        </w:rPr>
        <w:t>（四）支持做优做强，激发企业发展动力</w:t>
      </w:r>
    </w:p>
    <w:p w14:paraId="471CFFA5">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b/>
          <w:bCs/>
          <w:color w:val="auto"/>
          <w:kern w:val="2"/>
          <w:sz w:val="32"/>
          <w:szCs w:val="32"/>
          <w:highlight w:val="none"/>
          <w:lang w:val="en-US" w:eastAsia="zh-CN" w:bidi="ar-SA"/>
        </w:rPr>
        <w:t>9.支持重磅产品培育。</w:t>
      </w:r>
      <w:r>
        <w:rPr>
          <w:rFonts w:hint="default" w:ascii="Times New Roman Regular" w:hAnsi="Times New Roman Regular" w:eastAsia="仿宋_GB2312" w:cs="Times New Roman Regular"/>
          <w:color w:val="auto"/>
          <w:kern w:val="2"/>
          <w:sz w:val="32"/>
          <w:szCs w:val="32"/>
          <w:highlight w:val="none"/>
          <w:lang w:val="en-US" w:eastAsia="zh-CN" w:bidi="ar-SA"/>
        </w:rPr>
        <w:t>对单品种年销售收入首次突破1亿元、3亿元、5亿元、10亿元、20亿元的细胞和基因治疗产品，按照晋档补差，分别给予30万元、100万元、200万元、400万元、600万元一次性奖励。</w:t>
      </w:r>
    </w:p>
    <w:p w14:paraId="657BD01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b/>
          <w:bCs/>
          <w:color w:val="auto"/>
          <w:kern w:val="2"/>
          <w:sz w:val="32"/>
          <w:szCs w:val="32"/>
          <w:highlight w:val="none"/>
          <w:lang w:val="en-US" w:eastAsia="zh-CN" w:bidi="ar-SA"/>
        </w:rPr>
        <w:t>10.强化金融</w:t>
      </w:r>
      <w:r>
        <w:rPr>
          <w:rFonts w:hint="eastAsia" w:ascii="Times New Roman Regular" w:hAnsi="Times New Roman Regular" w:eastAsia="仿宋_GB2312" w:cs="Times New Roman Regular"/>
          <w:b/>
          <w:bCs/>
          <w:color w:val="auto"/>
          <w:kern w:val="2"/>
          <w:sz w:val="32"/>
          <w:szCs w:val="32"/>
          <w:highlight w:val="none"/>
          <w:lang w:val="en-US" w:eastAsia="zh-CN" w:bidi="ar-SA"/>
        </w:rPr>
        <w:t>服务保障</w:t>
      </w:r>
      <w:r>
        <w:rPr>
          <w:rFonts w:hint="default" w:ascii="Times New Roman Regular" w:hAnsi="Times New Roman Regular" w:eastAsia="仿宋_GB2312" w:cs="Times New Roman Regular"/>
          <w:b/>
          <w:bCs/>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积极帮助细胞和基因治疗及合成生物领域相关企业对接政府产业基金、市场投资机构，对成功引入股权融资2000万元（以实际到位金额计算）及以上的，按照股权融资额的2%予以奖励，每个企业每年累计支持金额最高200万元。</w:t>
      </w:r>
    </w:p>
    <w:p w14:paraId="6B0D82D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鼓励商业保险公司与医疗机构、企业合作，开发细胞和基因治疗领域临床研究与临床试验责任保险、产品责任保险、商业健康保险（如按治疗效果收费）等保险产品，给予投保企业单个保单实际保费的50%，最高50万元支持。</w:t>
      </w:r>
    </w:p>
    <w:p w14:paraId="3CD827A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Regular" w:hAnsi="Times New Roman Regular" w:eastAsia="黑体" w:cs="Times New Roman Regular"/>
          <w:i w:val="0"/>
          <w:iCs w:val="0"/>
          <w:caps w:val="0"/>
          <w:color w:val="auto"/>
          <w:spacing w:val="0"/>
          <w:sz w:val="32"/>
          <w:szCs w:val="32"/>
          <w:highlight w:val="none"/>
          <w:shd w:val="clear" w:fill="FFFFFF"/>
          <w:lang w:val="en-US" w:eastAsia="zh-CN"/>
        </w:rPr>
      </w:pPr>
      <w:r>
        <w:rPr>
          <w:rFonts w:hint="default" w:ascii="Times New Roman Regular" w:hAnsi="Times New Roman Regular" w:eastAsia="黑体" w:cs="Times New Roman Regular"/>
          <w:i w:val="0"/>
          <w:iCs w:val="0"/>
          <w:caps w:val="0"/>
          <w:color w:val="auto"/>
          <w:spacing w:val="0"/>
          <w:sz w:val="32"/>
          <w:szCs w:val="32"/>
          <w:highlight w:val="none"/>
          <w:shd w:val="clear" w:fill="FFFFFF"/>
          <w:lang w:val="en-US" w:eastAsia="zh-CN"/>
        </w:rPr>
        <w:t>三、附则</w:t>
      </w:r>
    </w:p>
    <w:p w14:paraId="5295B71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1.航空港区将择优帮助企业对接省药监、医保、卫生健康等相关部门的审评审批绿色通道和市场资源。若符合条件要求，还可同时享受航空港区人才、科技等扶持政策，本政策与区内其他现行政策有重叠的，按照就高不重复的原则予以支持。</w:t>
      </w:r>
    </w:p>
    <w:p w14:paraId="7278850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2.本政策各项奖补条款的执行期限自202</w:t>
      </w:r>
      <w:r>
        <w:rPr>
          <w:rFonts w:hint="eastAsia" w:ascii="Times New Roman Regular" w:hAnsi="Times New Roman Regular" w:eastAsia="仿宋_GB2312" w:cs="Times New Roman Regular"/>
          <w:color w:val="auto"/>
          <w:kern w:val="2"/>
          <w:sz w:val="32"/>
          <w:szCs w:val="32"/>
          <w:highlight w:val="none"/>
          <w:lang w:val="en-US" w:eastAsia="zh-CN" w:bidi="ar-SA"/>
        </w:rPr>
        <w:t>5</w:t>
      </w:r>
      <w:r>
        <w:rPr>
          <w:rFonts w:hint="default" w:ascii="Times New Roman Regular" w:hAnsi="Times New Roman Regular" w:eastAsia="仿宋_GB2312" w:cs="Times New Roman Regular"/>
          <w:color w:val="auto"/>
          <w:kern w:val="2"/>
          <w:sz w:val="32"/>
          <w:szCs w:val="32"/>
          <w:highlight w:val="none"/>
          <w:lang w:val="en-US" w:eastAsia="zh-CN" w:bidi="ar-SA"/>
        </w:rPr>
        <w:t>年1月1日起计算，兑现周期以会计年度计，申报单位应对申报材料真实性负责。</w:t>
      </w:r>
    </w:p>
    <w:p w14:paraId="49D7D7D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3.本政策由中原医学科学城管委会负责解释，自印发之日起实施，有效期3年。有效期届满</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根据实施情况予以评估修订，评估修订期间相关政策继续执行。</w:t>
      </w:r>
      <w:r>
        <w:rPr>
          <w:rFonts w:hint="eastAsia" w:ascii="Times New Roman Regular" w:hAnsi="Times New Roman Regular" w:eastAsia="仿宋_GB2312" w:cs="Times New Roman Regular"/>
          <w:color w:val="auto"/>
          <w:kern w:val="2"/>
          <w:sz w:val="32"/>
          <w:szCs w:val="32"/>
          <w:highlight w:val="none"/>
          <w:lang w:val="en-US" w:eastAsia="zh-CN" w:bidi="ar-SA"/>
        </w:rPr>
        <w:t>实施</w:t>
      </w:r>
      <w:r>
        <w:rPr>
          <w:rFonts w:hint="default" w:ascii="Times New Roman Regular" w:hAnsi="Times New Roman Regular" w:eastAsia="仿宋_GB2312" w:cs="Times New Roman Regular"/>
          <w:color w:val="auto"/>
          <w:kern w:val="2"/>
          <w:sz w:val="32"/>
          <w:szCs w:val="32"/>
          <w:highlight w:val="none"/>
          <w:lang w:val="en-US" w:eastAsia="zh-CN" w:bidi="ar-SA"/>
        </w:rPr>
        <w:t>期间如遇国家和</w:t>
      </w:r>
      <w:r>
        <w:rPr>
          <w:rFonts w:hint="eastAsia" w:ascii="Times New Roman Regular" w:hAnsi="Times New Roman Regular" w:eastAsia="仿宋_GB2312" w:cs="Times New Roman Regular"/>
          <w:color w:val="auto"/>
          <w:kern w:val="2"/>
          <w:sz w:val="32"/>
          <w:szCs w:val="32"/>
          <w:highlight w:val="none"/>
          <w:lang w:val="en-US" w:eastAsia="zh-CN" w:bidi="ar-SA"/>
        </w:rPr>
        <w:t>河南省</w:t>
      </w:r>
      <w:r>
        <w:rPr>
          <w:rFonts w:hint="default" w:ascii="Times New Roman Regular" w:hAnsi="Times New Roman Regular" w:eastAsia="仿宋_GB2312" w:cs="Times New Roman Regular"/>
          <w:color w:val="auto"/>
          <w:kern w:val="2"/>
          <w:sz w:val="32"/>
          <w:szCs w:val="32"/>
          <w:highlight w:val="none"/>
          <w:lang w:val="en-US" w:eastAsia="zh-CN" w:bidi="ar-SA"/>
        </w:rPr>
        <w:t>相关政策调整，本</w:t>
      </w:r>
      <w:r>
        <w:rPr>
          <w:rFonts w:hint="eastAsia" w:ascii="Times New Roman Regular" w:hAnsi="Times New Roman Regular" w:eastAsia="仿宋_GB2312" w:cs="Times New Roman Regular"/>
          <w:color w:val="auto"/>
          <w:kern w:val="2"/>
          <w:sz w:val="32"/>
          <w:szCs w:val="32"/>
          <w:highlight w:val="none"/>
          <w:lang w:val="en-US" w:eastAsia="zh-CN" w:bidi="ar-SA"/>
        </w:rPr>
        <w:t>政策</w:t>
      </w:r>
      <w:r>
        <w:rPr>
          <w:rFonts w:hint="default" w:ascii="Times New Roman Regular" w:hAnsi="Times New Roman Regular" w:eastAsia="仿宋_GB2312" w:cs="Times New Roman Regular"/>
          <w:color w:val="auto"/>
          <w:kern w:val="2"/>
          <w:sz w:val="32"/>
          <w:szCs w:val="32"/>
          <w:highlight w:val="none"/>
          <w:lang w:val="en-US" w:eastAsia="zh-CN" w:bidi="ar-SA"/>
        </w:rPr>
        <w:t>同步调整。</w:t>
      </w:r>
    </w:p>
    <w:p w14:paraId="46B6EAB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DejaVu Sans">
    <w:altName w:val="Segoe Print"/>
    <w:panose1 w:val="020B0603030804020204"/>
    <w:charset w:val="00"/>
    <w:family w:val="auto"/>
    <w:pitch w:val="default"/>
    <w:sig w:usb0="00000000" w:usb1="00000000" w:usb2="0A246029" w:usb3="0400200C" w:csb0="600001FF" w:csb1="DFFF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A1B2F">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4899025</wp:posOffset>
              </wp:positionH>
              <wp:positionV relativeFrom="paragraph">
                <wp:posOffset>-68580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DD587">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5.75pt;margin-top:-5.4pt;height:144pt;width:144pt;mso-position-horizontal-relative:margin;mso-wrap-style:none;z-index:251659264;mso-width-relative:page;mso-height-relative:page;" filled="f" stroked="f" coordsize="21600,21600" o:gfxdata="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a6W2NgAAAAMAQAADwAAAAAAAAABACAAAAAiAAAAZHJzL2Rvd25yZXYueG1s&#10;UEsBAhQAFAAAAAgAh07iQDCJEl4xAgAAYQQAAA4AAAAAAAAAAQAgAAAAJwEAAGRycy9lMm9Eb2Mu&#10;eG1sUEsFBgAAAAAGAAYAWQEAAMoFAAAAAA==&#10;">
              <v:fill on="f" focussize="0,0"/>
              <v:stroke on="f" weight="0.5pt"/>
              <v:imagedata o:title=""/>
              <o:lock v:ext="edit" aspectratio="f"/>
              <v:textbox inset="0mm,0mm,0mm,0mm" style="mso-fit-shape-to-text:t;">
                <w:txbxContent>
                  <w:p w14:paraId="0D7DD587">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MzRjNGIyNDYyNjQ5MjQyN2EzMGNlMzQwMWQ5YTgifQ=="/>
  </w:docVars>
  <w:rsids>
    <w:rsidRoot w:val="00000000"/>
    <w:rsid w:val="008234DA"/>
    <w:rsid w:val="031D34F8"/>
    <w:rsid w:val="0367740E"/>
    <w:rsid w:val="07BF4340"/>
    <w:rsid w:val="07CC279A"/>
    <w:rsid w:val="0B6F4D1A"/>
    <w:rsid w:val="0DC760A7"/>
    <w:rsid w:val="0E60538A"/>
    <w:rsid w:val="0EEB6E87"/>
    <w:rsid w:val="0FF334F9"/>
    <w:rsid w:val="10D4283B"/>
    <w:rsid w:val="11B4053D"/>
    <w:rsid w:val="132536A6"/>
    <w:rsid w:val="13D20E25"/>
    <w:rsid w:val="15431BC1"/>
    <w:rsid w:val="160C28FB"/>
    <w:rsid w:val="1813176D"/>
    <w:rsid w:val="18ED6A14"/>
    <w:rsid w:val="1BC218BC"/>
    <w:rsid w:val="1CD75A11"/>
    <w:rsid w:val="1D8526A8"/>
    <w:rsid w:val="1DC54F20"/>
    <w:rsid w:val="1E95000B"/>
    <w:rsid w:val="1EA062D6"/>
    <w:rsid w:val="24B853ED"/>
    <w:rsid w:val="24EA3D8C"/>
    <w:rsid w:val="25CC7E8F"/>
    <w:rsid w:val="264E73BE"/>
    <w:rsid w:val="27026BD5"/>
    <w:rsid w:val="272C0707"/>
    <w:rsid w:val="27A51C9E"/>
    <w:rsid w:val="28C45A2B"/>
    <w:rsid w:val="28F9335D"/>
    <w:rsid w:val="2C167D3D"/>
    <w:rsid w:val="2DF76702"/>
    <w:rsid w:val="2E7F60C7"/>
    <w:rsid w:val="2EC75194"/>
    <w:rsid w:val="2F3506A5"/>
    <w:rsid w:val="32290665"/>
    <w:rsid w:val="322E5C7B"/>
    <w:rsid w:val="34A06992"/>
    <w:rsid w:val="366D4898"/>
    <w:rsid w:val="36CC7811"/>
    <w:rsid w:val="39495149"/>
    <w:rsid w:val="3A0B4AF4"/>
    <w:rsid w:val="3B984165"/>
    <w:rsid w:val="3D190019"/>
    <w:rsid w:val="3E6513F3"/>
    <w:rsid w:val="3F8A737E"/>
    <w:rsid w:val="41B25855"/>
    <w:rsid w:val="42D85D18"/>
    <w:rsid w:val="430063EF"/>
    <w:rsid w:val="431C5F27"/>
    <w:rsid w:val="43FE6F07"/>
    <w:rsid w:val="453770C5"/>
    <w:rsid w:val="45FD78D0"/>
    <w:rsid w:val="471F4F62"/>
    <w:rsid w:val="4A1E7F2C"/>
    <w:rsid w:val="4A527BD5"/>
    <w:rsid w:val="4AF60EA8"/>
    <w:rsid w:val="4BEB512D"/>
    <w:rsid w:val="4C3E6EDA"/>
    <w:rsid w:val="4C934C01"/>
    <w:rsid w:val="4D1B1EDA"/>
    <w:rsid w:val="4D510618"/>
    <w:rsid w:val="4DF53699"/>
    <w:rsid w:val="507408A5"/>
    <w:rsid w:val="528944AB"/>
    <w:rsid w:val="52AB03FF"/>
    <w:rsid w:val="53336043"/>
    <w:rsid w:val="5385101B"/>
    <w:rsid w:val="545B2183"/>
    <w:rsid w:val="54D967C7"/>
    <w:rsid w:val="55B654BC"/>
    <w:rsid w:val="56C7191F"/>
    <w:rsid w:val="57C00874"/>
    <w:rsid w:val="599C0E6D"/>
    <w:rsid w:val="5C3166EB"/>
    <w:rsid w:val="5C773C69"/>
    <w:rsid w:val="5C7E485A"/>
    <w:rsid w:val="5C98166B"/>
    <w:rsid w:val="5CBE7C34"/>
    <w:rsid w:val="5E1A7207"/>
    <w:rsid w:val="5EF24139"/>
    <w:rsid w:val="5F081B33"/>
    <w:rsid w:val="61D07435"/>
    <w:rsid w:val="63787165"/>
    <w:rsid w:val="660A5ADC"/>
    <w:rsid w:val="67DA2A60"/>
    <w:rsid w:val="6865349E"/>
    <w:rsid w:val="6A2327C3"/>
    <w:rsid w:val="6ACE19F6"/>
    <w:rsid w:val="6B4F21E3"/>
    <w:rsid w:val="6B580798"/>
    <w:rsid w:val="6DBFE975"/>
    <w:rsid w:val="6FB70357"/>
    <w:rsid w:val="70500099"/>
    <w:rsid w:val="71FE7F89"/>
    <w:rsid w:val="745D741C"/>
    <w:rsid w:val="747F17F8"/>
    <w:rsid w:val="749174BC"/>
    <w:rsid w:val="757E0B61"/>
    <w:rsid w:val="75D06039"/>
    <w:rsid w:val="78735505"/>
    <w:rsid w:val="7A653ECE"/>
    <w:rsid w:val="7B27620B"/>
    <w:rsid w:val="7BF7350B"/>
    <w:rsid w:val="7CF624BE"/>
    <w:rsid w:val="7D4B4C34"/>
    <w:rsid w:val="7E444F6E"/>
    <w:rsid w:val="7F9387C2"/>
    <w:rsid w:val="7FDA4804"/>
    <w:rsid w:val="7FE42AA2"/>
    <w:rsid w:val="BFEF05BE"/>
    <w:rsid w:val="D1F5799B"/>
    <w:rsid w:val="DBF53C56"/>
    <w:rsid w:val="F41B7636"/>
    <w:rsid w:val="FA9FBD6F"/>
    <w:rsid w:val="FDFFE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line="560" w:lineRule="exact"/>
      <w:jc w:val="center"/>
      <w:outlineLvl w:val="0"/>
    </w:pPr>
    <w:rPr>
      <w:rFonts w:hint="eastAsia" w:ascii="方正小标宋简体" w:hAnsi="方正小标宋简体" w:eastAsia="方正小标宋简体"/>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98"/>
    </w:pPr>
    <w:rPr>
      <w:rFonts w:ascii="宋体" w:hAnsi="宋体" w:eastAsia="宋体" w:cs="宋体"/>
      <w:sz w:val="28"/>
      <w:szCs w:val="28"/>
      <w:lang w:val="zh-CN" w:bidi="zh-CN"/>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1"/>
    <w:next w:val="1"/>
    <w:qFormat/>
    <w:uiPriority w:val="99"/>
    <w:pPr>
      <w:autoSpaceDE/>
      <w:autoSpaceDN/>
      <w:adjustRightInd/>
      <w:spacing w:line="240" w:lineRule="auto"/>
      <w:ind w:left="0"/>
      <w:jc w:val="center"/>
    </w:pPr>
    <w:rPr>
      <w:rFonts w:hAnsi="楷体_GB2312" w:eastAsia="黑体" w:cs="Times New Roman"/>
      <w:spacing w:val="8"/>
      <w:kern w:val="2"/>
      <w:sz w:val="20"/>
      <w:szCs w:val="22"/>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3564</Words>
  <Characters>3777</Characters>
  <Lines>0</Lines>
  <Paragraphs>0</Paragraphs>
  <TotalTime>13</TotalTime>
  <ScaleCrop>false</ScaleCrop>
  <LinksUpToDate>false</LinksUpToDate>
  <CharactersWithSpaces>3785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2023-09-02T17:11:00Z</dcterms:created>
  <dc:creator>Administrator</dc:creator>
  <cp:lastModifiedBy>王子少</cp:lastModifiedBy>
  <cp:lastPrinted>2024-12-13T10:12:00Z</cp:lastPrinted>
  <dcterms:modified xsi:type="dcterms:W3CDTF">2024-12-13T06:54:23Z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3318A2E54F8942BC9B62E7FDE3742732_13</vt:lpwstr>
  </property>
</Properties>
</file>