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0E5B8">
      <w:pPr>
        <w:jc w:val="center"/>
        <w:rPr>
          <w:rFonts w:hint="eastAsia"/>
          <w:sz w:val="44"/>
          <w:szCs w:val="44"/>
          <w:lang w:val="en-US" w:eastAsia="zh-CN"/>
        </w:rPr>
      </w:pPr>
      <w:r>
        <w:rPr>
          <w:rFonts w:hint="eastAsia"/>
          <w:sz w:val="44"/>
          <w:szCs w:val="44"/>
          <w:lang w:val="en-US" w:eastAsia="zh-CN"/>
        </w:rPr>
        <w:t>2023年殷都区卫健委行政处罚名单公示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610"/>
        <w:gridCol w:w="4310"/>
        <w:gridCol w:w="2370"/>
        <w:gridCol w:w="2990"/>
        <w:gridCol w:w="1260"/>
      </w:tblGrid>
      <w:tr w14:paraId="4206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22" w:type="dxa"/>
          </w:tcPr>
          <w:p w14:paraId="5C0D1123">
            <w:pPr>
              <w:jc w:val="center"/>
              <w:rPr>
                <w:rFonts w:hint="default"/>
                <w:sz w:val="28"/>
                <w:szCs w:val="28"/>
                <w:vertAlign w:val="baseline"/>
                <w:lang w:val="en-US" w:eastAsia="zh-CN"/>
              </w:rPr>
            </w:pPr>
            <w:r>
              <w:rPr>
                <w:rFonts w:hint="eastAsia"/>
                <w:sz w:val="28"/>
                <w:szCs w:val="28"/>
                <w:vertAlign w:val="baseline"/>
                <w:lang w:val="en-US" w:eastAsia="zh-CN"/>
              </w:rPr>
              <w:t>案件编号</w:t>
            </w:r>
          </w:p>
        </w:tc>
        <w:tc>
          <w:tcPr>
            <w:tcW w:w="1610" w:type="dxa"/>
          </w:tcPr>
          <w:p w14:paraId="65742670">
            <w:pPr>
              <w:jc w:val="center"/>
              <w:rPr>
                <w:rFonts w:hint="default"/>
                <w:sz w:val="28"/>
                <w:szCs w:val="28"/>
                <w:vertAlign w:val="baseline"/>
                <w:lang w:val="en-US" w:eastAsia="zh-CN"/>
              </w:rPr>
            </w:pPr>
            <w:r>
              <w:rPr>
                <w:rFonts w:hint="eastAsia"/>
                <w:sz w:val="28"/>
                <w:szCs w:val="28"/>
                <w:vertAlign w:val="baseline"/>
                <w:lang w:val="en-US" w:eastAsia="zh-CN"/>
              </w:rPr>
              <w:t>当事人名称</w:t>
            </w:r>
          </w:p>
        </w:tc>
        <w:tc>
          <w:tcPr>
            <w:tcW w:w="4310" w:type="dxa"/>
          </w:tcPr>
          <w:p w14:paraId="616C797E">
            <w:pPr>
              <w:jc w:val="center"/>
              <w:rPr>
                <w:rFonts w:hint="default"/>
                <w:sz w:val="28"/>
                <w:szCs w:val="28"/>
                <w:vertAlign w:val="baseline"/>
                <w:lang w:val="en-US" w:eastAsia="zh-CN"/>
              </w:rPr>
            </w:pPr>
            <w:r>
              <w:rPr>
                <w:rFonts w:hint="eastAsia"/>
                <w:sz w:val="28"/>
                <w:szCs w:val="28"/>
                <w:vertAlign w:val="baseline"/>
                <w:lang w:val="en-US" w:eastAsia="zh-CN"/>
              </w:rPr>
              <w:t>违法行为</w:t>
            </w:r>
          </w:p>
        </w:tc>
        <w:tc>
          <w:tcPr>
            <w:tcW w:w="2370" w:type="dxa"/>
          </w:tcPr>
          <w:p w14:paraId="143E6DF4">
            <w:pPr>
              <w:jc w:val="center"/>
              <w:rPr>
                <w:rFonts w:hint="default"/>
                <w:sz w:val="28"/>
                <w:szCs w:val="28"/>
                <w:vertAlign w:val="baseline"/>
                <w:lang w:val="en-US" w:eastAsia="zh-CN"/>
              </w:rPr>
            </w:pPr>
            <w:r>
              <w:rPr>
                <w:rFonts w:hint="eastAsia"/>
                <w:sz w:val="28"/>
                <w:szCs w:val="28"/>
                <w:vertAlign w:val="baseline"/>
                <w:lang w:val="en-US" w:eastAsia="zh-CN"/>
              </w:rPr>
              <w:t>处罚依据</w:t>
            </w:r>
          </w:p>
        </w:tc>
        <w:tc>
          <w:tcPr>
            <w:tcW w:w="2990" w:type="dxa"/>
          </w:tcPr>
          <w:p w14:paraId="69B24912">
            <w:pPr>
              <w:jc w:val="center"/>
              <w:rPr>
                <w:rFonts w:hint="default"/>
                <w:sz w:val="28"/>
                <w:szCs w:val="28"/>
                <w:vertAlign w:val="baseline"/>
                <w:lang w:val="en-US" w:eastAsia="zh-CN"/>
              </w:rPr>
            </w:pPr>
            <w:r>
              <w:rPr>
                <w:rFonts w:hint="eastAsia"/>
                <w:sz w:val="28"/>
                <w:szCs w:val="28"/>
                <w:vertAlign w:val="baseline"/>
                <w:lang w:val="en-US" w:eastAsia="zh-CN"/>
              </w:rPr>
              <w:t>处罚内容</w:t>
            </w:r>
          </w:p>
        </w:tc>
        <w:tc>
          <w:tcPr>
            <w:tcW w:w="1260" w:type="dxa"/>
          </w:tcPr>
          <w:p w14:paraId="1099AFFC">
            <w:pPr>
              <w:jc w:val="center"/>
              <w:rPr>
                <w:rFonts w:hint="default"/>
                <w:sz w:val="28"/>
                <w:szCs w:val="28"/>
                <w:vertAlign w:val="baseline"/>
                <w:lang w:val="en-US" w:eastAsia="zh-CN"/>
              </w:rPr>
            </w:pPr>
            <w:r>
              <w:rPr>
                <w:rFonts w:hint="eastAsia"/>
                <w:sz w:val="28"/>
                <w:szCs w:val="28"/>
                <w:vertAlign w:val="baseline"/>
                <w:lang w:val="en-US" w:eastAsia="zh-CN"/>
              </w:rPr>
              <w:t>执行结果</w:t>
            </w:r>
          </w:p>
        </w:tc>
      </w:tr>
      <w:tr w14:paraId="04E6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622" w:type="dxa"/>
          </w:tcPr>
          <w:p w14:paraId="3F3472E7">
            <w:pPr>
              <w:jc w:val="center"/>
              <w:rPr>
                <w:rFonts w:hint="default" w:ascii="宋体" w:hAnsi="宋体" w:eastAsia="宋体" w:cs="宋体"/>
                <w:i w:val="0"/>
                <w:iCs w:val="0"/>
                <w:color w:val="0070C0"/>
                <w:kern w:val="2"/>
                <w:sz w:val="24"/>
                <w:szCs w:val="24"/>
                <w:u w:val="none"/>
                <w:lang w:val="en-US" w:eastAsia="zh-CN" w:bidi="ar-SA"/>
              </w:rPr>
            </w:pPr>
            <w:r>
              <w:rPr>
                <w:rFonts w:ascii="宋体" w:hAnsi="宋体" w:eastAsia="宋体" w:cs="宋体"/>
                <w:sz w:val="24"/>
                <w:szCs w:val="24"/>
              </w:rPr>
              <w:t>安殷卫医罚﹝2024﹞1 号</w:t>
            </w:r>
          </w:p>
        </w:tc>
        <w:tc>
          <w:tcPr>
            <w:tcW w:w="1610" w:type="dxa"/>
          </w:tcPr>
          <w:p w14:paraId="2E8FF007">
            <w:pPr>
              <w:jc w:val="center"/>
              <w:rPr>
                <w:rFonts w:hint="default"/>
                <w:sz w:val="24"/>
                <w:szCs w:val="24"/>
                <w:vertAlign w:val="baseline"/>
                <w:lang w:val="en-US" w:eastAsia="zh-CN"/>
              </w:rPr>
            </w:pPr>
            <w:r>
              <w:rPr>
                <w:rFonts w:ascii="宋体" w:hAnsi="宋体" w:eastAsia="宋体" w:cs="宋体"/>
                <w:sz w:val="24"/>
                <w:szCs w:val="24"/>
              </w:rPr>
              <w:t>铜冶镇南铜冶村第十一卫生室</w:t>
            </w:r>
          </w:p>
        </w:tc>
        <w:tc>
          <w:tcPr>
            <w:tcW w:w="4310" w:type="dxa"/>
          </w:tcPr>
          <w:p w14:paraId="465CB750">
            <w:pPr>
              <w:jc w:val="left"/>
              <w:rPr>
                <w:rFonts w:hint="default"/>
                <w:sz w:val="24"/>
                <w:szCs w:val="24"/>
                <w:vertAlign w:val="baseline"/>
                <w:lang w:val="en-US" w:eastAsia="zh-CN"/>
              </w:rPr>
            </w:pPr>
            <w:r>
              <w:rPr>
                <w:rFonts w:hint="eastAsia" w:ascii="宋体" w:hAnsi="宋体" w:eastAsia="宋体" w:cs="宋体"/>
                <w:sz w:val="24"/>
                <w:szCs w:val="24"/>
                <w:lang w:val="en-US" w:eastAsia="zh-CN"/>
              </w:rPr>
              <w:t>该单位</w:t>
            </w:r>
            <w:r>
              <w:rPr>
                <w:rFonts w:ascii="宋体" w:hAnsi="宋体" w:eastAsia="宋体" w:cs="宋体"/>
                <w:sz w:val="24"/>
                <w:szCs w:val="24"/>
              </w:rPr>
              <w:t>存在自 2023 年 4 月份至 2024 年 1 月 10 日超范围开展口腔科诊疗活 动的违法行为，违反了《医疗机构管理条例》第二十六条</w:t>
            </w:r>
          </w:p>
        </w:tc>
        <w:tc>
          <w:tcPr>
            <w:tcW w:w="2370" w:type="dxa"/>
          </w:tcPr>
          <w:p w14:paraId="40F2008E">
            <w:pPr>
              <w:jc w:val="left"/>
              <w:rPr>
                <w:rFonts w:hint="default"/>
                <w:sz w:val="24"/>
                <w:szCs w:val="24"/>
                <w:vertAlign w:val="baseline"/>
                <w:lang w:val="en-US" w:eastAsia="zh-CN"/>
              </w:rPr>
            </w:pPr>
            <w:r>
              <w:rPr>
                <w:rFonts w:ascii="宋体" w:hAnsi="宋体" w:eastAsia="宋体" w:cs="宋体"/>
                <w:sz w:val="24"/>
                <w:szCs w:val="24"/>
              </w:rPr>
              <w:t>依据《医疗机构管理条例》第四十六条</w:t>
            </w:r>
          </w:p>
        </w:tc>
        <w:tc>
          <w:tcPr>
            <w:tcW w:w="2990" w:type="dxa"/>
          </w:tcPr>
          <w:p w14:paraId="4B11092E">
            <w:pPr>
              <w:jc w:val="left"/>
              <w:rPr>
                <w:rFonts w:hint="default"/>
                <w:sz w:val="24"/>
                <w:szCs w:val="24"/>
                <w:vertAlign w:val="baseline"/>
                <w:lang w:val="en-US" w:eastAsia="zh-CN"/>
              </w:rPr>
            </w:pPr>
            <w:r>
              <w:rPr>
                <w:rFonts w:ascii="宋体" w:hAnsi="宋体" w:eastAsia="宋体" w:cs="宋体"/>
                <w:sz w:val="24"/>
                <w:szCs w:val="24"/>
              </w:rPr>
              <w:t xml:space="preserve">1、警告；2、没收违法所得 1200 元；3、罚款人民币 10000 元整的行政处罚。同时责令其立即改正违法行为。 </w:t>
            </w:r>
          </w:p>
        </w:tc>
        <w:tc>
          <w:tcPr>
            <w:tcW w:w="1260" w:type="dxa"/>
          </w:tcPr>
          <w:p w14:paraId="7034FF91">
            <w:pPr>
              <w:jc w:val="center"/>
              <w:rPr>
                <w:rFonts w:hint="default"/>
                <w:sz w:val="24"/>
                <w:szCs w:val="24"/>
                <w:vertAlign w:val="baseline"/>
                <w:lang w:val="en-US" w:eastAsia="zh-CN"/>
              </w:rPr>
            </w:pPr>
            <w:r>
              <w:rPr>
                <w:rFonts w:hint="eastAsia"/>
                <w:sz w:val="24"/>
                <w:szCs w:val="24"/>
                <w:vertAlign w:val="baseline"/>
                <w:lang w:val="en-US" w:eastAsia="zh-CN"/>
              </w:rPr>
              <w:t>自觉履行</w:t>
            </w:r>
          </w:p>
        </w:tc>
      </w:tr>
      <w:tr w14:paraId="2383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622" w:type="dxa"/>
          </w:tcPr>
          <w:p w14:paraId="34A000E1">
            <w:pPr>
              <w:jc w:val="both"/>
              <w:rPr>
                <w:rFonts w:hint="default"/>
                <w:sz w:val="24"/>
                <w:szCs w:val="24"/>
                <w:vertAlign w:val="baseline"/>
                <w:lang w:val="en-US" w:eastAsia="zh-CN"/>
              </w:rPr>
            </w:pPr>
            <w:r>
              <w:rPr>
                <w:rFonts w:hint="eastAsia" w:ascii="宋体" w:hAnsi="宋体" w:eastAsia="宋体" w:cs="宋体"/>
                <w:sz w:val="24"/>
                <w:szCs w:val="24"/>
              </w:rPr>
              <w:t>安殷卫医罚【2024】2号</w:t>
            </w:r>
          </w:p>
        </w:tc>
        <w:tc>
          <w:tcPr>
            <w:tcW w:w="1610" w:type="dxa"/>
          </w:tcPr>
          <w:p w14:paraId="6F1CC86D">
            <w:pPr>
              <w:jc w:val="both"/>
              <w:rPr>
                <w:rFonts w:hint="default" w:eastAsiaTheme="minorEastAsia"/>
                <w:sz w:val="24"/>
                <w:szCs w:val="24"/>
                <w:vertAlign w:val="baseline"/>
                <w:lang w:val="en-US" w:eastAsia="zh-CN"/>
              </w:rPr>
            </w:pPr>
            <w:r>
              <w:rPr>
                <w:rFonts w:ascii="宋体" w:hAnsi="宋体" w:eastAsia="宋体" w:cs="宋体"/>
                <w:sz w:val="24"/>
                <w:szCs w:val="24"/>
              </w:rPr>
              <w:t>铜冶镇西积善村一卫生室</w:t>
            </w:r>
          </w:p>
        </w:tc>
        <w:tc>
          <w:tcPr>
            <w:tcW w:w="4310" w:type="dxa"/>
          </w:tcPr>
          <w:p w14:paraId="0A9AE7B3">
            <w:pPr>
              <w:jc w:val="both"/>
              <w:rPr>
                <w:rFonts w:hint="default"/>
                <w:sz w:val="24"/>
                <w:szCs w:val="24"/>
                <w:vertAlign w:val="baseline"/>
                <w:lang w:val="en-US" w:eastAsia="zh-CN"/>
              </w:rPr>
            </w:pPr>
            <w:r>
              <w:rPr>
                <w:rFonts w:hint="eastAsia" w:ascii="宋体" w:hAnsi="宋体" w:eastAsia="宋体" w:cs="宋体"/>
                <w:sz w:val="24"/>
                <w:szCs w:val="24"/>
                <w:lang w:val="en-US" w:eastAsia="zh-CN"/>
              </w:rPr>
              <w:t>该</w:t>
            </w:r>
            <w:r>
              <w:rPr>
                <w:rFonts w:ascii="宋体" w:hAnsi="宋体" w:eastAsia="宋体" w:cs="宋体"/>
                <w:sz w:val="24"/>
                <w:szCs w:val="24"/>
              </w:rPr>
              <w:t>单位存在自 2019 年 8 月 11 日至 2024 年 4 月 7 日在铜冶镇西积善村第一卫生室内超范围开展妇科诊疗活动的行为，违反了《医疗机构管理条例》第二十六条</w:t>
            </w:r>
          </w:p>
        </w:tc>
        <w:tc>
          <w:tcPr>
            <w:tcW w:w="2370" w:type="dxa"/>
          </w:tcPr>
          <w:p w14:paraId="682D9080">
            <w:pPr>
              <w:jc w:val="both"/>
              <w:rPr>
                <w:rFonts w:hint="default"/>
                <w:sz w:val="24"/>
                <w:szCs w:val="24"/>
                <w:vertAlign w:val="baseline"/>
                <w:lang w:val="en-US" w:eastAsia="zh-CN"/>
              </w:rPr>
            </w:pPr>
            <w:r>
              <w:rPr>
                <w:rFonts w:ascii="宋体" w:hAnsi="宋体" w:eastAsia="宋体" w:cs="宋体"/>
                <w:sz w:val="24"/>
                <w:szCs w:val="24"/>
              </w:rPr>
              <w:t>依据《医疗机构管理条例》第四十六条</w:t>
            </w:r>
          </w:p>
        </w:tc>
        <w:tc>
          <w:tcPr>
            <w:tcW w:w="2990" w:type="dxa"/>
          </w:tcPr>
          <w:p w14:paraId="3228394E">
            <w:pPr>
              <w:jc w:val="both"/>
              <w:rPr>
                <w:rFonts w:hint="default"/>
                <w:sz w:val="24"/>
                <w:szCs w:val="24"/>
                <w:vertAlign w:val="baseline"/>
                <w:lang w:val="en-US" w:eastAsia="zh-CN"/>
              </w:rPr>
            </w:pPr>
            <w:r>
              <w:rPr>
                <w:rFonts w:ascii="宋体" w:hAnsi="宋体" w:eastAsia="宋体" w:cs="宋体"/>
                <w:sz w:val="24"/>
                <w:szCs w:val="24"/>
              </w:rPr>
              <w:t>1、警告；2、没收违法所得 2000 元；3、罚款人民币 20000 元整的行政处罚。同 时责令其立即改正违法行为</w:t>
            </w:r>
          </w:p>
        </w:tc>
        <w:tc>
          <w:tcPr>
            <w:tcW w:w="1260" w:type="dxa"/>
          </w:tcPr>
          <w:p w14:paraId="1CB44703">
            <w:pPr>
              <w:jc w:val="both"/>
              <w:rPr>
                <w:rFonts w:hint="default"/>
                <w:sz w:val="24"/>
                <w:szCs w:val="24"/>
                <w:vertAlign w:val="baseline"/>
                <w:lang w:val="en-US" w:eastAsia="zh-CN"/>
              </w:rPr>
            </w:pPr>
            <w:r>
              <w:rPr>
                <w:rFonts w:hint="eastAsia"/>
                <w:sz w:val="24"/>
                <w:szCs w:val="24"/>
                <w:vertAlign w:val="baseline"/>
                <w:lang w:val="en-US" w:eastAsia="zh-CN"/>
              </w:rPr>
              <w:t>自觉履行</w:t>
            </w:r>
          </w:p>
        </w:tc>
      </w:tr>
      <w:tr w14:paraId="2081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622" w:type="dxa"/>
            <w:vAlign w:val="top"/>
          </w:tcPr>
          <w:p w14:paraId="15252E4A">
            <w:pPr>
              <w:jc w:val="center"/>
              <w:rPr>
                <w:rFonts w:hint="default"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sz w:val="24"/>
                <w:szCs w:val="24"/>
              </w:rPr>
              <w:t>安殷卫医罚【2024】3号</w:t>
            </w:r>
          </w:p>
        </w:tc>
        <w:tc>
          <w:tcPr>
            <w:tcW w:w="1610" w:type="dxa"/>
            <w:vAlign w:val="top"/>
          </w:tcPr>
          <w:p w14:paraId="2EC35F27">
            <w:pPr>
              <w:jc w:val="center"/>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洪河屯乡东北街村第二卫生室</w:t>
            </w:r>
          </w:p>
        </w:tc>
        <w:tc>
          <w:tcPr>
            <w:tcW w:w="4310" w:type="dxa"/>
            <w:vAlign w:val="top"/>
          </w:tcPr>
          <w:p w14:paraId="2BDA80F7">
            <w:pPr>
              <w:numPr>
                <w:ilvl w:val="0"/>
                <w:numId w:val="0"/>
              </w:numPr>
              <w:jc w:val="both"/>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该</w:t>
            </w:r>
            <w:r>
              <w:rPr>
                <w:rFonts w:ascii="宋体" w:hAnsi="宋体" w:eastAsia="宋体" w:cs="宋体"/>
                <w:sz w:val="24"/>
                <w:szCs w:val="24"/>
              </w:rPr>
              <w:t>单位存在 2024 年 04 月 03 日使用非卫生技术人员张浩为患者开展口腔医疗诊治 活动的行为，违反了《医疗机构管理条例》第二十七条</w:t>
            </w:r>
          </w:p>
        </w:tc>
        <w:tc>
          <w:tcPr>
            <w:tcW w:w="2370" w:type="dxa"/>
            <w:vAlign w:val="top"/>
          </w:tcPr>
          <w:p w14:paraId="7D1A7054">
            <w:pPr>
              <w:numPr>
                <w:ilvl w:val="0"/>
                <w:numId w:val="0"/>
              </w:numPr>
              <w:jc w:val="left"/>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依据《医疗机构管理条例》第四十七条</w:t>
            </w:r>
          </w:p>
        </w:tc>
        <w:tc>
          <w:tcPr>
            <w:tcW w:w="2990" w:type="dxa"/>
            <w:vAlign w:val="top"/>
          </w:tcPr>
          <w:p w14:paraId="19D14596">
            <w:pPr>
              <w:jc w:val="left"/>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罚款人民币 20000 元整的行政处罚。同时责令其立即改正违法行为。</w:t>
            </w:r>
          </w:p>
        </w:tc>
        <w:tc>
          <w:tcPr>
            <w:tcW w:w="1260" w:type="dxa"/>
            <w:vAlign w:val="top"/>
          </w:tcPr>
          <w:p w14:paraId="7442E3A3">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自觉履行</w:t>
            </w:r>
          </w:p>
        </w:tc>
      </w:tr>
      <w:tr w14:paraId="2243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622" w:type="dxa"/>
            <w:vAlign w:val="top"/>
          </w:tcPr>
          <w:p w14:paraId="5BC62C3C">
            <w:pPr>
              <w:jc w:val="center"/>
              <w:rPr>
                <w:rFonts w:hint="default"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sz w:val="24"/>
                <w:szCs w:val="24"/>
              </w:rPr>
              <w:t>安殷卫医罚【2024】4号</w:t>
            </w:r>
          </w:p>
        </w:tc>
        <w:tc>
          <w:tcPr>
            <w:tcW w:w="1610" w:type="dxa"/>
            <w:vAlign w:val="top"/>
          </w:tcPr>
          <w:p w14:paraId="69E5C66E">
            <w:pPr>
              <w:jc w:val="center"/>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孙洪波</w:t>
            </w:r>
          </w:p>
        </w:tc>
        <w:tc>
          <w:tcPr>
            <w:tcW w:w="4310" w:type="dxa"/>
            <w:vAlign w:val="top"/>
          </w:tcPr>
          <w:p w14:paraId="25F59911">
            <w:pPr>
              <w:jc w:val="left"/>
              <w:rPr>
                <w:rFonts w:hint="default" w:eastAsia="宋体" w:asciiTheme="minorHAnsi" w:hAnsiTheme="minorHAnsi" w:cstheme="minorBidi"/>
                <w:kern w:val="2"/>
                <w:sz w:val="24"/>
                <w:szCs w:val="24"/>
                <w:vertAlign w:val="baseline"/>
                <w:lang w:val="en-US" w:eastAsia="zh-CN" w:bidi="ar-SA"/>
              </w:rPr>
            </w:pPr>
            <w:r>
              <w:rPr>
                <w:rFonts w:ascii="宋体" w:hAnsi="宋体" w:eastAsia="宋体" w:cs="宋体"/>
                <w:sz w:val="24"/>
                <w:szCs w:val="24"/>
              </w:rPr>
              <w:t>你在 2024 年 2 月至 2024 年 4 月期间未取得相关行医资质证件 时擅自给患者治疗口腔的行为</w:t>
            </w:r>
            <w:r>
              <w:rPr>
                <w:rFonts w:hint="eastAsia" w:ascii="宋体" w:hAnsi="宋体" w:eastAsia="宋体" w:cs="宋体"/>
                <w:sz w:val="24"/>
                <w:szCs w:val="24"/>
                <w:lang w:eastAsia="zh-CN"/>
              </w:rPr>
              <w:t>，</w:t>
            </w:r>
            <w:r>
              <w:rPr>
                <w:rFonts w:ascii="宋体" w:hAnsi="宋体" w:eastAsia="宋体" w:cs="宋体"/>
                <w:sz w:val="24"/>
                <w:szCs w:val="24"/>
              </w:rPr>
              <w:t>违反了《中华人民共和国医师法》第十三条第四款</w:t>
            </w:r>
          </w:p>
        </w:tc>
        <w:tc>
          <w:tcPr>
            <w:tcW w:w="2370" w:type="dxa"/>
            <w:vAlign w:val="top"/>
          </w:tcPr>
          <w:p w14:paraId="00176208">
            <w:pPr>
              <w:jc w:val="center"/>
              <w:rPr>
                <w:rFonts w:hint="eastAsia" w:eastAsia="宋体" w:asciiTheme="minorHAnsi" w:hAnsiTheme="minorHAnsi" w:cstheme="minorBidi"/>
                <w:kern w:val="2"/>
                <w:sz w:val="24"/>
                <w:szCs w:val="24"/>
                <w:vertAlign w:val="baseline"/>
                <w:lang w:val="en-US" w:eastAsia="zh-CN" w:bidi="ar-SA"/>
              </w:rPr>
            </w:pPr>
            <w:r>
              <w:rPr>
                <w:rFonts w:ascii="宋体" w:hAnsi="宋体" w:eastAsia="宋体" w:cs="宋体"/>
                <w:sz w:val="24"/>
                <w:szCs w:val="24"/>
              </w:rPr>
              <w:t>依据《中华人民共和国医师法》第五十九条</w:t>
            </w:r>
          </w:p>
        </w:tc>
        <w:tc>
          <w:tcPr>
            <w:tcW w:w="2990" w:type="dxa"/>
            <w:vAlign w:val="top"/>
          </w:tcPr>
          <w:p w14:paraId="47EA99FF">
            <w:pPr>
              <w:jc w:val="left"/>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1：没收非法所得 1130 元；2:没 收药品、医疗器械； 3、罚款 30000 元整的行政处罚;并责令其立即停止执法活动。 。</w:t>
            </w:r>
          </w:p>
        </w:tc>
        <w:tc>
          <w:tcPr>
            <w:tcW w:w="1260" w:type="dxa"/>
            <w:vAlign w:val="top"/>
          </w:tcPr>
          <w:p w14:paraId="395CEBF8">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自觉履行</w:t>
            </w:r>
          </w:p>
        </w:tc>
      </w:tr>
      <w:tr w14:paraId="39FF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622" w:type="dxa"/>
            <w:vAlign w:val="top"/>
          </w:tcPr>
          <w:p w14:paraId="1C439E04">
            <w:pPr>
              <w:jc w:val="both"/>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安殷卫医罚﹝2024﹞5 号</w:t>
            </w:r>
          </w:p>
        </w:tc>
        <w:tc>
          <w:tcPr>
            <w:tcW w:w="1610" w:type="dxa"/>
            <w:vAlign w:val="top"/>
          </w:tcPr>
          <w:p w14:paraId="20A8D17F">
            <w:pPr>
              <w:jc w:val="center"/>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殷都米大夫综合门诊部</w:t>
            </w:r>
          </w:p>
        </w:tc>
        <w:tc>
          <w:tcPr>
            <w:tcW w:w="4310" w:type="dxa"/>
            <w:vAlign w:val="top"/>
          </w:tcPr>
          <w:p w14:paraId="2D28986D">
            <w:pPr>
              <w:jc w:val="center"/>
              <w:rPr>
                <w:rFonts w:hint="default"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sz w:val="24"/>
                <w:szCs w:val="24"/>
                <w:lang w:val="en-US" w:eastAsia="zh-CN"/>
              </w:rPr>
              <w:t>该单位</w:t>
            </w:r>
            <w:r>
              <w:rPr>
                <w:rFonts w:ascii="宋体" w:hAnsi="宋体" w:eastAsia="宋体" w:cs="宋体"/>
                <w:sz w:val="24"/>
                <w:szCs w:val="24"/>
              </w:rPr>
              <w:t>从 2024 年 3 月 15 日至 4 月 22 日期间超范围开展医学检验、 不孕不育专科诊疗活动的行为。当事人的行为违反了《医疗机构管理条例》第二十六条</w:t>
            </w:r>
          </w:p>
        </w:tc>
        <w:tc>
          <w:tcPr>
            <w:tcW w:w="2370" w:type="dxa"/>
            <w:vAlign w:val="top"/>
          </w:tcPr>
          <w:p w14:paraId="5C9964AA">
            <w:pPr>
              <w:jc w:val="center"/>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依据《医疗机构管理条例》第四十六条</w:t>
            </w:r>
          </w:p>
        </w:tc>
        <w:tc>
          <w:tcPr>
            <w:tcW w:w="2990" w:type="dxa"/>
            <w:vAlign w:val="top"/>
          </w:tcPr>
          <w:p w14:paraId="726DF915">
            <w:pPr>
              <w:jc w:val="center"/>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1、警告；2、没收违法所得：318 元整；3、罚款：20000 元整的行政处罚；同时 责令其立即停止违 法行为</w:t>
            </w:r>
          </w:p>
        </w:tc>
        <w:tc>
          <w:tcPr>
            <w:tcW w:w="1260" w:type="dxa"/>
            <w:vAlign w:val="top"/>
          </w:tcPr>
          <w:p w14:paraId="1A6D1CF3">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自觉履行</w:t>
            </w:r>
          </w:p>
        </w:tc>
      </w:tr>
      <w:tr w14:paraId="7FB5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622" w:type="dxa"/>
          </w:tcPr>
          <w:p w14:paraId="3D56864B">
            <w:pPr>
              <w:jc w:val="center"/>
              <w:rPr>
                <w:rFonts w:hint="default"/>
                <w:sz w:val="24"/>
                <w:szCs w:val="24"/>
                <w:vertAlign w:val="baseline"/>
                <w:lang w:val="en-US" w:eastAsia="zh-CN"/>
              </w:rPr>
            </w:pPr>
            <w:r>
              <w:rPr>
                <w:rFonts w:hint="default"/>
                <w:sz w:val="24"/>
                <w:szCs w:val="24"/>
                <w:vertAlign w:val="baseline"/>
                <w:lang w:val="en-US" w:eastAsia="zh-CN"/>
              </w:rPr>
              <w:t>安殷卫传罚【2024】6号</w:t>
            </w:r>
          </w:p>
        </w:tc>
        <w:tc>
          <w:tcPr>
            <w:tcW w:w="1610" w:type="dxa"/>
          </w:tcPr>
          <w:p w14:paraId="731FB8AC">
            <w:pPr>
              <w:jc w:val="center"/>
              <w:rPr>
                <w:rFonts w:hint="eastAsia"/>
                <w:sz w:val="24"/>
                <w:szCs w:val="24"/>
                <w:vertAlign w:val="baseline"/>
                <w:lang w:val="en-US" w:eastAsia="zh-CN"/>
              </w:rPr>
            </w:pPr>
            <w:r>
              <w:rPr>
                <w:rFonts w:ascii="宋体" w:hAnsi="宋体" w:eastAsia="宋体" w:cs="宋体"/>
                <w:sz w:val="24"/>
                <w:szCs w:val="24"/>
              </w:rPr>
              <w:t>西郊乡丰安村卫生室</w:t>
            </w:r>
          </w:p>
        </w:tc>
        <w:tc>
          <w:tcPr>
            <w:tcW w:w="4310" w:type="dxa"/>
          </w:tcPr>
          <w:p w14:paraId="697E62BC">
            <w:pPr>
              <w:tabs>
                <w:tab w:val="left" w:pos="932"/>
              </w:tabs>
              <w:bidi w:val="0"/>
              <w:jc w:val="left"/>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sz w:val="24"/>
                <w:szCs w:val="24"/>
                <w:lang w:val="en-US" w:eastAsia="zh-CN"/>
              </w:rPr>
              <w:t>该</w:t>
            </w:r>
            <w:r>
              <w:rPr>
                <w:rFonts w:ascii="宋体" w:hAnsi="宋体" w:eastAsia="宋体" w:cs="宋体"/>
                <w:sz w:val="24"/>
                <w:szCs w:val="24"/>
              </w:rPr>
              <w:t>单位存在 2024 年 5 月 11 日使用废弃药瓶盛装消毒用品的行为。违反了《消毒管理办法》第 五条</w:t>
            </w:r>
          </w:p>
        </w:tc>
        <w:tc>
          <w:tcPr>
            <w:tcW w:w="2370" w:type="dxa"/>
          </w:tcPr>
          <w:p w14:paraId="3EE2F492">
            <w:pPr>
              <w:jc w:val="center"/>
              <w:rPr>
                <w:rFonts w:hint="eastAsia"/>
                <w:sz w:val="24"/>
                <w:szCs w:val="24"/>
                <w:vertAlign w:val="baseline"/>
                <w:lang w:val="en-US" w:eastAsia="zh-CN"/>
              </w:rPr>
            </w:pPr>
            <w:r>
              <w:rPr>
                <w:rFonts w:ascii="宋体" w:hAnsi="宋体" w:eastAsia="宋体" w:cs="宋体"/>
                <w:sz w:val="24"/>
                <w:szCs w:val="24"/>
              </w:rPr>
              <w:t>依据《消毒管理办法》第四十一条</w:t>
            </w:r>
          </w:p>
        </w:tc>
        <w:tc>
          <w:tcPr>
            <w:tcW w:w="2990" w:type="dxa"/>
          </w:tcPr>
          <w:p w14:paraId="3DF82403">
            <w:pPr>
              <w:jc w:val="center"/>
              <w:rPr>
                <w:rFonts w:hint="default"/>
                <w:sz w:val="24"/>
                <w:szCs w:val="24"/>
                <w:vertAlign w:val="baseline"/>
                <w:lang w:val="en-US" w:eastAsia="zh-CN"/>
              </w:rPr>
            </w:pPr>
            <w:r>
              <w:rPr>
                <w:rFonts w:ascii="宋体" w:hAnsi="宋体" w:eastAsia="宋体" w:cs="宋体"/>
                <w:sz w:val="24"/>
                <w:szCs w:val="24"/>
              </w:rPr>
              <w:t>罚款 1500 元整的行政处罚。并责令立即改正违法行为。</w:t>
            </w:r>
          </w:p>
        </w:tc>
        <w:tc>
          <w:tcPr>
            <w:tcW w:w="1260" w:type="dxa"/>
          </w:tcPr>
          <w:p w14:paraId="40518C32">
            <w:pPr>
              <w:jc w:val="center"/>
              <w:rPr>
                <w:rFonts w:hint="eastAsia"/>
                <w:sz w:val="24"/>
                <w:szCs w:val="24"/>
                <w:vertAlign w:val="baseline"/>
                <w:lang w:val="en-US" w:eastAsia="zh-CN"/>
              </w:rPr>
            </w:pPr>
            <w:r>
              <w:rPr>
                <w:rFonts w:hint="eastAsia"/>
                <w:sz w:val="24"/>
                <w:szCs w:val="24"/>
                <w:vertAlign w:val="baseline"/>
                <w:lang w:val="en-US" w:eastAsia="zh-CN"/>
              </w:rPr>
              <w:t>自觉履行</w:t>
            </w:r>
          </w:p>
        </w:tc>
      </w:tr>
      <w:tr w14:paraId="0778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1622" w:type="dxa"/>
            <w:vAlign w:val="top"/>
          </w:tcPr>
          <w:p w14:paraId="4723E284">
            <w:pPr>
              <w:jc w:val="center"/>
              <w:rPr>
                <w:rFonts w:hint="default" w:asciiTheme="minorHAnsi" w:hAnsiTheme="minorHAnsi" w:eastAsiaTheme="minorEastAsia" w:cstheme="minorBidi"/>
                <w:kern w:val="2"/>
                <w:sz w:val="24"/>
                <w:szCs w:val="24"/>
                <w:vertAlign w:val="baseline"/>
                <w:lang w:val="en-US" w:eastAsia="zh-CN" w:bidi="ar-SA"/>
              </w:rPr>
            </w:pPr>
            <w:r>
              <w:rPr>
                <w:rFonts w:hint="default" w:asciiTheme="minorHAnsi" w:hAnsiTheme="minorHAnsi" w:eastAsiaTheme="minorEastAsia" w:cstheme="minorBidi"/>
                <w:kern w:val="2"/>
                <w:sz w:val="24"/>
                <w:szCs w:val="24"/>
                <w:vertAlign w:val="baseline"/>
                <w:lang w:val="en-US" w:eastAsia="zh-CN" w:bidi="ar-SA"/>
              </w:rPr>
              <w:t>安殷卫传罚【2024】7号</w:t>
            </w:r>
          </w:p>
        </w:tc>
        <w:tc>
          <w:tcPr>
            <w:tcW w:w="1610" w:type="dxa"/>
            <w:vAlign w:val="top"/>
          </w:tcPr>
          <w:p w14:paraId="68F10358">
            <w:pPr>
              <w:jc w:val="center"/>
              <w:rPr>
                <w:rFonts w:hint="default"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殷都区侯庄卫生所</w:t>
            </w:r>
          </w:p>
        </w:tc>
        <w:tc>
          <w:tcPr>
            <w:tcW w:w="4310" w:type="dxa"/>
            <w:vAlign w:val="top"/>
          </w:tcPr>
          <w:p w14:paraId="2870D1E9">
            <w:pPr>
              <w:jc w:val="left"/>
              <w:rPr>
                <w:rFonts w:hint="eastAsia" w:eastAsia="宋体" w:asciiTheme="minorHAnsi" w:hAnsiTheme="minorHAnsi" w:cstheme="minorBidi"/>
                <w:kern w:val="2"/>
                <w:sz w:val="24"/>
                <w:szCs w:val="24"/>
                <w:vertAlign w:val="baseline"/>
                <w:lang w:val="en-US" w:eastAsia="zh-CN" w:bidi="ar-SA"/>
              </w:rPr>
            </w:pPr>
            <w:r>
              <w:rPr>
                <w:rFonts w:hint="eastAsia" w:ascii="宋体" w:hAnsi="宋体" w:eastAsia="宋体" w:cs="宋体"/>
                <w:sz w:val="24"/>
                <w:szCs w:val="24"/>
                <w:lang w:val="en-US" w:eastAsia="zh-CN"/>
              </w:rPr>
              <w:t>该单位存在</w:t>
            </w:r>
            <w:r>
              <w:rPr>
                <w:rFonts w:ascii="宋体" w:hAnsi="宋体" w:eastAsia="宋体" w:cs="宋体"/>
                <w:sz w:val="24"/>
                <w:szCs w:val="24"/>
              </w:rPr>
              <w:t>2024 年 05 月 21 日殷都区侯庄村卫生所存在未严格执行消毒 隔离的违法行为。当事人的行为违反了《消毒管理办法》第五条</w:t>
            </w:r>
          </w:p>
        </w:tc>
        <w:tc>
          <w:tcPr>
            <w:tcW w:w="2370" w:type="dxa"/>
            <w:vAlign w:val="top"/>
          </w:tcPr>
          <w:p w14:paraId="5666C97C">
            <w:pPr>
              <w:jc w:val="center"/>
              <w:rPr>
                <w:rFonts w:hint="eastAsia"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依据《消毒管理办法》第四十一条</w:t>
            </w:r>
          </w:p>
        </w:tc>
        <w:tc>
          <w:tcPr>
            <w:tcW w:w="2990" w:type="dxa"/>
            <w:vAlign w:val="top"/>
          </w:tcPr>
          <w:p w14:paraId="3D88A6AD">
            <w:pPr>
              <w:jc w:val="both"/>
              <w:rPr>
                <w:rFonts w:hint="eastAsia"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罚款 1500 元整的行政处罚。并责令立即改正违法行为。</w:t>
            </w:r>
          </w:p>
        </w:tc>
        <w:tc>
          <w:tcPr>
            <w:tcW w:w="1260" w:type="dxa"/>
            <w:vAlign w:val="top"/>
          </w:tcPr>
          <w:p w14:paraId="192CE1BD">
            <w:pPr>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自觉履行</w:t>
            </w:r>
          </w:p>
        </w:tc>
      </w:tr>
      <w:tr w14:paraId="4843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22" w:type="dxa"/>
            <w:vAlign w:val="top"/>
          </w:tcPr>
          <w:p w14:paraId="53F188A7">
            <w:pPr>
              <w:jc w:val="cente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安殷卫公罚[2024]8号</w:t>
            </w:r>
          </w:p>
        </w:tc>
        <w:tc>
          <w:tcPr>
            <w:tcW w:w="1610" w:type="dxa"/>
            <w:vAlign w:val="top"/>
          </w:tcPr>
          <w:p w14:paraId="441D8D81">
            <w:pPr>
              <w:jc w:val="center"/>
              <w:rPr>
                <w:rFonts w:hint="eastAsia"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安阳市殷都区宏鑫洗浴中心</w:t>
            </w:r>
          </w:p>
        </w:tc>
        <w:tc>
          <w:tcPr>
            <w:tcW w:w="4310" w:type="dxa"/>
            <w:vAlign w:val="center"/>
          </w:tcPr>
          <w:p w14:paraId="01FF450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ascii="宋体" w:hAnsi="宋体" w:eastAsia="宋体" w:cs="宋体"/>
                <w:sz w:val="24"/>
                <w:szCs w:val="24"/>
              </w:rPr>
              <w:t>1、安排未获得有效健康合格证明的赵会生等一名从业人员从事直接为顾客服务工作当事人的行为违反了《公共场所卫生管理条例》第十四条第一款第（二）项</w:t>
            </w:r>
            <w:r>
              <w:rPr>
                <w:rFonts w:hint="eastAsia" w:ascii="宋体" w:hAnsi="宋体" w:eastAsia="宋体" w:cs="宋体"/>
                <w:sz w:val="24"/>
                <w:szCs w:val="24"/>
                <w:lang w:eastAsia="zh-CN"/>
              </w:rPr>
              <w:t>；</w:t>
            </w:r>
            <w:r>
              <w:rPr>
                <w:rFonts w:ascii="宋体" w:hAnsi="宋体" w:eastAsia="宋体" w:cs="宋体"/>
                <w:sz w:val="24"/>
                <w:szCs w:val="24"/>
              </w:rPr>
              <w:t>2、安阳市殷都区宏鑫洗浴中心存在开展营业活动中使用过期的消毒液给顾客使用 的用品用具进行消毒的行为。当事人的行为违反了《公共场所卫生管理条例实施细则》 第十四条</w:t>
            </w:r>
          </w:p>
        </w:tc>
        <w:tc>
          <w:tcPr>
            <w:tcW w:w="2370" w:type="dxa"/>
            <w:vAlign w:val="top"/>
          </w:tcPr>
          <w:p w14:paraId="786E7D85">
            <w:pPr>
              <w:jc w:val="center"/>
              <w:rPr>
                <w:rFonts w:hint="eastAsia" w:eastAsia="宋体" w:asciiTheme="minorHAnsi" w:hAnsiTheme="minorHAnsi" w:cstheme="minorBidi"/>
                <w:kern w:val="2"/>
                <w:sz w:val="24"/>
                <w:szCs w:val="24"/>
                <w:vertAlign w:val="baseline"/>
                <w:lang w:val="en-US" w:eastAsia="zh-CN" w:bidi="ar-SA"/>
              </w:rPr>
            </w:pPr>
            <w:r>
              <w:rPr>
                <w:rFonts w:ascii="宋体" w:hAnsi="宋体" w:eastAsia="宋体" w:cs="宋体"/>
                <w:sz w:val="24"/>
                <w:szCs w:val="24"/>
              </w:rPr>
              <w:t>依据《公共场所卫生管理条例》第十四条第一款第（二）项</w:t>
            </w:r>
            <w:r>
              <w:rPr>
                <w:rFonts w:hint="eastAsia" w:ascii="宋体" w:hAnsi="宋体" w:eastAsia="宋体" w:cs="宋体"/>
                <w:sz w:val="24"/>
                <w:szCs w:val="24"/>
                <w:lang w:eastAsia="zh-CN"/>
              </w:rPr>
              <w:t>；</w:t>
            </w:r>
            <w:r>
              <w:rPr>
                <w:rFonts w:ascii="宋体" w:hAnsi="宋体" w:eastAsia="宋体" w:cs="宋体"/>
                <w:sz w:val="24"/>
                <w:szCs w:val="24"/>
              </w:rPr>
              <w:t>《公共场所卫生管理条例》第十四条第一款第（一）项</w:t>
            </w:r>
          </w:p>
        </w:tc>
        <w:tc>
          <w:tcPr>
            <w:tcW w:w="2990" w:type="dxa"/>
            <w:vAlign w:val="top"/>
          </w:tcPr>
          <w:p w14:paraId="4F359241">
            <w:pPr>
              <w:jc w:val="center"/>
              <w:rPr>
                <w:rFonts w:hint="eastAsia" w:asciiTheme="minorHAnsi" w:hAnsiTheme="minorHAnsi" w:eastAsiaTheme="minorEastAsia" w:cstheme="minorBidi"/>
                <w:kern w:val="2"/>
                <w:sz w:val="24"/>
                <w:szCs w:val="24"/>
                <w:vertAlign w:val="baseline"/>
                <w:lang w:val="en-US" w:eastAsia="zh-CN" w:bidi="ar-SA"/>
              </w:rPr>
            </w:pPr>
            <w:r>
              <w:rPr>
                <w:rFonts w:ascii="宋体" w:hAnsi="宋体" w:eastAsia="宋体" w:cs="宋体"/>
                <w:sz w:val="24"/>
                <w:szCs w:val="24"/>
              </w:rPr>
              <w:t>警告、罚款 1500 元整的行政处罚。责令</w:t>
            </w:r>
            <w:r>
              <w:rPr>
                <w:rFonts w:hint="eastAsia" w:ascii="宋体" w:hAnsi="宋体" w:eastAsia="宋体" w:cs="宋体"/>
                <w:sz w:val="24"/>
                <w:szCs w:val="24"/>
                <w:lang w:val="en-US" w:eastAsia="zh-CN"/>
              </w:rPr>
              <w:t>立即</w:t>
            </w:r>
            <w:r>
              <w:rPr>
                <w:rFonts w:ascii="宋体" w:hAnsi="宋体" w:eastAsia="宋体" w:cs="宋体"/>
                <w:sz w:val="24"/>
                <w:szCs w:val="24"/>
              </w:rPr>
              <w:t>改正。</w:t>
            </w:r>
          </w:p>
        </w:tc>
        <w:tc>
          <w:tcPr>
            <w:tcW w:w="1260" w:type="dxa"/>
            <w:vAlign w:val="top"/>
          </w:tcPr>
          <w:p w14:paraId="728ADE97">
            <w:pPr>
              <w:jc w:val="center"/>
              <w:rPr>
                <w:rFonts w:hint="eastAsia"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自觉履行</w:t>
            </w:r>
          </w:p>
        </w:tc>
      </w:tr>
      <w:tr w14:paraId="201E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622" w:type="dxa"/>
          </w:tcPr>
          <w:p w14:paraId="1EC6EB25">
            <w:pPr>
              <w:jc w:val="center"/>
              <w:rPr>
                <w:rFonts w:hint="eastAsia"/>
                <w:sz w:val="24"/>
                <w:szCs w:val="24"/>
                <w:vertAlign w:val="baseline"/>
                <w:lang w:val="en-US" w:eastAsia="zh-CN"/>
              </w:rPr>
            </w:pPr>
            <w:r>
              <w:rPr>
                <w:rFonts w:hint="eastAsia"/>
                <w:sz w:val="24"/>
                <w:szCs w:val="24"/>
                <w:vertAlign w:val="baseline"/>
                <w:lang w:val="en-US" w:eastAsia="zh-CN"/>
              </w:rPr>
              <w:t>安殷卫传罚[2024]9号</w:t>
            </w:r>
          </w:p>
        </w:tc>
        <w:tc>
          <w:tcPr>
            <w:tcW w:w="1610" w:type="dxa"/>
          </w:tcPr>
          <w:p w14:paraId="5E65C19D">
            <w:pPr>
              <w:jc w:val="center"/>
              <w:rPr>
                <w:rFonts w:hint="eastAsia"/>
                <w:sz w:val="24"/>
                <w:szCs w:val="24"/>
                <w:vertAlign w:val="baseline"/>
                <w:lang w:val="en-US" w:eastAsia="zh-CN"/>
              </w:rPr>
            </w:pPr>
            <w:r>
              <w:rPr>
                <w:rFonts w:ascii="宋体" w:hAnsi="宋体" w:eastAsia="宋体" w:cs="宋体"/>
                <w:sz w:val="24"/>
                <w:szCs w:val="24"/>
              </w:rPr>
              <w:t>许家沟乡小寨村卫生室</w:t>
            </w:r>
          </w:p>
        </w:tc>
        <w:tc>
          <w:tcPr>
            <w:tcW w:w="4310" w:type="dxa"/>
            <w:vAlign w:val="center"/>
          </w:tcPr>
          <w:p w14:paraId="159EE41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ascii="宋体" w:hAnsi="宋体" w:eastAsia="宋体" w:cs="宋体"/>
                <w:sz w:val="24"/>
                <w:szCs w:val="24"/>
              </w:rPr>
              <w:t>许家沟乡小寨村卫生室在 2023 年 10 月 6 日至 2024 年 7 月 11 日执业活动 中存在使用过期消毒用品 75％酒精消毒液为未严格执行消毒隔离的违法行为</w:t>
            </w:r>
            <w:r>
              <w:rPr>
                <w:rFonts w:hint="eastAsia" w:ascii="宋体" w:hAnsi="宋体" w:eastAsia="宋体" w:cs="宋体"/>
                <w:sz w:val="24"/>
                <w:szCs w:val="24"/>
                <w:lang w:eastAsia="zh-CN"/>
              </w:rPr>
              <w:t>，</w:t>
            </w:r>
            <w:r>
              <w:rPr>
                <w:rFonts w:ascii="宋体" w:hAnsi="宋体" w:eastAsia="宋体" w:cs="宋体"/>
                <w:sz w:val="24"/>
                <w:szCs w:val="24"/>
              </w:rPr>
              <w:t>违反了《消毒管理办法》第五条</w:t>
            </w:r>
          </w:p>
        </w:tc>
        <w:tc>
          <w:tcPr>
            <w:tcW w:w="2370" w:type="dxa"/>
          </w:tcPr>
          <w:p w14:paraId="58D16480">
            <w:pPr>
              <w:jc w:val="center"/>
              <w:rPr>
                <w:rFonts w:hint="eastAsia"/>
                <w:sz w:val="24"/>
                <w:szCs w:val="24"/>
                <w:vertAlign w:val="baseline"/>
                <w:lang w:val="en-US" w:eastAsia="zh-CN"/>
              </w:rPr>
            </w:pPr>
            <w:r>
              <w:rPr>
                <w:rFonts w:ascii="宋体" w:hAnsi="宋体" w:eastAsia="宋体" w:cs="宋体"/>
                <w:sz w:val="24"/>
                <w:szCs w:val="24"/>
              </w:rPr>
              <w:t>依据《消毒管理办法》第四十一条</w:t>
            </w:r>
          </w:p>
        </w:tc>
        <w:tc>
          <w:tcPr>
            <w:tcW w:w="2990" w:type="dxa"/>
          </w:tcPr>
          <w:p w14:paraId="259A69F0">
            <w:pPr>
              <w:jc w:val="center"/>
              <w:rPr>
                <w:rFonts w:hint="eastAsia"/>
                <w:sz w:val="24"/>
                <w:szCs w:val="24"/>
                <w:vertAlign w:val="baseline"/>
                <w:lang w:val="en-US" w:eastAsia="zh-CN"/>
              </w:rPr>
            </w:pPr>
            <w:r>
              <w:rPr>
                <w:rFonts w:ascii="宋体" w:hAnsi="宋体" w:eastAsia="宋体" w:cs="宋体"/>
                <w:sz w:val="24"/>
                <w:szCs w:val="24"/>
              </w:rPr>
              <w:t>罚款 1500 元整的行政处 罚。并责令立即改正违法行为。</w:t>
            </w:r>
          </w:p>
        </w:tc>
        <w:tc>
          <w:tcPr>
            <w:tcW w:w="1260" w:type="dxa"/>
          </w:tcPr>
          <w:p w14:paraId="3DF7B1ED">
            <w:pPr>
              <w:jc w:val="center"/>
              <w:rPr>
                <w:rFonts w:hint="default"/>
                <w:sz w:val="24"/>
                <w:szCs w:val="24"/>
                <w:vertAlign w:val="baseline"/>
                <w:lang w:val="en-US" w:eastAsia="zh-CN"/>
              </w:rPr>
            </w:pPr>
            <w:r>
              <w:rPr>
                <w:rFonts w:hint="eastAsia"/>
                <w:sz w:val="24"/>
                <w:szCs w:val="24"/>
                <w:vertAlign w:val="baseline"/>
                <w:lang w:val="en-US" w:eastAsia="zh-CN"/>
              </w:rPr>
              <w:t>自觉履行</w:t>
            </w:r>
          </w:p>
        </w:tc>
      </w:tr>
      <w:tr w14:paraId="3907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22" w:type="dxa"/>
          </w:tcPr>
          <w:p w14:paraId="69E3F950">
            <w:pPr>
              <w:jc w:val="center"/>
              <w:rPr>
                <w:rFonts w:hint="eastAsia"/>
                <w:sz w:val="24"/>
                <w:szCs w:val="24"/>
                <w:vertAlign w:val="baseline"/>
                <w:lang w:val="en-US" w:eastAsia="zh-CN"/>
              </w:rPr>
            </w:pPr>
            <w:r>
              <w:rPr>
                <w:rFonts w:hint="eastAsia"/>
                <w:sz w:val="24"/>
                <w:szCs w:val="24"/>
                <w:vertAlign w:val="baseline"/>
                <w:lang w:val="en-US" w:eastAsia="zh-CN"/>
              </w:rPr>
              <w:t>安殷卫职罚﹝2024﹞10 号</w:t>
            </w:r>
          </w:p>
        </w:tc>
        <w:tc>
          <w:tcPr>
            <w:tcW w:w="1610" w:type="dxa"/>
          </w:tcPr>
          <w:p w14:paraId="6EF8E818">
            <w:pPr>
              <w:jc w:val="center"/>
              <w:rPr>
                <w:rFonts w:hint="eastAsia"/>
                <w:sz w:val="24"/>
                <w:szCs w:val="24"/>
                <w:vertAlign w:val="baseline"/>
                <w:lang w:val="en-US" w:eastAsia="zh-CN"/>
              </w:rPr>
            </w:pPr>
            <w:r>
              <w:rPr>
                <w:rFonts w:ascii="宋体" w:hAnsi="宋体" w:eastAsia="宋体" w:cs="宋体"/>
                <w:sz w:val="24"/>
                <w:szCs w:val="24"/>
              </w:rPr>
              <w:t>安阳县许家沟黄口加油站</w:t>
            </w:r>
          </w:p>
        </w:tc>
        <w:tc>
          <w:tcPr>
            <w:tcW w:w="4310" w:type="dxa"/>
          </w:tcPr>
          <w:p w14:paraId="30335957">
            <w:pPr>
              <w:jc w:val="left"/>
              <w:rPr>
                <w:rFonts w:hint="default"/>
                <w:sz w:val="24"/>
                <w:szCs w:val="24"/>
                <w:vertAlign w:val="baseline"/>
                <w:lang w:val="en-US" w:eastAsia="zh-CN"/>
              </w:rPr>
            </w:pPr>
            <w:r>
              <w:rPr>
                <w:rFonts w:ascii="宋体" w:hAnsi="宋体" w:eastAsia="宋体" w:cs="宋体"/>
                <w:sz w:val="24"/>
                <w:szCs w:val="24"/>
              </w:rPr>
              <w:t>安阳县许家沟黄口加油站在 2021 年 7 月至 2024年7月未按照规定定期对 工作场所进行职业病危害因素检测、评价的行为，违反了《中华人民共和国传染病防治 法》第二十六条第二项</w:t>
            </w:r>
          </w:p>
        </w:tc>
        <w:tc>
          <w:tcPr>
            <w:tcW w:w="2370" w:type="dxa"/>
          </w:tcPr>
          <w:p w14:paraId="11B1C955">
            <w:pPr>
              <w:jc w:val="center"/>
              <w:rPr>
                <w:rFonts w:hint="eastAsia"/>
                <w:sz w:val="24"/>
                <w:szCs w:val="24"/>
                <w:vertAlign w:val="baseline"/>
                <w:lang w:val="en-US" w:eastAsia="zh-CN"/>
              </w:rPr>
            </w:pPr>
            <w:r>
              <w:rPr>
                <w:rFonts w:ascii="宋体" w:hAnsi="宋体" w:eastAsia="宋体" w:cs="宋体"/>
                <w:sz w:val="24"/>
                <w:szCs w:val="24"/>
              </w:rPr>
              <w:t>依据《中华人民共和国职业病防治法》第七十条</w:t>
            </w:r>
          </w:p>
        </w:tc>
        <w:tc>
          <w:tcPr>
            <w:tcW w:w="2990" w:type="dxa"/>
          </w:tcPr>
          <w:p w14:paraId="75375C14">
            <w:pPr>
              <w:jc w:val="center"/>
              <w:rPr>
                <w:rFonts w:hint="default"/>
                <w:sz w:val="24"/>
                <w:szCs w:val="24"/>
                <w:vertAlign w:val="baseline"/>
                <w:lang w:val="en-US" w:eastAsia="zh-CN"/>
              </w:rPr>
            </w:pPr>
            <w:r>
              <w:rPr>
                <w:rFonts w:ascii="宋体" w:hAnsi="宋体" w:eastAsia="宋体" w:cs="宋体"/>
                <w:sz w:val="24"/>
                <w:szCs w:val="24"/>
              </w:rPr>
              <w:t>警告的行政处罚，责令五日内改正</w:t>
            </w:r>
          </w:p>
        </w:tc>
        <w:tc>
          <w:tcPr>
            <w:tcW w:w="1260" w:type="dxa"/>
          </w:tcPr>
          <w:p w14:paraId="7F3F8BC0">
            <w:pPr>
              <w:jc w:val="center"/>
              <w:rPr>
                <w:rFonts w:hint="default"/>
                <w:sz w:val="24"/>
                <w:szCs w:val="24"/>
                <w:vertAlign w:val="baseline"/>
                <w:lang w:val="en-US" w:eastAsia="zh-CN"/>
              </w:rPr>
            </w:pPr>
            <w:r>
              <w:rPr>
                <w:rFonts w:hint="eastAsia"/>
                <w:sz w:val="24"/>
                <w:szCs w:val="24"/>
                <w:vertAlign w:val="baseline"/>
                <w:lang w:val="en-US" w:eastAsia="zh-CN"/>
              </w:rPr>
              <w:t>自觉履行</w:t>
            </w:r>
          </w:p>
        </w:tc>
      </w:tr>
      <w:tr w14:paraId="4117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22" w:type="dxa"/>
          </w:tcPr>
          <w:p w14:paraId="1F64EB78">
            <w:pPr>
              <w:jc w:val="center"/>
              <w:rPr>
                <w:rFonts w:hint="default" w:ascii="宋体" w:hAnsi="宋体" w:eastAsia="宋体" w:cs="宋体"/>
                <w:sz w:val="24"/>
                <w:szCs w:val="24"/>
                <w:lang w:val="en-US" w:eastAsia="zh-CN"/>
              </w:rPr>
            </w:pPr>
          </w:p>
        </w:tc>
        <w:tc>
          <w:tcPr>
            <w:tcW w:w="1610" w:type="dxa"/>
          </w:tcPr>
          <w:p w14:paraId="3DC5C086">
            <w:pPr>
              <w:jc w:val="center"/>
              <w:rPr>
                <w:rFonts w:hint="eastAsia" w:ascii="宋体" w:hAnsi="宋体" w:eastAsia="宋体" w:cs="宋体"/>
                <w:sz w:val="24"/>
                <w:szCs w:val="24"/>
                <w:lang w:val="en-US" w:eastAsia="zh-CN"/>
              </w:rPr>
            </w:pPr>
          </w:p>
        </w:tc>
        <w:tc>
          <w:tcPr>
            <w:tcW w:w="4310" w:type="dxa"/>
          </w:tcPr>
          <w:p w14:paraId="0F551115">
            <w:pPr>
              <w:jc w:val="left"/>
              <w:rPr>
                <w:rFonts w:hint="default" w:ascii="宋体" w:hAnsi="宋体" w:eastAsia="宋体" w:cs="宋体"/>
                <w:sz w:val="24"/>
                <w:szCs w:val="24"/>
                <w:lang w:val="en-US" w:eastAsia="zh-CN"/>
              </w:rPr>
            </w:pPr>
          </w:p>
        </w:tc>
        <w:tc>
          <w:tcPr>
            <w:tcW w:w="2370" w:type="dxa"/>
          </w:tcPr>
          <w:p w14:paraId="4933816E">
            <w:pPr>
              <w:jc w:val="center"/>
              <w:rPr>
                <w:rFonts w:hint="eastAsia" w:ascii="宋体" w:hAnsi="宋体" w:eastAsia="宋体" w:cs="宋体"/>
                <w:sz w:val="24"/>
                <w:szCs w:val="24"/>
                <w:lang w:val="en-US" w:eastAsia="zh-CN"/>
              </w:rPr>
            </w:pPr>
          </w:p>
        </w:tc>
        <w:tc>
          <w:tcPr>
            <w:tcW w:w="2990" w:type="dxa"/>
          </w:tcPr>
          <w:p w14:paraId="237FB630">
            <w:pPr>
              <w:jc w:val="center"/>
              <w:rPr>
                <w:rFonts w:hint="default" w:ascii="宋体" w:hAnsi="宋体" w:eastAsia="宋体" w:cs="宋体"/>
                <w:sz w:val="24"/>
                <w:szCs w:val="24"/>
                <w:lang w:val="en-US" w:eastAsia="zh-CN"/>
              </w:rPr>
            </w:pPr>
          </w:p>
        </w:tc>
        <w:tc>
          <w:tcPr>
            <w:tcW w:w="1260" w:type="dxa"/>
          </w:tcPr>
          <w:p w14:paraId="70DBF120">
            <w:pPr>
              <w:jc w:val="center"/>
              <w:rPr>
                <w:rFonts w:hint="default"/>
                <w:sz w:val="24"/>
                <w:szCs w:val="24"/>
                <w:vertAlign w:val="baseline"/>
                <w:lang w:val="en-US" w:eastAsia="zh-CN"/>
              </w:rPr>
            </w:pPr>
          </w:p>
        </w:tc>
      </w:tr>
      <w:tr w14:paraId="1F8D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22" w:type="dxa"/>
          </w:tcPr>
          <w:p w14:paraId="62BB9DB0">
            <w:pPr>
              <w:jc w:val="center"/>
              <w:rPr>
                <w:rFonts w:hint="eastAsia"/>
                <w:sz w:val="24"/>
                <w:szCs w:val="24"/>
                <w:vertAlign w:val="baseline"/>
                <w:lang w:val="en-US" w:eastAsia="zh-CN"/>
              </w:rPr>
            </w:pPr>
          </w:p>
        </w:tc>
        <w:tc>
          <w:tcPr>
            <w:tcW w:w="1610" w:type="dxa"/>
          </w:tcPr>
          <w:p w14:paraId="378AAA7B">
            <w:pPr>
              <w:jc w:val="center"/>
              <w:rPr>
                <w:rFonts w:hint="eastAsia"/>
                <w:sz w:val="24"/>
                <w:szCs w:val="24"/>
                <w:vertAlign w:val="baseline"/>
                <w:lang w:val="en-US" w:eastAsia="zh-CN"/>
              </w:rPr>
            </w:pPr>
          </w:p>
        </w:tc>
        <w:tc>
          <w:tcPr>
            <w:tcW w:w="4310" w:type="dxa"/>
          </w:tcPr>
          <w:p w14:paraId="0A2AD7D8">
            <w:pPr>
              <w:jc w:val="center"/>
              <w:rPr>
                <w:rFonts w:hint="default" w:eastAsia="微软雅黑"/>
                <w:sz w:val="24"/>
                <w:szCs w:val="24"/>
                <w:vertAlign w:val="baseline"/>
                <w:lang w:val="en-US" w:eastAsia="zh-CN"/>
              </w:rPr>
            </w:pPr>
          </w:p>
        </w:tc>
        <w:tc>
          <w:tcPr>
            <w:tcW w:w="2370" w:type="dxa"/>
          </w:tcPr>
          <w:p w14:paraId="794775E4">
            <w:pPr>
              <w:jc w:val="center"/>
              <w:rPr>
                <w:rFonts w:hint="eastAsia"/>
                <w:sz w:val="24"/>
                <w:szCs w:val="24"/>
                <w:vertAlign w:val="baseline"/>
                <w:lang w:val="en-US" w:eastAsia="zh-CN"/>
              </w:rPr>
            </w:pPr>
          </w:p>
        </w:tc>
        <w:tc>
          <w:tcPr>
            <w:tcW w:w="2990" w:type="dxa"/>
          </w:tcPr>
          <w:p w14:paraId="4D408EB5">
            <w:pPr>
              <w:jc w:val="center"/>
              <w:rPr>
                <w:rFonts w:hint="default" w:eastAsia="微软雅黑"/>
                <w:sz w:val="24"/>
                <w:szCs w:val="24"/>
                <w:vertAlign w:val="baseline"/>
                <w:lang w:val="en-US" w:eastAsia="zh-CN"/>
              </w:rPr>
            </w:pPr>
          </w:p>
        </w:tc>
        <w:tc>
          <w:tcPr>
            <w:tcW w:w="1260" w:type="dxa"/>
          </w:tcPr>
          <w:p w14:paraId="65F4A0C1">
            <w:pPr>
              <w:jc w:val="center"/>
              <w:rPr>
                <w:rFonts w:hint="eastAsia"/>
                <w:sz w:val="24"/>
                <w:szCs w:val="24"/>
                <w:vertAlign w:val="baseline"/>
                <w:lang w:val="en-US" w:eastAsia="zh-CN"/>
              </w:rPr>
            </w:pPr>
          </w:p>
        </w:tc>
      </w:tr>
      <w:tr w14:paraId="5579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22" w:type="dxa"/>
          </w:tcPr>
          <w:p w14:paraId="49773D17">
            <w:pPr>
              <w:jc w:val="center"/>
              <w:rPr>
                <w:rFonts w:hint="eastAsia"/>
                <w:sz w:val="24"/>
                <w:szCs w:val="24"/>
                <w:vertAlign w:val="baseline"/>
                <w:lang w:val="en-US" w:eastAsia="zh-CN"/>
              </w:rPr>
            </w:pPr>
          </w:p>
        </w:tc>
        <w:tc>
          <w:tcPr>
            <w:tcW w:w="1610" w:type="dxa"/>
          </w:tcPr>
          <w:p w14:paraId="16BE3007">
            <w:pPr>
              <w:jc w:val="center"/>
              <w:rPr>
                <w:rFonts w:hint="eastAsia"/>
                <w:sz w:val="24"/>
                <w:szCs w:val="24"/>
                <w:vertAlign w:val="baseline"/>
                <w:lang w:val="en-US" w:eastAsia="zh-CN"/>
              </w:rPr>
            </w:pPr>
          </w:p>
        </w:tc>
        <w:tc>
          <w:tcPr>
            <w:tcW w:w="4310" w:type="dxa"/>
          </w:tcPr>
          <w:p w14:paraId="1E42B4F6">
            <w:pPr>
              <w:jc w:val="center"/>
              <w:rPr>
                <w:rFonts w:hint="eastAsia"/>
                <w:sz w:val="24"/>
                <w:szCs w:val="24"/>
                <w:vertAlign w:val="baseline"/>
                <w:lang w:val="en-US" w:eastAsia="zh-CN"/>
              </w:rPr>
            </w:pPr>
            <w:bookmarkStart w:id="0" w:name="_GoBack"/>
            <w:bookmarkEnd w:id="0"/>
          </w:p>
        </w:tc>
        <w:tc>
          <w:tcPr>
            <w:tcW w:w="2370" w:type="dxa"/>
          </w:tcPr>
          <w:p w14:paraId="5B3BEB17">
            <w:pPr>
              <w:jc w:val="center"/>
              <w:rPr>
                <w:rFonts w:hint="eastAsia"/>
                <w:sz w:val="24"/>
                <w:szCs w:val="24"/>
                <w:vertAlign w:val="baseline"/>
                <w:lang w:val="en-US" w:eastAsia="zh-CN"/>
              </w:rPr>
            </w:pPr>
          </w:p>
        </w:tc>
        <w:tc>
          <w:tcPr>
            <w:tcW w:w="2990" w:type="dxa"/>
          </w:tcPr>
          <w:p w14:paraId="2DB13A6B">
            <w:pPr>
              <w:jc w:val="center"/>
              <w:rPr>
                <w:rFonts w:hint="eastAsia"/>
                <w:sz w:val="24"/>
                <w:szCs w:val="24"/>
                <w:vertAlign w:val="baseline"/>
                <w:lang w:val="en-US" w:eastAsia="zh-CN"/>
              </w:rPr>
            </w:pPr>
          </w:p>
        </w:tc>
        <w:tc>
          <w:tcPr>
            <w:tcW w:w="1260" w:type="dxa"/>
          </w:tcPr>
          <w:p w14:paraId="4855BEB3">
            <w:pPr>
              <w:jc w:val="center"/>
              <w:rPr>
                <w:rFonts w:hint="eastAsia"/>
                <w:sz w:val="24"/>
                <w:szCs w:val="24"/>
                <w:vertAlign w:val="baseline"/>
                <w:lang w:val="en-US" w:eastAsia="zh-CN"/>
              </w:rPr>
            </w:pPr>
          </w:p>
        </w:tc>
      </w:tr>
      <w:tr w14:paraId="48FB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22" w:type="dxa"/>
          </w:tcPr>
          <w:p w14:paraId="00548074">
            <w:pPr>
              <w:jc w:val="center"/>
              <w:rPr>
                <w:rFonts w:hint="eastAsia"/>
                <w:sz w:val="24"/>
                <w:szCs w:val="24"/>
                <w:vertAlign w:val="baseline"/>
                <w:lang w:val="en-US" w:eastAsia="zh-CN"/>
              </w:rPr>
            </w:pPr>
          </w:p>
        </w:tc>
        <w:tc>
          <w:tcPr>
            <w:tcW w:w="1610" w:type="dxa"/>
          </w:tcPr>
          <w:p w14:paraId="14152FAA">
            <w:pPr>
              <w:jc w:val="center"/>
              <w:rPr>
                <w:rFonts w:hint="eastAsia"/>
                <w:sz w:val="24"/>
                <w:szCs w:val="24"/>
                <w:vertAlign w:val="baseline"/>
                <w:lang w:val="en-US" w:eastAsia="zh-CN"/>
              </w:rPr>
            </w:pPr>
          </w:p>
        </w:tc>
        <w:tc>
          <w:tcPr>
            <w:tcW w:w="4310" w:type="dxa"/>
          </w:tcPr>
          <w:p w14:paraId="27BB2A5D">
            <w:pPr>
              <w:jc w:val="center"/>
              <w:rPr>
                <w:rFonts w:hint="eastAsia"/>
                <w:sz w:val="24"/>
                <w:szCs w:val="24"/>
                <w:vertAlign w:val="baseline"/>
                <w:lang w:val="en-US" w:eastAsia="zh-CN"/>
              </w:rPr>
            </w:pPr>
          </w:p>
        </w:tc>
        <w:tc>
          <w:tcPr>
            <w:tcW w:w="2370" w:type="dxa"/>
          </w:tcPr>
          <w:p w14:paraId="003ABEE9">
            <w:pPr>
              <w:jc w:val="center"/>
              <w:rPr>
                <w:rFonts w:hint="eastAsia"/>
                <w:sz w:val="24"/>
                <w:szCs w:val="24"/>
                <w:vertAlign w:val="baseline"/>
                <w:lang w:val="en-US" w:eastAsia="zh-CN"/>
              </w:rPr>
            </w:pPr>
          </w:p>
        </w:tc>
        <w:tc>
          <w:tcPr>
            <w:tcW w:w="2990" w:type="dxa"/>
          </w:tcPr>
          <w:p w14:paraId="35DF718E">
            <w:pPr>
              <w:jc w:val="center"/>
              <w:rPr>
                <w:rFonts w:hint="eastAsia"/>
                <w:sz w:val="24"/>
                <w:szCs w:val="24"/>
                <w:vertAlign w:val="baseline"/>
                <w:lang w:val="en-US" w:eastAsia="zh-CN"/>
              </w:rPr>
            </w:pPr>
          </w:p>
        </w:tc>
        <w:tc>
          <w:tcPr>
            <w:tcW w:w="1260" w:type="dxa"/>
          </w:tcPr>
          <w:p w14:paraId="2F86F854">
            <w:pPr>
              <w:jc w:val="center"/>
              <w:rPr>
                <w:rFonts w:hint="eastAsia"/>
                <w:sz w:val="24"/>
                <w:szCs w:val="24"/>
                <w:vertAlign w:val="baseline"/>
                <w:lang w:val="en-US" w:eastAsia="zh-CN"/>
              </w:rPr>
            </w:pPr>
          </w:p>
        </w:tc>
      </w:tr>
    </w:tbl>
    <w:p w14:paraId="1A807E69">
      <w:pPr>
        <w:jc w:val="both"/>
        <w:rPr>
          <w:rFonts w:hint="default"/>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OGYwZTFlMTI5Y2ZlYTkwZWIxYmJlOTk0ZjM1OGMifQ=="/>
  </w:docVars>
  <w:rsids>
    <w:rsidRoot w:val="00000000"/>
    <w:rsid w:val="00072C34"/>
    <w:rsid w:val="011E3D92"/>
    <w:rsid w:val="02337F8C"/>
    <w:rsid w:val="0248336B"/>
    <w:rsid w:val="03DF1EFE"/>
    <w:rsid w:val="040C6A6B"/>
    <w:rsid w:val="05D830A9"/>
    <w:rsid w:val="066A7A79"/>
    <w:rsid w:val="07C75183"/>
    <w:rsid w:val="0A786AD7"/>
    <w:rsid w:val="0A9D666F"/>
    <w:rsid w:val="0D044F22"/>
    <w:rsid w:val="0ECE77D2"/>
    <w:rsid w:val="11800151"/>
    <w:rsid w:val="11AB294C"/>
    <w:rsid w:val="11DC7A7D"/>
    <w:rsid w:val="11F62694"/>
    <w:rsid w:val="141B4794"/>
    <w:rsid w:val="15121A08"/>
    <w:rsid w:val="15491672"/>
    <w:rsid w:val="17397720"/>
    <w:rsid w:val="173B5246"/>
    <w:rsid w:val="185C36C6"/>
    <w:rsid w:val="189866C8"/>
    <w:rsid w:val="18C33745"/>
    <w:rsid w:val="18E90CD1"/>
    <w:rsid w:val="19FF69FF"/>
    <w:rsid w:val="1C11546D"/>
    <w:rsid w:val="1CB9250E"/>
    <w:rsid w:val="1EBC3110"/>
    <w:rsid w:val="1ECC70CB"/>
    <w:rsid w:val="20482782"/>
    <w:rsid w:val="22460F43"/>
    <w:rsid w:val="261C26E6"/>
    <w:rsid w:val="26CD39E1"/>
    <w:rsid w:val="27DD5EA5"/>
    <w:rsid w:val="29E259F5"/>
    <w:rsid w:val="2ACD0453"/>
    <w:rsid w:val="2ADA5216"/>
    <w:rsid w:val="2AE337D3"/>
    <w:rsid w:val="2CC87124"/>
    <w:rsid w:val="2D630BFB"/>
    <w:rsid w:val="32066801"/>
    <w:rsid w:val="33291F9F"/>
    <w:rsid w:val="35243365"/>
    <w:rsid w:val="35260E8C"/>
    <w:rsid w:val="379320DC"/>
    <w:rsid w:val="390E2362"/>
    <w:rsid w:val="3CA07775"/>
    <w:rsid w:val="3D065FA5"/>
    <w:rsid w:val="404E573A"/>
    <w:rsid w:val="43381B2E"/>
    <w:rsid w:val="439E0787"/>
    <w:rsid w:val="43C31F9B"/>
    <w:rsid w:val="46AB7443"/>
    <w:rsid w:val="48A26623"/>
    <w:rsid w:val="48F055E1"/>
    <w:rsid w:val="49BB7D61"/>
    <w:rsid w:val="4B4168C8"/>
    <w:rsid w:val="4C5E6D05"/>
    <w:rsid w:val="50FB0FC7"/>
    <w:rsid w:val="53654E1D"/>
    <w:rsid w:val="536C263E"/>
    <w:rsid w:val="54E57FC4"/>
    <w:rsid w:val="55480552"/>
    <w:rsid w:val="59EE16C8"/>
    <w:rsid w:val="5B1038C0"/>
    <w:rsid w:val="5E033269"/>
    <w:rsid w:val="61B750F6"/>
    <w:rsid w:val="66522FDF"/>
    <w:rsid w:val="68126960"/>
    <w:rsid w:val="68126ECA"/>
    <w:rsid w:val="68D423D1"/>
    <w:rsid w:val="69FD7706"/>
    <w:rsid w:val="6AE25D97"/>
    <w:rsid w:val="6C601297"/>
    <w:rsid w:val="6D394EF9"/>
    <w:rsid w:val="6E5A5127"/>
    <w:rsid w:val="700F34FF"/>
    <w:rsid w:val="718F3339"/>
    <w:rsid w:val="72CB0C04"/>
    <w:rsid w:val="746A3BEA"/>
    <w:rsid w:val="74933A46"/>
    <w:rsid w:val="76562678"/>
    <w:rsid w:val="78D67AA0"/>
    <w:rsid w:val="7B2B7FC7"/>
    <w:rsid w:val="7CC0105D"/>
    <w:rsid w:val="7FA5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1833</Words>
  <Characters>1934</Characters>
  <Lines>0</Lines>
  <Paragraphs>0</Paragraphs>
  <TotalTime>8</TotalTime>
  <ScaleCrop>false</ScaleCrop>
  <LinksUpToDate>false</LinksUpToDate>
  <CharactersWithSpaces>1975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2022-11-15T08:16:00Z</dcterms:created>
  <dc:creator>ASUS</dc:creator>
  <cp:lastModifiedBy>丁锦锦</cp:lastModifiedBy>
  <dcterms:modified xsi:type="dcterms:W3CDTF">2024-12-16T02:15:21Z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2A93A7F7D0794B50A5BF17DC8C1F17AB</vt:lpwstr>
  </property>
</Properties>
</file>