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jc w:val="left"/>
        <w:textAlignment w:val="cente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附件3</w:t>
      </w:r>
      <w:bookmarkStart w:id="0" w:name="_GoBack"/>
      <w:bookmarkEnd w:id="0"/>
    </w:p>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内乡县财政</w:t>
      </w:r>
      <w:r>
        <w:rPr>
          <w:rFonts w:ascii="方正小标宋_GBK" w:hAnsi="方正小标宋_GBK" w:eastAsia="方正小标宋_GBK" w:cs="方正小标宋_GBK"/>
          <w:color w:val="auto"/>
          <w:kern w:val="0"/>
          <w:sz w:val="44"/>
          <w:szCs w:val="44"/>
        </w:rPr>
        <w:t>局</w:t>
      </w:r>
      <w:r>
        <w:rPr>
          <w:rFonts w:hint="eastAsia" w:ascii="方正小标宋_GBK" w:hAnsi="方正小标宋_GBK" w:eastAsia="方正小标宋_GBK" w:cs="方正小标宋_GBK"/>
          <w:color w:val="auto"/>
          <w:kern w:val="0"/>
          <w:sz w:val="44"/>
          <w:szCs w:val="44"/>
        </w:rPr>
        <w:t>保留的</w:t>
      </w:r>
      <w:r>
        <w:rPr>
          <w:rFonts w:ascii="方正小标宋_GBK" w:hAnsi="方正小标宋_GBK" w:eastAsia="方正小标宋_GBK" w:cs="方正小标宋_GBK"/>
          <w:color w:val="auto"/>
          <w:kern w:val="0"/>
          <w:sz w:val="44"/>
          <w:szCs w:val="44"/>
        </w:rPr>
        <w:t>权责清单</w:t>
      </w:r>
    </w:p>
    <w:tbl>
      <w:tblPr>
        <w:tblStyle w:val="6"/>
        <w:tblW w:w="14583" w:type="dxa"/>
        <w:jc w:val="center"/>
        <w:tblLayout w:type="fixed"/>
        <w:tblCellMar>
          <w:top w:w="0" w:type="dxa"/>
          <w:left w:w="0" w:type="dxa"/>
          <w:bottom w:w="0" w:type="dxa"/>
          <w:right w:w="0" w:type="dxa"/>
        </w:tblCellMar>
      </w:tblPr>
      <w:tblGrid>
        <w:gridCol w:w="716"/>
        <w:gridCol w:w="1552"/>
        <w:gridCol w:w="5032"/>
        <w:gridCol w:w="1035"/>
        <w:gridCol w:w="1185"/>
        <w:gridCol w:w="2660"/>
        <w:gridCol w:w="1197"/>
        <w:gridCol w:w="1206"/>
      </w:tblGrid>
      <w:tr>
        <w:tblPrEx>
          <w:tblCellMar>
            <w:top w:w="0" w:type="dxa"/>
            <w:left w:w="0" w:type="dxa"/>
            <w:bottom w:w="0" w:type="dxa"/>
            <w:right w:w="0" w:type="dxa"/>
          </w:tblCellMar>
        </w:tblPrEx>
        <w:trPr>
          <w:trHeight w:val="572" w:hRule="atLeast"/>
          <w:jc w:val="center"/>
        </w:trPr>
        <w:tc>
          <w:tcPr>
            <w:tcW w:w="7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55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50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1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26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1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0" w:hRule="atLeast"/>
          <w:jc w:val="center"/>
        </w:trPr>
        <w:tc>
          <w:tcPr>
            <w:tcW w:w="716"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1552"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采购人、采购代理机构政府采购违法行为的处罚</w:t>
            </w:r>
          </w:p>
        </w:tc>
        <w:tc>
          <w:tcPr>
            <w:tcW w:w="5032" w:type="dxa"/>
            <w:vMerge w:val="restart"/>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 w:val="20"/>
                <w:szCs w:val="20"/>
              </w:rPr>
            </w:pPr>
            <w:r>
              <w:rPr>
                <w:rFonts w:hint="eastAsia" w:ascii="仿宋" w:hAnsi="仿宋" w:eastAsia="仿宋" w:cs="仿宋"/>
                <w:color w:val="auto"/>
                <w:sz w:val="20"/>
                <w:szCs w:val="20"/>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以不合理的条件对供应商实行差别待遇或者歧视待遇的;(四)在招标采购过程中与投标人进行协商谈判的;(五)中标、成交通知书发出后不与中标、成交供应商签订采购合同的;(六)拒绝有关部门依法实施监督检查的。”</w:t>
            </w:r>
          </w:p>
          <w:p>
            <w:pPr>
              <w:autoSpaceDN w:val="0"/>
              <w:snapToGrid w:val="0"/>
              <w:textAlignment w:val="center"/>
              <w:rPr>
                <w:rFonts w:ascii="仿宋" w:hAnsi="仿宋" w:eastAsia="仿宋" w:cs="仿宋"/>
                <w:color w:val="auto"/>
                <w:sz w:val="20"/>
                <w:szCs w:val="20"/>
              </w:rPr>
            </w:pPr>
            <w:r>
              <w:rPr>
                <w:rFonts w:hint="eastAsia" w:ascii="仿宋" w:hAnsi="仿宋" w:eastAsia="仿宋" w:cs="仿宋"/>
                <w:color w:val="auto"/>
                <w:sz w:val="20"/>
                <w:szCs w:val="20"/>
              </w:rPr>
              <w:t>《中华人民共和国政府采购法实施条例》（国务院令第658号）第六十六条：“政府采购法第七十一条规定的罚款，数额为10万元以下。政府采购法第七十二条规定的罚款，数额为5万元以上25万元以下。”第六十八条：“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p>
          <w:p>
            <w:pPr>
              <w:autoSpaceDN w:val="0"/>
              <w:snapToGrid w:val="0"/>
              <w:textAlignment w:val="center"/>
              <w:rPr>
                <w:rFonts w:ascii="仿宋" w:hAnsi="仿宋" w:eastAsia="仿宋" w:cs="仿宋"/>
                <w:color w:val="auto"/>
                <w:sz w:val="20"/>
                <w:szCs w:val="20"/>
              </w:rPr>
            </w:pPr>
            <w:r>
              <w:rPr>
                <w:rFonts w:hint="eastAsia" w:ascii="仿宋" w:hAnsi="仿宋" w:eastAsia="仿宋" w:cs="仿宋"/>
                <w:color w:val="auto"/>
                <w:sz w:val="20"/>
                <w:szCs w:val="20"/>
              </w:rPr>
              <w:t>《政府采购货物和服务招标投标管理办法》（财政部令第87号）第七十七条：“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一）未按照本办法的规定编制采购需求的；（二）违反本办法第六条第二款规定的；（三）未在规定时间内确定中标人的；（四）向中标人提出不合理要求作为签订合同条件的。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二）设定最低限价的；（三）未按照规定进行资格预审或者资格审查的；（四）违反本办法规定确定招标文件售价的；（五）未按规定对开标、评标活动进行全程录音录像的；（六）擅自终止招标活动的；（七）未按照规定进行开标和组织评标的；（八）未按照规定退还投标保证金的；（九）违反本办法规定进行重新评审或者重新组建评标委员会进行评标的；（十）开标前泄露已获取招标文件的潜在投标人的名称、数量或者其他可能影响公平竞争的有关招标投标情况的；（十一）未妥善保存采购文件的；　（十二）其他违反本办法规定的情形。”</w:t>
            </w:r>
          </w:p>
          <w:p>
            <w:pPr>
              <w:autoSpaceDN w:val="0"/>
              <w:snapToGrid w:val="0"/>
              <w:textAlignment w:val="center"/>
              <w:rPr>
                <w:rFonts w:ascii="仿宋" w:hAnsi="仿宋" w:eastAsia="仿宋" w:cs="仿宋"/>
                <w:color w:val="auto"/>
                <w:szCs w:val="21"/>
              </w:rPr>
            </w:pPr>
            <w:r>
              <w:rPr>
                <w:rFonts w:hint="eastAsia" w:ascii="仿宋" w:hAnsi="仿宋" w:eastAsia="仿宋" w:cs="仿宋"/>
                <w:color w:val="auto"/>
                <w:sz w:val="20"/>
                <w:szCs w:val="20"/>
              </w:rPr>
              <w:t>《政府采购非招标采购方式管理办法》（财政部令第74号）第五十一条第一款：“采购人、采购代理机构有下列情形之一的，责令限期改正，给予警告；有关法律、行政法规规定处以罚款的，并处罚款；涉嫌犯罪的，依法移送司法机关处理：（一）未按照本办法规定在指定媒体上发布政府采购信息的；（二）未按照本办法规定组成谈判小组、询价小组的；（三）在询价采购过程中与供应商进行协商谈判的；（四）未按照政府采购法和本办法规定的程序和要求确定成交候选人的；（五）泄露评审情况以及评审过程中获悉的国家秘密、商业秘密的。”</w:t>
            </w:r>
          </w:p>
        </w:tc>
        <w:tc>
          <w:tcPr>
            <w:tcW w:w="103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1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20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1856" w:hRule="atLeast"/>
          <w:jc w:val="center"/>
        </w:trPr>
        <w:tc>
          <w:tcPr>
            <w:tcW w:w="716"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52"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32" w:type="dxa"/>
            <w:vMerge w:val="continue"/>
            <w:tcBorders>
              <w:top w:val="single" w:color="auto"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5"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19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771" w:hRule="atLeast"/>
          <w:jc w:val="center"/>
        </w:trPr>
        <w:tc>
          <w:tcPr>
            <w:tcW w:w="71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3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1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094" w:hRule="atLeast"/>
          <w:jc w:val="center"/>
        </w:trPr>
        <w:tc>
          <w:tcPr>
            <w:tcW w:w="71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3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1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85" w:hRule="atLeast"/>
          <w:jc w:val="center"/>
        </w:trPr>
        <w:tc>
          <w:tcPr>
            <w:tcW w:w="71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3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1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388" w:hRule="atLeast"/>
          <w:jc w:val="center"/>
        </w:trPr>
        <w:tc>
          <w:tcPr>
            <w:tcW w:w="71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3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1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271" w:hRule="atLeast"/>
          <w:jc w:val="center"/>
        </w:trPr>
        <w:tc>
          <w:tcPr>
            <w:tcW w:w="71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3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1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734" w:hRule="atLeast"/>
          <w:jc w:val="center"/>
        </w:trPr>
        <w:tc>
          <w:tcPr>
            <w:tcW w:w="716"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5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32"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19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546"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2"/>
        <w:gridCol w:w="1875"/>
        <w:gridCol w:w="2874"/>
        <w:gridCol w:w="900"/>
        <w:gridCol w:w="1210"/>
        <w:gridCol w:w="4612"/>
        <w:gridCol w:w="1258"/>
        <w:gridCol w:w="1155"/>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66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87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2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6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25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1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662" w:type="dxa"/>
            <w:vMerge w:val="restart"/>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w:t>
            </w:r>
          </w:p>
        </w:tc>
        <w:tc>
          <w:tcPr>
            <w:tcW w:w="1875"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采购人、采购代理机构及其工作人员恶意串通、获取不正当利益、提供虚假材料、泄露标底等的处罚</w:t>
            </w:r>
          </w:p>
        </w:tc>
        <w:tc>
          <w:tcPr>
            <w:tcW w:w="2874"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    </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《中华人民共和国政府采购法实施条例》（国务院令第658号）第六十六条：“政府采购法第七十一条规定的罚款，数额为10万元以下。政府采购法第七十二条规定的罚款，数额为5万元以上25万元以下。” </w:t>
            </w:r>
          </w:p>
        </w:tc>
        <w:tc>
          <w:tcPr>
            <w:tcW w:w="900"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21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6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2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15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662"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75"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74" w:type="dxa"/>
            <w:vMerge w:val="continue"/>
            <w:tcBorders>
              <w:top w:val="single" w:color="auto"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0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6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258"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jc w:val="center"/>
        </w:trPr>
        <w:tc>
          <w:tcPr>
            <w:tcW w:w="66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7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6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25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jc w:val="center"/>
        </w:trPr>
        <w:tc>
          <w:tcPr>
            <w:tcW w:w="66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7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6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25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66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7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6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25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jc w:val="center"/>
        </w:trPr>
        <w:tc>
          <w:tcPr>
            <w:tcW w:w="66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7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6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25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66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7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6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25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6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7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0"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12"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25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4607"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7"/>
        <w:gridCol w:w="1355"/>
        <w:gridCol w:w="3036"/>
        <w:gridCol w:w="1052"/>
        <w:gridCol w:w="952"/>
        <w:gridCol w:w="4653"/>
        <w:gridCol w:w="1621"/>
        <w:gridCol w:w="1241"/>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6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69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w:t>
            </w:r>
          </w:p>
        </w:tc>
        <w:tc>
          <w:tcPr>
            <w:tcW w:w="135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采购人、采购代理机构隐匿、销毁应当保存的采购文件或者伪造、变造采购文件的处罚</w:t>
            </w:r>
          </w:p>
        </w:tc>
        <w:tc>
          <w:tcPr>
            <w:tcW w:w="3036"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《政府采购货物和服务招标投标管理办法》（财政部令第87号）第七十八条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一）未妥善保存采购文件的。</w:t>
            </w:r>
          </w:p>
        </w:tc>
        <w:tc>
          <w:tcPr>
            <w:tcW w:w="10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952"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62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24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6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3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6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6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3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6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6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3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6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6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3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6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6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3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6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6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3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6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6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jc w:val="center"/>
        </w:trPr>
        <w:tc>
          <w:tcPr>
            <w:tcW w:w="6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3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2"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5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6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4271" w:type="dxa"/>
        <w:jc w:val="center"/>
        <w:tblLayout w:type="fixed"/>
        <w:tblCellMar>
          <w:top w:w="0" w:type="dxa"/>
          <w:left w:w="0" w:type="dxa"/>
          <w:bottom w:w="0" w:type="dxa"/>
          <w:right w:w="0" w:type="dxa"/>
        </w:tblCellMar>
      </w:tblPr>
      <w:tblGrid>
        <w:gridCol w:w="825"/>
        <w:gridCol w:w="1065"/>
        <w:gridCol w:w="3941"/>
        <w:gridCol w:w="1065"/>
        <w:gridCol w:w="1084"/>
        <w:gridCol w:w="3139"/>
        <w:gridCol w:w="1732"/>
        <w:gridCol w:w="1420"/>
      </w:tblGrid>
      <w:tr>
        <w:tblPrEx>
          <w:tblCellMar>
            <w:top w:w="0" w:type="dxa"/>
            <w:left w:w="0" w:type="dxa"/>
            <w:bottom w:w="0" w:type="dxa"/>
            <w:right w:w="0" w:type="dxa"/>
          </w:tblCellMar>
        </w:tblPrEx>
        <w:trPr>
          <w:trHeight w:val="635" w:hRule="atLeast"/>
          <w:jc w:val="center"/>
        </w:trPr>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9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0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1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7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4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417" w:hRule="atLeast"/>
          <w:jc w:val="center"/>
        </w:trPr>
        <w:tc>
          <w:tcPr>
            <w:tcW w:w="82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w:t>
            </w:r>
          </w:p>
        </w:tc>
        <w:tc>
          <w:tcPr>
            <w:tcW w:w="106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供应商违法行为的处罚</w:t>
            </w:r>
          </w:p>
        </w:tc>
        <w:tc>
          <w:tcPr>
            <w:tcW w:w="3941" w:type="dxa"/>
            <w:vMerge w:val="restart"/>
            <w:tcBorders>
              <w:top w:val="single" w:color="000000" w:sz="4" w:space="0"/>
              <w:left w:val="single" w:color="000000" w:sz="4" w:space="0"/>
              <w:bottom w:val="nil"/>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 w:val="20"/>
                <w:szCs w:val="20"/>
              </w:rPr>
              <w:t>《中华人民共和国政府采购法》第七十七条第一款：“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中华人民共和国政府采购法实施条例》（国务院令第658号）第二十一条第一款：“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 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 第七十三条：“供应商捏造事实、提供虚假材料或者以非法手段取得证明材料进行投诉的，由财政部门列入不良行为记录名单，禁止其1至3年内参加政府采购活动。” 《政府采购质疑和投诉办法》（财政部令第94号）第三十七条 ：“投诉人在全国范围12个月内三次以上投诉查无实据的，由财政部门列入不良行为记录名单。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政府采购非招标采购方式管理办法》(财政部令第74号) 第五十四条:“成交供应商有下列情形之一的，责令限期改正，情节严重的，列入不良行为记录名单，在1至3年内禁止参加政府采购活动，并予以通报：（一）未按照采购文件确定的事项签订政府采购合同，或者与采购人另行订立背离合同实质性内容的协议的；（二）成交后无正当理由不与采购人签订合同的；（三）拒绝履行合同义务的。”</w:t>
            </w:r>
          </w:p>
        </w:tc>
        <w:tc>
          <w:tcPr>
            <w:tcW w:w="1065" w:type="dxa"/>
            <w:vMerge w:val="restart"/>
            <w:tcBorders>
              <w:top w:val="single" w:color="000000" w:sz="4" w:space="0"/>
              <w:left w:val="single" w:color="000000"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0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732"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420"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2349" w:hRule="atLeast"/>
          <w:jc w:val="center"/>
        </w:trPr>
        <w:tc>
          <w:tcPr>
            <w:tcW w:w="825"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41" w:type="dxa"/>
            <w:vMerge w:val="continue"/>
            <w:tcBorders>
              <w:top w:val="nil"/>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top w:val="nil"/>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732" w:type="dxa"/>
            <w:vMerge w:val="continue"/>
            <w:tcBorders>
              <w:top w:val="nil"/>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20" w:type="dxa"/>
            <w:vMerge w:val="continue"/>
            <w:tcBorders>
              <w:top w:val="nil"/>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472" w:hRule="atLeast"/>
          <w:jc w:val="center"/>
        </w:trPr>
        <w:tc>
          <w:tcPr>
            <w:tcW w:w="82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4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73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789" w:hRule="atLeast"/>
          <w:jc w:val="center"/>
        </w:trPr>
        <w:tc>
          <w:tcPr>
            <w:tcW w:w="82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4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73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519" w:hRule="atLeast"/>
          <w:jc w:val="center"/>
        </w:trPr>
        <w:tc>
          <w:tcPr>
            <w:tcW w:w="82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4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73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19" w:hRule="atLeast"/>
          <w:jc w:val="center"/>
        </w:trPr>
        <w:tc>
          <w:tcPr>
            <w:tcW w:w="82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4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73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849" w:hRule="atLeast"/>
          <w:jc w:val="center"/>
        </w:trPr>
        <w:tc>
          <w:tcPr>
            <w:tcW w:w="82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4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73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473" w:hRule="atLeast"/>
          <w:jc w:val="center"/>
        </w:trPr>
        <w:tc>
          <w:tcPr>
            <w:tcW w:w="82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41"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73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r>
        <w:rPr>
          <w:color w:val="auto"/>
        </w:rPr>
        <w:br w:type="page"/>
      </w:r>
    </w:p>
    <w:p>
      <w:pPr>
        <w:autoSpaceDN w:val="0"/>
        <w:snapToGrid w:val="0"/>
        <w:textAlignment w:val="center"/>
        <w:rPr>
          <w:color w:val="auto"/>
        </w:rPr>
      </w:pPr>
    </w:p>
    <w:tbl>
      <w:tblPr>
        <w:tblStyle w:val="6"/>
        <w:tblW w:w="1471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1"/>
        <w:gridCol w:w="1317"/>
        <w:gridCol w:w="4060"/>
        <w:gridCol w:w="942"/>
        <w:gridCol w:w="1074"/>
        <w:gridCol w:w="4410"/>
        <w:gridCol w:w="1320"/>
        <w:gridCol w:w="1035"/>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0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0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0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56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w:t>
            </w:r>
          </w:p>
        </w:tc>
        <w:tc>
          <w:tcPr>
            <w:tcW w:w="13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采购人未编制采购计划、规避招标、违规确定供应商、未依法管理合同、未依法采用非招标方式等行为的处罚</w:t>
            </w:r>
          </w:p>
        </w:tc>
        <w:tc>
          <w:tcPr>
            <w:tcW w:w="4060"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 w:val="20"/>
                <w:szCs w:val="20"/>
              </w:rPr>
              <w:t>《中华人民共和国政府采购法实施条例》（国务院令第658号）第六十七条：“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政府采购非招标采购方式管理办法》（财政部令第74号）第五十二条：“采购人有下列情形之一的，责令限期改正，给予警告；有关法律、行政法规规定处以罚款的，并处罚款：（一）未按照政府采购法和本办法的规定采用非招标采购方式的；（二）未按照政府采购法和本办法的规定确定成交供应商的；（三）未按照采购文件确定的事项签订政府采购合同，或者与成交供应商另行订立背离合同实质性内容的协议的；（四）未按规定将政府采购合同副本报本级财政部门备案的。”</w:t>
            </w:r>
          </w:p>
        </w:tc>
        <w:tc>
          <w:tcPr>
            <w:tcW w:w="94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074"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3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03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56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3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4060" w:type="dxa"/>
            <w:vMerge w:val="continue"/>
            <w:tcBorders>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7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0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56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3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4060" w:type="dxa"/>
            <w:vMerge w:val="continue"/>
            <w:tcBorders>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7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3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0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jc w:val="center"/>
        </w:trPr>
        <w:tc>
          <w:tcPr>
            <w:tcW w:w="56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3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4060" w:type="dxa"/>
            <w:vMerge w:val="continue"/>
            <w:tcBorders>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7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3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0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jc w:val="center"/>
        </w:trPr>
        <w:tc>
          <w:tcPr>
            <w:tcW w:w="56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3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4060" w:type="dxa"/>
            <w:vMerge w:val="continue"/>
            <w:tcBorders>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7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3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03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6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3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4060" w:type="dxa"/>
            <w:vMerge w:val="continue"/>
            <w:tcBorders>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7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3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03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56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3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4060" w:type="dxa"/>
            <w:vMerge w:val="continue"/>
            <w:tcBorders>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7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3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03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56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3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4060" w:type="dxa"/>
            <w:vMerge w:val="continue"/>
            <w:tcBorders>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074"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410"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3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0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r>
    </w:tbl>
    <w:p>
      <w:pPr>
        <w:rPr>
          <w:color w:val="auto"/>
        </w:rPr>
      </w:pPr>
    </w:p>
    <w:tbl>
      <w:tblPr>
        <w:tblStyle w:val="6"/>
        <w:tblW w:w="14781"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1560"/>
        <w:gridCol w:w="2266"/>
        <w:gridCol w:w="1051"/>
        <w:gridCol w:w="876"/>
        <w:gridCol w:w="5188"/>
        <w:gridCol w:w="1719"/>
        <w:gridCol w:w="138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51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7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7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集中采购机构内部制度不健全、依法应当分设分离的岗位和人员未分设分离，将集中采购项目委托其他采购代理机构采购，从事营利活动的处罚</w:t>
            </w:r>
          </w:p>
        </w:tc>
        <w:tc>
          <w:tcPr>
            <w:tcW w:w="2266"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实施条例》（国务院令第658号）第六十九条：“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w:t>
            </w:r>
          </w:p>
        </w:tc>
        <w:tc>
          <w:tcPr>
            <w:tcW w:w="105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876"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5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71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二条：政府采购监督管理部门对集采机构业绩的考核，有虚假陈述，隐瞒真实情况的，或者不作定期考核和公布考核结果的，应当及时纠正，由其上级机关或者检察机关对其负责人进行通报，并对直接负责的人员依法给与行政处分。</w:t>
            </w:r>
          </w:p>
        </w:tc>
        <w:tc>
          <w:tcPr>
            <w:tcW w:w="138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5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7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7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7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7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5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7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51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7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6"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5188"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7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r>
        <w:rPr>
          <w:rFonts w:ascii="仿宋" w:hAnsi="仿宋" w:eastAsia="仿宋" w:cs="仿宋"/>
          <w:color w:val="auto"/>
          <w:sz w:val="18"/>
          <w:szCs w:val="18"/>
        </w:rPr>
        <w:br w:type="page"/>
      </w:r>
    </w:p>
    <w:tbl>
      <w:tblPr>
        <w:tblStyle w:val="6"/>
        <w:tblW w:w="14246"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1377"/>
        <w:gridCol w:w="2220"/>
        <w:gridCol w:w="953"/>
        <w:gridCol w:w="1445"/>
        <w:gridCol w:w="4549"/>
        <w:gridCol w:w="1646"/>
        <w:gridCol w:w="1321"/>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2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5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7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w:t>
            </w:r>
          </w:p>
        </w:tc>
        <w:tc>
          <w:tcPr>
            <w:tcW w:w="13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采购人员与供应商有利害关系而不依法回避的处罚</w:t>
            </w:r>
          </w:p>
        </w:tc>
        <w:tc>
          <w:tcPr>
            <w:tcW w:w="2220"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《中华人民共和国政府采购法实施条例》（国务院令第658号）第七十条：“采购人员与供应商有利害关系而不依法回避的，由财政部门给予警告，并处2000元以上2万元以下的罚款。”</w:t>
            </w:r>
          </w:p>
        </w:tc>
        <w:tc>
          <w:tcPr>
            <w:tcW w:w="9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44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32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5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49"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4671" w:type="dxa"/>
        <w:jc w:val="center"/>
        <w:tblLayout w:type="fixed"/>
        <w:tblCellMar>
          <w:top w:w="0" w:type="dxa"/>
          <w:left w:w="0" w:type="dxa"/>
          <w:bottom w:w="0" w:type="dxa"/>
          <w:right w:w="0" w:type="dxa"/>
        </w:tblCellMar>
      </w:tblPr>
      <w:tblGrid>
        <w:gridCol w:w="615"/>
        <w:gridCol w:w="1005"/>
        <w:gridCol w:w="5250"/>
        <w:gridCol w:w="600"/>
        <w:gridCol w:w="717"/>
        <w:gridCol w:w="4128"/>
        <w:gridCol w:w="1248"/>
        <w:gridCol w:w="1108"/>
      </w:tblGrid>
      <w:tr>
        <w:tblPrEx>
          <w:tblCellMar>
            <w:top w:w="0" w:type="dxa"/>
            <w:left w:w="0" w:type="dxa"/>
            <w:bottom w:w="0" w:type="dxa"/>
            <w:right w:w="0" w:type="dxa"/>
          </w:tblCellMar>
        </w:tblPrEx>
        <w:trPr>
          <w:trHeight w:val="635" w:hRule="atLeast"/>
          <w:jc w:val="center"/>
        </w:trPr>
        <w:tc>
          <w:tcPr>
            <w:tcW w:w="6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52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6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12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24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1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79" w:hRule="atLeast"/>
          <w:jc w:val="center"/>
        </w:trPr>
        <w:tc>
          <w:tcPr>
            <w:tcW w:w="615"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w:t>
            </w:r>
          </w:p>
        </w:tc>
        <w:tc>
          <w:tcPr>
            <w:tcW w:w="1005"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评审专家未依法独立评审、泄露评审情况，应回避而未回避，收受贿赂或者获取其他不正当利益、存在明显不合理或者不正当倾向性等行为的处罚</w:t>
            </w:r>
          </w:p>
        </w:tc>
        <w:tc>
          <w:tcPr>
            <w:tcW w:w="5250" w:type="dxa"/>
            <w:vMerge w:val="restart"/>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 w:val="18"/>
                <w:szCs w:val="18"/>
              </w:rPr>
            </w:pPr>
            <w:r>
              <w:rPr>
                <w:rFonts w:hint="eastAsia" w:ascii="仿宋" w:hAnsi="仿宋" w:eastAsia="仿宋" w:cs="仿宋"/>
                <w:color w:val="auto"/>
                <w:sz w:val="18"/>
                <w:szCs w:val="18"/>
              </w:rPr>
              <w:t xml:space="preserve">《中华人民共和国政府采购法实施条例》（国务院令第658号）第七十五条：“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供应商存在利害关系未回避的，处2万元以上5万元以下的罚款，禁止其参加政府采购评审活动。  政府采购评审专家收受采购人、采购代理机构、供应商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  </w:t>
            </w:r>
            <w:r>
              <w:rPr>
                <w:rFonts w:hint="eastAsia" w:ascii="仿宋" w:hAnsi="仿宋" w:eastAsia="仿宋" w:cs="仿宋"/>
                <w:color w:val="auto"/>
                <w:sz w:val="18"/>
                <w:szCs w:val="18"/>
              </w:rPr>
              <w:br w:type="textWrapping"/>
            </w:r>
            <w:r>
              <w:rPr>
                <w:rFonts w:hint="eastAsia" w:ascii="仿宋" w:hAnsi="仿宋" w:eastAsia="仿宋" w:cs="仿宋"/>
                <w:color w:val="auto"/>
                <w:sz w:val="18"/>
                <w:szCs w:val="18"/>
              </w:rPr>
              <w:t xml:space="preserve">    《政府采购货物和服务招标投标管理办法》（财政部令第87号）第八十一条 ：“评标委员会成员有本办法第六十二条所列行为之一的，由财政部门责令限期改正；情节严重的，给予警告，并对其不良行为予以记录。”第六十二条：“ 评标委员会及其成员不得有下列行为：（一）确定参与评标至评标结束前私自接触投标人；（二）接受投标人提出的与投标文件不一致的澄清或者说明，本办法第五十一条规定的情形除外；（三）违反评标纪律发表倾向性意见或者征询采购人的倾向性意见；（四）对需要专业判断的主观评审因素协商评分；（五）在评标过程中擅离职守，影响评标程序正常进行的；（六）记录、复制或者带走任何评标资料；（七）其他不遵守评标纪律的行为。”</w:t>
            </w:r>
          </w:p>
          <w:p>
            <w:pPr>
              <w:autoSpaceDN w:val="0"/>
              <w:snapToGrid w:val="0"/>
              <w:textAlignment w:val="center"/>
              <w:rPr>
                <w:rFonts w:ascii="仿宋" w:hAnsi="仿宋" w:eastAsia="仿宋" w:cs="仿宋"/>
                <w:color w:val="auto"/>
                <w:szCs w:val="21"/>
              </w:rPr>
            </w:pPr>
            <w:r>
              <w:rPr>
                <w:rFonts w:hint="eastAsia" w:ascii="仿宋" w:hAnsi="仿宋" w:eastAsia="仿宋" w:cs="仿宋"/>
                <w:color w:val="auto"/>
                <w:sz w:val="18"/>
                <w:szCs w:val="18"/>
              </w:rPr>
              <w:t>《政府采购非招标采购方式管理办法》（财政部令第74号）第五十五条：“谈判小组、询价小组成员有下列行为之一的，责令改正，给予警告；有关法律、行政法规规定处以罚款的，并处罚款；涉嫌犯罪的，依法移送司法机关处理：（一）收受采购人、采购代理机构、供应商、其他利害关系人的财物或者其他不正当利益的；（二）泄露评审情况以及评审过程中获悉的国家秘密、商业秘密的；（三）明知与供应商有利害关系而不依法回避的；（四）在评审过程中擅离职守，影响评审程序正常进行的；（五）在评审过程中有明显不合理或者不正当倾向性的；（六）未按照采购文件规定的评定成交的标准进行评审的。评审专家有前款情形之一，情节严重的，取消其政府采购评审专家资格，不得再参加任何政府采购项目的评审，并在财政部门指定的政府采购信息发布媒体上予以公告。”</w:t>
            </w:r>
          </w:p>
        </w:tc>
        <w:tc>
          <w:tcPr>
            <w:tcW w:w="60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24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评审专家管理办法》第三十一条：财政部门的工作人员在评审专家管理工作中存在滥用职权，玩忽职守，徇私舞弊等违法违纪行为的，依照《政府采购法》、《公务员法》、《行政监察法》等国家有关规定追究相关责任；涉嫌犯罪的，移送司法机关处理。</w:t>
            </w:r>
          </w:p>
        </w:tc>
        <w:tc>
          <w:tcPr>
            <w:tcW w:w="110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1412" w:hRule="atLeast"/>
          <w:jc w:val="center"/>
        </w:trPr>
        <w:tc>
          <w:tcPr>
            <w:tcW w:w="61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50" w:type="dxa"/>
            <w:vMerge w:val="continue"/>
            <w:tcBorders>
              <w:top w:val="single" w:color="auto" w:sz="4" w:space="0"/>
              <w:left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248"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8"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57" w:hRule="atLeast"/>
          <w:jc w:val="center"/>
        </w:trPr>
        <w:tc>
          <w:tcPr>
            <w:tcW w:w="61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50" w:type="dxa"/>
            <w:vMerge w:val="continue"/>
            <w:tcBorders>
              <w:left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24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43" w:hRule="atLeast"/>
          <w:jc w:val="center"/>
        </w:trPr>
        <w:tc>
          <w:tcPr>
            <w:tcW w:w="61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50" w:type="dxa"/>
            <w:vMerge w:val="continue"/>
            <w:tcBorders>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2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62" w:hRule="atLeast"/>
          <w:jc w:val="center"/>
        </w:trPr>
        <w:tc>
          <w:tcPr>
            <w:tcW w:w="61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50" w:type="dxa"/>
            <w:vMerge w:val="continue"/>
            <w:tcBorders>
              <w:top w:val="single" w:color="auto" w:sz="4" w:space="0"/>
              <w:left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248"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8" w:hRule="atLeast"/>
          <w:jc w:val="center"/>
        </w:trPr>
        <w:tc>
          <w:tcPr>
            <w:tcW w:w="61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50" w:type="dxa"/>
            <w:vMerge w:val="continue"/>
            <w:tcBorders>
              <w:left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24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 w:hRule="atLeast"/>
          <w:jc w:val="center"/>
        </w:trPr>
        <w:tc>
          <w:tcPr>
            <w:tcW w:w="61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50" w:type="dxa"/>
            <w:vMerge w:val="continue"/>
            <w:tcBorders>
              <w:left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24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 w:hRule="atLeast"/>
          <w:jc w:val="center"/>
        </w:trPr>
        <w:tc>
          <w:tcPr>
            <w:tcW w:w="615"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50" w:type="dxa"/>
            <w:vMerge w:val="continue"/>
            <w:tcBorders>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2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64" w:type="dxa"/>
        <w:jc w:val="center"/>
        <w:tblLayout w:type="fixed"/>
        <w:tblCellMar>
          <w:top w:w="0" w:type="dxa"/>
          <w:left w:w="0" w:type="dxa"/>
          <w:bottom w:w="0" w:type="dxa"/>
          <w:right w:w="0" w:type="dxa"/>
        </w:tblCellMar>
      </w:tblPr>
      <w:tblGrid>
        <w:gridCol w:w="636"/>
        <w:gridCol w:w="1149"/>
        <w:gridCol w:w="5055"/>
        <w:gridCol w:w="748"/>
        <w:gridCol w:w="592"/>
        <w:gridCol w:w="4720"/>
        <w:gridCol w:w="1230"/>
        <w:gridCol w:w="1334"/>
      </w:tblGrid>
      <w:tr>
        <w:tblPrEx>
          <w:tblCellMar>
            <w:top w:w="0" w:type="dxa"/>
            <w:left w:w="0" w:type="dxa"/>
            <w:bottom w:w="0" w:type="dxa"/>
            <w:right w:w="0" w:type="dxa"/>
          </w:tblCellMar>
        </w:tblPrEx>
        <w:trPr>
          <w:trHeight w:val="635" w:hRule="atLeast"/>
          <w:jc w:val="center"/>
        </w:trPr>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5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2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050" w:hRule="atLeast"/>
          <w:jc w:val="center"/>
        </w:trPr>
        <w:tc>
          <w:tcPr>
            <w:tcW w:w="63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w:t>
            </w:r>
          </w:p>
        </w:tc>
        <w:tc>
          <w:tcPr>
            <w:tcW w:w="114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采购人、采购代理机构应公告而未公告、不在指定媒体公告、不同媒体公告内容不一致、未按规定期限公告、公告信息不真实、排斥潜在供应商等行为的处罚</w:t>
            </w:r>
          </w:p>
        </w:tc>
        <w:tc>
          <w:tcPr>
            <w:tcW w:w="5055"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信息发布管理办法》(中华人民共和国财政部令第101号):“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 地方各级人民政府财政部门（以下简称财政部门）对本级预算单位的政府采购信息发布活动进行监督管理。”第六条 ：“ 财政部对中国政府采购网进行监督管理。省级（自治区、直辖市、计划单列市）财政部门对中国政府采购网省级分网进行监督管理。 采购人或者其委托的采购代理机构未依法在指定媒体上发布政府采购项目信息的，依照政府采购法实施条例第六十八条追究法律责任。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 第十七条 ：“ 指定媒体违反本办法规定的，由实施指定行为的省级以上财政部门依法责令限期改正，对直接负责的主管人员和其他直接责任人员，建议其行政主管部门或者有关机关依法依规处理，并予通报。财政部门及其工作人员在政府采购信息发布活动中存在懒政怠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tc>
        <w:tc>
          <w:tcPr>
            <w:tcW w:w="74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592"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2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33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1290" w:hRule="atLeast"/>
          <w:jc w:val="center"/>
        </w:trPr>
        <w:tc>
          <w:tcPr>
            <w:tcW w:w="6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9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2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01" w:hRule="atLeast"/>
          <w:jc w:val="center"/>
        </w:trPr>
        <w:tc>
          <w:tcPr>
            <w:tcW w:w="6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9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2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64" w:hRule="atLeast"/>
          <w:jc w:val="center"/>
        </w:trPr>
        <w:tc>
          <w:tcPr>
            <w:tcW w:w="6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9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2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 w:hRule="atLeast"/>
          <w:jc w:val="center"/>
        </w:trPr>
        <w:tc>
          <w:tcPr>
            <w:tcW w:w="6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9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2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15" w:hRule="atLeast"/>
          <w:jc w:val="center"/>
        </w:trPr>
        <w:tc>
          <w:tcPr>
            <w:tcW w:w="6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9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2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38" w:hRule="atLeast"/>
          <w:jc w:val="center"/>
        </w:trPr>
        <w:tc>
          <w:tcPr>
            <w:tcW w:w="6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9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2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78" w:hRule="atLeast"/>
          <w:jc w:val="center"/>
        </w:trPr>
        <w:tc>
          <w:tcPr>
            <w:tcW w:w="63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55"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4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9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2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r>
        <w:rPr>
          <w:color w:val="auto"/>
        </w:rPr>
        <w:br w:type="page"/>
      </w:r>
    </w:p>
    <w:p>
      <w:pPr>
        <w:autoSpaceDN w:val="0"/>
        <w:snapToGrid w:val="0"/>
        <w:textAlignment w:val="center"/>
        <w:rPr>
          <w:color w:val="auto"/>
        </w:rPr>
      </w:pPr>
    </w:p>
    <w:tbl>
      <w:tblPr>
        <w:tblStyle w:val="6"/>
        <w:tblW w:w="14460" w:type="dxa"/>
        <w:jc w:val="center"/>
        <w:tblLayout w:type="fixed"/>
        <w:tblCellMar>
          <w:top w:w="0" w:type="dxa"/>
          <w:left w:w="0" w:type="dxa"/>
          <w:bottom w:w="0" w:type="dxa"/>
          <w:right w:w="0" w:type="dxa"/>
        </w:tblCellMar>
      </w:tblPr>
      <w:tblGrid>
        <w:gridCol w:w="721"/>
        <w:gridCol w:w="1345"/>
        <w:gridCol w:w="2615"/>
        <w:gridCol w:w="876"/>
        <w:gridCol w:w="1169"/>
        <w:gridCol w:w="4681"/>
        <w:gridCol w:w="1519"/>
        <w:gridCol w:w="1534"/>
      </w:tblGrid>
      <w:tr>
        <w:tblPrEx>
          <w:tblCellMar>
            <w:top w:w="0" w:type="dxa"/>
            <w:left w:w="0" w:type="dxa"/>
            <w:bottom w:w="0" w:type="dxa"/>
            <w:right w:w="0" w:type="dxa"/>
          </w:tblCellMar>
        </w:tblPrEx>
        <w:trPr>
          <w:trHeight w:val="699" w:hRule="atLeast"/>
          <w:jc w:val="center"/>
        </w:trPr>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68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5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5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626" w:hRule="atLeast"/>
          <w:jc w:val="center"/>
        </w:trPr>
        <w:tc>
          <w:tcPr>
            <w:tcW w:w="7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10</w:t>
            </w:r>
          </w:p>
        </w:tc>
        <w:tc>
          <w:tcPr>
            <w:tcW w:w="13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国有资产占有单位提供虚假情况和资料，或者与资产评估机构串通作弊，致使资产评估结果失实的处罚</w:t>
            </w:r>
          </w:p>
        </w:tc>
        <w:tc>
          <w:tcPr>
            <w:tcW w:w="2615"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国有资产评估管理办法》（国务院令第91号）第三十一条：“占有单位违反本办法的规定，提供虚假情况和资料，或者与资产评估机构串通作弊，致使资产评估结果失实的，国有资产管理行政主管部门可以宣布资产评估结果无效，并可以根据情节轻重，单处或者并处下列处罚：（一）通报批评；（二）限期改正，并可以处以相当于评估费用以下的罚款；（三）提请有关部门对单位主管人员和直接责任人员给予行政处分，并可以处以相当于本人三个月基本工资以下的罚款。”</w:t>
            </w:r>
          </w:p>
        </w:tc>
        <w:tc>
          <w:tcPr>
            <w:tcW w:w="8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16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1.立案责任：对监督检查、处理投诉中发现，或者接到举报，或经有关部门移送此类违法案件予以审查，决定是否立案。</w:t>
            </w:r>
          </w:p>
        </w:tc>
        <w:tc>
          <w:tcPr>
            <w:tcW w:w="151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pStyle w:val="16"/>
              <w:widowControl/>
              <w:ind w:firstLine="0" w:firstLineChars="0"/>
              <w:jc w:val="left"/>
              <w:rPr>
                <w:rFonts w:ascii="仿宋" w:hAnsi="仿宋" w:eastAsia="仿宋" w:cs="仿宋"/>
                <w:color w:val="auto"/>
                <w:szCs w:val="21"/>
              </w:rPr>
            </w:pPr>
            <w:r>
              <w:rPr>
                <w:rFonts w:hint="eastAsia" w:ascii="仿宋" w:hAnsi="仿宋" w:eastAsia="仿宋" w:cs="仿宋"/>
                <w:color w:val="auto"/>
                <w:szCs w:val="21"/>
              </w:rPr>
              <w:t>《国有资产评估管理办法》第三十四条　国有资产管理行政主管部门或者行业主管部门工作人员违反本办法，造成国有资产损失的，国有资产管理行政主管部门或者行业主管部门可以按照干部管理权限，给予行政处分，并可以处以相当于本人三个月基本工资以下的罚款。违反本办法，利用职权谋取私利的，由有查处权的部门依法追缴其非法所得。</w:t>
            </w:r>
          </w:p>
          <w:p>
            <w:pPr>
              <w:pStyle w:val="16"/>
              <w:widowControl/>
              <w:ind w:firstLine="0" w:firstLineChars="0"/>
              <w:jc w:val="left"/>
              <w:rPr>
                <w:rFonts w:ascii="仿宋" w:hAnsi="仿宋" w:eastAsia="仿宋" w:cs="仿宋"/>
                <w:color w:val="auto"/>
                <w:szCs w:val="21"/>
              </w:rPr>
            </w:pPr>
            <w:r>
              <w:rPr>
                <w:rFonts w:hint="eastAsia" w:ascii="仿宋" w:hAnsi="仿宋" w:eastAsia="仿宋" w:cs="仿宋"/>
                <w:color w:val="auto"/>
                <w:szCs w:val="21"/>
              </w:rPr>
              <w:t>第三十五条　违反本办法，情节严重，构成犯罪的，由司法机关依法追究刑事责任。</w:t>
            </w:r>
          </w:p>
          <w:p>
            <w:pPr>
              <w:autoSpaceDN w:val="0"/>
              <w:snapToGrid w:val="0"/>
              <w:jc w:val="left"/>
              <w:textAlignment w:val="center"/>
              <w:rPr>
                <w:rFonts w:ascii="仿宋" w:hAnsi="仿宋" w:eastAsia="仿宋" w:cs="仿宋"/>
                <w:color w:val="auto"/>
                <w:szCs w:val="21"/>
              </w:rPr>
            </w:pPr>
          </w:p>
        </w:tc>
        <w:tc>
          <w:tcPr>
            <w:tcW w:w="153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税政与条法股、</w:t>
            </w:r>
            <w:r>
              <w:rPr>
                <w:rFonts w:hint="eastAsia" w:ascii="仿宋" w:hAnsi="仿宋" w:eastAsia="仿宋" w:cs="仿宋"/>
                <w:color w:val="auto"/>
                <w:szCs w:val="21"/>
              </w:rPr>
              <w:t>资产管理股、县属功能类公益类企业国有资产监管办公室</w:t>
            </w:r>
          </w:p>
        </w:tc>
      </w:tr>
      <w:tr>
        <w:tblPrEx>
          <w:tblCellMar>
            <w:top w:w="0" w:type="dxa"/>
            <w:left w:w="0" w:type="dxa"/>
            <w:bottom w:w="0" w:type="dxa"/>
            <w:right w:w="0" w:type="dxa"/>
          </w:tblCellMar>
        </w:tblPrEx>
        <w:trPr>
          <w:trHeight w:val="608" w:hRule="atLeast"/>
          <w:jc w:val="center"/>
        </w:trPr>
        <w:tc>
          <w:tcPr>
            <w:tcW w:w="7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34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615" w:type="dxa"/>
            <w:vMerge w:val="continue"/>
            <w:tcBorders>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87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6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15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7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34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615" w:type="dxa"/>
            <w:vMerge w:val="continue"/>
            <w:tcBorders>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87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69"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3.审查责任：对案件违法事实、证据、调查取证程序、法律适用、处罚种类和幅度、当事人陈诉和申辩理由等方面进行审查，提出处理意见。</w:t>
            </w:r>
          </w:p>
        </w:tc>
        <w:tc>
          <w:tcPr>
            <w:tcW w:w="15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7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34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615" w:type="dxa"/>
            <w:vMerge w:val="continue"/>
            <w:tcBorders>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87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69"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4.告知责任：在做出行政处罚决定前，书面告知当事人拟做出处罚决定的事实、理由、依据、处罚内容，以及当事人享有的陈诉权、申辩权和听证权。</w:t>
            </w:r>
          </w:p>
        </w:tc>
        <w:tc>
          <w:tcPr>
            <w:tcW w:w="15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93" w:hRule="atLeast"/>
          <w:jc w:val="center"/>
        </w:trPr>
        <w:tc>
          <w:tcPr>
            <w:tcW w:w="7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345" w:type="dxa"/>
            <w:vMerge w:val="continue"/>
            <w:tcBorders>
              <w:left w:val="single" w:color="000000" w:sz="4" w:space="0"/>
              <w:right w:val="single" w:color="000000" w:sz="4" w:space="0"/>
            </w:tcBorders>
            <w:tcMar>
              <w:top w:w="15" w:type="dxa"/>
              <w:left w:w="15" w:type="dxa"/>
              <w:right w:w="15" w:type="dxa"/>
            </w:tcMar>
          </w:tcPr>
          <w:p>
            <w:pPr>
              <w:autoSpaceDN w:val="0"/>
              <w:snapToGrid w:val="0"/>
              <w:jc w:val="left"/>
              <w:textAlignment w:val="center"/>
              <w:rPr>
                <w:rFonts w:ascii="仿宋" w:hAnsi="仿宋" w:eastAsia="仿宋" w:cs="仿宋"/>
                <w:color w:val="auto"/>
                <w:szCs w:val="21"/>
              </w:rPr>
            </w:pPr>
          </w:p>
        </w:tc>
        <w:tc>
          <w:tcPr>
            <w:tcW w:w="2615" w:type="dxa"/>
            <w:vMerge w:val="continue"/>
            <w:tcBorders>
              <w:left w:val="single" w:color="000000" w:sz="4" w:space="0"/>
              <w:right w:val="nil"/>
            </w:tcBorders>
            <w:tcMar>
              <w:top w:w="15" w:type="dxa"/>
              <w:left w:w="15" w:type="dxa"/>
              <w:right w:w="15" w:type="dxa"/>
            </w:tcMar>
          </w:tcPr>
          <w:p>
            <w:pPr>
              <w:autoSpaceDN w:val="0"/>
              <w:snapToGrid w:val="0"/>
              <w:jc w:val="left"/>
              <w:textAlignment w:val="center"/>
              <w:rPr>
                <w:rFonts w:ascii="仿宋" w:hAnsi="仿宋" w:eastAsia="仿宋" w:cs="仿宋"/>
                <w:color w:val="auto"/>
                <w:szCs w:val="21"/>
              </w:rPr>
            </w:pPr>
          </w:p>
        </w:tc>
        <w:tc>
          <w:tcPr>
            <w:tcW w:w="87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6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5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18" w:hRule="atLeast"/>
          <w:jc w:val="center"/>
        </w:trPr>
        <w:tc>
          <w:tcPr>
            <w:tcW w:w="7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34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615" w:type="dxa"/>
            <w:vMerge w:val="continue"/>
            <w:tcBorders>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87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6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5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38" w:hRule="atLeast"/>
          <w:jc w:val="center"/>
        </w:trPr>
        <w:tc>
          <w:tcPr>
            <w:tcW w:w="7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34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615" w:type="dxa"/>
            <w:vMerge w:val="continue"/>
            <w:tcBorders>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87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6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5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85" w:hRule="atLeast"/>
          <w:jc w:val="center"/>
        </w:trPr>
        <w:tc>
          <w:tcPr>
            <w:tcW w:w="72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34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615"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87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69"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51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4281" w:type="dxa"/>
        <w:jc w:val="center"/>
        <w:tblLayout w:type="fixed"/>
        <w:tblCellMar>
          <w:top w:w="0" w:type="dxa"/>
          <w:left w:w="0" w:type="dxa"/>
          <w:bottom w:w="0" w:type="dxa"/>
          <w:right w:w="0" w:type="dxa"/>
        </w:tblCellMar>
      </w:tblPr>
      <w:tblGrid>
        <w:gridCol w:w="721"/>
        <w:gridCol w:w="1345"/>
        <w:gridCol w:w="2475"/>
        <w:gridCol w:w="696"/>
        <w:gridCol w:w="1157"/>
        <w:gridCol w:w="5264"/>
        <w:gridCol w:w="1268"/>
        <w:gridCol w:w="1355"/>
      </w:tblGrid>
      <w:tr>
        <w:tblPrEx>
          <w:tblCellMar>
            <w:top w:w="0" w:type="dxa"/>
            <w:left w:w="0" w:type="dxa"/>
            <w:bottom w:w="0" w:type="dxa"/>
            <w:right w:w="0" w:type="dxa"/>
          </w:tblCellMar>
        </w:tblPrEx>
        <w:trPr>
          <w:trHeight w:val="699" w:hRule="atLeast"/>
          <w:jc w:val="center"/>
        </w:trPr>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24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526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2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黑体" w:eastAsia="黑体" w:cs="黑体"/>
                <w:color w:val="auto"/>
                <w:kern w:val="0"/>
                <w:sz w:val="24"/>
              </w:rPr>
              <w:t>追责情形</w:t>
            </w:r>
          </w:p>
        </w:tc>
        <w:tc>
          <w:tcPr>
            <w:tcW w:w="13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626" w:hRule="atLeast"/>
          <w:jc w:val="center"/>
        </w:trPr>
        <w:tc>
          <w:tcPr>
            <w:tcW w:w="721"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11</w:t>
            </w:r>
          </w:p>
        </w:tc>
        <w:tc>
          <w:tcPr>
            <w:tcW w:w="1345"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金融企业国有资产评估违法、违规的处罚</w:t>
            </w:r>
          </w:p>
        </w:tc>
        <w:tc>
          <w:tcPr>
            <w:tcW w:w="2475"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 xml:space="preserve"> 《金融企业国有资产评估监督管理暂行办法》（财政部令第47号）第三条：“县级以上人民政府财政部门按照统一政策、分级管理的原则，对本级金融企业资产评估工作进行监督管理。上级财政部门对下级财政部门监督管理金融企业资产评估工作进行指导和监督。”第三十条：金融企业违反本办法有关规定，由财政部门责令限期改正。有下列情形之一的，由财政部门给予警告：（一）应当进行资产评估而未进行评估的；（二）应当申请资产评估项目核准或者备案而未申请的；（三）委托没有资产评估执业资格的机构或者人员从事资产评估的，或者委托同一中介机构对同一经济行为进行资产评估、审计、会计业务服务的。”</w:t>
            </w:r>
          </w:p>
        </w:tc>
        <w:tc>
          <w:tcPr>
            <w:tcW w:w="69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15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1.立案责任：对检查中发现、接到举报投诉违反国家机关及其工作人员违反规定使用、骗取专项资金的行为或经有关部门移送此类违法案件予以审查，决定是否立案。</w:t>
            </w:r>
          </w:p>
        </w:tc>
        <w:tc>
          <w:tcPr>
            <w:tcW w:w="126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35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税政与条法股、金融与服务业股、县属功能类公益类企业国有资产监管办公室</w:t>
            </w:r>
          </w:p>
        </w:tc>
      </w:tr>
      <w:tr>
        <w:tblPrEx>
          <w:tblCellMar>
            <w:top w:w="0" w:type="dxa"/>
            <w:left w:w="0" w:type="dxa"/>
            <w:bottom w:w="0" w:type="dxa"/>
            <w:right w:w="0" w:type="dxa"/>
          </w:tblCellMar>
        </w:tblPrEx>
        <w:trPr>
          <w:trHeight w:val="60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47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2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47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2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47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2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93"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2475"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6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2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1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47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2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3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47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2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5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475"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2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color w:val="auto"/>
        </w:rPr>
      </w:pPr>
      <w:r>
        <w:rPr>
          <w:rFonts w:ascii="仿宋" w:hAnsi="仿宋" w:eastAsia="仿宋" w:cs="仿宋"/>
          <w:color w:val="auto"/>
          <w:szCs w:val="21"/>
        </w:rPr>
        <w:br w:type="page"/>
      </w:r>
    </w:p>
    <w:tbl>
      <w:tblPr>
        <w:tblStyle w:val="6"/>
        <w:tblW w:w="14571" w:type="dxa"/>
        <w:jc w:val="center"/>
        <w:tblLayout w:type="fixed"/>
        <w:tblCellMar>
          <w:top w:w="0" w:type="dxa"/>
          <w:left w:w="0" w:type="dxa"/>
          <w:bottom w:w="0" w:type="dxa"/>
          <w:right w:w="0" w:type="dxa"/>
        </w:tblCellMar>
      </w:tblPr>
      <w:tblGrid>
        <w:gridCol w:w="721"/>
        <w:gridCol w:w="1198"/>
        <w:gridCol w:w="3987"/>
        <w:gridCol w:w="950"/>
        <w:gridCol w:w="1017"/>
        <w:gridCol w:w="4817"/>
        <w:gridCol w:w="1150"/>
        <w:gridCol w:w="731"/>
      </w:tblGrid>
      <w:tr>
        <w:tblPrEx>
          <w:tblCellMar>
            <w:top w:w="0" w:type="dxa"/>
            <w:left w:w="0" w:type="dxa"/>
            <w:bottom w:w="0" w:type="dxa"/>
            <w:right w:w="0" w:type="dxa"/>
          </w:tblCellMar>
        </w:tblPrEx>
        <w:trPr>
          <w:trHeight w:val="699" w:hRule="atLeast"/>
          <w:jc w:val="center"/>
        </w:trPr>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1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39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职权</w:t>
            </w:r>
          </w:p>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类别</w:t>
            </w:r>
          </w:p>
        </w:tc>
        <w:tc>
          <w:tcPr>
            <w:tcW w:w="1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48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1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黑体" w:eastAsia="黑体" w:cs="黑体"/>
                <w:color w:val="auto"/>
                <w:kern w:val="0"/>
                <w:sz w:val="24"/>
              </w:rPr>
              <w:t>追责情形</w:t>
            </w:r>
          </w:p>
        </w:tc>
        <w:tc>
          <w:tcPr>
            <w:tcW w:w="73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626" w:hRule="atLeast"/>
          <w:jc w:val="center"/>
        </w:trPr>
        <w:tc>
          <w:tcPr>
            <w:tcW w:w="721"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12</w:t>
            </w:r>
          </w:p>
        </w:tc>
        <w:tc>
          <w:tcPr>
            <w:tcW w:w="1198"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金融企业国有资产转让违规的处罚</w:t>
            </w:r>
          </w:p>
        </w:tc>
        <w:tc>
          <w:tcPr>
            <w:tcW w:w="3987"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 w:val="20"/>
                <w:szCs w:val="20"/>
              </w:rPr>
              <w:t>金融企业国有资产转让管理办法》（财政部令第54号）第五十一条：“金融企业国有资产转让过程中出现下列情形之一的，财政部门可以要求转让方立即中止或者终止资产转让活动：（一）未按本办法有关规定在产权交易机构中进行交易的；（二）转让方不履行相应的内部决策程序、批准程序或者超越权限，或者未按规定报经财政部门和相关部门审批，擅自转让资产的；（三）转让方、转让标的企业故意隐匿应当纳入评估范围的资产，或者向中介机构提供虚假会计资料，导致审计、评估结果失真，以及未经审计、评估，造成国有资产流失的；（四）转让方与受让方串通，低价转让国有资产，造成国有资产流失的；（五）转让方未按规定落实转让标的企业的债权债务，非法转移债权或者逃避债务清偿责任的；以金融企业国有资产作为担保的，转让该部分资产时，未经担保债权人同意的；（六）受让方采取欺诈、隐瞒等手段影响转让方的选择以及资产转让协议签订的；（七）受让方在产权转让竞价过程中，恶意串通压低价格，造成国有资产流失的。”第五十二条：“转让方、转让标的企业有本办法第五十一条规定的情形，由财政部门给予警告，并建议有关部门对负有直接责任的人员和其他直接责任人员给予行政处分；造成国有资产损失的，应当建议有关部门依法追究金融企业董事、监事、高级管理人员的责任；由于受让方的责任造成国有资产流失的，受让方应当依法赔偿转让方的经济损失。涉嫌犯罪的，应当移送司法机关。”</w:t>
            </w:r>
          </w:p>
        </w:tc>
        <w:tc>
          <w:tcPr>
            <w:tcW w:w="95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0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1.立案责任：对检查中发现、接到举报投诉违反国家机关及其工作人员违反规定使用、骗取专项资金的行为或经有关部门移送此类违法案件予以审查，决定是否立案。</w:t>
            </w:r>
          </w:p>
        </w:tc>
        <w:tc>
          <w:tcPr>
            <w:tcW w:w="11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国有资产转让管理办法》第五十五条：金融企业国有资产转让批准机构及其有关人员违反法律、行政法规及本办法规定，造成国有资产流失的，由有关部门依法给予纪律处分；涉嫌犯罪的，移送司法机关。</w:t>
            </w:r>
          </w:p>
        </w:tc>
        <w:tc>
          <w:tcPr>
            <w:tcW w:w="73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税政与条法股、县属功能类公益类企业国有资产监管办公室</w:t>
            </w:r>
          </w:p>
        </w:tc>
      </w:tr>
      <w:tr>
        <w:tblPrEx>
          <w:tblCellMar>
            <w:top w:w="0" w:type="dxa"/>
            <w:left w:w="0" w:type="dxa"/>
            <w:bottom w:w="0" w:type="dxa"/>
            <w:right w:w="0" w:type="dxa"/>
          </w:tblCellMar>
        </w:tblPrEx>
        <w:trPr>
          <w:trHeight w:val="60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1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1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1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93"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3987"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1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1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1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38"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1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41" w:hRule="atLeast"/>
          <w:jc w:val="center"/>
        </w:trPr>
        <w:tc>
          <w:tcPr>
            <w:tcW w:w="72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7"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1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857" w:type="dxa"/>
        <w:jc w:val="center"/>
        <w:tblLayout w:type="fixed"/>
        <w:tblCellMar>
          <w:top w:w="0" w:type="dxa"/>
          <w:left w:w="0" w:type="dxa"/>
          <w:bottom w:w="0" w:type="dxa"/>
          <w:right w:w="0" w:type="dxa"/>
        </w:tblCellMar>
      </w:tblPr>
      <w:tblGrid>
        <w:gridCol w:w="900"/>
        <w:gridCol w:w="1498"/>
        <w:gridCol w:w="2540"/>
        <w:gridCol w:w="985"/>
        <w:gridCol w:w="1281"/>
        <w:gridCol w:w="4949"/>
        <w:gridCol w:w="1313"/>
        <w:gridCol w:w="1391"/>
      </w:tblGrid>
      <w:tr>
        <w:tblPrEx>
          <w:tblCellMar>
            <w:top w:w="0" w:type="dxa"/>
            <w:left w:w="0" w:type="dxa"/>
            <w:bottom w:w="0" w:type="dxa"/>
            <w:right w:w="0" w:type="dxa"/>
          </w:tblCellMar>
        </w:tblPrEx>
        <w:trPr>
          <w:trHeight w:val="635" w:hRule="atLeast"/>
          <w:jc w:val="center"/>
        </w:trPr>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9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9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68" w:hRule="atLeast"/>
          <w:jc w:val="center"/>
        </w:trPr>
        <w:tc>
          <w:tcPr>
            <w:tcW w:w="9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13</w:t>
            </w:r>
          </w:p>
        </w:tc>
        <w:tc>
          <w:tcPr>
            <w:tcW w:w="149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企业国有资产产权登记违反规定的处罚</w:t>
            </w:r>
            <w:r>
              <w:rPr>
                <w:rFonts w:hint="eastAsia" w:ascii="仿宋" w:hAnsi="仿宋" w:eastAsia="仿宋" w:cs="仿宋"/>
                <w:color w:val="auto"/>
                <w:szCs w:val="21"/>
              </w:rPr>
              <w:tab/>
            </w:r>
          </w:p>
        </w:tc>
        <w:tc>
          <w:tcPr>
            <w:tcW w:w="2540"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产权登记管理办法》（国务院令第192号）第十四条：“企业违反本办法规定，有下列行为之一的，由国有资产管理部门责令改正、通报批评，可以处以10万元以下的罚款，并提请政府有关部门对企业领导人员和直接责任人员按照规定给予纪律处分：(一)在规定期限内不办理产权登记的；(二)隐瞒真实情况、未如实办理产权登记的；(三)不按照规定办理产权年度检查登记的；(四)伪造、涂改、出卖或者出借国有资产产权登记表的。”</w:t>
            </w:r>
          </w:p>
        </w:tc>
        <w:tc>
          <w:tcPr>
            <w:tcW w:w="9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28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3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《金融企业财务规则》第五十五条：财政部门工作人员在履行财务管理职责过程中滥用职权、玩忽职守、徇私舞弊，或者泄露国家秘密、商业秘密的，依法进行处理。</w:t>
            </w:r>
          </w:p>
        </w:tc>
        <w:tc>
          <w:tcPr>
            <w:tcW w:w="139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税政与条法股、资产管理股、县属功能类公益类企业国有资产监管办公室</w:t>
            </w:r>
          </w:p>
        </w:tc>
      </w:tr>
      <w:tr>
        <w:tblPrEx>
          <w:tblCellMar>
            <w:top w:w="0" w:type="dxa"/>
            <w:left w:w="0" w:type="dxa"/>
            <w:bottom w:w="0" w:type="dxa"/>
            <w:right w:w="0" w:type="dxa"/>
          </w:tblCellMar>
        </w:tblPrEx>
        <w:trPr>
          <w:trHeight w:val="687"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4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1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9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63"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4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31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9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00"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4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31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9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87"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4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31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00"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4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31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75" w:hRule="atLeast"/>
          <w:jc w:val="center"/>
        </w:trPr>
        <w:tc>
          <w:tcPr>
            <w:tcW w:w="9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4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31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86" w:hRule="atLeast"/>
          <w:jc w:val="center"/>
        </w:trPr>
        <w:tc>
          <w:tcPr>
            <w:tcW w:w="90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4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9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3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4862" w:type="dxa"/>
        <w:jc w:val="center"/>
        <w:tblLayout w:type="fixed"/>
        <w:tblCellMar>
          <w:top w:w="0" w:type="dxa"/>
          <w:left w:w="0" w:type="dxa"/>
          <w:bottom w:w="0" w:type="dxa"/>
          <w:right w:w="0" w:type="dxa"/>
        </w:tblCellMar>
      </w:tblPr>
      <w:tblGrid>
        <w:gridCol w:w="650"/>
        <w:gridCol w:w="1710"/>
        <w:gridCol w:w="2760"/>
        <w:gridCol w:w="720"/>
        <w:gridCol w:w="1320"/>
        <w:gridCol w:w="4887"/>
        <w:gridCol w:w="1632"/>
        <w:gridCol w:w="1183"/>
      </w:tblGrid>
      <w:tr>
        <w:tblPrEx>
          <w:tblCellMar>
            <w:top w:w="0" w:type="dxa"/>
            <w:left w:w="0" w:type="dxa"/>
            <w:bottom w:w="0" w:type="dxa"/>
            <w:right w:w="0" w:type="dxa"/>
          </w:tblCellMar>
        </w:tblPrEx>
        <w:trPr>
          <w:trHeight w:val="635" w:hRule="atLeast"/>
          <w:jc w:val="center"/>
        </w:trPr>
        <w:tc>
          <w:tcPr>
            <w:tcW w:w="6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7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7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3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8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1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74" w:hRule="atLeast"/>
          <w:jc w:val="center"/>
        </w:trPr>
        <w:tc>
          <w:tcPr>
            <w:tcW w:w="650"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14</w:t>
            </w:r>
          </w:p>
        </w:tc>
        <w:tc>
          <w:tcPr>
            <w:tcW w:w="171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不按照规定建立内部财务管理制度；内部财务管理制度明显与国家法律、法规和统一的财务管理规章制度相抵触，且不按财政部门要求修改的；不按照规定提供财务信息的；拒绝、阻扰依法实施的财务监督的处罚</w:t>
            </w:r>
          </w:p>
        </w:tc>
        <w:tc>
          <w:tcPr>
            <w:tcW w:w="2760"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金融企业财务规则》（财政部令第42号）第六十二条：“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扰依法实施的财务监督的。”</w:t>
            </w:r>
          </w:p>
        </w:tc>
        <w:tc>
          <w:tcPr>
            <w:tcW w:w="720"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6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《金融企业财务规则》第五十五条：财政部门工作人员在履行财务管理职责过程中滥用职权、玩忽职守、徇私舞弊，或者泄露国家秘密、商业秘密的，依法进行处理。</w:t>
            </w:r>
          </w:p>
        </w:tc>
        <w:tc>
          <w:tcPr>
            <w:tcW w:w="118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税政与条法股、金融与服务业股、县属功能类公益类企业国有资产监管办公室</w:t>
            </w:r>
          </w:p>
        </w:tc>
      </w:tr>
      <w:tr>
        <w:tblPrEx>
          <w:tblCellMar>
            <w:top w:w="0" w:type="dxa"/>
            <w:left w:w="0" w:type="dxa"/>
            <w:bottom w:w="0" w:type="dxa"/>
            <w:right w:w="0" w:type="dxa"/>
          </w:tblCellMar>
        </w:tblPrEx>
        <w:trPr>
          <w:trHeight w:val="750" w:hRule="atLeast"/>
          <w:jc w:val="center"/>
        </w:trPr>
        <w:tc>
          <w:tcPr>
            <w:tcW w:w="65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6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20"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13" w:hRule="atLeast"/>
          <w:jc w:val="center"/>
        </w:trPr>
        <w:tc>
          <w:tcPr>
            <w:tcW w:w="65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6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2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62" w:hRule="atLeast"/>
          <w:jc w:val="center"/>
        </w:trPr>
        <w:tc>
          <w:tcPr>
            <w:tcW w:w="65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6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2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88" w:hRule="atLeast"/>
          <w:jc w:val="center"/>
        </w:trPr>
        <w:tc>
          <w:tcPr>
            <w:tcW w:w="65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6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2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25" w:hRule="atLeast"/>
          <w:jc w:val="center"/>
        </w:trPr>
        <w:tc>
          <w:tcPr>
            <w:tcW w:w="65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6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2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37" w:hRule="atLeast"/>
          <w:jc w:val="center"/>
        </w:trPr>
        <w:tc>
          <w:tcPr>
            <w:tcW w:w="65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6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2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93" w:hRule="atLeast"/>
          <w:jc w:val="center"/>
        </w:trPr>
        <w:tc>
          <w:tcPr>
            <w:tcW w:w="65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1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6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2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2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p>
    <w:tbl>
      <w:tblPr>
        <w:tblStyle w:val="6"/>
        <w:tblW w:w="14500" w:type="dxa"/>
        <w:jc w:val="center"/>
        <w:tblLayout w:type="fixed"/>
        <w:tblCellMar>
          <w:top w:w="0" w:type="dxa"/>
          <w:left w:w="0" w:type="dxa"/>
          <w:bottom w:w="0" w:type="dxa"/>
          <w:right w:w="0" w:type="dxa"/>
        </w:tblCellMar>
      </w:tblPr>
      <w:tblGrid>
        <w:gridCol w:w="708"/>
        <w:gridCol w:w="1380"/>
        <w:gridCol w:w="2460"/>
        <w:gridCol w:w="569"/>
        <w:gridCol w:w="734"/>
        <w:gridCol w:w="5834"/>
        <w:gridCol w:w="1632"/>
        <w:gridCol w:w="1183"/>
      </w:tblGrid>
      <w:tr>
        <w:tblPrEx>
          <w:tblCellMar>
            <w:top w:w="0" w:type="dxa"/>
            <w:left w:w="0" w:type="dxa"/>
            <w:bottom w:w="0" w:type="dxa"/>
            <w:right w:w="0" w:type="dxa"/>
          </w:tblCellMar>
        </w:tblPrEx>
        <w:trPr>
          <w:trHeight w:val="365" w:hRule="atLeast"/>
          <w:jc w:val="center"/>
        </w:trPr>
        <w:tc>
          <w:tcPr>
            <w:tcW w:w="7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4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5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3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583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3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18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780" w:hRule="atLeast"/>
          <w:jc w:val="center"/>
        </w:trPr>
        <w:tc>
          <w:tcPr>
            <w:tcW w:w="708"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15</w:t>
            </w:r>
          </w:p>
        </w:tc>
        <w:tc>
          <w:tcPr>
            <w:tcW w:w="138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金融企业在报送国有资本保值增值材料中存在故意漏报、瞒报以及提供虚假材料等情况的处罚</w:t>
            </w:r>
          </w:p>
        </w:tc>
        <w:tc>
          <w:tcPr>
            <w:tcW w:w="2460" w:type="dxa"/>
            <w:vMerge w:val="restart"/>
            <w:tcBorders>
              <w:top w:val="single" w:color="000000" w:sz="4" w:space="0"/>
              <w:left w:val="single" w:color="000000" w:sz="4" w:space="0"/>
              <w:bottom w:val="nil"/>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 xml:space="preserve"> 《金融企业国有资本保值增值结果确认暂行办法》（财政部令第43号）第二十四条：“金融企业在报送国有资本保值增值材料中，存在故意漏报、瞒报以及提供虚假材料等情况的，由本级财政部门责令限期改正，并给予警告。”</w:t>
            </w:r>
          </w:p>
        </w:tc>
        <w:tc>
          <w:tcPr>
            <w:tcW w:w="569" w:type="dxa"/>
            <w:vMerge w:val="restart"/>
            <w:tcBorders>
              <w:top w:val="single" w:color="000000" w:sz="4" w:space="0"/>
              <w:left w:val="single" w:color="000000"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6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《金融企业国有资本保值增值结果确认暂行办法》第二十六条：财政部门工作人员在国有资本保值增值结果确认过程中滥用职权、玩忽职守、徇私舞弊，或者泄露金融企业商业秘密的，依法给予行政处分。</w:t>
            </w:r>
          </w:p>
        </w:tc>
        <w:tc>
          <w:tcPr>
            <w:tcW w:w="118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税政与条法股、金融与服务业股、县属功能类公益类企业国有资产监管办公室</w:t>
            </w:r>
          </w:p>
        </w:tc>
      </w:tr>
      <w:tr>
        <w:tblPrEx>
          <w:tblCellMar>
            <w:top w:w="0" w:type="dxa"/>
            <w:left w:w="0" w:type="dxa"/>
            <w:bottom w:w="0" w:type="dxa"/>
            <w:right w:w="0" w:type="dxa"/>
          </w:tblCellMar>
        </w:tblPrEx>
        <w:trPr>
          <w:trHeight w:val="975" w:hRule="atLeast"/>
          <w:jc w:val="center"/>
        </w:trPr>
        <w:tc>
          <w:tcPr>
            <w:tcW w:w="708"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80"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2460" w:type="dxa"/>
            <w:vMerge w:val="continue"/>
            <w:tcBorders>
              <w:top w:val="nil"/>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569"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73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825" w:hRule="atLeast"/>
          <w:jc w:val="center"/>
        </w:trPr>
        <w:tc>
          <w:tcPr>
            <w:tcW w:w="7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246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73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75" w:hRule="atLeast"/>
          <w:jc w:val="center"/>
        </w:trPr>
        <w:tc>
          <w:tcPr>
            <w:tcW w:w="7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246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73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25" w:hRule="atLeast"/>
          <w:jc w:val="center"/>
        </w:trPr>
        <w:tc>
          <w:tcPr>
            <w:tcW w:w="7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246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73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63" w:hRule="atLeast"/>
          <w:jc w:val="center"/>
        </w:trPr>
        <w:tc>
          <w:tcPr>
            <w:tcW w:w="7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246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73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1590" w:hRule="atLeast"/>
          <w:jc w:val="center"/>
        </w:trPr>
        <w:tc>
          <w:tcPr>
            <w:tcW w:w="7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246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73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36" w:hRule="atLeast"/>
          <w:jc w:val="center"/>
        </w:trPr>
        <w:tc>
          <w:tcPr>
            <w:tcW w:w="70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8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246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5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73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8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6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1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bl>
    <w:p>
      <w:pPr>
        <w:rPr>
          <w:color w:val="auto"/>
        </w:rPr>
      </w:pPr>
    </w:p>
    <w:tbl>
      <w:tblPr>
        <w:tblStyle w:val="6"/>
        <w:tblW w:w="15450" w:type="dxa"/>
        <w:jc w:val="center"/>
        <w:tblLayout w:type="fixed"/>
        <w:tblCellMar>
          <w:top w:w="0" w:type="dxa"/>
          <w:left w:w="0" w:type="dxa"/>
          <w:bottom w:w="0" w:type="dxa"/>
          <w:right w:w="0" w:type="dxa"/>
        </w:tblCellMar>
      </w:tblPr>
      <w:tblGrid>
        <w:gridCol w:w="735"/>
        <w:gridCol w:w="1106"/>
        <w:gridCol w:w="4107"/>
        <w:gridCol w:w="540"/>
        <w:gridCol w:w="810"/>
        <w:gridCol w:w="5337"/>
        <w:gridCol w:w="1443"/>
        <w:gridCol w:w="1372"/>
      </w:tblGrid>
      <w:tr>
        <w:tblPrEx>
          <w:tblCellMar>
            <w:top w:w="0" w:type="dxa"/>
            <w:left w:w="0" w:type="dxa"/>
            <w:bottom w:w="0" w:type="dxa"/>
            <w:right w:w="0" w:type="dxa"/>
          </w:tblCellMar>
        </w:tblPrEx>
        <w:trPr>
          <w:trHeight w:val="90" w:hRule="atLeast"/>
          <w:jc w:val="center"/>
        </w:trPr>
        <w:tc>
          <w:tcPr>
            <w:tcW w:w="7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10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1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54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8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533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44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693" w:hRule="atLeast"/>
          <w:jc w:val="center"/>
        </w:trPr>
        <w:tc>
          <w:tcPr>
            <w:tcW w:w="73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16</w:t>
            </w:r>
          </w:p>
        </w:tc>
        <w:tc>
          <w:tcPr>
            <w:tcW w:w="1106"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不依法设置会计账簿等的处罚</w:t>
            </w:r>
          </w:p>
        </w:tc>
        <w:tc>
          <w:tcPr>
            <w:tcW w:w="4107" w:type="dxa"/>
            <w:vMerge w:val="restart"/>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 w:val="20"/>
                <w:szCs w:val="20"/>
              </w:rPr>
              <w:t>《中华人民共和国会计法》第四十条</w:t>
            </w:r>
            <w:r>
              <w:rPr>
                <w:rFonts w:hint="eastAsia" w:ascii="仿宋" w:hAnsi="仿宋" w:eastAsia="仿宋" w:cs="仿宋"/>
                <w:color w:val="auto"/>
                <w:sz w:val="20"/>
                <w:szCs w:val="20"/>
                <w:lang w:eastAsia="zh-CN"/>
              </w:rPr>
              <w:t>“</w:t>
            </w:r>
            <w:r>
              <w:rPr>
                <w:rFonts w:hint="eastAsia" w:ascii="仿宋" w:hAnsi="仿宋" w:eastAsia="仿宋" w:cs="仿宋"/>
                <w:color w:val="auto"/>
                <w:sz w:val="20"/>
                <w:szCs w:val="20"/>
              </w:rPr>
              <w:t>违反本法规定，有下列行为之一的，由县级以上人民政府财政部门责令限期改正，给予警告、通报批评，对单位可以并处二十万元以下的罚款，对其直接负责的主管人员和其他直接责任人员可以处五万元以下的罚款；情节严重的，对单位可以并处二十万元以上一百万元以下的罚款，对其直接负责的主管人员和其他直接责任人员可以处五万元以上五十万元以下的罚款；属于公职人员的，还应当依法给予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有前款所列行为之一，构成犯罪的，依法追究刑事责任。会计人员有第一款所列行为之一，情节严重的，五年内不得从事会计工作。有关法律对第一款所列行为的处罚另有规定的，依照有关法律的规定办理。”《中华人民共和国公司法》第二百零一条：“公司违反本法规定，在法定的会计账簿以外另立会计账簿的，由县级以上人民政府财政部门责令改正，处以五万元以上五十万元以下的罚款。”</w:t>
            </w:r>
          </w:p>
        </w:tc>
        <w:tc>
          <w:tcPr>
            <w:tcW w:w="54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44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《中华人民共和国会计法》第四十</w:t>
            </w:r>
            <w:r>
              <w:rPr>
                <w:rFonts w:hint="eastAsia" w:ascii="仿宋" w:hAnsi="仿宋" w:eastAsia="仿宋" w:cs="仿宋"/>
                <w:color w:val="auto"/>
                <w:szCs w:val="21"/>
                <w:lang w:eastAsia="zh-CN"/>
              </w:rPr>
              <w:t>四</w:t>
            </w:r>
            <w:r>
              <w:rPr>
                <w:rFonts w:hint="eastAsia" w:ascii="仿宋" w:hAnsi="仿宋" w:eastAsia="仿宋" w:cs="仿宋"/>
                <w:color w:val="auto"/>
                <w:szCs w:val="21"/>
              </w:rPr>
              <w:t>条：财政部门及有关行政部门的工作人员在实施监督管理中滥用职权、玩忽职守、徇私舞弊或者泄露国家秘密、工作秘密、商业秘密、个人隐私、个人信息的，依法给予处分；构成犯罪的，依法追究刑事责任。</w:t>
            </w:r>
          </w:p>
        </w:tc>
        <w:tc>
          <w:tcPr>
            <w:tcW w:w="13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525" w:hRule="atLeast"/>
          <w:jc w:val="center"/>
        </w:trPr>
        <w:tc>
          <w:tcPr>
            <w:tcW w:w="735"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6"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07" w:type="dxa"/>
            <w:vMerge w:val="continue"/>
            <w:tcBorders>
              <w:top w:val="single" w:color="auto"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0"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44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2"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13"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44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25"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44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96"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44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83"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44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3" w:hRule="atLeast"/>
          <w:jc w:val="center"/>
        </w:trPr>
        <w:tc>
          <w:tcPr>
            <w:tcW w:w="7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44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60" w:hRule="atLeast"/>
          <w:jc w:val="center"/>
        </w:trPr>
        <w:tc>
          <w:tcPr>
            <w:tcW w:w="73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07"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3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44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5173" w:type="dxa"/>
        <w:jc w:val="center"/>
        <w:tblLayout w:type="fixed"/>
        <w:tblCellMar>
          <w:top w:w="0" w:type="dxa"/>
          <w:left w:w="0" w:type="dxa"/>
          <w:bottom w:w="0" w:type="dxa"/>
          <w:right w:w="0" w:type="dxa"/>
        </w:tblCellMar>
      </w:tblPr>
      <w:tblGrid>
        <w:gridCol w:w="877"/>
        <w:gridCol w:w="1606"/>
        <w:gridCol w:w="3808"/>
        <w:gridCol w:w="1059"/>
        <w:gridCol w:w="611"/>
        <w:gridCol w:w="4785"/>
        <w:gridCol w:w="1377"/>
        <w:gridCol w:w="1050"/>
      </w:tblGrid>
      <w:tr>
        <w:tblPrEx>
          <w:tblCellMar>
            <w:top w:w="0" w:type="dxa"/>
            <w:left w:w="0" w:type="dxa"/>
            <w:bottom w:w="0" w:type="dxa"/>
            <w:right w:w="0" w:type="dxa"/>
          </w:tblCellMar>
        </w:tblPrEx>
        <w:trPr>
          <w:trHeight w:val="635" w:hRule="atLeast"/>
          <w:jc w:val="center"/>
        </w:trPr>
        <w:tc>
          <w:tcPr>
            <w:tcW w:w="8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0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499" w:hRule="atLeast"/>
          <w:jc w:val="center"/>
        </w:trPr>
        <w:tc>
          <w:tcPr>
            <w:tcW w:w="8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17</w:t>
            </w:r>
          </w:p>
        </w:tc>
        <w:tc>
          <w:tcPr>
            <w:tcW w:w="160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伪造、变造会计凭证、会计账簿，编制虚假财务会计报告的处罚</w:t>
            </w:r>
          </w:p>
        </w:tc>
        <w:tc>
          <w:tcPr>
            <w:tcW w:w="3808"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 w:val="20"/>
                <w:szCs w:val="20"/>
              </w:rPr>
              <w:t>《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三十条：“财政部门在对本办法第九条、第十条、第十一条、第十二条、第十三条规定的内容实施会计监督检查中，发现有隐匿或者故意销毁依法应当保存的会计凭证、会计账簿、财务会计报告的违法会计行为的，应当依照《会计法》第四十</w:t>
            </w:r>
            <w:r>
              <w:rPr>
                <w:rFonts w:hint="eastAsia" w:ascii="仿宋" w:hAnsi="仿宋" w:eastAsia="仿宋" w:cs="仿宋"/>
                <w:color w:val="auto"/>
                <w:sz w:val="20"/>
                <w:szCs w:val="20"/>
                <w:lang w:eastAsia="zh-CN"/>
              </w:rPr>
              <w:t>三</w:t>
            </w:r>
            <w:r>
              <w:rPr>
                <w:rFonts w:hint="eastAsia" w:ascii="仿宋" w:hAnsi="仿宋" w:eastAsia="仿宋" w:cs="仿宋"/>
                <w:color w:val="auto"/>
                <w:sz w:val="20"/>
                <w:szCs w:val="20"/>
              </w:rPr>
              <w:t>条的规定处理。”《中华人民共和国会计法》第四十</w:t>
            </w:r>
            <w:r>
              <w:rPr>
                <w:rFonts w:hint="eastAsia" w:ascii="仿宋" w:hAnsi="仿宋" w:eastAsia="仿宋" w:cs="仿宋"/>
                <w:color w:val="auto"/>
                <w:sz w:val="20"/>
                <w:szCs w:val="20"/>
                <w:lang w:eastAsia="zh-CN"/>
              </w:rPr>
              <w:t>一</w:t>
            </w:r>
            <w:r>
              <w:rPr>
                <w:rFonts w:hint="eastAsia" w:ascii="仿宋" w:hAnsi="仿宋" w:eastAsia="仿宋" w:cs="仿宋"/>
                <w:color w:val="auto"/>
                <w:sz w:val="20"/>
                <w:szCs w:val="20"/>
              </w:rPr>
              <w:t>条：“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p>
        </w:tc>
        <w:tc>
          <w:tcPr>
            <w:tcW w:w="105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61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37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《中华人民共和国会计法》第四十</w:t>
            </w:r>
            <w:r>
              <w:rPr>
                <w:rFonts w:hint="eastAsia" w:ascii="仿宋" w:hAnsi="仿宋" w:eastAsia="仿宋" w:cs="仿宋"/>
                <w:color w:val="auto"/>
                <w:szCs w:val="21"/>
                <w:lang w:eastAsia="zh-CN"/>
              </w:rPr>
              <w:t>四</w:t>
            </w:r>
            <w:r>
              <w:rPr>
                <w:rFonts w:hint="eastAsia" w:ascii="仿宋" w:hAnsi="仿宋" w:eastAsia="仿宋" w:cs="仿宋"/>
                <w:color w:val="auto"/>
                <w:szCs w:val="21"/>
              </w:rPr>
              <w:t>条：财政部门及有关行政部门的工作人员在实施监督管理中滥用职权、玩忽职守、徇私舞弊或者泄露国家秘密、工作秘密、商业秘密、个人隐私、个人信息的，依法给予处分；构成犯罪的，依法追究刑事责任。</w:t>
            </w:r>
          </w:p>
        </w:tc>
        <w:tc>
          <w:tcPr>
            <w:tcW w:w="10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                                                                                                                                                                                                                                                                                                                                                                                                                                                                                                                                                                                                                                                 条法股</w:t>
            </w:r>
          </w:p>
        </w:tc>
      </w:tr>
      <w:tr>
        <w:tblPrEx>
          <w:tblCellMar>
            <w:top w:w="0" w:type="dxa"/>
            <w:left w:w="0" w:type="dxa"/>
            <w:bottom w:w="0" w:type="dxa"/>
            <w:right w:w="0" w:type="dxa"/>
          </w:tblCellMar>
        </w:tblPrEx>
        <w:trPr>
          <w:trHeight w:val="525"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0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00"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0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50"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0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43"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0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63"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0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62"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0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0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0" w:hRule="atLeast"/>
          <w:jc w:val="center"/>
        </w:trPr>
        <w:tc>
          <w:tcPr>
            <w:tcW w:w="8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0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08"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3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r>
        <w:rPr>
          <w:rFonts w:hint="eastAsia" w:ascii="仿宋" w:hAnsi="仿宋" w:eastAsia="仿宋" w:cs="仿宋"/>
          <w:color w:val="auto"/>
          <w:szCs w:val="21"/>
        </w:rPr>
        <w:t xml:space="preserve">                                                      </w:t>
      </w:r>
    </w:p>
    <w:tbl>
      <w:tblPr>
        <w:tblStyle w:val="6"/>
        <w:tblW w:w="15450" w:type="dxa"/>
        <w:jc w:val="center"/>
        <w:tblLayout w:type="fixed"/>
        <w:tblCellMar>
          <w:top w:w="0" w:type="dxa"/>
          <w:left w:w="0" w:type="dxa"/>
          <w:bottom w:w="0" w:type="dxa"/>
          <w:right w:w="0" w:type="dxa"/>
        </w:tblCellMar>
      </w:tblPr>
      <w:tblGrid>
        <w:gridCol w:w="1144"/>
        <w:gridCol w:w="1288"/>
        <w:gridCol w:w="4161"/>
        <w:gridCol w:w="843"/>
        <w:gridCol w:w="646"/>
        <w:gridCol w:w="4741"/>
        <w:gridCol w:w="1259"/>
        <w:gridCol w:w="1368"/>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2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1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560" w:hRule="atLeast"/>
          <w:jc w:val="center"/>
        </w:trPr>
        <w:tc>
          <w:tcPr>
            <w:tcW w:w="114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18</w:t>
            </w:r>
          </w:p>
        </w:tc>
        <w:tc>
          <w:tcPr>
            <w:tcW w:w="128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隐匿或者故意销毁依法应当保存的会计凭证、会计账簿、财务会计报告的处罚</w:t>
            </w:r>
          </w:p>
        </w:tc>
        <w:tc>
          <w:tcPr>
            <w:tcW w:w="4161"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 w:val="20"/>
                <w:szCs w:val="20"/>
              </w:rPr>
              <w:t>《中华人民共和国会计法》第四十</w:t>
            </w:r>
            <w:r>
              <w:rPr>
                <w:rFonts w:hint="eastAsia" w:ascii="仿宋" w:hAnsi="仿宋" w:eastAsia="仿宋" w:cs="仿宋"/>
                <w:color w:val="auto"/>
                <w:sz w:val="20"/>
                <w:szCs w:val="20"/>
                <w:lang w:eastAsia="zh-CN"/>
              </w:rPr>
              <w:t>一</w:t>
            </w:r>
            <w:r>
              <w:rPr>
                <w:rFonts w:hint="eastAsia" w:ascii="仿宋" w:hAnsi="仿宋" w:eastAsia="仿宋" w:cs="仿宋"/>
                <w:color w:val="auto"/>
                <w:sz w:val="20"/>
                <w:szCs w:val="20"/>
              </w:rPr>
              <w:t>条：“ 伪造、变造会计凭证、会计账簿，编制虚假财务会计报告，隐匿或者故意销毁依法应当保存的会计凭证、会计账簿、财务会计报告的，由县级以上人民政府财政部门责令限期改正，给予警告、通报批评，没收违法所得，违法所得二十万元以上的，对单位可以并处违法所得一倍以上十倍以下的罚款，没有违法所得或者违法所得不足二十万元的，可以并处二十万元以上二百万元以下的罚款；对其直接负责的主管人员和其他直接责任人员可以处十万元以上五十万元以下的罚款，情节严重的，可以处五十万元以上二百万元以下的罚款；属于公职人员的，还应当依法给予处分；其中的会计人员，五年内不得从事会计工作；构成犯罪的，依法追究刑事责任。</w:t>
            </w:r>
            <w:r>
              <w:rPr>
                <w:rFonts w:hint="eastAsia" w:ascii="仿宋" w:hAnsi="仿宋" w:eastAsia="仿宋" w:cs="仿宋"/>
                <w:color w:val="auto"/>
                <w:szCs w:val="21"/>
              </w:rPr>
              <w:t>”</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三十条：“财政部门在对本办法第九条、第十条、第十一条、第十二条、第十三条规定的内容实施会计监督检查中，发现有隐匿或者故意销毁依法应当保存的会计凭证、会计账簿、财务会计报告的违法会计行为的，应当依照《会计法》第四十</w:t>
            </w:r>
            <w:r>
              <w:rPr>
                <w:rFonts w:hint="eastAsia" w:ascii="仿宋" w:hAnsi="仿宋" w:eastAsia="仿宋" w:cs="仿宋"/>
                <w:color w:val="auto"/>
                <w:szCs w:val="21"/>
                <w:lang w:eastAsia="zh-CN"/>
              </w:rPr>
              <w:t>四</w:t>
            </w:r>
            <w:r>
              <w:rPr>
                <w:rFonts w:hint="eastAsia" w:ascii="仿宋" w:hAnsi="仿宋" w:eastAsia="仿宋" w:cs="仿宋"/>
                <w:color w:val="auto"/>
                <w:szCs w:val="21"/>
              </w:rPr>
              <w:t>条的规定处理。”</w:t>
            </w:r>
          </w:p>
        </w:tc>
        <w:tc>
          <w:tcPr>
            <w:tcW w:w="84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646"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25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《中华人民共和国会计法》第四十</w:t>
            </w:r>
            <w:r>
              <w:rPr>
                <w:rFonts w:hint="eastAsia" w:ascii="仿宋" w:hAnsi="仿宋" w:eastAsia="仿宋" w:cs="仿宋"/>
                <w:color w:val="auto"/>
                <w:szCs w:val="21"/>
                <w:lang w:eastAsia="zh-CN"/>
              </w:rPr>
              <w:t>四</w:t>
            </w:r>
            <w:r>
              <w:rPr>
                <w:rFonts w:hint="eastAsia" w:ascii="仿宋" w:hAnsi="仿宋" w:eastAsia="仿宋" w:cs="仿宋"/>
                <w:color w:val="auto"/>
                <w:szCs w:val="21"/>
              </w:rPr>
              <w:t>条：财政部门及有关行政部门的工作人员在实施监督管理中滥用职权、玩忽职守、徇私舞弊或者泄露国家秘密、工作秘密、商业秘密、个人隐私、个人信息的，依法给予处分；构成犯罪的，依法追究刑事责任。</w:t>
            </w:r>
          </w:p>
        </w:tc>
        <w:tc>
          <w:tcPr>
            <w:tcW w:w="136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512"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6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25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88"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6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25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75"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6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25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50"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6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25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12"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6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25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13"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6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25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2" w:hRule="atLeast"/>
          <w:jc w:val="center"/>
        </w:trPr>
        <w:tc>
          <w:tcPr>
            <w:tcW w:w="114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61"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25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rFonts w:ascii="仿宋" w:hAnsi="仿宋" w:eastAsia="仿宋" w:cs="仿宋"/>
          <w:color w:val="auto"/>
          <w:szCs w:val="21"/>
        </w:rPr>
      </w:pPr>
    </w:p>
    <w:tbl>
      <w:tblPr>
        <w:tblStyle w:val="6"/>
        <w:tblW w:w="15450" w:type="dxa"/>
        <w:jc w:val="center"/>
        <w:tblLayout w:type="fixed"/>
        <w:tblCellMar>
          <w:top w:w="0" w:type="dxa"/>
          <w:left w:w="0" w:type="dxa"/>
          <w:bottom w:w="0" w:type="dxa"/>
          <w:right w:w="0" w:type="dxa"/>
        </w:tblCellMar>
      </w:tblPr>
      <w:tblGrid>
        <w:gridCol w:w="1144"/>
        <w:gridCol w:w="1200"/>
        <w:gridCol w:w="4172"/>
        <w:gridCol w:w="635"/>
        <w:gridCol w:w="843"/>
        <w:gridCol w:w="4644"/>
        <w:gridCol w:w="1378"/>
        <w:gridCol w:w="1434"/>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序号</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项目名称</w:t>
            </w:r>
          </w:p>
        </w:tc>
        <w:tc>
          <w:tcPr>
            <w:tcW w:w="41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实施依据</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类别</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办理环节</w:t>
            </w:r>
          </w:p>
        </w:tc>
        <w:tc>
          <w:tcPr>
            <w:tcW w:w="46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责任事项</w:t>
            </w:r>
          </w:p>
        </w:tc>
        <w:tc>
          <w:tcPr>
            <w:tcW w:w="13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4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16" w:hRule="atLeast"/>
          <w:jc w:val="center"/>
        </w:trPr>
        <w:tc>
          <w:tcPr>
            <w:tcW w:w="114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19</w:t>
            </w:r>
          </w:p>
        </w:tc>
        <w:tc>
          <w:tcPr>
            <w:tcW w:w="12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授意、指使、强令会计机构、会计人员及其他人员编制、对外提供虚假的或者隐瞒重要事实的财务会计报告，或者隐匿、故意销毁依法应当保存的财务会计报告的处罚</w:t>
            </w:r>
          </w:p>
        </w:tc>
        <w:tc>
          <w:tcPr>
            <w:tcW w:w="4172"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《中华人民共和国会计法》第四十</w:t>
            </w:r>
            <w:r>
              <w:rPr>
                <w:rFonts w:hint="eastAsia" w:ascii="仿宋" w:hAnsi="仿宋" w:eastAsia="仿宋" w:cs="仿宋"/>
                <w:color w:val="auto"/>
                <w:szCs w:val="21"/>
                <w:lang w:eastAsia="zh-CN"/>
              </w:rPr>
              <w:t>二</w:t>
            </w:r>
            <w:r>
              <w:rPr>
                <w:rFonts w:hint="eastAsia" w:ascii="仿宋" w:hAnsi="仿宋" w:eastAsia="仿宋" w:cs="仿宋"/>
                <w:color w:val="auto"/>
                <w:szCs w:val="21"/>
              </w:rPr>
              <w:t xml:space="preserve">条：“授意、指使、强令会计机构、会计人员及其他人员伪造、变造会计凭证、会计账簿，编制虚假财务会计报告或者隐匿、故意销毁依法应当保存的会计凭证、会计账簿、财务会计报告的，由县级以上人民政府财政部门给予警告、通报批评，可以并处二十万元以上一百万元以下的罚款；情节严重的，可以并处一百万元以上五百万元以下的罚款；属于公职人员的，还应当依法给予处分；构成犯罪的，依法追究刑事责任。” </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企业财务会计报告条例》（国务院令第287号）第四十一条：“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部门实施会计监督办法》（财政部令第10号）第三十一条：“财政部门在实施会计监督检查中，发现被检查单位的有关人员有授意、指使、强令会计机构、会计人员及其他人员伪造、变造或者隐匿、故意销毁依法应当保存的会计凭证、会计账簿，编制虚假财务会计报告行为的，应当依照《会计法》第四十</w:t>
            </w:r>
            <w:r>
              <w:rPr>
                <w:rFonts w:hint="eastAsia" w:ascii="仿宋" w:hAnsi="仿宋" w:eastAsia="仿宋" w:cs="仿宋"/>
                <w:color w:val="auto"/>
                <w:szCs w:val="21"/>
                <w:lang w:eastAsia="zh-CN"/>
              </w:rPr>
              <w:t>五</w:t>
            </w:r>
            <w:r>
              <w:rPr>
                <w:rFonts w:hint="eastAsia" w:ascii="仿宋" w:hAnsi="仿宋" w:eastAsia="仿宋" w:cs="仿宋"/>
                <w:color w:val="auto"/>
                <w:szCs w:val="21"/>
              </w:rPr>
              <w:t>条的规定处理。”</w:t>
            </w:r>
          </w:p>
        </w:tc>
        <w:tc>
          <w:tcPr>
            <w:tcW w:w="6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843"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3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《中华人民共和国会计法》第四十</w:t>
            </w:r>
            <w:r>
              <w:rPr>
                <w:rFonts w:hint="eastAsia" w:ascii="仿宋" w:hAnsi="仿宋" w:eastAsia="仿宋" w:cs="仿宋"/>
                <w:color w:val="auto"/>
                <w:szCs w:val="21"/>
                <w:lang w:eastAsia="zh-CN"/>
              </w:rPr>
              <w:t>四</w:t>
            </w:r>
            <w:r>
              <w:rPr>
                <w:rFonts w:hint="eastAsia" w:ascii="仿宋" w:hAnsi="仿宋" w:eastAsia="仿宋" w:cs="仿宋"/>
                <w:color w:val="auto"/>
                <w:szCs w:val="21"/>
              </w:rPr>
              <w:t>条：财政部门及有关行政部门的工作人员在实施监督管理中滥用职权、玩忽职守、徇私舞弊或者泄露国家秘密、工作秘密、商业秘密、个人隐私、个人信息的，依法给予处分；构成犯罪的，依法追究刑事责任。</w:t>
            </w:r>
          </w:p>
        </w:tc>
        <w:tc>
          <w:tcPr>
            <w:tcW w:w="143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525"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7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87"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7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3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25"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7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3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25"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7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3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75"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7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3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75"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7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3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3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43" w:hRule="atLeast"/>
          <w:jc w:val="center"/>
        </w:trPr>
        <w:tc>
          <w:tcPr>
            <w:tcW w:w="114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0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172"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3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4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3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052" w:type="dxa"/>
        <w:jc w:val="center"/>
        <w:tblLayout w:type="fixed"/>
        <w:tblCellMar>
          <w:top w:w="0" w:type="dxa"/>
          <w:left w:w="0" w:type="dxa"/>
          <w:bottom w:w="0" w:type="dxa"/>
          <w:right w:w="0" w:type="dxa"/>
        </w:tblCellMar>
      </w:tblPr>
      <w:tblGrid>
        <w:gridCol w:w="746"/>
        <w:gridCol w:w="1485"/>
        <w:gridCol w:w="3558"/>
        <w:gridCol w:w="953"/>
        <w:gridCol w:w="810"/>
        <w:gridCol w:w="4752"/>
        <w:gridCol w:w="1380"/>
        <w:gridCol w:w="1368"/>
      </w:tblGrid>
      <w:tr>
        <w:tblPrEx>
          <w:tblCellMar>
            <w:top w:w="0" w:type="dxa"/>
            <w:left w:w="0" w:type="dxa"/>
            <w:bottom w:w="0" w:type="dxa"/>
            <w:right w:w="0" w:type="dxa"/>
          </w:tblCellMar>
        </w:tblPrEx>
        <w:trPr>
          <w:trHeight w:val="635"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5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796" w:hRule="atLeast"/>
          <w:jc w:val="center"/>
        </w:trPr>
        <w:tc>
          <w:tcPr>
            <w:tcW w:w="7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20</w:t>
            </w:r>
          </w:p>
        </w:tc>
        <w:tc>
          <w:tcPr>
            <w:tcW w:w="14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代理记账机构采取欺骗手段获得代理记账许可证书、在经营期间未保持设立条件的处罚</w:t>
            </w:r>
          </w:p>
        </w:tc>
        <w:tc>
          <w:tcPr>
            <w:tcW w:w="3558"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ind w:firstLine="210" w:firstLineChars="100"/>
              <w:jc w:val="left"/>
              <w:textAlignment w:val="center"/>
              <w:rPr>
                <w:rFonts w:ascii="仿宋" w:hAnsi="仿宋" w:eastAsia="仿宋" w:cs="仿宋"/>
                <w:color w:val="auto"/>
                <w:szCs w:val="21"/>
              </w:rPr>
            </w:pPr>
            <w:r>
              <w:rPr>
                <w:rFonts w:hint="eastAsia" w:ascii="仿宋" w:hAnsi="仿宋" w:eastAsia="仿宋" w:cs="仿宋"/>
                <w:color w:val="auto"/>
                <w:szCs w:val="21"/>
              </w:rPr>
              <w:t>《代理记账管理办法》（财政部令第98号）第十七条：“县级以上人民政府财政部门对代理记账机构及其从事代理记账业务情况实施监督，随机抽取检查对象、随机选派执法检查人员，并将抽查情况及查处结果依法及时向社会公开。对委托代理记账的企业因违反财税法律、法规受到处理处罚的，县级以上人民政府财政部门应当将其委托的代理记账机构列入重点检查对象。对其他部门移交的代理记账违法行为线索，县级以上人民政府财政部门应当及时予以查处。</w:t>
            </w:r>
          </w:p>
          <w:p>
            <w:pPr>
              <w:autoSpaceDN w:val="0"/>
              <w:snapToGrid w:val="0"/>
              <w:ind w:firstLine="437"/>
              <w:jc w:val="left"/>
              <w:textAlignment w:val="center"/>
              <w:rPr>
                <w:rFonts w:ascii="仿宋" w:hAnsi="仿宋" w:eastAsia="仿宋" w:cs="仿宋"/>
                <w:color w:val="auto"/>
                <w:szCs w:val="21"/>
              </w:rPr>
            </w:pPr>
            <w:r>
              <w:rPr>
                <w:rFonts w:hint="eastAsia" w:ascii="仿宋" w:hAnsi="仿宋" w:eastAsia="仿宋" w:cs="仿宋"/>
                <w:color w:val="auto"/>
                <w:szCs w:val="21"/>
              </w:rPr>
              <w:t>第十九条：“代理记账机构采取欺骗、贿赂等不正当手段取得代理记账资格的，由审批机关撤销其资格，并对代理记账机构及其负责人给予警告，记入会计领域违法失信记录，根据有关规定实施联合惩戒，并向社会公告。”</w:t>
            </w:r>
          </w:p>
          <w:p>
            <w:pPr>
              <w:autoSpaceDN w:val="0"/>
              <w:snapToGrid w:val="0"/>
              <w:ind w:firstLine="437"/>
              <w:jc w:val="left"/>
              <w:textAlignment w:val="center"/>
              <w:rPr>
                <w:rFonts w:ascii="仿宋" w:hAnsi="仿宋" w:eastAsia="仿宋" w:cs="仿宋"/>
                <w:color w:val="auto"/>
                <w:szCs w:val="21"/>
              </w:rPr>
            </w:pPr>
            <w:r>
              <w:rPr>
                <w:rFonts w:hint="eastAsia" w:ascii="仿宋" w:hAnsi="仿宋" w:eastAsia="仿宋" w:cs="仿宋"/>
                <w:color w:val="auto"/>
                <w:szCs w:val="21"/>
              </w:rPr>
              <w:t>第二十条：“代理记账机构在经营期间达不到本办法规定的资格条件的，审批机关发现后，应当责令其在60日内整改；逾期仍达不到规定条件的，由审批机关撤销其代理记账资格。”</w:t>
            </w:r>
          </w:p>
        </w:tc>
        <w:tc>
          <w:tcPr>
            <w:tcW w:w="9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81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38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《代理记账管理办法》第二十七条：县级以上人民政府财政部门及其工作人员在代理记账资格管理过程中，滥用职权、玩忽职守、徇私舞弊的，依法给予行政处分；涉嫌犯罪的，移送司法机关处理。</w:t>
            </w:r>
          </w:p>
        </w:tc>
        <w:tc>
          <w:tcPr>
            <w:tcW w:w="136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lang w:eastAsia="zh-CN"/>
              </w:rPr>
              <w:t>税政与条法股、</w:t>
            </w:r>
            <w:r>
              <w:rPr>
                <w:rFonts w:hint="eastAsia" w:ascii="仿宋" w:hAnsi="仿宋" w:eastAsia="仿宋" w:cs="仿宋"/>
                <w:color w:val="auto"/>
                <w:szCs w:val="21"/>
              </w:rPr>
              <w:t>会计股</w:t>
            </w:r>
          </w:p>
        </w:tc>
      </w:tr>
      <w:tr>
        <w:tblPrEx>
          <w:tblCellMar>
            <w:top w:w="0" w:type="dxa"/>
            <w:left w:w="0" w:type="dxa"/>
            <w:bottom w:w="0" w:type="dxa"/>
            <w:right w:w="0" w:type="dxa"/>
          </w:tblCellMar>
        </w:tblPrEx>
        <w:trPr>
          <w:trHeight w:val="871"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00"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695"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84"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589"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02"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428" w:hRule="atLeast"/>
          <w:jc w:val="center"/>
        </w:trPr>
        <w:tc>
          <w:tcPr>
            <w:tcW w:w="7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148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3558" w:type="dxa"/>
            <w:vMerge w:val="continue"/>
            <w:tcBorders>
              <w:left w:val="single" w:color="000000" w:sz="4" w:space="0"/>
              <w:bottom w:val="single" w:color="auto" w:sz="4" w:space="0"/>
              <w:right w:val="nil"/>
            </w:tcBorders>
            <w:tcMar>
              <w:top w:w="15" w:type="dxa"/>
              <w:left w:w="15" w:type="dxa"/>
              <w:right w:w="15" w:type="dxa"/>
            </w:tcMar>
          </w:tcPr>
          <w:p>
            <w:pPr>
              <w:autoSpaceDN w:val="0"/>
              <w:snapToGrid w:val="0"/>
              <w:textAlignment w:val="center"/>
              <w:rPr>
                <w:rFonts w:ascii="仿宋" w:hAnsi="仿宋" w:eastAsia="仿宋" w:cs="仿宋"/>
                <w:color w:val="auto"/>
                <w:szCs w:val="21"/>
              </w:rPr>
            </w:pPr>
          </w:p>
        </w:tc>
        <w:tc>
          <w:tcPr>
            <w:tcW w:w="95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3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635" w:hRule="atLeast"/>
          <w:jc w:val="center"/>
        </w:trPr>
        <w:tc>
          <w:tcPr>
            <w:tcW w:w="7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黑体" w:hAnsi="黑体" w:eastAsia="黑体" w:cs="黑体"/>
                <w:color w:val="auto"/>
                <w:sz w:val="24"/>
              </w:rPr>
            </w:pPr>
            <w:r>
              <w:rPr>
                <w:color w:val="auto"/>
              </w:rPr>
              <w:br w:type="page"/>
            </w:r>
            <w:r>
              <w:rPr>
                <w:rFonts w:hint="eastAsia" w:ascii="黑体" w:hAnsi="黑体" w:eastAsia="黑体" w:cs="黑体"/>
                <w:color w:val="auto"/>
                <w:kern w:val="0"/>
                <w:sz w:val="24"/>
              </w:rPr>
              <w:t>序号</w:t>
            </w:r>
          </w:p>
        </w:tc>
        <w:tc>
          <w:tcPr>
            <w:tcW w:w="1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55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5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8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5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8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6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42" w:hRule="atLeast"/>
          <w:jc w:val="center"/>
        </w:trPr>
        <w:tc>
          <w:tcPr>
            <w:tcW w:w="74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21</w:t>
            </w:r>
          </w:p>
        </w:tc>
        <w:tc>
          <w:tcPr>
            <w:tcW w:w="148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对企业随意改变会计要素的确认和计量标准等的处罚</w:t>
            </w:r>
          </w:p>
        </w:tc>
        <w:tc>
          <w:tcPr>
            <w:tcW w:w="3558"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企业财务会计报告条例》（国务院令第287号）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 w:val="20"/>
                <w:szCs w:val="20"/>
              </w:rPr>
              <w:t>《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w:t>
            </w:r>
          </w:p>
        </w:tc>
        <w:tc>
          <w:tcPr>
            <w:tcW w:w="95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立案</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38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eastAsia="zh-CN"/>
              </w:rPr>
              <w:t>《中华人民共和国会计法》第四十四条：</w:t>
            </w:r>
            <w:r>
              <w:rPr>
                <w:rFonts w:hint="eastAsia" w:ascii="仿宋" w:hAnsi="仿宋" w:eastAsia="仿宋" w:cs="仿宋"/>
                <w:color w:val="auto"/>
                <w:szCs w:val="21"/>
              </w:rPr>
              <w:t>财政部门及有关行政部门的工作人员在实施监督管理中滥用职权、玩忽职守、徇私舞弊或者泄露国家秘密、工作秘密、商业秘密、个人隐私、个人信息的，依法给予处分；构成犯罪的，依法追究刑事责任。</w:t>
            </w:r>
          </w:p>
        </w:tc>
        <w:tc>
          <w:tcPr>
            <w:tcW w:w="136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1061"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调查</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52"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审查</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3.审查责任：对案件违法事实、证据、调查取证程序、法律适用、处罚种类和幅度、当事人陈述和申辩理由等方面进行审查，提出处理意见。</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91"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告知</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4.告知责任：在做出行政处罚决定前，书面告知当事人拟做出处罚决定的事实、理由、依据、处罚内容，以及当事人享有的陈述权、申辩权和听证权。</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16"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决定</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5.决定责任：依法需要给予行政处罚的，应制作《行政处罚决定书》，载明违法事实和证据、处罚依据和内容、申请行政复议或提起行政诉讼的途径和期限等内容。</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11"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送达</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6.送达责任：行政处罚决定书应当在宣告后当场交付当事人；当事人不在场的，行政机关应当在七日内依照民事诉讼法的有关规定，将行政处罚决定书送达当事人。</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74" w:hRule="atLeast"/>
          <w:jc w:val="center"/>
        </w:trPr>
        <w:tc>
          <w:tcPr>
            <w:tcW w:w="74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5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60" w:lineRule="exact"/>
              <w:rPr>
                <w:rFonts w:ascii="仿宋" w:hAnsi="仿宋" w:eastAsia="仿宋" w:cs="仿宋"/>
                <w:color w:val="auto"/>
                <w:sz w:val="21"/>
                <w:szCs w:val="21"/>
              </w:rPr>
            </w:pPr>
            <w:r>
              <w:rPr>
                <w:rFonts w:hint="eastAsia" w:ascii="仿宋" w:hAnsi="仿宋" w:eastAsia="仿宋" w:cs="仿宋"/>
                <w:color w:val="auto"/>
                <w:kern w:val="0"/>
                <w:sz w:val="21"/>
                <w:szCs w:val="21"/>
                <w:lang w:bidi="ar"/>
              </w:rPr>
              <w:t>执行</w:t>
            </w: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ascii="仿宋" w:hAnsi="仿宋" w:eastAsia="仿宋" w:cs="仿宋"/>
                <w:color w:val="auto"/>
                <w:sz w:val="21"/>
                <w:szCs w:val="21"/>
              </w:rPr>
            </w:pPr>
            <w:r>
              <w:rPr>
                <w:rFonts w:hint="eastAsia" w:ascii="仿宋" w:hAnsi="仿宋" w:eastAsia="仿宋" w:cs="仿宋"/>
                <w:color w:val="auto"/>
                <w:kern w:val="0"/>
                <w:sz w:val="21"/>
                <w:szCs w:val="21"/>
                <w:lang w:bidi="ar"/>
              </w:rPr>
              <w:t>7.执行责任：监督当事人在决定的期限内（15日内），履行生效的行政处罚决定。当事人在法定期限内没有申请行政复议或提起行政诉讼，又不履行的，可申请人民法院强制执行。</w:t>
            </w:r>
          </w:p>
        </w:tc>
        <w:tc>
          <w:tcPr>
            <w:tcW w:w="138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37" w:hRule="atLeast"/>
          <w:jc w:val="center"/>
        </w:trPr>
        <w:tc>
          <w:tcPr>
            <w:tcW w:w="74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58" w:type="dxa"/>
            <w:vMerge w:val="continue"/>
            <w:tcBorders>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spacing w:line="360" w:lineRule="exact"/>
              <w:rPr>
                <w:rFonts w:ascii="仿宋" w:hAnsi="仿宋" w:eastAsia="仿宋" w:cs="仿宋"/>
                <w:color w:val="auto"/>
                <w:sz w:val="21"/>
                <w:szCs w:val="21"/>
              </w:rPr>
            </w:pPr>
          </w:p>
        </w:tc>
        <w:tc>
          <w:tcPr>
            <w:tcW w:w="47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8.其他法律法规规章文件规定应履行的责任。</w:t>
            </w:r>
          </w:p>
        </w:tc>
        <w:tc>
          <w:tcPr>
            <w:tcW w:w="13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6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869" w:type="dxa"/>
        <w:jc w:val="center"/>
        <w:tblLayout w:type="fixed"/>
        <w:tblCellMar>
          <w:top w:w="0" w:type="dxa"/>
          <w:left w:w="0" w:type="dxa"/>
          <w:bottom w:w="0" w:type="dxa"/>
          <w:right w:w="0" w:type="dxa"/>
        </w:tblCellMar>
      </w:tblPr>
      <w:tblGrid>
        <w:gridCol w:w="615"/>
        <w:gridCol w:w="1948"/>
        <w:gridCol w:w="3098"/>
        <w:gridCol w:w="996"/>
        <w:gridCol w:w="624"/>
        <w:gridCol w:w="5092"/>
        <w:gridCol w:w="1412"/>
        <w:gridCol w:w="1084"/>
      </w:tblGrid>
      <w:tr>
        <w:tblPrEx>
          <w:tblCellMar>
            <w:top w:w="0" w:type="dxa"/>
            <w:left w:w="0" w:type="dxa"/>
            <w:bottom w:w="0" w:type="dxa"/>
            <w:right w:w="0" w:type="dxa"/>
          </w:tblCellMar>
        </w:tblPrEx>
        <w:trPr>
          <w:trHeight w:val="635" w:hRule="atLeast"/>
          <w:jc w:val="center"/>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0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50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4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0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40" w:hRule="atLeast"/>
          <w:jc w:val="center"/>
        </w:trPr>
        <w:tc>
          <w:tcPr>
            <w:tcW w:w="615"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22</w:t>
            </w:r>
          </w:p>
        </w:tc>
        <w:tc>
          <w:tcPr>
            <w:tcW w:w="1948"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企业编制、对外提供虚假的或者隐瞒重要事实的财务会计报告的处罚</w:t>
            </w:r>
          </w:p>
        </w:tc>
        <w:tc>
          <w:tcPr>
            <w:tcW w:w="3098"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财务会计报告条例》（国务院令第287号）第四十条：“企业编制、对外提供虚假的或者隐瞒重要事实的财务会计报告，构成犯罪的，依法追究刑事责任。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公司法》第二百零二条：“公司在依法向有关主管部门提供的财务会计报告等材料上作虚假记载或者隐瞒重要事实的，由有关主管部门对直接负责的主管人员和其他直接责任人员处以三万元以上三十万元以下的罚款。”</w:t>
            </w:r>
          </w:p>
        </w:tc>
        <w:tc>
          <w:tcPr>
            <w:tcW w:w="996"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624"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41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eastAsia="zh-CN"/>
              </w:rPr>
              <w:t>《中华人民共和国会计法》第四十四条：</w:t>
            </w:r>
            <w:r>
              <w:rPr>
                <w:rFonts w:hint="eastAsia" w:ascii="仿宋" w:hAnsi="仿宋" w:eastAsia="仿宋" w:cs="仿宋"/>
                <w:color w:val="auto"/>
                <w:szCs w:val="21"/>
              </w:rPr>
              <w:t>财政部门及有关行政部门的工作人员在实施监督管理中滥用职权、玩忽职守、徇私舞弊或者泄露国家秘密、工作秘密、商业秘密、个人隐私、个人信息的，依法给予处分；构成犯罪的，依法追究刑事责任。</w:t>
            </w:r>
          </w:p>
        </w:tc>
        <w:tc>
          <w:tcPr>
            <w:tcW w:w="108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775" w:hRule="atLeast"/>
          <w:jc w:val="center"/>
        </w:trPr>
        <w:tc>
          <w:tcPr>
            <w:tcW w:w="61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9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3098"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 w:val="18"/>
                <w:szCs w:val="18"/>
              </w:rPr>
            </w:pPr>
          </w:p>
        </w:tc>
        <w:tc>
          <w:tcPr>
            <w:tcW w:w="996"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4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82" w:hRule="atLeast"/>
          <w:jc w:val="center"/>
        </w:trPr>
        <w:tc>
          <w:tcPr>
            <w:tcW w:w="61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9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3098"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 w:val="18"/>
                <w:szCs w:val="18"/>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4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848" w:hRule="atLeast"/>
          <w:jc w:val="center"/>
        </w:trPr>
        <w:tc>
          <w:tcPr>
            <w:tcW w:w="61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9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3098"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 w:val="18"/>
                <w:szCs w:val="18"/>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4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79" w:hRule="atLeast"/>
          <w:jc w:val="center"/>
        </w:trPr>
        <w:tc>
          <w:tcPr>
            <w:tcW w:w="61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9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3098"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 w:val="18"/>
                <w:szCs w:val="18"/>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4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82" w:hRule="atLeast"/>
          <w:jc w:val="center"/>
        </w:trPr>
        <w:tc>
          <w:tcPr>
            <w:tcW w:w="61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9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3098"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 w:val="18"/>
                <w:szCs w:val="18"/>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4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93" w:hRule="atLeast"/>
          <w:jc w:val="center"/>
        </w:trPr>
        <w:tc>
          <w:tcPr>
            <w:tcW w:w="61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9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3098"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 w:val="18"/>
                <w:szCs w:val="18"/>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4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569" w:hRule="atLeast"/>
          <w:jc w:val="center"/>
        </w:trPr>
        <w:tc>
          <w:tcPr>
            <w:tcW w:w="61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9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3098"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 w:val="18"/>
                <w:szCs w:val="18"/>
              </w:rPr>
            </w:pPr>
          </w:p>
        </w:tc>
        <w:tc>
          <w:tcPr>
            <w:tcW w:w="99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4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bl>
    <w:p>
      <w:pPr>
        <w:rPr>
          <w:color w:val="auto"/>
        </w:rPr>
      </w:pPr>
    </w:p>
    <w:p>
      <w:pPr>
        <w:rPr>
          <w:color w:val="auto"/>
        </w:rPr>
      </w:pPr>
    </w:p>
    <w:tbl>
      <w:tblPr>
        <w:tblStyle w:val="6"/>
        <w:tblW w:w="14845" w:type="dxa"/>
        <w:jc w:val="center"/>
        <w:tblLayout w:type="fixed"/>
        <w:tblCellMar>
          <w:top w:w="0" w:type="dxa"/>
          <w:left w:w="0" w:type="dxa"/>
          <w:bottom w:w="0" w:type="dxa"/>
          <w:right w:w="0" w:type="dxa"/>
        </w:tblCellMar>
      </w:tblPr>
      <w:tblGrid>
        <w:gridCol w:w="720"/>
        <w:gridCol w:w="1666"/>
        <w:gridCol w:w="3098"/>
        <w:gridCol w:w="996"/>
        <w:gridCol w:w="624"/>
        <w:gridCol w:w="5092"/>
        <w:gridCol w:w="1412"/>
        <w:gridCol w:w="1237"/>
      </w:tblGrid>
      <w:tr>
        <w:tblPrEx>
          <w:tblCellMar>
            <w:top w:w="0" w:type="dxa"/>
            <w:left w:w="0" w:type="dxa"/>
            <w:bottom w:w="0" w:type="dxa"/>
            <w:right w:w="0" w:type="dxa"/>
          </w:tblCellMar>
        </w:tblPrEx>
        <w:trPr>
          <w:trHeight w:val="635" w:hRule="atLeast"/>
          <w:jc w:val="center"/>
        </w:trPr>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66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09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9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62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50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41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3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46" w:hRule="atLeast"/>
          <w:jc w:val="center"/>
        </w:trPr>
        <w:tc>
          <w:tcPr>
            <w:tcW w:w="72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23</w:t>
            </w:r>
          </w:p>
        </w:tc>
        <w:tc>
          <w:tcPr>
            <w:tcW w:w="166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企业和企业负有直接责任的主管人员和其他人员未按规定列支成本费用，截留、隐瞒、侵占企业收入，分配利润，处理国有资源，清偿职工债务的处罚</w:t>
            </w:r>
          </w:p>
        </w:tc>
        <w:tc>
          <w:tcPr>
            <w:tcW w:w="3098"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财务通则》（财政部令第41号）第七十二条：“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一)违反本通则第三十九条、四十条、四十二条第一款、四十三条、四十六条规定列支成本费用的。(二)违反本通则第四十七条第一款规定截留、隐瞒、侵占企业收入的。(三)违反本通则第五十条、五十一条、五十二条规定进行利润分配的。但依照《公司法》设立的企业不按本通则第五十条第一款第二项规定提取法定公积金的，依照《公司法》的规定予以处罚。(四)违反本通则第五十七条规定处理国有资源的。(五)不按本通则第五十八条规定清偿职工债务的。”</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《中华人民共和国公司法》第二百零三条：“公司不依照本法规定提取法定公积金的，由县级以上人民政府财政部门责令如数补足应当提取的金额，可以对公司处以二十万元以下的罚款。”</w:t>
            </w:r>
          </w:p>
        </w:tc>
        <w:tc>
          <w:tcPr>
            <w:tcW w:w="99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41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《企业财务通则》（财政部令第41号）第七十六条：主管财政机关以及政府其他部门、机构有关工作人员，在企业财务管理中滥用职权、玩忽职守、徇私舞弊或者泄露国家机密、企业商业秘密的，依法进行处理。</w:t>
            </w:r>
          </w:p>
        </w:tc>
        <w:tc>
          <w:tcPr>
            <w:tcW w:w="123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857"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9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41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08"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9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41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82"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9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41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42"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9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41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7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9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41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34"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98"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41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98" w:hRule="atLeast"/>
          <w:jc w:val="center"/>
        </w:trPr>
        <w:tc>
          <w:tcPr>
            <w:tcW w:w="72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098" w:type="dxa"/>
            <w:vMerge w:val="continue"/>
            <w:tcBorders>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2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41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5022" w:type="dxa"/>
        <w:jc w:val="center"/>
        <w:tblLayout w:type="fixed"/>
        <w:tblCellMar>
          <w:top w:w="0" w:type="dxa"/>
          <w:left w:w="0" w:type="dxa"/>
          <w:bottom w:w="0" w:type="dxa"/>
          <w:right w:w="0" w:type="dxa"/>
        </w:tblCellMar>
      </w:tblPr>
      <w:tblGrid>
        <w:gridCol w:w="716"/>
        <w:gridCol w:w="1847"/>
        <w:gridCol w:w="2923"/>
        <w:gridCol w:w="956"/>
        <w:gridCol w:w="1157"/>
        <w:gridCol w:w="4785"/>
        <w:gridCol w:w="1390"/>
        <w:gridCol w:w="1248"/>
      </w:tblGrid>
      <w:tr>
        <w:tblPrEx>
          <w:tblCellMar>
            <w:top w:w="0" w:type="dxa"/>
            <w:left w:w="0" w:type="dxa"/>
            <w:bottom w:w="0" w:type="dxa"/>
            <w:right w:w="0" w:type="dxa"/>
          </w:tblCellMar>
        </w:tblPrEx>
        <w:trPr>
          <w:trHeight w:val="635" w:hRule="atLeast"/>
          <w:jc w:val="center"/>
        </w:trPr>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1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4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10" w:hRule="atLeast"/>
          <w:jc w:val="center"/>
        </w:trPr>
        <w:tc>
          <w:tcPr>
            <w:tcW w:w="716"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24</w:t>
            </w:r>
          </w:p>
        </w:tc>
        <w:tc>
          <w:tcPr>
            <w:tcW w:w="184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企业和企业负有直接责任的主管人员和其他人员未按规定建立健全内部财务管理制度、拒绝修正财务管理制度违规内容的处罚</w:t>
            </w:r>
          </w:p>
        </w:tc>
        <w:tc>
          <w:tcPr>
            <w:tcW w:w="2923"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企业财务通则》（财政部令第41号）第七十三条：“企业和企业负有直接责任的主管人员和其他人员有以下行为之一的，县级以上主管财政机关可以责令限期改正、予以警告。(一)未按本通则规定建立健全各项内部财务管理制度的。(二)内部财务管理制度明显与法律、行政法规和通用的企业财务规章制度相抵触，且不按主管财政机关要求修正的。”</w:t>
            </w:r>
          </w:p>
        </w:tc>
        <w:tc>
          <w:tcPr>
            <w:tcW w:w="956"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15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3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《企业财务通则》（财政部令第41号）第七十六条：主管财政机关以及政府其他部门、机构有关工作人员，在企业财务管理中滥用职权、玩忽职守、徇私舞弊或者泄露国家机密、企业商业秘密的，依法进行处理。</w:t>
            </w:r>
          </w:p>
        </w:tc>
        <w:tc>
          <w:tcPr>
            <w:tcW w:w="124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625" w:hRule="atLeast"/>
          <w:jc w:val="center"/>
        </w:trPr>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34" w:hRule="atLeast"/>
          <w:jc w:val="center"/>
        </w:trPr>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75" w:hRule="atLeast"/>
          <w:jc w:val="center"/>
        </w:trPr>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07" w:hRule="atLeast"/>
          <w:jc w:val="center"/>
        </w:trPr>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16" w:hRule="atLeast"/>
          <w:jc w:val="center"/>
        </w:trPr>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75" w:hRule="atLeast"/>
          <w:jc w:val="center"/>
        </w:trPr>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4" w:hRule="atLeast"/>
          <w:jc w:val="center"/>
        </w:trPr>
        <w:tc>
          <w:tcPr>
            <w:tcW w:w="71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p>
    <w:tbl>
      <w:tblPr>
        <w:tblStyle w:val="6"/>
        <w:tblW w:w="14947" w:type="dxa"/>
        <w:jc w:val="center"/>
        <w:tblLayout w:type="fixed"/>
        <w:tblCellMar>
          <w:top w:w="0" w:type="dxa"/>
          <w:left w:w="0" w:type="dxa"/>
          <w:bottom w:w="0" w:type="dxa"/>
          <w:right w:w="0" w:type="dxa"/>
        </w:tblCellMar>
      </w:tblPr>
      <w:tblGrid>
        <w:gridCol w:w="641"/>
        <w:gridCol w:w="1847"/>
        <w:gridCol w:w="2923"/>
        <w:gridCol w:w="956"/>
        <w:gridCol w:w="1157"/>
        <w:gridCol w:w="4785"/>
        <w:gridCol w:w="1390"/>
        <w:gridCol w:w="1248"/>
      </w:tblGrid>
      <w:tr>
        <w:tblPrEx>
          <w:tblCellMar>
            <w:top w:w="0" w:type="dxa"/>
            <w:left w:w="0" w:type="dxa"/>
            <w:bottom w:w="0" w:type="dxa"/>
            <w:right w:w="0" w:type="dxa"/>
          </w:tblCellMar>
        </w:tblPrEx>
        <w:trPr>
          <w:trHeight w:val="635" w:hRule="atLeast"/>
          <w:jc w:val="center"/>
        </w:trPr>
        <w:tc>
          <w:tcPr>
            <w:tcW w:w="6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92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5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1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4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25" w:hRule="atLeast"/>
          <w:jc w:val="center"/>
        </w:trPr>
        <w:tc>
          <w:tcPr>
            <w:tcW w:w="641"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25</w:t>
            </w:r>
          </w:p>
        </w:tc>
        <w:tc>
          <w:tcPr>
            <w:tcW w:w="184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单位和个人违反国家有关投资建设项目规定行为的处罚</w:t>
            </w:r>
          </w:p>
        </w:tc>
        <w:tc>
          <w:tcPr>
            <w:tcW w:w="2923" w:type="dxa"/>
            <w:vMerge w:val="restart"/>
            <w:tcBorders>
              <w:top w:val="single" w:color="000000" w:sz="4" w:space="0"/>
              <w:left w:val="single" w:color="000000" w:sz="4" w:space="0"/>
              <w:bottom w:val="single" w:color="auto" w:sz="4" w:space="0"/>
              <w:right w:val="nil"/>
            </w:tcBorders>
            <w:tcMar>
              <w:top w:w="15" w:type="dxa"/>
              <w:left w:w="15" w:type="dxa"/>
              <w:right w:w="15" w:type="dxa"/>
            </w:tcMa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违法行为处罚处分条例》（国务院令第427号）第二条第一款：“县级以上人民政府财政部门及审计机关在各自职权范围内，依法对财政违法行为作出处理、处罚决定。”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中华人民共和国政府采购法》、《中华人民共和国招标投标法》、《国家重点建设项目管理办法》等法律、行政法规另有规定的，依照其规定处理、处罚。”</w:t>
            </w:r>
          </w:p>
        </w:tc>
        <w:tc>
          <w:tcPr>
            <w:tcW w:w="956"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15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3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2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税政与条法股、政府采购监督管理股、综合股、经济建设股、农业农村股</w:t>
            </w:r>
          </w:p>
        </w:tc>
      </w:tr>
      <w:tr>
        <w:tblPrEx>
          <w:tblCellMar>
            <w:top w:w="0" w:type="dxa"/>
            <w:left w:w="0" w:type="dxa"/>
            <w:bottom w:w="0" w:type="dxa"/>
            <w:right w:w="0" w:type="dxa"/>
          </w:tblCellMar>
        </w:tblPrEx>
        <w:trPr>
          <w:trHeight w:val="966" w:hRule="atLeast"/>
          <w:jc w:val="center"/>
        </w:trPr>
        <w:tc>
          <w:tcPr>
            <w:tcW w:w="64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68" w:hRule="atLeast"/>
          <w:jc w:val="center"/>
        </w:trPr>
        <w:tc>
          <w:tcPr>
            <w:tcW w:w="64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20" w:hRule="atLeast"/>
          <w:jc w:val="center"/>
        </w:trPr>
        <w:tc>
          <w:tcPr>
            <w:tcW w:w="64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18" w:hRule="atLeast"/>
          <w:jc w:val="center"/>
        </w:trPr>
        <w:tc>
          <w:tcPr>
            <w:tcW w:w="64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31" w:hRule="atLeast"/>
          <w:jc w:val="center"/>
        </w:trPr>
        <w:tc>
          <w:tcPr>
            <w:tcW w:w="64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21" w:hRule="atLeast"/>
          <w:jc w:val="center"/>
        </w:trPr>
        <w:tc>
          <w:tcPr>
            <w:tcW w:w="64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1" w:hRule="atLeast"/>
          <w:jc w:val="center"/>
        </w:trPr>
        <w:tc>
          <w:tcPr>
            <w:tcW w:w="64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23"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3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5142" w:type="dxa"/>
        <w:jc w:val="center"/>
        <w:tblLayout w:type="fixed"/>
        <w:tblCellMar>
          <w:top w:w="0" w:type="dxa"/>
          <w:left w:w="0" w:type="dxa"/>
          <w:bottom w:w="0" w:type="dxa"/>
          <w:right w:w="0" w:type="dxa"/>
        </w:tblCellMar>
      </w:tblPr>
      <w:tblGrid>
        <w:gridCol w:w="836"/>
        <w:gridCol w:w="1847"/>
        <w:gridCol w:w="2693"/>
        <w:gridCol w:w="898"/>
        <w:gridCol w:w="755"/>
        <w:gridCol w:w="4970"/>
        <w:gridCol w:w="1497"/>
        <w:gridCol w:w="1646"/>
      </w:tblGrid>
      <w:tr>
        <w:tblPrEx>
          <w:tblCellMar>
            <w:top w:w="0" w:type="dxa"/>
            <w:left w:w="0" w:type="dxa"/>
            <w:bottom w:w="0" w:type="dxa"/>
            <w:right w:w="0" w:type="dxa"/>
          </w:tblCellMar>
        </w:tblPrEx>
        <w:trPr>
          <w:trHeight w:val="635" w:hRule="atLeast"/>
          <w:jc w:val="center"/>
        </w:trPr>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9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49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528" w:hRule="atLeast"/>
          <w:jc w:val="center"/>
        </w:trPr>
        <w:tc>
          <w:tcPr>
            <w:tcW w:w="83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26</w:t>
            </w:r>
          </w:p>
        </w:tc>
        <w:tc>
          <w:tcPr>
            <w:tcW w:w="18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国家机关及其工作人员违反《中华人民共和国担保法》及国家有关规定，擅自提供担保的处罚</w:t>
            </w:r>
          </w:p>
        </w:tc>
        <w:tc>
          <w:tcPr>
            <w:tcW w:w="2693"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违法行为处罚处分条例》（国务院令第427号）第二条第一款：“县级以上人民政府财政部门及审计机关在各自职权范围内，依法对财政违法行为作出处理、处罚决定。”第十条：“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tc>
        <w:tc>
          <w:tcPr>
            <w:tcW w:w="89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5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49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571" w:hRule="atLeast"/>
          <w:jc w:val="center"/>
        </w:trPr>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9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4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70" w:hRule="atLeast"/>
          <w:jc w:val="center"/>
        </w:trPr>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9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4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94" w:hRule="atLeast"/>
          <w:jc w:val="center"/>
        </w:trPr>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9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4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25" w:hRule="atLeast"/>
          <w:jc w:val="center"/>
        </w:trPr>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9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4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93" w:hRule="atLeast"/>
          <w:jc w:val="center"/>
        </w:trPr>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9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4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34" w:hRule="atLeast"/>
          <w:jc w:val="center"/>
        </w:trPr>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9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49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72" w:hRule="atLeast"/>
          <w:jc w:val="center"/>
        </w:trPr>
        <w:tc>
          <w:tcPr>
            <w:tcW w:w="83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93"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49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067" w:type="dxa"/>
        <w:jc w:val="center"/>
        <w:tblLayout w:type="fixed"/>
        <w:tblCellMar>
          <w:top w:w="0" w:type="dxa"/>
          <w:left w:w="0" w:type="dxa"/>
          <w:bottom w:w="0" w:type="dxa"/>
          <w:right w:w="0" w:type="dxa"/>
        </w:tblCellMar>
      </w:tblPr>
      <w:tblGrid>
        <w:gridCol w:w="761"/>
        <w:gridCol w:w="1518"/>
        <w:gridCol w:w="2507"/>
        <w:gridCol w:w="1008"/>
        <w:gridCol w:w="1313"/>
        <w:gridCol w:w="4873"/>
        <w:gridCol w:w="1441"/>
        <w:gridCol w:w="1646"/>
      </w:tblGrid>
      <w:tr>
        <w:tblPrEx>
          <w:tblCellMar>
            <w:top w:w="0" w:type="dxa"/>
            <w:left w:w="0" w:type="dxa"/>
            <w:bottom w:w="0" w:type="dxa"/>
            <w:right w:w="0" w:type="dxa"/>
          </w:tblCellMar>
        </w:tblPrEx>
        <w:trPr>
          <w:trHeight w:val="635" w:hRule="atLeast"/>
          <w:jc w:val="center"/>
        </w:trPr>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3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87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4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35" w:hRule="atLeast"/>
          <w:jc w:val="center"/>
        </w:trPr>
        <w:tc>
          <w:tcPr>
            <w:tcW w:w="761"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27</w:t>
            </w:r>
          </w:p>
        </w:tc>
        <w:tc>
          <w:tcPr>
            <w:tcW w:w="1518"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国家机关及其工作人员违反国家有关账户管理规定，擅自在金融机构开立、使用账户的处罚</w:t>
            </w:r>
          </w:p>
        </w:tc>
        <w:tc>
          <w:tcPr>
            <w:tcW w:w="2507"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国务院令第427号）第二条第一款：“县级以上人民政府财政部门及审计机关在各自职权范围内，依法对财政违法行为作出处理、处罚决定。”第十一条：“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tc>
        <w:tc>
          <w:tcPr>
            <w:tcW w:w="1008" w:type="dxa"/>
            <w:vMerge w:val="restart"/>
            <w:tcBorders>
              <w:top w:val="single" w:color="000000" w:sz="4" w:space="0"/>
              <w:left w:val="single" w:color="000000"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3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441"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646"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897" w:hRule="atLeast"/>
          <w:jc w:val="center"/>
        </w:trPr>
        <w:tc>
          <w:tcPr>
            <w:tcW w:w="76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008"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441" w:type="dxa"/>
            <w:vMerge w:val="continue"/>
            <w:tcBorders>
              <w:top w:val="nil"/>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top w:val="nil"/>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39" w:hRule="atLeast"/>
          <w:jc w:val="center"/>
        </w:trPr>
        <w:tc>
          <w:tcPr>
            <w:tcW w:w="76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0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44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53" w:hRule="atLeast"/>
          <w:jc w:val="center"/>
        </w:trPr>
        <w:tc>
          <w:tcPr>
            <w:tcW w:w="76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0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44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27" w:hRule="atLeast"/>
          <w:jc w:val="center"/>
        </w:trPr>
        <w:tc>
          <w:tcPr>
            <w:tcW w:w="76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0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44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888" w:hRule="atLeast"/>
          <w:jc w:val="center"/>
        </w:trPr>
        <w:tc>
          <w:tcPr>
            <w:tcW w:w="76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0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44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684" w:hRule="atLeast"/>
          <w:jc w:val="center"/>
        </w:trPr>
        <w:tc>
          <w:tcPr>
            <w:tcW w:w="76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0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44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17" w:hRule="atLeast"/>
          <w:jc w:val="center"/>
        </w:trPr>
        <w:tc>
          <w:tcPr>
            <w:tcW w:w="761"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00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44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bl>
    <w:p>
      <w:pPr>
        <w:rPr>
          <w:color w:val="auto"/>
        </w:rPr>
      </w:pPr>
    </w:p>
    <w:p>
      <w:pPr>
        <w:rPr>
          <w:color w:val="auto"/>
        </w:rPr>
      </w:pPr>
    </w:p>
    <w:tbl>
      <w:tblPr>
        <w:tblStyle w:val="6"/>
        <w:tblW w:w="15063" w:type="dxa"/>
        <w:jc w:val="center"/>
        <w:tblLayout w:type="fixed"/>
        <w:tblCellMar>
          <w:top w:w="0" w:type="dxa"/>
          <w:left w:w="0" w:type="dxa"/>
          <w:bottom w:w="0" w:type="dxa"/>
          <w:right w:w="0" w:type="dxa"/>
        </w:tblCellMar>
      </w:tblPr>
      <w:tblGrid>
        <w:gridCol w:w="757"/>
        <w:gridCol w:w="1518"/>
        <w:gridCol w:w="2507"/>
        <w:gridCol w:w="1008"/>
        <w:gridCol w:w="1313"/>
        <w:gridCol w:w="4873"/>
        <w:gridCol w:w="1441"/>
        <w:gridCol w:w="1646"/>
      </w:tblGrid>
      <w:tr>
        <w:tblPrEx>
          <w:tblCellMar>
            <w:top w:w="0" w:type="dxa"/>
            <w:left w:w="0" w:type="dxa"/>
            <w:bottom w:w="0" w:type="dxa"/>
            <w:right w:w="0" w:type="dxa"/>
          </w:tblCellMar>
        </w:tblPrEx>
        <w:trPr>
          <w:trHeight w:val="635" w:hRule="atLeast"/>
          <w:jc w:val="center"/>
        </w:trPr>
        <w:tc>
          <w:tcPr>
            <w:tcW w:w="7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序号</w:t>
            </w:r>
          </w:p>
        </w:tc>
        <w:tc>
          <w:tcPr>
            <w:tcW w:w="151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项目名称</w:t>
            </w:r>
          </w:p>
        </w:tc>
        <w:tc>
          <w:tcPr>
            <w:tcW w:w="25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实施依据</w:t>
            </w:r>
          </w:p>
        </w:tc>
        <w:tc>
          <w:tcPr>
            <w:tcW w:w="100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类别</w:t>
            </w:r>
          </w:p>
        </w:tc>
        <w:tc>
          <w:tcPr>
            <w:tcW w:w="131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办理环节</w:t>
            </w:r>
          </w:p>
        </w:tc>
        <w:tc>
          <w:tcPr>
            <w:tcW w:w="487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责任事项</w:t>
            </w:r>
          </w:p>
        </w:tc>
        <w:tc>
          <w:tcPr>
            <w:tcW w:w="144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591" w:hRule="atLeast"/>
          <w:jc w:val="center"/>
        </w:trPr>
        <w:tc>
          <w:tcPr>
            <w:tcW w:w="75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28</w:t>
            </w:r>
          </w:p>
        </w:tc>
        <w:tc>
          <w:tcPr>
            <w:tcW w:w="1518"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国家机关及其工作人员违反规定使用、骗取政府承贷或者担保的外国政府贷款、国际金融组织贷款的处罚</w:t>
            </w:r>
          </w:p>
        </w:tc>
        <w:tc>
          <w:tcPr>
            <w:tcW w:w="2507"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违法行为处罚处分条例》（国务院令第427号）第二条第一款：“县级以上人民政府财政部门及审计机关在各自职权范围内，依法对财政违法行为作出处理、处罚决定。”第十二条：“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一)以虚报、冒领等手段骗取政府承贷或者担保的外国政府贷款、国际金融组织贷款；(二)滞留政府承贷或者担保的外国政府贷款、国际金融组织贷款；(三)截留、挪用政府承贷或者担保的外国政府贷款、国际金融组织贷款；(四)其他违反规定使用、骗取政府承贷或者担保的外国政府贷款、国际金融组织贷款的行为。”</w:t>
            </w:r>
          </w:p>
        </w:tc>
        <w:tc>
          <w:tcPr>
            <w:tcW w:w="1008"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1313"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44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679" w:hRule="atLeast"/>
          <w:jc w:val="center"/>
        </w:trPr>
        <w:tc>
          <w:tcPr>
            <w:tcW w:w="7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48" w:hRule="atLeast"/>
          <w:jc w:val="center"/>
        </w:trPr>
        <w:tc>
          <w:tcPr>
            <w:tcW w:w="7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11" w:hRule="atLeast"/>
          <w:jc w:val="center"/>
        </w:trPr>
        <w:tc>
          <w:tcPr>
            <w:tcW w:w="7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89" w:hRule="atLeast"/>
          <w:jc w:val="center"/>
        </w:trPr>
        <w:tc>
          <w:tcPr>
            <w:tcW w:w="7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70" w:hRule="atLeast"/>
          <w:jc w:val="center"/>
        </w:trPr>
        <w:tc>
          <w:tcPr>
            <w:tcW w:w="7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57" w:hRule="atLeast"/>
          <w:jc w:val="center"/>
        </w:trPr>
        <w:tc>
          <w:tcPr>
            <w:tcW w:w="7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70" w:hRule="atLeast"/>
          <w:jc w:val="center"/>
        </w:trPr>
        <w:tc>
          <w:tcPr>
            <w:tcW w:w="75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1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50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0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1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44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5450" w:type="dxa"/>
        <w:jc w:val="center"/>
        <w:tblLayout w:type="fixed"/>
        <w:tblCellMar>
          <w:top w:w="0" w:type="dxa"/>
          <w:left w:w="0" w:type="dxa"/>
          <w:bottom w:w="0" w:type="dxa"/>
          <w:right w:w="0" w:type="dxa"/>
        </w:tblCellMar>
      </w:tblPr>
      <w:tblGrid>
        <w:gridCol w:w="877"/>
        <w:gridCol w:w="964"/>
        <w:gridCol w:w="6186"/>
        <w:gridCol w:w="679"/>
        <w:gridCol w:w="711"/>
        <w:gridCol w:w="3351"/>
        <w:gridCol w:w="1390"/>
        <w:gridCol w:w="1292"/>
      </w:tblGrid>
      <w:tr>
        <w:tblPrEx>
          <w:tblCellMar>
            <w:top w:w="0" w:type="dxa"/>
            <w:left w:w="0" w:type="dxa"/>
            <w:bottom w:w="0" w:type="dxa"/>
            <w:right w:w="0" w:type="dxa"/>
          </w:tblCellMar>
        </w:tblPrEx>
        <w:trPr>
          <w:trHeight w:val="635" w:hRule="atLeast"/>
          <w:jc w:val="center"/>
        </w:trPr>
        <w:tc>
          <w:tcPr>
            <w:tcW w:w="8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6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3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672" w:hRule="atLeast"/>
          <w:jc w:val="center"/>
        </w:trPr>
        <w:tc>
          <w:tcPr>
            <w:tcW w:w="8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29</w:t>
            </w:r>
          </w:p>
        </w:tc>
        <w:tc>
          <w:tcPr>
            <w:tcW w:w="96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违反规定印制和使用财政票据的处罚</w:t>
            </w:r>
          </w:p>
        </w:tc>
        <w:tc>
          <w:tcPr>
            <w:tcW w:w="6186"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kern w:val="0"/>
                <w:sz w:val="21"/>
                <w:szCs w:val="21"/>
                <w:lang w:bidi="ar"/>
              </w:rPr>
              <w:t>《财政部关于修改&lt;财政票据管理办法&gt;的决定》（财政部第104令）第四十二条：“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构成犯罪的，依法追究刑事责任：（一）违反规定印制财政票据；（二）转让、出借、串用、代开财政票据；（三）伪造、变造、买卖、擅自销毁财政票据；（四）提供虚假信息骗取和冒领财政票据；（五）伪造、使用伪造的财政票据监制章；（六）未按规定使用财政票据监制章；（七）在境外印制财政票据；（八）其他违反财政票据管理规定的行为。”</w:t>
            </w:r>
          </w:p>
        </w:tc>
        <w:tc>
          <w:tcPr>
            <w:tcW w:w="67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1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检查</w:t>
            </w:r>
          </w:p>
        </w:tc>
        <w:tc>
          <w:tcPr>
            <w:tcW w:w="33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1.检查责任：在检查中发现或者接到举报、移送的此类问题的，检查人员及时、全面、客观、公正地收集与此问题相关的证据，查明事实。检查人员应依法检查，出示相关证件，允许当事人辩解陈诉。</w:t>
            </w:r>
          </w:p>
        </w:tc>
        <w:tc>
          <w:tcPr>
            <w:tcW w:w="13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《财政票据管理办法》第四十三条：财政部门、行政事业单位工作人员违反本办法规定，在工作中徇私舞弊、玩忽职守、滥用职权的，依法给予处分；构成犯罪的，依法追究刑事责任。</w:t>
            </w:r>
          </w:p>
        </w:tc>
        <w:tc>
          <w:tcPr>
            <w:tcW w:w="129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666"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6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8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复核</w:t>
            </w:r>
          </w:p>
        </w:tc>
        <w:tc>
          <w:tcPr>
            <w:tcW w:w="33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2.复核责任：对此问题违法事实、证据、调查取证程序、处罚依据应用、当事人陈诉和申辩理由等方面进行复核审理，提出处理意见。</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367"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6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8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33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3.告知责任：在作出行政处罚决定前，书面告知当事人拟作出处罚决定的事实、理由、依据、处罚内容以及当事人享有的陈述权、申辩权和听证权。</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478"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6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8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3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4.决定责任：依法给予行政处罚的，对当事人下达行政处罚决定书，明确违法事实、处罚依据和内容、申请行政复议或提起行政诉讼的途径和期限等。</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27" w:hRule="atLeast"/>
          <w:jc w:val="center"/>
        </w:trPr>
        <w:tc>
          <w:tcPr>
            <w:tcW w:w="8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6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86"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5.送达责任：将行政处罚决定书按照规定期限和程序送达到当事人。</w:t>
            </w:r>
          </w:p>
        </w:tc>
        <w:tc>
          <w:tcPr>
            <w:tcW w:w="139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605" w:hRule="atLeast"/>
          <w:jc w:val="center"/>
        </w:trPr>
        <w:tc>
          <w:tcPr>
            <w:tcW w:w="8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6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186"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1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33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6.执行责任：监督当事人在决定的期限内，履行生效的行政处罚决定。当事人在法定期限未申请行政复议或提起行政诉讼，又不履行的，可申请人民法院强制执行。</w:t>
            </w:r>
          </w:p>
        </w:tc>
        <w:tc>
          <w:tcPr>
            <w:tcW w:w="13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879"/>
        <w:gridCol w:w="577"/>
        <w:gridCol w:w="810"/>
        <w:gridCol w:w="4785"/>
        <w:gridCol w:w="1116"/>
        <w:gridCol w:w="1292"/>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5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1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685" w:hRule="atLeast"/>
          <w:jc w:val="center"/>
        </w:trPr>
        <w:tc>
          <w:tcPr>
            <w:tcW w:w="1144"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30</w:t>
            </w:r>
          </w:p>
        </w:tc>
        <w:tc>
          <w:tcPr>
            <w:tcW w:w="184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违反规定使用、骗取财政资金以及政府承贷或者担保的外国政府贷款、国际金融组织贷款行为的处罚</w:t>
            </w:r>
          </w:p>
        </w:tc>
        <w:tc>
          <w:tcPr>
            <w:tcW w:w="3879"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 w:val="18"/>
                <w:szCs w:val="18"/>
              </w:rPr>
            </w:pPr>
            <w:r>
              <w:rPr>
                <w:rFonts w:hint="eastAsia" w:ascii="仿宋" w:hAnsi="仿宋" w:eastAsia="仿宋" w:cs="仿宋"/>
                <w:color w:val="auto"/>
                <w:szCs w:val="21"/>
              </w:rPr>
              <w:t xml:space="preserve">     </w:t>
            </w:r>
            <w:r>
              <w:rPr>
                <w:rFonts w:hint="eastAsia" w:ascii="仿宋" w:hAnsi="仿宋" w:eastAsia="仿宋" w:cs="仿宋"/>
                <w:color w:val="auto"/>
                <w:sz w:val="18"/>
                <w:szCs w:val="18"/>
              </w:rPr>
              <w:t>《财政违法行为处罚处分条例》（国务院令第427号）第二条第一款：“县级以上人民政府财政部门及审计机关在各自职权范围内，依法对财政违法行为作出处理、处罚决定。”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属于政府采购方面的违法行为，依照《中华人民共和国政府采购法》及有关法律、行政法规的规定处理、处罚。”第十五条：“事业单位、社会团体、其他社会组织及其工作人员有财政违法行为的，依照本条例有关国家机关的规定执行；但其在经营活动中的财政违法行为，依照本条例第十三条、第十四条的规定执行。”</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 w:val="18"/>
                <w:szCs w:val="18"/>
              </w:rPr>
              <w:t xml:space="preserve">    《排污费征收使用管理条例》（国务院令第369号）第二十三条：“环境保护专项资金使用者不按照批准的用途使用环境保护专项资金的，由县级以上人民政府环境保护行政主管部门或者财政部门依据职权责令限期改正；逾期不改正的，10年内不得申请使用环境保护专项资金，并处挪用资金数额1倍以上3倍以下的罚款。”</w:t>
            </w:r>
          </w:p>
        </w:tc>
        <w:tc>
          <w:tcPr>
            <w:tcW w:w="57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81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1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29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57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79" w:type="dxa"/>
            <w:vMerge w:val="continue"/>
            <w:tcBorders>
              <w:top w:val="single" w:color="auto"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77"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11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93"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7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1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89"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7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11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75"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7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11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98"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7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11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2"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7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11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7"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79"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1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680" w:type="dxa"/>
        <w:jc w:val="center"/>
        <w:tblLayout w:type="fixed"/>
        <w:tblCellMar>
          <w:top w:w="0" w:type="dxa"/>
          <w:left w:w="0" w:type="dxa"/>
          <w:bottom w:w="0" w:type="dxa"/>
          <w:right w:w="0" w:type="dxa"/>
        </w:tblCellMar>
      </w:tblPr>
      <w:tblGrid>
        <w:gridCol w:w="1144"/>
        <w:gridCol w:w="1847"/>
        <w:gridCol w:w="2633"/>
        <w:gridCol w:w="897"/>
        <w:gridCol w:w="701"/>
        <w:gridCol w:w="4993"/>
        <w:gridCol w:w="2088"/>
        <w:gridCol w:w="1377"/>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9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0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78" w:hRule="atLeast"/>
          <w:jc w:val="center"/>
        </w:trPr>
        <w:tc>
          <w:tcPr>
            <w:tcW w:w="1144"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31</w:t>
            </w:r>
          </w:p>
        </w:tc>
        <w:tc>
          <w:tcPr>
            <w:tcW w:w="184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单位和个人违反财务管理规定私存私放财政资金或者其他公款的处罚</w:t>
            </w:r>
          </w:p>
        </w:tc>
        <w:tc>
          <w:tcPr>
            <w:tcW w:w="2633"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违法行为处罚处分条例》（国务院令第427号）第二条第一款：“县级以上人民政府财政部门及审计机关在各自职权范围内，依法对财政违法行为作出处理、处罚决定。”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 </w:t>
            </w:r>
          </w:p>
        </w:tc>
        <w:tc>
          <w:tcPr>
            <w:tcW w:w="89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0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208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37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816"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3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648"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3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834"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3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82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3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889"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3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643"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3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80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33"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bl>
    <w:p>
      <w:pPr>
        <w:rPr>
          <w:color w:val="auto"/>
        </w:rPr>
      </w:pPr>
    </w:p>
    <w:tbl>
      <w:tblPr>
        <w:tblStyle w:val="6"/>
        <w:tblW w:w="15212" w:type="dxa"/>
        <w:jc w:val="center"/>
        <w:tblLayout w:type="fixed"/>
        <w:tblCellMar>
          <w:top w:w="0" w:type="dxa"/>
          <w:left w:w="0" w:type="dxa"/>
          <w:bottom w:w="0" w:type="dxa"/>
          <w:right w:w="0" w:type="dxa"/>
        </w:tblCellMar>
      </w:tblPr>
      <w:tblGrid>
        <w:gridCol w:w="676"/>
        <w:gridCol w:w="1883"/>
        <w:gridCol w:w="2597"/>
        <w:gridCol w:w="897"/>
        <w:gridCol w:w="701"/>
        <w:gridCol w:w="4993"/>
        <w:gridCol w:w="2088"/>
        <w:gridCol w:w="1377"/>
      </w:tblGrid>
      <w:tr>
        <w:tblPrEx>
          <w:tblCellMar>
            <w:top w:w="0" w:type="dxa"/>
            <w:left w:w="0" w:type="dxa"/>
            <w:bottom w:w="0" w:type="dxa"/>
            <w:right w:w="0" w:type="dxa"/>
          </w:tblCellMar>
        </w:tblPrEx>
        <w:trPr>
          <w:trHeight w:val="635" w:hRule="atLeast"/>
          <w:jc w:val="center"/>
        </w:trPr>
        <w:tc>
          <w:tcPr>
            <w:tcW w:w="67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59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9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01"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9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0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7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322" w:hRule="atLeast"/>
          <w:jc w:val="center"/>
        </w:trPr>
        <w:tc>
          <w:tcPr>
            <w:tcW w:w="67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32</w:t>
            </w:r>
          </w:p>
        </w:tc>
        <w:tc>
          <w:tcPr>
            <w:tcW w:w="1883"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被监督对象阻挠、拒绝监督检查或者不如实提供有关资料、实物的处罚</w:t>
            </w:r>
          </w:p>
        </w:tc>
        <w:tc>
          <w:tcPr>
            <w:tcW w:w="2597" w:type="dxa"/>
            <w:vMerge w:val="restart"/>
            <w:tcBorders>
              <w:top w:val="single" w:color="000000" w:sz="4" w:space="0"/>
              <w:left w:val="single" w:color="000000" w:sz="4" w:space="0"/>
              <w:bottom w:val="nil"/>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河南省财政监督办法》（河南省人民政府令第135号）第二条第一款：“县级以上人民政府财政部门及审计机关在各自职权范围内，依法对财政违法行为作出处理、处罚决定。”第三十一条：“违反本办法规定，被监督对象阻挠、拒绝监督检查或者不如实提供有关资料、实物的，由财政部门责令其限期改正，拒不改正的，对单位可以处以3000元以上3万元以下的罚款，对直接负责的主管人员和其他直接责任人员可以处以2000元以上2万元以下的罚款；对个人可以处以2000元以上2万元以下的罚款；属于国家机关及其工作人员的，对国家机关给予警告或者通报批评，对直接负责的主管人员和其他直接责任人员依法给予行政处分；构成违反治安管理行为的，依照《中华人民共和国治安管理处罚法》予以处罚；构成犯罪的，依法追究刑事责任。” </w:t>
            </w:r>
          </w:p>
        </w:tc>
        <w:tc>
          <w:tcPr>
            <w:tcW w:w="897" w:type="dxa"/>
            <w:vMerge w:val="restart"/>
            <w:tcBorders>
              <w:top w:val="single" w:color="000000" w:sz="4" w:space="0"/>
              <w:left w:val="single" w:color="000000"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208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财政监督办法》（河南省人民政府令第135号）第三十二条：财政部门实施财政监督有下列行为之一的,由本级人民政府或者上一级财政部门责令改正;情节严重的,对单位予以通报批评,并依法追究单位主要负责人及其相关人员的责任;给当事人造成损失的,依法承担赔偿责任;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一)不履行法定职责或者违法作出具体行政行为的;(二)超越职权或者违反规定程序实施财政监督检查的;(三)包庇被监督对象财政违法行为的;(四)利用职务之便谋取不正当利益的;(五)泄露工作中知悉的国家秘密和商业秘密的;(六)遗失检查资料的;(七)其他滥用职权、玩忽职守、徇私舞弊的行为。</w:t>
            </w:r>
          </w:p>
        </w:tc>
        <w:tc>
          <w:tcPr>
            <w:tcW w:w="137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1149" w:hRule="atLeast"/>
          <w:jc w:val="center"/>
        </w:trPr>
        <w:tc>
          <w:tcPr>
            <w:tcW w:w="676" w:type="dxa"/>
            <w:vMerge w:val="continue"/>
            <w:tcBorders>
              <w:top w:val="nil"/>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883" w:type="dxa"/>
            <w:vMerge w:val="continue"/>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kern w:val="0"/>
                <w:szCs w:val="21"/>
              </w:rPr>
            </w:pPr>
          </w:p>
        </w:tc>
        <w:tc>
          <w:tcPr>
            <w:tcW w:w="2597" w:type="dxa"/>
            <w:vMerge w:val="continue"/>
            <w:tcBorders>
              <w:top w:val="nil"/>
              <w:left w:val="single" w:color="000000" w:sz="4" w:space="0"/>
              <w:bottom w:val="single" w:color="auto" w:sz="4" w:space="0"/>
              <w:right w:val="nil"/>
            </w:tcBorders>
            <w:tcMar>
              <w:top w:w="15" w:type="dxa"/>
              <w:left w:w="15" w:type="dxa"/>
              <w:right w:w="15" w:type="dxa"/>
            </w:tcMar>
            <w:vAlign w:val="center"/>
          </w:tcPr>
          <w:p>
            <w:pPr>
              <w:spacing w:line="360" w:lineRule="exact"/>
              <w:ind w:firstLine="420" w:firstLineChars="200"/>
              <w:jc w:val="left"/>
              <w:rPr>
                <w:rFonts w:ascii="仿宋" w:hAnsi="仿宋" w:eastAsia="仿宋" w:cs="仿宋"/>
                <w:color w:val="auto"/>
                <w:kern w:val="0"/>
                <w:szCs w:val="21"/>
              </w:rPr>
            </w:pPr>
          </w:p>
        </w:tc>
        <w:tc>
          <w:tcPr>
            <w:tcW w:w="897" w:type="dxa"/>
            <w:vMerge w:val="continue"/>
            <w:tcBorders>
              <w:top w:val="nil"/>
              <w:left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90"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88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kern w:val="0"/>
                <w:szCs w:val="21"/>
              </w:rPr>
            </w:pPr>
          </w:p>
        </w:tc>
        <w:tc>
          <w:tcPr>
            <w:tcW w:w="259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spacing w:line="360" w:lineRule="exact"/>
              <w:ind w:firstLine="420" w:firstLineChars="200"/>
              <w:jc w:val="left"/>
              <w:rPr>
                <w:rFonts w:ascii="仿宋" w:hAnsi="仿宋" w:eastAsia="仿宋" w:cs="仿宋"/>
                <w:color w:val="auto"/>
                <w:kern w:val="0"/>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936"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88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kern w:val="0"/>
                <w:szCs w:val="21"/>
              </w:rPr>
            </w:pPr>
          </w:p>
        </w:tc>
        <w:tc>
          <w:tcPr>
            <w:tcW w:w="259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spacing w:line="360" w:lineRule="exact"/>
              <w:ind w:firstLine="420" w:firstLineChars="200"/>
              <w:jc w:val="left"/>
              <w:rPr>
                <w:rFonts w:ascii="仿宋" w:hAnsi="仿宋" w:eastAsia="仿宋" w:cs="仿宋"/>
                <w:color w:val="auto"/>
                <w:kern w:val="0"/>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812"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88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kern w:val="0"/>
                <w:szCs w:val="21"/>
              </w:rPr>
            </w:pPr>
          </w:p>
        </w:tc>
        <w:tc>
          <w:tcPr>
            <w:tcW w:w="259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spacing w:line="360" w:lineRule="exact"/>
              <w:ind w:firstLine="420" w:firstLineChars="200"/>
              <w:jc w:val="left"/>
              <w:rPr>
                <w:rFonts w:ascii="仿宋" w:hAnsi="仿宋" w:eastAsia="仿宋" w:cs="仿宋"/>
                <w:color w:val="auto"/>
                <w:kern w:val="0"/>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320"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88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exact"/>
              <w:textAlignment w:val="center"/>
              <w:rPr>
                <w:rFonts w:ascii="仿宋" w:hAnsi="仿宋" w:eastAsia="仿宋" w:cs="仿宋"/>
                <w:color w:val="auto"/>
                <w:kern w:val="0"/>
                <w:szCs w:val="21"/>
              </w:rPr>
            </w:pPr>
          </w:p>
        </w:tc>
        <w:tc>
          <w:tcPr>
            <w:tcW w:w="259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spacing w:line="360" w:lineRule="exact"/>
              <w:ind w:firstLine="420" w:firstLineChars="200"/>
              <w:jc w:val="left"/>
              <w:rPr>
                <w:rFonts w:ascii="仿宋" w:hAnsi="仿宋" w:eastAsia="仿宋" w:cs="仿宋"/>
                <w:color w:val="auto"/>
                <w:kern w:val="0"/>
                <w:szCs w:val="21"/>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701"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99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_GB2312" w:hAnsi="仿宋_GB2312" w:eastAsia="仿宋_GB2312" w:cs="仿宋_GB2312"/>
                <w:color w:val="auto"/>
                <w:sz w:val="24"/>
                <w:shd w:val="clear" w:color="070000" w:fill="FFFFFF"/>
              </w:rPr>
            </w:pPr>
          </w:p>
        </w:tc>
      </w:tr>
      <w:tr>
        <w:tblPrEx>
          <w:tblCellMar>
            <w:top w:w="0" w:type="dxa"/>
            <w:left w:w="0" w:type="dxa"/>
            <w:bottom w:w="0" w:type="dxa"/>
            <w:right w:w="0" w:type="dxa"/>
          </w:tblCellMar>
        </w:tblPrEx>
        <w:trPr>
          <w:trHeight w:val="538"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textAlignment w:val="center"/>
              <w:rPr>
                <w:color w:val="auto"/>
              </w:rPr>
            </w:pPr>
          </w:p>
        </w:tc>
        <w:tc>
          <w:tcPr>
            <w:tcW w:w="188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textAlignment w:val="center"/>
              <w:rPr>
                <w:color w:val="auto"/>
              </w:rPr>
            </w:pPr>
          </w:p>
        </w:tc>
        <w:tc>
          <w:tcPr>
            <w:tcW w:w="259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widowControl/>
              <w:snapToGrid w:val="0"/>
              <w:textAlignment w:val="center"/>
              <w:rPr>
                <w:color w:val="auto"/>
              </w:rPr>
            </w:pPr>
          </w:p>
        </w:tc>
        <w:tc>
          <w:tcPr>
            <w:tcW w:w="897" w:type="dxa"/>
            <w:vMerge w:val="continue"/>
            <w:tcBorders>
              <w:left w:val="single" w:color="000000" w:sz="4" w:space="0"/>
              <w:right w:val="single" w:color="000000" w:sz="4" w:space="0"/>
            </w:tcBorders>
            <w:tcMar>
              <w:top w:w="15" w:type="dxa"/>
              <w:left w:w="15" w:type="dxa"/>
              <w:right w:w="15" w:type="dxa"/>
            </w:tcMar>
            <w:vAlign w:val="center"/>
          </w:tcPr>
          <w:p>
            <w:pPr>
              <w:widowControl/>
              <w:snapToGrid w:val="0"/>
              <w:textAlignment w:val="center"/>
              <w:rPr>
                <w:color w:val="auto"/>
              </w:rPr>
            </w:pPr>
          </w:p>
        </w:tc>
        <w:tc>
          <w:tcPr>
            <w:tcW w:w="701"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99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textAlignment w:val="center"/>
              <w:rPr>
                <w:rFonts w:ascii="仿宋" w:hAnsi="仿宋" w:eastAsia="仿宋" w:cs="仿宋"/>
                <w:color w:val="auto"/>
                <w:kern w:val="0"/>
                <w:szCs w:val="21"/>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textAlignment w:val="center"/>
              <w:rPr>
                <w:rFonts w:ascii="仿宋" w:hAnsi="仿宋" w:eastAsia="仿宋" w:cs="仿宋"/>
                <w:color w:val="auto"/>
                <w:kern w:val="0"/>
                <w:szCs w:val="21"/>
              </w:rPr>
            </w:pPr>
          </w:p>
        </w:tc>
      </w:tr>
      <w:tr>
        <w:tblPrEx>
          <w:tblCellMar>
            <w:top w:w="0" w:type="dxa"/>
            <w:left w:w="0" w:type="dxa"/>
            <w:bottom w:w="0" w:type="dxa"/>
            <w:right w:w="0" w:type="dxa"/>
          </w:tblCellMar>
        </w:tblPrEx>
        <w:trPr>
          <w:trHeight w:val="90"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textAlignment w:val="center"/>
              <w:rPr>
                <w:color w:val="auto"/>
              </w:rPr>
            </w:pPr>
          </w:p>
        </w:tc>
        <w:tc>
          <w:tcPr>
            <w:tcW w:w="1883"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textAlignment w:val="center"/>
              <w:rPr>
                <w:color w:val="auto"/>
              </w:rPr>
            </w:pPr>
          </w:p>
        </w:tc>
        <w:tc>
          <w:tcPr>
            <w:tcW w:w="2597"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widowControl/>
              <w:snapToGrid w:val="0"/>
              <w:textAlignment w:val="center"/>
              <w:rPr>
                <w:color w:val="auto"/>
              </w:rPr>
            </w:pPr>
          </w:p>
        </w:tc>
        <w:tc>
          <w:tcPr>
            <w:tcW w:w="89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textAlignment w:val="center"/>
              <w:rPr>
                <w:color w:val="auto"/>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textAlignment w:val="center"/>
              <w:rPr>
                <w:rFonts w:ascii="仿宋" w:hAnsi="仿宋" w:eastAsia="仿宋" w:cs="仿宋"/>
                <w:color w:val="auto"/>
                <w:kern w:val="0"/>
                <w:szCs w:val="21"/>
              </w:rPr>
            </w:pPr>
          </w:p>
        </w:tc>
        <w:tc>
          <w:tcPr>
            <w:tcW w:w="137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textAlignment w:val="center"/>
              <w:rPr>
                <w:rFonts w:ascii="仿宋" w:hAnsi="仿宋" w:eastAsia="仿宋" w:cs="仿宋"/>
                <w:color w:val="auto"/>
                <w:kern w:val="0"/>
                <w:szCs w:val="21"/>
              </w:rPr>
            </w:pPr>
          </w:p>
        </w:tc>
      </w:tr>
    </w:tbl>
    <w:p>
      <w:pPr>
        <w:rPr>
          <w:color w:val="auto"/>
        </w:rPr>
      </w:pPr>
    </w:p>
    <w:tbl>
      <w:tblPr>
        <w:tblStyle w:val="6"/>
        <w:tblW w:w="15212" w:type="dxa"/>
        <w:jc w:val="center"/>
        <w:tblLayout w:type="fixed"/>
        <w:tblCellMar>
          <w:top w:w="0" w:type="dxa"/>
          <w:left w:w="0" w:type="dxa"/>
          <w:bottom w:w="0" w:type="dxa"/>
          <w:right w:w="0" w:type="dxa"/>
        </w:tblCellMar>
      </w:tblPr>
      <w:tblGrid>
        <w:gridCol w:w="676"/>
        <w:gridCol w:w="2348"/>
        <w:gridCol w:w="2132"/>
        <w:gridCol w:w="897"/>
        <w:gridCol w:w="701"/>
        <w:gridCol w:w="4993"/>
        <w:gridCol w:w="2088"/>
        <w:gridCol w:w="1377"/>
      </w:tblGrid>
      <w:tr>
        <w:tblPrEx>
          <w:tblCellMar>
            <w:top w:w="0" w:type="dxa"/>
            <w:left w:w="0" w:type="dxa"/>
            <w:bottom w:w="0" w:type="dxa"/>
            <w:right w:w="0" w:type="dxa"/>
          </w:tblCellMar>
        </w:tblPrEx>
        <w:trPr>
          <w:trHeight w:val="635" w:hRule="atLeast"/>
          <w:jc w:val="center"/>
        </w:trPr>
        <w:tc>
          <w:tcPr>
            <w:tcW w:w="67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234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13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9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0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9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08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7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441" w:hRule="atLeast"/>
          <w:jc w:val="center"/>
        </w:trPr>
        <w:tc>
          <w:tcPr>
            <w:tcW w:w="676"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33</w:t>
            </w:r>
          </w:p>
        </w:tc>
        <w:tc>
          <w:tcPr>
            <w:tcW w:w="2348"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国有资产管理行政主管部门或者行业主管部门工作人员利用职权谋取私利，或者玩忽职守，造成国有资产损失的处罚</w:t>
            </w:r>
          </w:p>
        </w:tc>
        <w:tc>
          <w:tcPr>
            <w:tcW w:w="2132"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国有资产评估管理办法》（国务院令第91号）第三十四条：“国有资产管理行政主管部门或者行业主管部门工作人员违反本办法，利用职权谋取私利，或者玩忽职守，造成国有资产损失的，国有资产管理行政主管部门或者行业主管部门可以按照干部管理权限，给予行政处分，并可以处以相当于本人三个月基本工资以下的罚款。”</w:t>
            </w:r>
          </w:p>
        </w:tc>
        <w:tc>
          <w:tcPr>
            <w:tcW w:w="89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0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208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eastAsia="zh-CN"/>
              </w:rPr>
              <w:t>《中华人民共和国会计法》第四十四条：</w:t>
            </w:r>
            <w:r>
              <w:rPr>
                <w:rFonts w:hint="eastAsia" w:ascii="仿宋" w:hAnsi="仿宋" w:eastAsia="仿宋" w:cs="仿宋"/>
                <w:color w:val="auto"/>
                <w:szCs w:val="21"/>
              </w:rPr>
              <w:t>财政部门及有关行政部门的工作人员在实施监督管理中滥用职权、玩忽职守、徇私舞弊或者泄露国家秘密、工作秘密、商业秘密、个人隐私、个人信息的，依法给予处分；构成犯罪的，依法追究刑事责任。</w:t>
            </w:r>
          </w:p>
        </w:tc>
        <w:tc>
          <w:tcPr>
            <w:tcW w:w="137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税政与条法股、资产管理股、县属功能类公益类企业国有资产监管办公室</w:t>
            </w:r>
          </w:p>
        </w:tc>
      </w:tr>
      <w:tr>
        <w:tblPrEx>
          <w:tblCellMar>
            <w:top w:w="0" w:type="dxa"/>
            <w:left w:w="0" w:type="dxa"/>
            <w:bottom w:w="0" w:type="dxa"/>
            <w:right w:w="0" w:type="dxa"/>
          </w:tblCellMar>
        </w:tblPrEx>
        <w:trPr>
          <w:trHeight w:val="598"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132"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57"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132"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07"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132"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93"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132"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2"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132"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21"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132"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16" w:hRule="atLeast"/>
          <w:jc w:val="center"/>
        </w:trPr>
        <w:tc>
          <w:tcPr>
            <w:tcW w:w="67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4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132"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208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2999"/>
        <w:gridCol w:w="668"/>
        <w:gridCol w:w="701"/>
        <w:gridCol w:w="4799"/>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6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7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205" w:hRule="atLeast"/>
          <w:jc w:val="center"/>
        </w:trPr>
        <w:tc>
          <w:tcPr>
            <w:tcW w:w="1144"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34</w:t>
            </w:r>
          </w:p>
        </w:tc>
        <w:tc>
          <w:tcPr>
            <w:tcW w:w="184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对国家机关及其工作人员违反规定使用、骗取农村综合改革及基层财政管理类财政专项资金行为的处罚</w:t>
            </w:r>
          </w:p>
        </w:tc>
        <w:tc>
          <w:tcPr>
            <w:tcW w:w="2999"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《财政违法行为处罚处分条例》（国务院令第427号）第二条：“县级以上人民政府财政部门及审计机关在各自职权范围内，依法对财政违法行为作出处理、处罚决定。” 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tc>
        <w:tc>
          <w:tcPr>
            <w:tcW w:w="6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70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7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1.立案责任：对检查中发现、接到举报投诉国家机关及其工作人员违反规定使用、骗取政府承贷或者担保的外国政府贷款、国际金融组织贷款的行为或经有关部门移送此类违法案件予以审查，决定是否立案。</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《财政违法行为处罚处分条例》（国务院令第427号）第二十八条：不履行或不正确履行应尽义务，有下列情形的行政机关及相关工作人员应承担相应的责任：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税政与条法股、农业农村股</w:t>
            </w:r>
          </w:p>
        </w:tc>
      </w:tr>
      <w:tr>
        <w:tblPrEx>
          <w:tblCellMar>
            <w:top w:w="0" w:type="dxa"/>
            <w:left w:w="0" w:type="dxa"/>
            <w:bottom w:w="0" w:type="dxa"/>
            <w:right w:w="0" w:type="dxa"/>
          </w:tblCellMar>
        </w:tblPrEx>
        <w:trPr>
          <w:trHeight w:val="884"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999"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66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7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34"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999"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66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7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6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999"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66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701"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799"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6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999"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66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701"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799"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6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999"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66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701"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799"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2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999"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66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7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20" w:hRule="atLeast"/>
          <w:jc w:val="center"/>
        </w:trPr>
        <w:tc>
          <w:tcPr>
            <w:tcW w:w="114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color w:val="auto"/>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color w:val="auto"/>
              </w:rPr>
            </w:pPr>
          </w:p>
        </w:tc>
        <w:tc>
          <w:tcPr>
            <w:tcW w:w="2999"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color w:val="auto"/>
              </w:rPr>
            </w:pPr>
          </w:p>
        </w:tc>
        <w:tc>
          <w:tcPr>
            <w:tcW w:w="66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color w:val="auto"/>
              </w:rPr>
            </w:pPr>
          </w:p>
        </w:tc>
        <w:tc>
          <w:tcPr>
            <w:tcW w:w="70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47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bl>
    <w:p>
      <w:pPr>
        <w:autoSpaceDN w:val="0"/>
        <w:snapToGrid w:val="0"/>
        <w:jc w:val="left"/>
        <w:textAlignment w:val="center"/>
        <w:rPr>
          <w:color w:val="auto"/>
        </w:rPr>
      </w:pPr>
      <w:r>
        <w:rPr>
          <w:rFonts w:ascii="仿宋" w:hAnsi="仿宋" w:eastAsia="仿宋" w:cs="仿宋"/>
          <w:color w:val="auto"/>
          <w:sz w:val="18"/>
          <w:szCs w:val="18"/>
        </w:rPr>
        <w:br w:type="page"/>
      </w:r>
    </w:p>
    <w:tbl>
      <w:tblPr>
        <w:tblStyle w:val="6"/>
        <w:tblW w:w="15695" w:type="dxa"/>
        <w:jc w:val="center"/>
        <w:tblLayout w:type="fixed"/>
        <w:tblCellMar>
          <w:top w:w="0" w:type="dxa"/>
          <w:left w:w="0" w:type="dxa"/>
          <w:bottom w:w="0" w:type="dxa"/>
          <w:right w:w="0" w:type="dxa"/>
        </w:tblCellMar>
      </w:tblPr>
      <w:tblGrid>
        <w:gridCol w:w="759"/>
        <w:gridCol w:w="2232"/>
        <w:gridCol w:w="2991"/>
        <w:gridCol w:w="569"/>
        <w:gridCol w:w="898"/>
        <w:gridCol w:w="5112"/>
        <w:gridCol w:w="1786"/>
        <w:gridCol w:w="1348"/>
      </w:tblGrid>
      <w:tr>
        <w:tblPrEx>
          <w:tblCellMar>
            <w:top w:w="0" w:type="dxa"/>
            <w:left w:w="0" w:type="dxa"/>
            <w:bottom w:w="0" w:type="dxa"/>
            <w:right w:w="0" w:type="dxa"/>
          </w:tblCellMar>
        </w:tblPrEx>
        <w:trPr>
          <w:trHeight w:val="635" w:hRule="atLeast"/>
          <w:jc w:val="center"/>
        </w:trPr>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22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5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51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7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4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91" w:hRule="atLeast"/>
          <w:jc w:val="center"/>
        </w:trPr>
        <w:tc>
          <w:tcPr>
            <w:tcW w:w="759"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35</w:t>
            </w:r>
          </w:p>
        </w:tc>
        <w:tc>
          <w:tcPr>
            <w:tcW w:w="2232"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在农村综合改革和基层财政管理工作中，对企业和个人违法违规行为的处罚</w:t>
            </w:r>
          </w:p>
        </w:tc>
        <w:tc>
          <w:tcPr>
            <w:tcW w:w="2991"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《财政违法行为处罚处分条例》（国务院令第427号） 第二条：“县级以上人民政府财政部门及审计机关在各自职权范围内，依法对财政违法行为作出处理、处罚决定。”    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w:t>
            </w:r>
          </w:p>
          <w:p>
            <w:pPr>
              <w:autoSpaceDN w:val="0"/>
              <w:snapToGrid w:val="0"/>
              <w:jc w:val="center"/>
              <w:textAlignment w:val="center"/>
              <w:rPr>
                <w:rFonts w:ascii="仿宋" w:hAnsi="仿宋" w:eastAsia="仿宋" w:cs="仿宋"/>
                <w:color w:val="auto"/>
                <w:szCs w:val="21"/>
              </w:rPr>
            </w:pPr>
          </w:p>
        </w:tc>
        <w:tc>
          <w:tcPr>
            <w:tcW w:w="5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898"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51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1.立案责任：对检查中发现、接到举报投诉违反国家机关及其工作人员违反规定使用、骗取专项资金的行为或经有关部门移送此类违法案件予以审查，决定是否立案。</w:t>
            </w:r>
          </w:p>
        </w:tc>
        <w:tc>
          <w:tcPr>
            <w:tcW w:w="178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《财政违法行为处罚处分条例》（国务院令第427号）第二十八条：不履行或不正确履行应尽义务，有下列情形的行政机关及相关工作人员应承担相应的责任：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34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税政与条法股、农村农业股</w:t>
            </w:r>
          </w:p>
        </w:tc>
      </w:tr>
      <w:tr>
        <w:tblPrEx>
          <w:tblCellMar>
            <w:top w:w="0" w:type="dxa"/>
            <w:left w:w="0" w:type="dxa"/>
            <w:bottom w:w="0" w:type="dxa"/>
            <w:right w:w="0" w:type="dxa"/>
          </w:tblCellMar>
        </w:tblPrEx>
        <w:trPr>
          <w:trHeight w:val="1679" w:hRule="atLeast"/>
          <w:jc w:val="center"/>
        </w:trPr>
        <w:tc>
          <w:tcPr>
            <w:tcW w:w="75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3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91"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51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7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60" w:hRule="atLeast"/>
          <w:jc w:val="center"/>
        </w:trPr>
        <w:tc>
          <w:tcPr>
            <w:tcW w:w="75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3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91"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112"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7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86" w:hRule="atLeast"/>
          <w:jc w:val="center"/>
        </w:trPr>
        <w:tc>
          <w:tcPr>
            <w:tcW w:w="75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3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91"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112"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7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20" w:hRule="atLeast"/>
          <w:jc w:val="center"/>
        </w:trPr>
        <w:tc>
          <w:tcPr>
            <w:tcW w:w="75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3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91"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112"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7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jc w:val="center"/>
        </w:trPr>
        <w:tc>
          <w:tcPr>
            <w:tcW w:w="75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3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91"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5112"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7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jc w:val="center"/>
        </w:trPr>
        <w:tc>
          <w:tcPr>
            <w:tcW w:w="75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3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91"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6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5112"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7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3" w:hRule="atLeast"/>
          <w:jc w:val="center"/>
        </w:trPr>
        <w:tc>
          <w:tcPr>
            <w:tcW w:w="75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3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91"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9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1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7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2682"/>
        <w:gridCol w:w="1062"/>
        <w:gridCol w:w="679"/>
        <w:gridCol w:w="4985"/>
        <w:gridCol w:w="1836"/>
        <w:gridCol w:w="1215"/>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9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8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2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196" w:hRule="atLeast"/>
          <w:jc w:val="center"/>
        </w:trPr>
        <w:tc>
          <w:tcPr>
            <w:tcW w:w="1144"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36</w:t>
            </w:r>
          </w:p>
        </w:tc>
        <w:tc>
          <w:tcPr>
            <w:tcW w:w="184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在农村综合改革和基层财政管理工作中，对单位和个人违反国家有关投资建设项目规定行为的处罚</w:t>
            </w:r>
          </w:p>
        </w:tc>
        <w:tc>
          <w:tcPr>
            <w:tcW w:w="2682"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《财政违法行为处罚处分条例》（国务院令第427号）第二条：“县级以上人民政府财政部门及审计机关在各自职权范围内，依法对财政违法行为作出处理、处罚决定。”  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w:t>
            </w:r>
          </w:p>
        </w:tc>
        <w:tc>
          <w:tcPr>
            <w:tcW w:w="10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行政处罚</w:t>
            </w:r>
          </w:p>
        </w:tc>
        <w:tc>
          <w:tcPr>
            <w:tcW w:w="679"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立案</w:t>
            </w: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1.立案责任：对检查中发现、接到举报投诉违反国家机关及其工作人员违反规定使用、骗取专项资金的行为或经有关部门移送此类违法案件予以审查，决定是否立案。</w:t>
            </w:r>
          </w:p>
        </w:tc>
        <w:tc>
          <w:tcPr>
            <w:tcW w:w="183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《财政违法行为处罚处分条例》（国务院令第427号）第二十八条：不履行或不正确履行应尽义务，有下列情形的行政机关及相关工作人员应承担相应的责任：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21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税政与条法股、农村农业股</w:t>
            </w:r>
          </w:p>
        </w:tc>
      </w:tr>
      <w:tr>
        <w:tblPrEx>
          <w:tblCellMar>
            <w:top w:w="0" w:type="dxa"/>
            <w:left w:w="0" w:type="dxa"/>
            <w:bottom w:w="0" w:type="dxa"/>
            <w:right w:w="0" w:type="dxa"/>
          </w:tblCellMar>
        </w:tblPrEx>
        <w:trPr>
          <w:trHeight w:val="979"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c>
          <w:tcPr>
            <w:tcW w:w="183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3"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3.审查责任：对案件违法事实、证据、调查取证程序、法律适用、处罚种类和幅度、当事人陈述和申辩理由等方面进行审查，提出处理意见。</w:t>
            </w:r>
          </w:p>
        </w:tc>
        <w:tc>
          <w:tcPr>
            <w:tcW w:w="183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3"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4.告知责任：在做出行政处罚决定前，书面告知当事人拟做出处罚决定的事实、理由、依据、处罚内容，以及当事人享有的陈述权、申辩权和听证权。</w:t>
            </w:r>
          </w:p>
        </w:tc>
        <w:tc>
          <w:tcPr>
            <w:tcW w:w="183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3"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5.决定责任：依法需要给予行政处罚的，应制作《行政处罚决定书》，载明违法事实和证据、处罚依据和内容、申请行政复议或提起行政诉讼的途径和期限等内容。</w:t>
            </w:r>
          </w:p>
        </w:tc>
        <w:tc>
          <w:tcPr>
            <w:tcW w:w="183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2"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6.送达责任：行政处罚决定书应当在宣告后当场交付当事人；当事人不在场的，行政机关应当在七日内依照民事诉讼法的有关规定，将行政处罚决定书送达当事人。</w:t>
            </w:r>
          </w:p>
        </w:tc>
        <w:tc>
          <w:tcPr>
            <w:tcW w:w="183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5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2"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执行</w:t>
            </w: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7.执行责任：监督当事人在决定的期限内（15日内），履行生效的行政处罚决定。当事人在法定期限内没有申请行政复议或提起行政诉讼，又不履行的，可申请人民法院强制执行。</w:t>
            </w:r>
          </w:p>
        </w:tc>
        <w:tc>
          <w:tcPr>
            <w:tcW w:w="183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53"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2"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8.其他法律法规规章文件规定应履行的责任。</w:t>
            </w:r>
          </w:p>
        </w:tc>
        <w:tc>
          <w:tcPr>
            <w:tcW w:w="183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5450" w:type="dxa"/>
        <w:jc w:val="center"/>
        <w:tblLayout w:type="fixed"/>
        <w:tblCellMar>
          <w:top w:w="0" w:type="dxa"/>
          <w:left w:w="0" w:type="dxa"/>
          <w:bottom w:w="0" w:type="dxa"/>
          <w:right w:w="0" w:type="dxa"/>
        </w:tblCellMar>
      </w:tblPr>
      <w:tblGrid>
        <w:gridCol w:w="1144"/>
        <w:gridCol w:w="1288"/>
        <w:gridCol w:w="2586"/>
        <w:gridCol w:w="1530"/>
        <w:gridCol w:w="1080"/>
        <w:gridCol w:w="2475"/>
        <w:gridCol w:w="3315"/>
        <w:gridCol w:w="2032"/>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2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2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24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33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20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452" w:hRule="atLeast"/>
          <w:jc w:val="center"/>
        </w:trPr>
        <w:tc>
          <w:tcPr>
            <w:tcW w:w="114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37</w:t>
            </w:r>
          </w:p>
        </w:tc>
        <w:tc>
          <w:tcPr>
            <w:tcW w:w="128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单位不明确的县级非税收入征收</w:t>
            </w:r>
          </w:p>
        </w:tc>
        <w:tc>
          <w:tcPr>
            <w:tcW w:w="2586"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 w:val="18"/>
                <w:szCs w:val="18"/>
              </w:rPr>
              <w:t>《</w:t>
            </w:r>
            <w:r>
              <w:rPr>
                <w:rFonts w:hint="eastAsia" w:ascii="仿宋" w:hAnsi="仿宋" w:eastAsia="仿宋" w:cs="仿宋"/>
                <w:color w:val="auto"/>
                <w:szCs w:val="21"/>
              </w:rPr>
              <w:t>河南省政府非税收入管理条例》(2013年11月29日河南省第十二届人民代表大会常务委员会第五次会议通过)第十条：“政府非税收入由法律、法规、规章、国务院和省人民政府及其财政部门规定的单位征收。征收单位不明确的，由县级以上财政部门征收，财政部门也可以依法委托其他单位征收。”</w:t>
            </w:r>
          </w:p>
        </w:tc>
        <w:tc>
          <w:tcPr>
            <w:tcW w:w="15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行政征收</w:t>
            </w:r>
          </w:p>
        </w:tc>
        <w:tc>
          <w:tcPr>
            <w:tcW w:w="108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24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1.受理责任：受理有捐赠意向的捐赠人的材料（目前，征收单位不明确的非税收入仅指捐赠收入)，与捐赠人接洽，商谈捐赠事宜，了解捐赠人意向，有无明确受赠人,使用方向等。</w:t>
            </w:r>
          </w:p>
        </w:tc>
        <w:tc>
          <w:tcPr>
            <w:tcW w:w="331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政府非税收入管理条例》第四十三条：财政、价格主管、审计等部门及其工作人员有下列违法行为之一的,由县级以上人民政府对单位给予警告或者通报批评，对直接负责的主管人员和其他直接责任人员由监察机关或者任免机关依法给予行政处分；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五</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1.包庇或者纵容政府非税收入管理违法行为的；</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2.对举报和投诉事项拖延、推诿或者不依法处理的；</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3.不履行政府非税收入监督管理法定职责的；</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4.违法发放、销毁政府非税收入票据的；5.其他滥用职权、玩忽职守、徇私舞弊的行为</w:t>
            </w:r>
          </w:p>
        </w:tc>
        <w:tc>
          <w:tcPr>
            <w:tcW w:w="203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国库股、税政条法股</w:t>
            </w:r>
          </w:p>
        </w:tc>
      </w:tr>
      <w:tr>
        <w:tblPrEx>
          <w:tblCellMar>
            <w:top w:w="0" w:type="dxa"/>
            <w:left w:w="0" w:type="dxa"/>
            <w:bottom w:w="0" w:type="dxa"/>
            <w:right w:w="0" w:type="dxa"/>
          </w:tblCellMar>
        </w:tblPrEx>
        <w:trPr>
          <w:trHeight w:val="1066"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586" w:type="dxa"/>
            <w:vMerge w:val="continue"/>
            <w:tcBorders>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08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征收</w:t>
            </w:r>
          </w:p>
        </w:tc>
        <w:tc>
          <w:tcPr>
            <w:tcW w:w="24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2.征收责任：根据捐赠协议，向捐赠人开具《河南省政府非税收入专用缴款通知书》，收到捐赠款项后，向捐赠人开具捐赠票据。</w:t>
            </w:r>
          </w:p>
        </w:tc>
        <w:tc>
          <w:tcPr>
            <w:tcW w:w="331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03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07" w:hRule="atLeast"/>
          <w:jc w:val="center"/>
        </w:trPr>
        <w:tc>
          <w:tcPr>
            <w:tcW w:w="114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28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586" w:type="dxa"/>
            <w:vMerge w:val="continue"/>
            <w:tcBorders>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08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监管</w:t>
            </w:r>
          </w:p>
        </w:tc>
        <w:tc>
          <w:tcPr>
            <w:tcW w:w="247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3.事后监管责任：督促捐赠人及时捐赠款项。</w:t>
            </w:r>
          </w:p>
        </w:tc>
        <w:tc>
          <w:tcPr>
            <w:tcW w:w="331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03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91" w:hRule="atLeast"/>
          <w:jc w:val="center"/>
        </w:trPr>
        <w:tc>
          <w:tcPr>
            <w:tcW w:w="114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28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586"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53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08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4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4.其他法律、法规、规章、文件规定应履行的责任。</w:t>
            </w:r>
          </w:p>
        </w:tc>
        <w:tc>
          <w:tcPr>
            <w:tcW w:w="33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03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bl>
    <w:p>
      <w:pPr>
        <w:autoSpaceDN w:val="0"/>
        <w:snapToGrid w:val="0"/>
        <w:jc w:val="left"/>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608"/>
        <w:gridCol w:w="1237"/>
        <w:gridCol w:w="4022"/>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02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192" w:hRule="atLeast"/>
          <w:jc w:val="center"/>
        </w:trPr>
        <w:tc>
          <w:tcPr>
            <w:tcW w:w="1144"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38</w:t>
            </w:r>
          </w:p>
        </w:tc>
        <w:tc>
          <w:tcPr>
            <w:tcW w:w="1847"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财政法律、法规、规章及政策的执行情况监督检查</w:t>
            </w:r>
          </w:p>
        </w:tc>
        <w:tc>
          <w:tcPr>
            <w:tcW w:w="3300"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一)财政法律、法规、规章及政策的执行情况......”。　　　　　　　　　　　　　　　　　　　　　   </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《财政部门监督办法》(财政部令第69号)第十六条：“财政部门依法对下列事项实施监督：(一)财税法规、政策的执行情况……”</w:t>
            </w:r>
          </w:p>
        </w:tc>
        <w:tc>
          <w:tcPr>
            <w:tcW w:w="608"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23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40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1.决定责任：根据年度财政监督检查计划、财政厅安排部署或者局领导批示，科学制定检查方案，下发检查通知。</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税政与条法股、各业务股室</w:t>
            </w:r>
          </w:p>
        </w:tc>
      </w:tr>
      <w:tr>
        <w:tblPrEx>
          <w:tblCellMar>
            <w:top w:w="0" w:type="dxa"/>
            <w:left w:w="0" w:type="dxa"/>
            <w:bottom w:w="0" w:type="dxa"/>
            <w:right w:w="0" w:type="dxa"/>
          </w:tblCellMar>
        </w:tblPrEx>
        <w:trPr>
          <w:trHeight w:val="888"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8"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40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7"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问题复核汇总</w:t>
            </w:r>
          </w:p>
        </w:tc>
        <w:tc>
          <w:tcPr>
            <w:tcW w:w="40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3.复核汇总责任：对检查发现的问题事实、证据、检查取证程序、法律适用、问题处理建议、加强和改进财政管理的意见和建议等方面进行复核，并汇总形成总体检查报告提交局办公会议审议。</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48"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问题处理</w:t>
            </w:r>
          </w:p>
        </w:tc>
        <w:tc>
          <w:tcPr>
            <w:tcW w:w="40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4.处理责任：根据局办公会议审定意见，对问题进行整改、行政处罚、移送分类处理。</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98"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持续监管</w:t>
            </w:r>
          </w:p>
        </w:tc>
        <w:tc>
          <w:tcPr>
            <w:tcW w:w="40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5.监管责任：对整改、处罚及移送问题落实情况进行追踪，对整改情况进行抽查核实，确保问题限期整改纠正到位。</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09"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0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3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2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477" w:type="dxa"/>
        <w:jc w:val="center"/>
        <w:tblLayout w:type="fixed"/>
        <w:tblCellMar>
          <w:top w:w="0" w:type="dxa"/>
          <w:left w:w="0" w:type="dxa"/>
          <w:bottom w:w="0" w:type="dxa"/>
          <w:right w:w="0" w:type="dxa"/>
        </w:tblCellMar>
      </w:tblPr>
      <w:tblGrid>
        <w:gridCol w:w="977"/>
        <w:gridCol w:w="1130"/>
        <w:gridCol w:w="3997"/>
        <w:gridCol w:w="753"/>
        <w:gridCol w:w="1140"/>
        <w:gridCol w:w="2982"/>
        <w:gridCol w:w="2203"/>
        <w:gridCol w:w="1295"/>
      </w:tblGrid>
      <w:tr>
        <w:tblPrEx>
          <w:tblCellMar>
            <w:top w:w="0" w:type="dxa"/>
            <w:left w:w="0" w:type="dxa"/>
            <w:bottom w:w="0" w:type="dxa"/>
            <w:right w:w="0" w:type="dxa"/>
          </w:tblCellMar>
        </w:tblPrEx>
        <w:trPr>
          <w:trHeight w:val="699" w:hRule="atLeast"/>
          <w:jc w:val="center"/>
        </w:trPr>
        <w:tc>
          <w:tcPr>
            <w:tcW w:w="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1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3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职权</w:t>
            </w:r>
          </w:p>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类别</w:t>
            </w:r>
          </w:p>
        </w:tc>
        <w:tc>
          <w:tcPr>
            <w:tcW w:w="1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29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22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黑体" w:eastAsia="黑体" w:cs="黑体"/>
                <w:color w:val="auto"/>
                <w:kern w:val="0"/>
                <w:sz w:val="24"/>
              </w:rPr>
              <w:t>追责情形</w:t>
            </w:r>
          </w:p>
        </w:tc>
        <w:tc>
          <w:tcPr>
            <w:tcW w:w="12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626" w:hRule="atLeast"/>
          <w:jc w:val="center"/>
        </w:trPr>
        <w:tc>
          <w:tcPr>
            <w:tcW w:w="9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39</w:t>
            </w:r>
          </w:p>
        </w:tc>
        <w:tc>
          <w:tcPr>
            <w:tcW w:w="11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整改落实情况监督检查</w:t>
            </w:r>
          </w:p>
        </w:tc>
        <w:tc>
          <w:tcPr>
            <w:tcW w:w="3997" w:type="dxa"/>
            <w:vMerge w:val="restart"/>
            <w:tcBorders>
              <w:top w:val="single" w:color="000000"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五)审计机关、上级财政部门等监督检查和本部门内部监督检查查出问题的整改落实情况......”</w:t>
            </w:r>
          </w:p>
        </w:tc>
        <w:tc>
          <w:tcPr>
            <w:tcW w:w="7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14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29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1.决定责任：根据年度财政监督检查计划、财政厅安排部署或者局领导批示，科学制定各项检查方案时，将以前年度检查发现问题整改落实情况纳入检查内容之一进行检查。</w:t>
            </w:r>
          </w:p>
        </w:tc>
        <w:tc>
          <w:tcPr>
            <w:tcW w:w="22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财政监督办法》（河南省人民政府令第135号）第三十二条：财政部门实施财政监督有下列行为之一的,由本级人民政府或者上一级财政部门责令改正;情节严重的,对单位予以通报批评,并依法追究单位主要负责人及其相关人员的责任;给当事人造成损失的,依法承担赔偿责任;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一)不履行法定职责或者违法作出具体行政行为的;(二)超越职权或者违反规定程序实施财政监督检查的;(三)包庇被监督对象财政违法行为的;(四)利用职务之便谋取不正当利益的;(五)泄露工作中知悉的国家秘密和商业秘密的;(六)遗失检查资料的;(七)其他滥用职权、玩忽职守、徇私舞弊的行为。</w:t>
            </w:r>
          </w:p>
        </w:tc>
        <w:tc>
          <w:tcPr>
            <w:tcW w:w="129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税政与条法股、各业务股室</w:t>
            </w:r>
          </w:p>
        </w:tc>
      </w:tr>
      <w:tr>
        <w:tblPrEx>
          <w:tblCellMar>
            <w:top w:w="0" w:type="dxa"/>
            <w:left w:w="0" w:type="dxa"/>
            <w:bottom w:w="0" w:type="dxa"/>
            <w:right w:w="0" w:type="dxa"/>
          </w:tblCellMar>
        </w:tblPrEx>
        <w:trPr>
          <w:trHeight w:val="2366" w:hRule="atLeast"/>
          <w:jc w:val="center"/>
        </w:trPr>
        <w:tc>
          <w:tcPr>
            <w:tcW w:w="9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9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29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2.检查责任：组成检查组，依照《财政检查工作办法》（财政部令第32号）等规定程序，到被检查单位对以前年度发现问题的整改落实情况进行现场检查。</w:t>
            </w:r>
          </w:p>
        </w:tc>
        <w:tc>
          <w:tcPr>
            <w:tcW w:w="220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15" w:hRule="atLeast"/>
          <w:jc w:val="center"/>
        </w:trPr>
        <w:tc>
          <w:tcPr>
            <w:tcW w:w="97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9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督促整改</w:t>
            </w:r>
          </w:p>
        </w:tc>
        <w:tc>
          <w:tcPr>
            <w:tcW w:w="29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3.督促责任：对问题没有整改落实的，督促限期整改落实。</w:t>
            </w:r>
          </w:p>
        </w:tc>
        <w:tc>
          <w:tcPr>
            <w:tcW w:w="220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97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97"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5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40"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82"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4.其他法律法规规章文件规定应履行的责任。</w:t>
            </w:r>
          </w:p>
        </w:tc>
        <w:tc>
          <w:tcPr>
            <w:tcW w:w="220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9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151" w:type="dxa"/>
        <w:jc w:val="center"/>
        <w:tblLayout w:type="fixed"/>
        <w:tblCellMar>
          <w:top w:w="0" w:type="dxa"/>
          <w:left w:w="0" w:type="dxa"/>
          <w:bottom w:w="0" w:type="dxa"/>
          <w:right w:w="0" w:type="dxa"/>
        </w:tblCellMar>
      </w:tblPr>
      <w:tblGrid>
        <w:gridCol w:w="721"/>
        <w:gridCol w:w="1150"/>
        <w:gridCol w:w="4034"/>
        <w:gridCol w:w="733"/>
        <w:gridCol w:w="1030"/>
        <w:gridCol w:w="3344"/>
        <w:gridCol w:w="1729"/>
        <w:gridCol w:w="1410"/>
      </w:tblGrid>
      <w:tr>
        <w:tblPrEx>
          <w:tblCellMar>
            <w:top w:w="0" w:type="dxa"/>
            <w:left w:w="0" w:type="dxa"/>
            <w:bottom w:w="0" w:type="dxa"/>
            <w:right w:w="0" w:type="dxa"/>
          </w:tblCellMar>
        </w:tblPrEx>
        <w:trPr>
          <w:trHeight w:val="699" w:hRule="atLeast"/>
          <w:jc w:val="center"/>
        </w:trPr>
        <w:tc>
          <w:tcPr>
            <w:tcW w:w="7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1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40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7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10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33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7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黑体" w:eastAsia="黑体" w:cs="黑体"/>
                <w:color w:val="auto"/>
                <w:kern w:val="0"/>
                <w:sz w:val="24"/>
              </w:rPr>
              <w:t>追责情形</w:t>
            </w:r>
          </w:p>
        </w:tc>
        <w:tc>
          <w:tcPr>
            <w:tcW w:w="1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758" w:hRule="atLeast"/>
          <w:jc w:val="center"/>
        </w:trPr>
        <w:tc>
          <w:tcPr>
            <w:tcW w:w="721"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40</w:t>
            </w:r>
          </w:p>
        </w:tc>
        <w:tc>
          <w:tcPr>
            <w:tcW w:w="115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财政票据监督检查</w:t>
            </w:r>
          </w:p>
        </w:tc>
        <w:tc>
          <w:tcPr>
            <w:tcW w:w="4034"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票据管理办法》(财政部令第70号)第四条：“省级以下财政部门负责本行政区域财政票据的申领、发放、核销、销毁和监督检查等工作。”第三十七条：“财政部门应当建立健全财政票据监督检查制度，对财政票据印制、使用、管理等情况进行检查。”</w:t>
            </w:r>
          </w:p>
        </w:tc>
        <w:tc>
          <w:tcPr>
            <w:tcW w:w="73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030"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33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1.决定责任：根据年度财政监督检查计划、上级部门安排部署或者局领导批示，科学制定检查方案，下发检查通知。</w:t>
            </w:r>
          </w:p>
        </w:tc>
        <w:tc>
          <w:tcPr>
            <w:tcW w:w="172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《财政票据管理办法》第四十三条：财政部门、行政事业单位工作人员违反本办法规定，在工作中徇私舞弊、玩忽职守、滥用职权的，依法给予处分；构成犯罪的，依法追究刑事责任。</w:t>
            </w:r>
          </w:p>
        </w:tc>
        <w:tc>
          <w:tcPr>
            <w:tcW w:w="14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1260" w:hRule="atLeast"/>
          <w:jc w:val="center"/>
        </w:trPr>
        <w:tc>
          <w:tcPr>
            <w:tcW w:w="721"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3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33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tc>
        <w:tc>
          <w:tcPr>
            <w:tcW w:w="172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43" w:hRule="atLeast"/>
          <w:jc w:val="center"/>
        </w:trPr>
        <w:tc>
          <w:tcPr>
            <w:tcW w:w="721"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3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问题复核汇总</w:t>
            </w:r>
          </w:p>
        </w:tc>
        <w:tc>
          <w:tcPr>
            <w:tcW w:w="33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3.复核汇总责任：对检查发现的问题事实、证据、检查取证程序、法律适用、问题处理建议、加强和改进财政管理的意见和建议等方面进行复核，并汇总形成总体检查报告提交局领导及有关科室审议。</w:t>
            </w:r>
          </w:p>
        </w:tc>
        <w:tc>
          <w:tcPr>
            <w:tcW w:w="172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8" w:hRule="atLeast"/>
          <w:jc w:val="center"/>
        </w:trPr>
        <w:tc>
          <w:tcPr>
            <w:tcW w:w="721"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3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问题处理</w:t>
            </w:r>
          </w:p>
        </w:tc>
        <w:tc>
          <w:tcPr>
            <w:tcW w:w="33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4.处理责任：根据审议意见，对问题进行整改、行政处罚、移送分类处理。</w:t>
            </w:r>
          </w:p>
        </w:tc>
        <w:tc>
          <w:tcPr>
            <w:tcW w:w="172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38" w:hRule="atLeast"/>
          <w:jc w:val="center"/>
        </w:trPr>
        <w:tc>
          <w:tcPr>
            <w:tcW w:w="721"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0" w:type="dxa"/>
            <w:vMerge w:val="continue"/>
            <w:tcBorders>
              <w:left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4034"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73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持续监管</w:t>
            </w:r>
          </w:p>
        </w:tc>
        <w:tc>
          <w:tcPr>
            <w:tcW w:w="33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5.监管责任：对整改、处罚及移送问题落实情况进行追踪，对整改情况进行抽查核实，确保问题限期整改纠正到位。</w:t>
            </w:r>
          </w:p>
        </w:tc>
        <w:tc>
          <w:tcPr>
            <w:tcW w:w="172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43" w:hRule="atLeast"/>
          <w:jc w:val="center"/>
        </w:trPr>
        <w:tc>
          <w:tcPr>
            <w:tcW w:w="72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5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34"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3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3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172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698" w:type="dxa"/>
        <w:jc w:val="center"/>
        <w:tblLayout w:type="fixed"/>
        <w:tblCellMar>
          <w:top w:w="0" w:type="dxa"/>
          <w:left w:w="0" w:type="dxa"/>
          <w:bottom w:w="0" w:type="dxa"/>
          <w:right w:w="0" w:type="dxa"/>
        </w:tblCellMar>
      </w:tblPr>
      <w:tblGrid>
        <w:gridCol w:w="727"/>
        <w:gridCol w:w="1084"/>
        <w:gridCol w:w="2391"/>
        <w:gridCol w:w="1117"/>
        <w:gridCol w:w="1117"/>
        <w:gridCol w:w="4708"/>
        <w:gridCol w:w="2420"/>
        <w:gridCol w:w="1134"/>
      </w:tblGrid>
      <w:tr>
        <w:tblPrEx>
          <w:tblCellMar>
            <w:top w:w="0" w:type="dxa"/>
            <w:left w:w="0" w:type="dxa"/>
            <w:bottom w:w="0" w:type="dxa"/>
            <w:right w:w="0" w:type="dxa"/>
          </w:tblCellMar>
        </w:tblPrEx>
        <w:trPr>
          <w:trHeight w:val="867" w:hRule="atLeast"/>
          <w:jc w:val="center"/>
        </w:trPr>
        <w:tc>
          <w:tcPr>
            <w:tcW w:w="72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0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239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11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111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4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24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追责情形</w:t>
            </w: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829" w:hRule="atLeast"/>
          <w:jc w:val="center"/>
        </w:trPr>
        <w:tc>
          <w:tcPr>
            <w:tcW w:w="72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41</w:t>
            </w:r>
          </w:p>
        </w:tc>
        <w:tc>
          <w:tcPr>
            <w:tcW w:w="108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财政专项资金监督检查</w:t>
            </w:r>
          </w:p>
        </w:tc>
        <w:tc>
          <w:tcPr>
            <w:tcW w:w="2391"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四)财政专项资金的管理、使用和效益情况......”</w:t>
            </w:r>
          </w:p>
        </w:tc>
        <w:tc>
          <w:tcPr>
            <w:tcW w:w="111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tc>
        <w:tc>
          <w:tcPr>
            <w:tcW w:w="1117"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4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1.决定责任：根据年度财政监督检查计划、上级部门安排部署或者局领导批示，科学制定检查方案，下发检查通知。</w:t>
            </w:r>
          </w:p>
        </w:tc>
        <w:tc>
          <w:tcPr>
            <w:tcW w:w="24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财政监督办法》（河南省人民政府令第135号）第三十二条：财政部门实施财政监督有下列行为之一的,由本级人民政府或者上一级财政部门责令改正;情节严重的,对单位予以通报批评,并依法追究单位主要负责人及其相关人员的责任;给当事人造成损失的,依法承担赔偿责任;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一)不履行法定职责或者违法作出具体行政行为的;(二)超越职权或者违反规定程序实施财政监督检查的;(三)包庇被监督对象财政违法行为的;(四)利用职务之便谋取不正当利益的;(五)泄露工作中知悉的国家秘密和商业秘密的;(六)遗失检查资料的;(七)其他滥用职权、玩忽职守、徇私舞弊的行为。</w:t>
            </w:r>
          </w:p>
        </w:tc>
        <w:tc>
          <w:tcPr>
            <w:tcW w:w="113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税政与条法股、各业务股室</w:t>
            </w:r>
          </w:p>
        </w:tc>
      </w:tr>
      <w:tr>
        <w:tblPrEx>
          <w:tblCellMar>
            <w:top w:w="0" w:type="dxa"/>
            <w:left w:w="0" w:type="dxa"/>
            <w:bottom w:w="0" w:type="dxa"/>
            <w:right w:w="0" w:type="dxa"/>
          </w:tblCellMar>
        </w:tblPrEx>
        <w:trPr>
          <w:trHeight w:val="470" w:hRule="atLeast"/>
          <w:jc w:val="center"/>
        </w:trPr>
        <w:tc>
          <w:tcPr>
            <w:tcW w:w="727"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9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4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tc>
        <w:tc>
          <w:tcPr>
            <w:tcW w:w="24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0" w:hRule="atLeast"/>
          <w:jc w:val="center"/>
        </w:trPr>
        <w:tc>
          <w:tcPr>
            <w:tcW w:w="727"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9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问题复核汇总</w:t>
            </w:r>
          </w:p>
        </w:tc>
        <w:tc>
          <w:tcPr>
            <w:tcW w:w="4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3.复核汇总责任：对检查发现的问题事实、证据、检查取证程序、法律适用、问题处理建议、加强和改进财政管理的意见和建议等方面进行复核，并汇总形成总体检查报告提交局领导及有关股室审议。</w:t>
            </w:r>
          </w:p>
        </w:tc>
        <w:tc>
          <w:tcPr>
            <w:tcW w:w="24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06" w:hRule="atLeast"/>
          <w:jc w:val="center"/>
        </w:trPr>
        <w:tc>
          <w:tcPr>
            <w:tcW w:w="727"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91"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问题处理</w:t>
            </w:r>
          </w:p>
        </w:tc>
        <w:tc>
          <w:tcPr>
            <w:tcW w:w="4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4.处理责任：根据审议意见，对问题进行整改、行政处罚、移送分类处理。</w:t>
            </w:r>
          </w:p>
        </w:tc>
        <w:tc>
          <w:tcPr>
            <w:tcW w:w="24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559" w:hRule="atLeast"/>
          <w:jc w:val="center"/>
        </w:trPr>
        <w:tc>
          <w:tcPr>
            <w:tcW w:w="727"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2391" w:type="dxa"/>
            <w:vMerge w:val="continue"/>
            <w:tcBorders>
              <w:left w:val="single" w:color="000000"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11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持续监管</w:t>
            </w:r>
          </w:p>
        </w:tc>
        <w:tc>
          <w:tcPr>
            <w:tcW w:w="4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5.监管责任：对整改、处罚及移送问题落实情况进行追踪，对整改情况进行抽查核实，确保问题限期整改纠正到位。</w:t>
            </w:r>
          </w:p>
        </w:tc>
        <w:tc>
          <w:tcPr>
            <w:tcW w:w="24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48" w:hRule="atLeast"/>
          <w:jc w:val="center"/>
        </w:trPr>
        <w:tc>
          <w:tcPr>
            <w:tcW w:w="72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391"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24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3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748"/>
        <w:gridCol w:w="3985"/>
        <w:gridCol w:w="690"/>
        <w:gridCol w:w="1268"/>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74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9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6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2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184"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42</w:t>
            </w:r>
          </w:p>
        </w:tc>
        <w:tc>
          <w:tcPr>
            <w:tcW w:w="174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政府采购法规、政策的执行情况监督检查</w:t>
            </w:r>
          </w:p>
        </w:tc>
        <w:tc>
          <w:tcPr>
            <w:tcW w:w="3985"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 w:val="18"/>
                <w:szCs w:val="18"/>
              </w:rPr>
            </w:pPr>
            <w:r>
              <w:rPr>
                <w:rFonts w:hint="eastAsia" w:ascii="仿宋" w:hAnsi="仿宋" w:eastAsia="仿宋" w:cs="仿宋"/>
                <w:color w:val="auto"/>
                <w:szCs w:val="21"/>
              </w:rPr>
              <w:t xml:space="preserve"> </w:t>
            </w:r>
            <w:r>
              <w:rPr>
                <w:rFonts w:hint="eastAsia" w:ascii="仿宋" w:hAnsi="仿宋" w:eastAsia="仿宋" w:cs="仿宋"/>
                <w:color w:val="auto"/>
                <w:sz w:val="18"/>
                <w:szCs w:val="18"/>
              </w:rPr>
              <w:t xml:space="preserve"> 《中华人民共和国政府采购法》第五十九条：“政府采购监督管理部门应当加强对政府采购活动及集中采购机构的监督检查。检查内容包括：（一）有关政府采购的法律、行政法规和规章的执行情况；（二）采购范围、采购方式和采购程序的执行情况；（三）政府采购人员的职业素质和专业技能。” 第六十五条：“政府采购监督管理部门应当对政府采购项目的采购活动进行检查，政府采购当事人应当如实反映情况，提供有关材料。”《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五)政府采购及管理情况；......”《政府采购信息发布管理办法》（中华人民共和国财政部令第101号）第五条：“ 地方各级人民政府财政部门（以下简称财政部门）对本级预算单位的政府采购信息发布活动进行监督管理。 第十六条　采购人或者其委托的采购代理机构未依法在指定媒体上发布政府采购项目信息的，依照政府采购法实施条例第六十八条追究法律责任。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 w:val="18"/>
                <w:szCs w:val="18"/>
              </w:rPr>
              <w:t xml:space="preserve">   《财政部门监督办法》（财政部令第69号）第十六条：“财政部门依法对下列事项实施监督：......（五）政府采购法规、政策的执行情况；......”</w:t>
            </w:r>
          </w:p>
        </w:tc>
        <w:tc>
          <w:tcPr>
            <w:tcW w:w="69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26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1.决定责任：科学合理制订检查计划，明确检查内容、实施步骤和检查依据，根据实际情况采取抽查、自查、专项检查、年度检查等方式。</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1107"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6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书面审查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2.审查责任：组成检查组，调阅被检查单位政府采购档案资料，根据政府采购法律法规和政策，检查执行情况，形成检查工作底稿。</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75"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6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3.检查责任：结合书面审查发现的问题，检查组进一步到被检查单位实施现场检查。</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18"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6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沟通确认   检查结果</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4.沟通责任：与被检查单位就检查发现的问题进行沟通，并签字盖章确认工作底稿。</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04"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4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6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督促整改</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5.督促责任：督促有关单位对检查中发现的问题进行整改，并及时报送整改报告。</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75"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74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85"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6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2849"/>
        <w:gridCol w:w="2120"/>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284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1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123"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43</w:t>
            </w: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社会保障基金、住房公积金等资金征收、使用和管理情况监督检查</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督：......(六)社会保障基金、住房公积金等资金征收、使用和管理情况......”</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28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1.决定责任：根据年度财政监督检查计划、财政厅安排部署或者局领导批示，科学制定检查方案，下发检查通知。</w:t>
            </w:r>
          </w:p>
        </w:tc>
        <w:tc>
          <w:tcPr>
            <w:tcW w:w="21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财政监督办法》（河南省人民政府令第135号）第三十二条：财政部门实施财政监督有下列行为之一的,由本级人民政府或者上一级财政部门责令改正;情节严重的,对单位予以通报批评,并依法追究单位主要负责人及其相关人员的责任;给当事人造成损失的,依法承担赔偿责任;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一)不履行法定职责或者违法作出具体行政行为的;(二)超越职权或者违反规定程序实施财政监督检查的;(三)包庇被监督对象财政违法行为的;(四)利用职务之便谋取不正当利益的;(五)泄露工作中知悉的国家秘密和商业秘密的;(六)遗失检查资料的;(七)其他滥用职权、玩忽职守、徇私舞弊的行为。</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税政与条法股、社会保障股</w:t>
            </w:r>
          </w:p>
        </w:tc>
      </w:tr>
      <w:tr>
        <w:tblPrEx>
          <w:tblCellMar>
            <w:top w:w="0" w:type="dxa"/>
            <w:left w:w="0" w:type="dxa"/>
            <w:bottom w:w="0" w:type="dxa"/>
            <w:right w:w="0" w:type="dxa"/>
          </w:tblCellMar>
        </w:tblPrEx>
        <w:trPr>
          <w:trHeight w:val="1284"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28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tc>
        <w:tc>
          <w:tcPr>
            <w:tcW w:w="21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79"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问题复核汇总</w:t>
            </w:r>
          </w:p>
        </w:tc>
        <w:tc>
          <w:tcPr>
            <w:tcW w:w="28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3.复核汇总责任：对检查发现的问题事实、证据、检查取证程序、法律适用、问题处理建议、加强和改进财政管理的意见和建议等方面进行复核，并汇总形成总体检查报告提交局办公会议审议。</w:t>
            </w:r>
          </w:p>
        </w:tc>
        <w:tc>
          <w:tcPr>
            <w:tcW w:w="21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9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问题处理</w:t>
            </w:r>
          </w:p>
        </w:tc>
        <w:tc>
          <w:tcPr>
            <w:tcW w:w="28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4.处理责任：根据局办公会议审定意见，对问题进行整改、行政处罚、移送分类处理。</w:t>
            </w:r>
          </w:p>
        </w:tc>
        <w:tc>
          <w:tcPr>
            <w:tcW w:w="21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19"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持续监管</w:t>
            </w:r>
          </w:p>
        </w:tc>
        <w:tc>
          <w:tcPr>
            <w:tcW w:w="28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5.监管责任：对整改、处罚及移送问题落实情况进行追踪，对整改情况进行抽查核实，确保问题限期整改纠正到位。</w:t>
            </w:r>
          </w:p>
        </w:tc>
        <w:tc>
          <w:tcPr>
            <w:tcW w:w="212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69"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21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rFonts w:ascii="仿宋" w:hAnsi="仿宋" w:eastAsia="仿宋" w:cs="仿宋"/>
          <w:color w:val="auto"/>
          <w:sz w:val="18"/>
          <w:szCs w:val="18"/>
        </w:rPr>
      </w:pP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2860"/>
        <w:gridCol w:w="2293"/>
        <w:gridCol w:w="1462"/>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办理环节</w:t>
            </w:r>
          </w:p>
        </w:tc>
        <w:tc>
          <w:tcPr>
            <w:tcW w:w="28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责任事项</w:t>
            </w:r>
          </w:p>
        </w:tc>
        <w:tc>
          <w:tcPr>
            <w:tcW w:w="22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46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42" w:hRule="atLeast"/>
          <w:jc w:val="center"/>
        </w:trPr>
        <w:tc>
          <w:tcPr>
            <w:tcW w:w="1144"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44</w:t>
            </w:r>
          </w:p>
        </w:tc>
        <w:tc>
          <w:tcPr>
            <w:tcW w:w="1847"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国有资产收益收支及管理情况监督检查</w:t>
            </w:r>
          </w:p>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tc>
        <w:tc>
          <w:tcPr>
            <w:tcW w:w="3300" w:type="dxa"/>
            <w:vMerge w:val="restart"/>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hint="eastAsia" w:ascii="仿宋" w:hAnsi="仿宋" w:eastAsia="仿宋" w:cs="仿宋"/>
                <w:color w:val="auto"/>
                <w:szCs w:val="21"/>
              </w:rPr>
            </w:pPr>
            <w:r>
              <w:rPr>
                <w:rFonts w:hint="eastAsia" w:ascii="仿宋" w:hAnsi="仿宋" w:eastAsia="仿宋" w:cs="仿宋"/>
                <w:color w:val="auto"/>
                <w:szCs w:val="21"/>
              </w:rPr>
              <w:t>《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w:t>
            </w:r>
            <w:r>
              <w:rPr>
                <w:rFonts w:hint="eastAsia" w:ascii="仿宋" w:hAnsi="仿宋" w:eastAsia="仿宋" w:cs="仿宋"/>
                <w:color w:val="auto"/>
                <w:szCs w:val="21"/>
                <w:lang w:eastAsia="zh-CN"/>
              </w:rPr>
              <w:t>监督</w:t>
            </w:r>
            <w:r>
              <w:rPr>
                <w:rFonts w:hint="eastAsia" w:ascii="仿宋" w:hAnsi="仿宋" w:eastAsia="仿宋" w:cs="仿宋"/>
                <w:color w:val="auto"/>
                <w:szCs w:val="21"/>
              </w:rPr>
              <w:t>：......(七)国有资产收益收支及管理情况；(八)行政事业单位国有资产管理情况......”</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eastAsia="zh-CN"/>
              </w:rPr>
              <w:t>《行政事业性国有资产管理条例》（国务院令第</w:t>
            </w:r>
            <w:r>
              <w:rPr>
                <w:rFonts w:hint="eastAsia" w:ascii="仿宋" w:hAnsi="仿宋" w:eastAsia="仿宋" w:cs="仿宋"/>
                <w:color w:val="auto"/>
                <w:szCs w:val="21"/>
                <w:lang w:val="en-US" w:eastAsia="zh-CN"/>
              </w:rPr>
              <w:t>738号</w:t>
            </w:r>
            <w:r>
              <w:rPr>
                <w:rFonts w:hint="eastAsia" w:ascii="仿宋" w:hAnsi="仿宋" w:eastAsia="仿宋" w:cs="仿宋"/>
                <w:color w:val="auto"/>
                <w:szCs w:val="21"/>
                <w:lang w:eastAsia="zh-CN"/>
              </w:rPr>
              <w:t>）第四十九条：“县级以上人民政府财政部门应当对本级各部门及其所属单位行政事业性国有资产管理情况进行监督检查，依法向社会公开检查结果。”</w:t>
            </w:r>
          </w:p>
        </w:tc>
        <w:tc>
          <w:tcPr>
            <w:tcW w:w="1059"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240" w:lineRule="auto"/>
              <w:ind w:left="0" w:leftChars="0" w:right="0" w:rightChars="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制定方案</w:t>
            </w: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r>
              <w:rPr>
                <w:rFonts w:hint="eastAsia"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bidi="ar"/>
              </w:rPr>
              <w:t>制定行政事业单位国有资产收益收支及管理情况监督检查方案。</w:t>
            </w:r>
          </w:p>
        </w:tc>
        <w:tc>
          <w:tcPr>
            <w:tcW w:w="229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《河南省财政监督办法》第三十二条： 财政部门实施财政监督有下列行为之一的,由本级人民政府或者上一级财政部门责令改正;情节严重的,对单位予以通报批评,并依法追究单位主要负责人及其相关人员的责任;给当事人造成损失的,依法承担赔偿责任;构成犯罪的,依法追究刑事责任:</w:t>
            </w:r>
            <w:r>
              <w:rPr>
                <w:rFonts w:ascii="仿宋" w:hAnsi="仿宋" w:eastAsia="仿宋" w:cs="仿宋"/>
                <w:color w:val="auto"/>
                <w:szCs w:val="21"/>
              </w:rPr>
              <w:t>1.不履行法定职责或者违法作出具体行政行为的;2.超越职权或者违反规定程序实施财政监督检查的;3.包庇被监督对象财政违法行为的;4.利用职务之便谋取不正当利益的;5.泄露工作中知悉的国家秘密和商业秘密的;6.遗失检查资料的;7.其他滥用职权、玩忽职守、徇私舞弊的行为</w:t>
            </w:r>
            <w:r>
              <w:rPr>
                <w:rFonts w:hint="eastAsia" w:ascii="仿宋" w:hAnsi="仿宋" w:eastAsia="仿宋" w:cs="仿宋"/>
                <w:color w:val="auto"/>
                <w:szCs w:val="21"/>
              </w:rPr>
              <w:t>。</w:t>
            </w:r>
          </w:p>
        </w:tc>
        <w:tc>
          <w:tcPr>
            <w:tcW w:w="146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资产管理股、科技工业股、县属功能类公益类企业国有资产监管办公室</w:t>
            </w:r>
          </w:p>
        </w:tc>
      </w:tr>
      <w:tr>
        <w:tblPrEx>
          <w:tblCellMar>
            <w:top w:w="0" w:type="dxa"/>
            <w:left w:w="0" w:type="dxa"/>
            <w:bottom w:w="0" w:type="dxa"/>
            <w:right w:w="0" w:type="dxa"/>
          </w:tblCellMar>
        </w:tblPrEx>
        <w:trPr>
          <w:trHeight w:val="738"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240" w:lineRule="auto"/>
              <w:ind w:left="0" w:leftChars="0" w:right="0" w:rightChars="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下发通知</w:t>
            </w: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2</w:t>
            </w:r>
            <w:r>
              <w:rPr>
                <w:rFonts w:hint="eastAsia"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bidi="ar"/>
              </w:rPr>
              <w:t>下发监督检查通知。</w:t>
            </w:r>
          </w:p>
        </w:tc>
        <w:tc>
          <w:tcPr>
            <w:tcW w:w="229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39"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240" w:lineRule="auto"/>
              <w:ind w:left="0" w:leftChars="0" w:right="0" w:rightChars="0"/>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开展监督检查</w:t>
            </w: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3</w:t>
            </w:r>
            <w:r>
              <w:rPr>
                <w:rFonts w:hint="eastAsia"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bidi="ar"/>
              </w:rPr>
              <w:t>组织开展监督检查。</w:t>
            </w:r>
          </w:p>
        </w:tc>
        <w:tc>
          <w:tcPr>
            <w:tcW w:w="229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77"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left"/>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反馈意见</w:t>
            </w:r>
          </w:p>
        </w:tc>
        <w:tc>
          <w:tcPr>
            <w:tcW w:w="286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4</w:t>
            </w:r>
            <w:r>
              <w:rPr>
                <w:rFonts w:hint="eastAsia"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bidi="ar"/>
              </w:rPr>
              <w:t>向检查对象反馈意见。</w:t>
            </w:r>
          </w:p>
        </w:tc>
        <w:tc>
          <w:tcPr>
            <w:tcW w:w="229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61"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pacing w:beforeAutospacing="0" w:afterAutospacing="0"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督促整改</w:t>
            </w: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5</w:t>
            </w:r>
            <w:r>
              <w:rPr>
                <w:rFonts w:hint="eastAsia" w:ascii="仿宋" w:hAnsi="仿宋" w:eastAsia="仿宋" w:cs="仿宋"/>
                <w:color w:val="auto"/>
                <w:kern w:val="0"/>
                <w:sz w:val="21"/>
                <w:szCs w:val="21"/>
                <w:lang w:val="en-US" w:eastAsia="zh-CN" w:bidi="ar"/>
              </w:rPr>
              <w:t>.</w:t>
            </w:r>
            <w:r>
              <w:rPr>
                <w:rFonts w:hint="eastAsia" w:ascii="仿宋" w:hAnsi="仿宋" w:eastAsia="仿宋" w:cs="仿宋"/>
                <w:color w:val="auto"/>
                <w:kern w:val="0"/>
                <w:sz w:val="21"/>
                <w:szCs w:val="21"/>
                <w:lang w:bidi="ar"/>
              </w:rPr>
              <w:t>下发整改意见，督促落实整改。</w:t>
            </w:r>
          </w:p>
        </w:tc>
        <w:tc>
          <w:tcPr>
            <w:tcW w:w="229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2860"/>
        <w:gridCol w:w="2293"/>
        <w:gridCol w:w="1462"/>
      </w:tblGrid>
      <w:tr>
        <w:tblPrEx>
          <w:tblCellMar>
            <w:top w:w="0" w:type="dxa"/>
            <w:left w:w="0" w:type="dxa"/>
            <w:bottom w:w="0" w:type="dxa"/>
            <w:right w:w="0" w:type="dxa"/>
          </w:tblCellMar>
        </w:tblPrEx>
        <w:trPr>
          <w:trHeight w:val="635" w:hRule="atLeast"/>
          <w:jc w:val="center"/>
        </w:trPr>
        <w:tc>
          <w:tcPr>
            <w:tcW w:w="114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ascii="黑体" w:hAnsi="黑体" w:eastAsia="黑体" w:cs="黑体"/>
                <w:color w:val="auto"/>
                <w:kern w:val="0"/>
                <w:sz w:val="24"/>
              </w:rPr>
              <w:br w:type="page"/>
            </w:r>
            <w:r>
              <w:rPr>
                <w:rFonts w:hint="eastAsia" w:ascii="黑体" w:hAnsi="黑体" w:eastAsia="黑体" w:cs="黑体"/>
                <w:color w:val="auto"/>
                <w:kern w:val="0"/>
                <w:sz w:val="24"/>
              </w:rPr>
              <w:t>序号</w:t>
            </w:r>
          </w:p>
        </w:tc>
        <w:tc>
          <w:tcPr>
            <w:tcW w:w="18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项目名称</w:t>
            </w:r>
          </w:p>
        </w:tc>
        <w:tc>
          <w:tcPr>
            <w:tcW w:w="33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实施依据</w:t>
            </w:r>
          </w:p>
        </w:tc>
        <w:tc>
          <w:tcPr>
            <w:tcW w:w="105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类别</w:t>
            </w:r>
          </w:p>
        </w:tc>
        <w:tc>
          <w:tcPr>
            <w:tcW w:w="1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办理环节</w:t>
            </w:r>
          </w:p>
        </w:tc>
        <w:tc>
          <w:tcPr>
            <w:tcW w:w="286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责任事项</w:t>
            </w:r>
          </w:p>
        </w:tc>
        <w:tc>
          <w:tcPr>
            <w:tcW w:w="22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46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42"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45</w:t>
            </w: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国际组织和外国政府援助项目的财务收支情况监督检查</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 (十)国际组织和外国政府援助项目的财务收支情况……”</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《财政部门监督办法》(财政部令第69号)第十六条：“财政部门依法对下列事项实施监督：……（八）外国政府、国际金融组织贷款和赠款的管理情况……”</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1.受理责任：公示依法应当提交的材料；一次性告知补正材料；依法受理或不予受理（不予受理的依法告知理由）</w:t>
            </w:r>
          </w:p>
        </w:tc>
        <w:tc>
          <w:tcPr>
            <w:tcW w:w="229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财政监督办法》（河南省人民政府令第135号）第三十二条：财政部门实施财政监督有下列行为之一的,由本级人民政府或者上一级财政部门责令改正;情节严重的,对单位予以通报批评,并依法追究单位主要负责人及其相关人员的责任;给当事人造成损失的,依法承担赔偿责任;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一)不履行法定职责或者违法作出具体行政行为的;(二)超越职权或者违反规定程序实施财政监督检查的;(三)包庇被监督对象财政违法行为的;(四)利用职务之便谋取不正当利益的;(五)泄露工作中知悉的国家秘密和商业秘密的;(六)遗失检查资料的;(七)其他滥用职权、玩忽职守、徇私舞弊的行为。</w:t>
            </w:r>
          </w:p>
        </w:tc>
        <w:tc>
          <w:tcPr>
            <w:tcW w:w="146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1455"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材料审查（按照《河南省财政监督办法》(河南省人民政府令第135号)第三条）、《财政部门监督办法》(财政部令第69号)第十六条进行审查）；需要现场核查的，组织专家现场核查，并书面告知申请人；根据需要征求有关部门意见；提出初审意见。</w:t>
            </w:r>
          </w:p>
        </w:tc>
        <w:tc>
          <w:tcPr>
            <w:tcW w:w="229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39"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3.决定责任：作出决定；按时办结；法定告知。</w:t>
            </w:r>
          </w:p>
        </w:tc>
        <w:tc>
          <w:tcPr>
            <w:tcW w:w="229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2860"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4.送达责任：制作送达文书；按规定送达当事人；信息公开</w:t>
            </w:r>
          </w:p>
        </w:tc>
        <w:tc>
          <w:tcPr>
            <w:tcW w:w="229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2860"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5.事后监管责任：《河南省财政监督办法》(河南省人民政府令第135号)第三条、《财政部门监督办法》(财政部令第69号)第十六条</w:t>
            </w:r>
          </w:p>
        </w:tc>
        <w:tc>
          <w:tcPr>
            <w:tcW w:w="229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13"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229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6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408"/>
        <w:gridCol w:w="3920"/>
        <w:gridCol w:w="878"/>
        <w:gridCol w:w="1485"/>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4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9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42"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46</w:t>
            </w:r>
          </w:p>
        </w:tc>
        <w:tc>
          <w:tcPr>
            <w:tcW w:w="140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会计监督检查</w:t>
            </w:r>
          </w:p>
        </w:tc>
        <w:tc>
          <w:tcPr>
            <w:tcW w:w="392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《中华人民共和国会计法》第三十条</w:t>
            </w:r>
            <w:r>
              <w:rPr>
                <w:rFonts w:hint="eastAsia" w:ascii="仿宋" w:hAnsi="仿宋" w:eastAsia="仿宋" w:cs="仿宋"/>
                <w:color w:val="auto"/>
                <w:szCs w:val="21"/>
                <w:lang w:eastAsia="zh-CN"/>
              </w:rPr>
              <w:t>：“</w:t>
            </w:r>
            <w:r>
              <w:rPr>
                <w:rFonts w:hint="eastAsia" w:ascii="仿宋" w:hAnsi="仿宋" w:eastAsia="仿宋" w:cs="仿宋"/>
                <w:color w:val="auto"/>
                <w:szCs w:val="21"/>
              </w:rPr>
              <w:t>财政部门对各单位的下列情况实施监督：（一）是否依法设置会计账簿；（二）会计凭证、会计账簿、财务会计报告和其他会计资料是否真实、完整；（三）会计核算是否符合本法和国家统一的会计制度的规定；（四）从事会计工作的人员是否具备专业能力、遵守职业道德。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部门实施会计监督办法》（财政部令第10号）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   《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w:t>
            </w:r>
          </w:p>
        </w:tc>
        <w:tc>
          <w:tcPr>
            <w:tcW w:w="878"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检查准备</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1.决定责任：根据工作部署，确定检查对象，科学制定检查方案</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eastAsia="zh-CN"/>
              </w:rPr>
              <w:t>《中华人民共和国会计法》第四十四条：</w:t>
            </w:r>
            <w:r>
              <w:rPr>
                <w:rFonts w:hint="eastAsia" w:ascii="仿宋" w:hAnsi="仿宋" w:eastAsia="仿宋" w:cs="仿宋"/>
                <w:color w:val="auto"/>
                <w:szCs w:val="21"/>
              </w:rPr>
              <w:t>财政部门及有关行政部门的工作人员在实施监督管理中滥用职权、玩忽职守、徇私舞弊或者泄露国家秘密、工作秘密、商业秘密、个人隐私、个人信息的，依法给予处分；构成犯罪的，依法追究刑事责任。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会计股、税政与条法股</w:t>
            </w:r>
          </w:p>
        </w:tc>
      </w:tr>
      <w:tr>
        <w:tblPrEx>
          <w:tblCellMar>
            <w:top w:w="0" w:type="dxa"/>
            <w:left w:w="0" w:type="dxa"/>
            <w:bottom w:w="0" w:type="dxa"/>
            <w:right w:w="0" w:type="dxa"/>
          </w:tblCellMar>
        </w:tblPrEx>
        <w:trPr>
          <w:trHeight w:val="738"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2.送达责任：实施监督检查应当于3个工作日前向被监督对象送达财政监督检查通知书。</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39"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检查实施</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3.检查责任：组成检查组，对被监督检查对象进行检查，取得证明材料，编制工作底稿，形成检查报告。检查工作结束前，检查组应当将检查工作情况、被监督对象存在的问题等事项书面征求被监督对象的意见。</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89"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复核审理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4.复核责任：对报告以及其他有关材料予以复核。</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38"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5.决定责任：对监督检查报告及复核意见进行审定后，应当根据不同情况作出处理。</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54"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6.送达责任：将检查结论和行政处理、处罚决定书送达被监督对象。</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07"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跟踪监督</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7.监督责任：依法对财政行政处理、处罚决定执行情况进行跟踪监督。</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5"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整理归档</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8.归档责任：做好材料的立卷归档工作。</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60"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0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2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7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9.其他法律法规规章文件规定应履行的责任。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tbl>
      <w:tblPr>
        <w:tblStyle w:val="6"/>
        <w:tblW w:w="15450" w:type="dxa"/>
        <w:jc w:val="center"/>
        <w:tblLayout w:type="fixed"/>
        <w:tblCellMar>
          <w:top w:w="0" w:type="dxa"/>
          <w:left w:w="0" w:type="dxa"/>
          <w:bottom w:w="0" w:type="dxa"/>
          <w:right w:w="0" w:type="dxa"/>
        </w:tblCellMar>
      </w:tblPr>
      <w:tblGrid>
        <w:gridCol w:w="1368"/>
        <w:gridCol w:w="1623"/>
        <w:gridCol w:w="3300"/>
        <w:gridCol w:w="1059"/>
        <w:gridCol w:w="1485"/>
        <w:gridCol w:w="3323"/>
        <w:gridCol w:w="1935"/>
        <w:gridCol w:w="1357"/>
      </w:tblGrid>
      <w:tr>
        <w:tblPrEx>
          <w:tblCellMar>
            <w:top w:w="0" w:type="dxa"/>
            <w:left w:w="0" w:type="dxa"/>
            <w:bottom w:w="0" w:type="dxa"/>
            <w:right w:w="0" w:type="dxa"/>
          </w:tblCellMar>
        </w:tblPrEx>
        <w:trPr>
          <w:trHeight w:val="635" w:hRule="atLeast"/>
          <w:jc w:val="center"/>
        </w:trPr>
        <w:tc>
          <w:tcPr>
            <w:tcW w:w="13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6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9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5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89" w:hRule="atLeast"/>
          <w:jc w:val="center"/>
        </w:trPr>
        <w:tc>
          <w:tcPr>
            <w:tcW w:w="136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47</w:t>
            </w:r>
          </w:p>
        </w:tc>
        <w:tc>
          <w:tcPr>
            <w:tcW w:w="162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地方商业银行和非银行金融机构的资产和财务管理情况监督检查</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河南省财政监督办法》（河南省人民政府令第135号）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三)地方商业银行和非银行金融机构的资产和财务管理情况......”</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《财政部门监督办法》（财政部令第69号）第十六条：“财政部门依法对下列事项实施监督：......（六）行政、事业单位国有资产，金融类、文化企业等国有资产的管理情况......”</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立项</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1.立项责任：根据制度规定、年度工作计划、监督管理中发现的问题、举报信息以及其他履行职责的需要，决定是否实施检查。</w:t>
            </w:r>
          </w:p>
        </w:tc>
        <w:tc>
          <w:tcPr>
            <w:tcW w:w="193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《河南省财政监督办法》第三十二条 ：财政部门实施财政监督有下列行为之一的,由本级人民政府或者上一级财政部门责令改正;情节严重的,对单位予以通报批评,并依法追究单位主要负责人及其相关人员的责任;给当事人造成损失的,依法承担赔偿责任;构成犯罪的,依法追究刑事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一)不履行法定职责或者违法作出具体行政行为的;(二)超越职权或者违反规定程序实施财政监督检查的;(三)包庇被监督对象财政违法行为的;(四)利用职务之便谋取不正当利益的;(五)泄露工作中知悉的国家秘密和商业秘密的;(六)遗失检查资料的;(七)其他滥用职权、玩忽职守、徇私舞弊的行为。</w:t>
            </w:r>
          </w:p>
        </w:tc>
        <w:tc>
          <w:tcPr>
            <w:tcW w:w="135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金融与服务业股、税政与条法股、县属功能类公益类企业国有资产监管办公室</w:t>
            </w:r>
          </w:p>
        </w:tc>
      </w:tr>
      <w:tr>
        <w:tblPrEx>
          <w:tblCellMar>
            <w:top w:w="0" w:type="dxa"/>
            <w:left w:w="0" w:type="dxa"/>
            <w:bottom w:w="0" w:type="dxa"/>
            <w:right w:w="0" w:type="dxa"/>
          </w:tblCellMar>
        </w:tblPrEx>
        <w:trPr>
          <w:trHeight w:val="875"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2.告知责任：向被检查人送达《检查通知书》。</w:t>
            </w:r>
          </w:p>
        </w:tc>
        <w:tc>
          <w:tcPr>
            <w:tcW w:w="19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05"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检查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3.检查责任：依据规定进行检查，接受被检查人的监督。</w:t>
            </w:r>
          </w:p>
        </w:tc>
        <w:tc>
          <w:tcPr>
            <w:tcW w:w="19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22"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报告</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4.报告责任：在检查的基础上形成检查报告。</w:t>
            </w:r>
          </w:p>
        </w:tc>
        <w:tc>
          <w:tcPr>
            <w:tcW w:w="19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98"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处理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处理责任：被检查人有违反法律、行政法规或者规章规定的行为，并且依法应当市财政局给予行政处罚的，依照《中华人民共和国行政处罚法》处理。检查中发现被检查人有违法行为，并且应当由其他部门查处的，应当依法移送有关部门处理。</w:t>
            </w:r>
          </w:p>
        </w:tc>
        <w:tc>
          <w:tcPr>
            <w:tcW w:w="19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902" w:hRule="atLeast"/>
          <w:jc w:val="center"/>
        </w:trPr>
        <w:tc>
          <w:tcPr>
            <w:tcW w:w="136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193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35" w:hRule="atLeast"/>
          <w:jc w:val="center"/>
        </w:trPr>
        <w:tc>
          <w:tcPr>
            <w:tcW w:w="136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ascii="黑体" w:hAnsi="黑体" w:eastAsia="黑体" w:cs="黑体"/>
                <w:color w:val="auto"/>
                <w:kern w:val="0"/>
                <w:sz w:val="24"/>
              </w:rPr>
              <w:br w:type="page"/>
            </w:r>
            <w:r>
              <w:rPr>
                <w:rFonts w:hint="eastAsia" w:ascii="黑体" w:hAnsi="黑体" w:eastAsia="黑体" w:cs="黑体"/>
                <w:color w:val="auto"/>
                <w:kern w:val="0"/>
                <w:sz w:val="24"/>
              </w:rPr>
              <w:t>序号</w:t>
            </w:r>
          </w:p>
        </w:tc>
        <w:tc>
          <w:tcPr>
            <w:tcW w:w="162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项目名称</w:t>
            </w:r>
          </w:p>
        </w:tc>
        <w:tc>
          <w:tcPr>
            <w:tcW w:w="33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实施依据</w:t>
            </w:r>
          </w:p>
        </w:tc>
        <w:tc>
          <w:tcPr>
            <w:tcW w:w="105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类别</w:t>
            </w:r>
          </w:p>
        </w:tc>
        <w:tc>
          <w:tcPr>
            <w:tcW w:w="1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办理环节</w:t>
            </w:r>
          </w:p>
        </w:tc>
        <w:tc>
          <w:tcPr>
            <w:tcW w:w="332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责任事项</w:t>
            </w:r>
          </w:p>
        </w:tc>
        <w:tc>
          <w:tcPr>
            <w:tcW w:w="193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35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0" w:hRule="atLeast"/>
          <w:jc w:val="center"/>
        </w:trPr>
        <w:tc>
          <w:tcPr>
            <w:tcW w:w="136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48</w:t>
            </w:r>
          </w:p>
        </w:tc>
        <w:tc>
          <w:tcPr>
            <w:tcW w:w="1623"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代理记账机构监督检查</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代理记账管理办法》（财政部令第98号）第十七条：“县级以上人民政府财政部门对代理记账机构及其从事代理记账业务情况实施监督，随机抽取检查对象、随机选派执法检查人员，并将抽查情况及查处结果依法及时向社会公开。</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对委托代理记账的企业因违反财税法律、法规受到处理处罚的，县级以上人民政府财政部门应当将其委托的代理记账机构列入重点检查对象。</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对其他部门移交的代理记账违法行为线索，县级以上人民政府财政部门应当及时予以查处。</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检查准备</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1.决定责任：根据工作部署，确定检查对象，科学制定检查方案</w:t>
            </w:r>
          </w:p>
        </w:tc>
        <w:tc>
          <w:tcPr>
            <w:tcW w:w="193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《代理记账管理办法》第二十七条：县级以上人民政府财政部门及其工作人员在代理记账资格管理过程中，滥用职权、玩忽职守、徇私舞弊的，依法给予行政处分；涉嫌犯罪的，移送司法机关处理。</w:t>
            </w:r>
          </w:p>
        </w:tc>
        <w:tc>
          <w:tcPr>
            <w:tcW w:w="1357"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会计股</w:t>
            </w:r>
            <w:r>
              <w:rPr>
                <w:rFonts w:hint="eastAsia" w:ascii="仿宋" w:hAnsi="仿宋" w:eastAsia="仿宋" w:cs="仿宋"/>
                <w:color w:val="auto"/>
                <w:szCs w:val="21"/>
                <w:lang w:eastAsia="zh-CN"/>
              </w:rPr>
              <w:t>、税政条法股</w:t>
            </w:r>
          </w:p>
        </w:tc>
      </w:tr>
      <w:tr>
        <w:tblPrEx>
          <w:tblCellMar>
            <w:top w:w="0" w:type="dxa"/>
            <w:left w:w="0" w:type="dxa"/>
            <w:bottom w:w="0" w:type="dxa"/>
            <w:right w:w="0" w:type="dxa"/>
          </w:tblCellMar>
        </w:tblPrEx>
        <w:trPr>
          <w:trHeight w:val="1229"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2.送达责任：实施监督检查应当于3个工作日前向被监督对象送达财政监督检查通知书。</w:t>
            </w:r>
          </w:p>
        </w:tc>
        <w:tc>
          <w:tcPr>
            <w:tcW w:w="19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70"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检查实施</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3.检查责任：组成检查组，对被监督检查对象进行检查，取得证明材料，编制工作底稿，形成检查报告。检查工作结束前，检查组应当将检查工作情况、被监督对象存在的问题等事项书面征求被监督对象的意见。</w:t>
            </w:r>
          </w:p>
        </w:tc>
        <w:tc>
          <w:tcPr>
            <w:tcW w:w="19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364"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复核审理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4.复核责任：对报告以及其他有关材料予以复核。</w:t>
            </w:r>
          </w:p>
        </w:tc>
        <w:tc>
          <w:tcPr>
            <w:tcW w:w="19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5.决定责任：对监督检查报告及复核意见进行审定后，应当根据不同情况作出处理。</w:t>
            </w:r>
          </w:p>
        </w:tc>
        <w:tc>
          <w:tcPr>
            <w:tcW w:w="19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6.送达责任：将检查结论和行政处理、处罚决定书送达被监督对象。</w:t>
            </w:r>
          </w:p>
        </w:tc>
        <w:tc>
          <w:tcPr>
            <w:tcW w:w="19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跟踪监督</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7.监督责任：依法对财政行政处理、处罚决定执行情况进行跟踪监督。</w:t>
            </w:r>
          </w:p>
        </w:tc>
        <w:tc>
          <w:tcPr>
            <w:tcW w:w="19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 w:hRule="atLeast"/>
          <w:jc w:val="center"/>
        </w:trPr>
        <w:tc>
          <w:tcPr>
            <w:tcW w:w="136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整理归档</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8.归档责任：做好材料的立卷归档工作。</w:t>
            </w:r>
          </w:p>
        </w:tc>
        <w:tc>
          <w:tcPr>
            <w:tcW w:w="1935"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 w:hRule="atLeast"/>
          <w:jc w:val="center"/>
        </w:trPr>
        <w:tc>
          <w:tcPr>
            <w:tcW w:w="136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2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9.其他法律法规规章文件规定应履行的责任。</w:t>
            </w:r>
          </w:p>
        </w:tc>
        <w:tc>
          <w:tcPr>
            <w:tcW w:w="193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669"/>
        <w:gridCol w:w="1489"/>
        <w:gridCol w:w="4785"/>
        <w:gridCol w:w="788"/>
        <w:gridCol w:w="1104"/>
        <w:gridCol w:w="3323"/>
        <w:gridCol w:w="1646"/>
        <w:gridCol w:w="1646"/>
      </w:tblGrid>
      <w:tr>
        <w:tblPrEx>
          <w:tblCellMar>
            <w:top w:w="0" w:type="dxa"/>
            <w:left w:w="0" w:type="dxa"/>
            <w:bottom w:w="0" w:type="dxa"/>
            <w:right w:w="0" w:type="dxa"/>
          </w:tblCellMar>
        </w:tblPrEx>
        <w:trPr>
          <w:trHeight w:val="635" w:hRule="atLeast"/>
          <w:jc w:val="center"/>
        </w:trPr>
        <w:tc>
          <w:tcPr>
            <w:tcW w:w="66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48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7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7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1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0" w:hRule="atLeast"/>
          <w:jc w:val="center"/>
        </w:trPr>
        <w:tc>
          <w:tcPr>
            <w:tcW w:w="669"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49</w:t>
            </w:r>
          </w:p>
        </w:tc>
        <w:tc>
          <w:tcPr>
            <w:tcW w:w="1489"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对农村综合改革和基层财政管理财政专项资金监督检查</w:t>
            </w:r>
          </w:p>
        </w:tc>
        <w:tc>
          <w:tcPr>
            <w:tcW w:w="4785"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《中华人民共和国预算法》第五十七条：“各级政府财政部门必须依照法律、行政法规和国务院财政部门的规定，及时、足额地拨付预算支出资金，加强对预算支出的管理和监督。”  《国务院关于做好农村综合改革工作有关问题的通知》（国发﹝2006﹞34号） 第六条：“……做好财政对农民补贴补偿和对村级补助资金的监管。” 《财政部门监督办法》(财政部令第69号)第二条：“县级以上人民政府财政部门（以下简称财政部门）依法对单位和个人（以下统称监督对象）涉及财政、财务、会计等事项实施监督适用本办法。”第三条：“财政部门应当按照财政管理体制、财务隶属关系对财政、财务等事项实施监督；按照行政区域对会计事项实施监督。”第八条：“财政部门的监督职责由本部门专职监督机构和业务管理机构共同履行；……” 第十条：“业务管理机构应当履行下列监督职责：（一）在履行财政、财务、会计等管理职责过程中加强日常监督；（二）配合专职监督机构进行专项监督；（三）根据监督结果完善相关财政政策；（四）向专职监督机构反馈意见采纳情况。”第十六条：“财政部门依法对下列事项实施监督：（一）财税法规、政策的执行情况；（二）预算编制、执行、调整和决算情……（七）财务会计制度的执行情况……”   《中共中央组织部 财政部 农业农村部关于坚持和加强农村基层党组织领导扶持壮大扶持壮大村级集体经济的通知》（中组发﹝2018﹞18号）第3部分加强组织领导中第四条：“……各级组织、财政部门要加强对工作落实和扶持资金项目的监督检查，……及时纠正资金使用、工作推进中的问题……”                                         </w:t>
            </w:r>
          </w:p>
        </w:tc>
        <w:tc>
          <w:tcPr>
            <w:tcW w:w="78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1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1.决定责任：根据年度财政监督检查计划、上级部门安排部署或者局领导批示，科学制定检查方案，下发检查通知。</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《财政部门监督办法》(财政部令第69号)第二十六条：不履行或不正确履行应尽义务，有下列情形的行政机关及相关工作人员应承担相应的责任：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监督检查人员实施监督过程中玩忽职守、滥用职权、徇私舞弊或者泄露国家秘密、商业秘密的，依法给予行政处分；涉嫌犯罪的，依法移送司法机关。</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税政与条法股、农村农业股</w:t>
            </w:r>
          </w:p>
        </w:tc>
      </w:tr>
      <w:tr>
        <w:tblPrEx>
          <w:tblCellMar>
            <w:top w:w="0" w:type="dxa"/>
            <w:left w:w="0" w:type="dxa"/>
            <w:bottom w:w="0" w:type="dxa"/>
            <w:right w:w="0" w:type="dxa"/>
          </w:tblCellMar>
        </w:tblPrEx>
        <w:trPr>
          <w:trHeight w:val="1829" w:hRule="atLeast"/>
          <w:jc w:val="center"/>
        </w:trPr>
        <w:tc>
          <w:tcPr>
            <w:tcW w:w="6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356" w:hRule="atLeast"/>
          <w:jc w:val="center"/>
        </w:trPr>
        <w:tc>
          <w:tcPr>
            <w:tcW w:w="6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问题复核汇总</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3.复核汇总责任：对检查发现的问题事实、证据、检查取证程序、法律适用、问题处理建议、加强和改进财政管理的意见和建议等方面进行复核，并汇总形成总体检查报告提交局领导及有关科室审议。</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82" w:hRule="atLeast"/>
          <w:jc w:val="center"/>
        </w:trPr>
        <w:tc>
          <w:tcPr>
            <w:tcW w:w="6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问题处理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4.处理责任：根据审议意见，对问题进行整改、行政处罚、移送分类处理。</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jc w:val="center"/>
        </w:trPr>
        <w:tc>
          <w:tcPr>
            <w:tcW w:w="669"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9"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4"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持续监管</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5.监管责任：对整改、处罚及移送问题落实情况进行追踪，对整改情况进行抽查核实，确保问题限期整改纠正到位。</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23" w:hRule="atLeast"/>
          <w:jc w:val="center"/>
        </w:trPr>
        <w:tc>
          <w:tcPr>
            <w:tcW w:w="669"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785"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4"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pStyle w:val="2"/>
        <w:rPr>
          <w:color w:val="auto"/>
        </w:rPr>
      </w:pPr>
      <w:r>
        <w:rPr>
          <w:color w:val="auto"/>
        </w:rPr>
        <w:br w:type="page"/>
      </w:r>
    </w:p>
    <w:tbl>
      <w:tblPr>
        <w:tblStyle w:val="6"/>
        <w:tblW w:w="15450" w:type="dxa"/>
        <w:jc w:val="center"/>
        <w:tblLayout w:type="fixed"/>
        <w:tblCellMar>
          <w:top w:w="0" w:type="dxa"/>
          <w:left w:w="0" w:type="dxa"/>
          <w:bottom w:w="0" w:type="dxa"/>
          <w:right w:w="0" w:type="dxa"/>
        </w:tblCellMar>
      </w:tblPr>
      <w:tblGrid>
        <w:gridCol w:w="1144"/>
        <w:gridCol w:w="1102"/>
        <w:gridCol w:w="4555"/>
        <w:gridCol w:w="974"/>
        <w:gridCol w:w="1060"/>
        <w:gridCol w:w="3725"/>
        <w:gridCol w:w="1244"/>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10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5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7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0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7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2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10"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50</w:t>
            </w:r>
          </w:p>
        </w:tc>
        <w:tc>
          <w:tcPr>
            <w:tcW w:w="110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对农村综合改革和基层财政管理工作相关财政法律、法规、规章及政策的执行情况监督检查</w:t>
            </w:r>
          </w:p>
        </w:tc>
        <w:tc>
          <w:tcPr>
            <w:tcW w:w="4555"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部门监督办法》(财政部令第69号)第二条：“县级以上人民政府财政部门（以下简称财政部门）依法对单位和个人（以下统称监督对象）涉及财政、财务、会计等事项实施监督适用本办法。”第三条：“财政部门应当按照财政管理体制、财务隶属关系对财政、财务等事项实施监督；按照行政区域对会计事项实施监督。”第八条：“财政部门的监督职责由本部门专职监督机构和业务管理机构共同履行；……” 第十条：“业务管理机构应当履行下列监督职责：（一）在履行财政、财务、会计等管理职责过程中加强日常监督；（二）配合专职监督机构进行专项监督；（三）根据监督结果完善相关财政政策；（四）向专职监督机构反馈意见采纳情况。”第十六条：“财政部门依法对下列事项实施监督：（一）财税法规、政策的执行情况；（二）预算编制、执行、调整和决算情……（七）财务会计制度的执行情况……”《河南省财政监督办法》（河南省人民政府令第135号）第六条：“县级以上财政部门负责本行政区域的财政监督工作,财政部门内设的财政监督专职机构和其他业务机构在规定的职责范围内共同实施财政监督。”  第十一条：“财政部门依法对下列事项实施财政监督:(一)财政法律、法规、规章及政策的执行情况；(二)预算的编制、执行、调整和决算管理情况；……(四)财政专项资金的管理、使用和效益情况……(十二)被监督对象的财务管理与会计信息质量情况……(十五)审计机关、上级财政部门等监督检查和本部门内部监督检查查出问题的整改落实情况……”。</w:t>
            </w:r>
          </w:p>
        </w:tc>
        <w:tc>
          <w:tcPr>
            <w:tcW w:w="97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行政检查</w:t>
            </w:r>
          </w:p>
        </w:tc>
        <w:tc>
          <w:tcPr>
            <w:tcW w:w="106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3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1.决定责任：根据年度财政监督检查计划、上级部门安排部署或者局领导批示，科学制定检查方案，下发检查通知。</w:t>
            </w:r>
          </w:p>
        </w:tc>
        <w:tc>
          <w:tcPr>
            <w:tcW w:w="124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《财政部门监督办法》(财政部令第69号)第二十六条：不履行或不正确履行应尽义务，有下列情形的行政机关及相关工作人员应承担相应的责任：</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监督检查人员实施监督过程中玩忽职守、滥用职权、徇私舞弊或者泄露国家秘密、商业秘密的，依法给予行政处分；涉嫌犯罪的，依法移送司法机关。</w:t>
            </w:r>
          </w:p>
          <w:p>
            <w:pPr>
              <w:autoSpaceDN w:val="0"/>
              <w:snapToGrid w:val="0"/>
              <w:jc w:val="center"/>
              <w:textAlignment w:val="center"/>
              <w:rPr>
                <w:rFonts w:ascii="仿宋" w:hAnsi="仿宋" w:eastAsia="仿宋" w:cs="仿宋"/>
                <w:color w:val="auto"/>
                <w:szCs w:val="21"/>
              </w:rPr>
            </w:pP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税政与条法股、农村农业股</w:t>
            </w:r>
          </w:p>
        </w:tc>
      </w:tr>
      <w:tr>
        <w:tblPrEx>
          <w:tblCellMar>
            <w:top w:w="0" w:type="dxa"/>
            <w:left w:w="0" w:type="dxa"/>
            <w:bottom w:w="0" w:type="dxa"/>
            <w:right w:w="0" w:type="dxa"/>
          </w:tblCellMar>
        </w:tblPrEx>
        <w:trPr>
          <w:trHeight w:val="1699"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现场检查</w:t>
            </w:r>
          </w:p>
        </w:tc>
        <w:tc>
          <w:tcPr>
            <w:tcW w:w="3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检查责任：组成检查组，依照《财政检查工作办法》（财政部令第32号）等规定程序，到被检查单位查阅会计账簿、报表、凭证等检查资料，并通过座谈、走访、项目现场查看等方式全面、客观、公正地检查，并制作检查工作底稿，提交财政检查报告。</w:t>
            </w:r>
          </w:p>
        </w:tc>
        <w:tc>
          <w:tcPr>
            <w:tcW w:w="124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782"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问题复核汇总</w:t>
            </w:r>
          </w:p>
        </w:tc>
        <w:tc>
          <w:tcPr>
            <w:tcW w:w="3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3.复核汇总责任：对检查发现的问题事实、证据、检查取证程序、法律适用、问题处理建议、加强和改进财政管理的意见和建议等方面进行复核，并汇总形成总体检查报告提交局领导及有关科室审议。</w:t>
            </w:r>
          </w:p>
        </w:tc>
        <w:tc>
          <w:tcPr>
            <w:tcW w:w="124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2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问题处理</w:t>
            </w:r>
          </w:p>
        </w:tc>
        <w:tc>
          <w:tcPr>
            <w:tcW w:w="3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4.处理责任：根据审议意见，对问题进行整改、行政处罚、移送分类处理。</w:t>
            </w:r>
          </w:p>
        </w:tc>
        <w:tc>
          <w:tcPr>
            <w:tcW w:w="124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957"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55"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持续监管</w:t>
            </w:r>
          </w:p>
        </w:tc>
        <w:tc>
          <w:tcPr>
            <w:tcW w:w="3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5.监管责任：对整改、处罚及移送问题落实情况进行追踪，对整改情况进行抽查核实，确保问题限期整改纠正到位。</w:t>
            </w:r>
          </w:p>
        </w:tc>
        <w:tc>
          <w:tcPr>
            <w:tcW w:w="1244"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r>
        <w:tblPrEx>
          <w:tblCellMar>
            <w:top w:w="0" w:type="dxa"/>
            <w:left w:w="0" w:type="dxa"/>
            <w:bottom w:w="0" w:type="dxa"/>
            <w:right w:w="0" w:type="dxa"/>
          </w:tblCellMar>
        </w:tblPrEx>
        <w:trPr>
          <w:trHeight w:val="1758"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0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55"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6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124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 w:val="18"/>
                <w:szCs w:val="18"/>
              </w:rPr>
            </w:pPr>
          </w:p>
        </w:tc>
      </w:tr>
    </w:tbl>
    <w:p>
      <w:pPr>
        <w:pStyle w:val="2"/>
        <w:rPr>
          <w:color w:val="auto"/>
        </w:rPr>
      </w:pPr>
      <w:r>
        <w:rPr>
          <w:color w:val="auto"/>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2783"/>
        <w:gridCol w:w="218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27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1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82"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51</w:t>
            </w: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先进会计工作者评选表彰</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《中华人民共和国会计法》第六条：“对认真执行本法，忠于职守，坚持原则，做出显著成绩的会计人员，给予精神的或者物质的奖励。”</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全国先进会计工作者评选表彰办法》（财会（2007）7号)第三条：“财政部负责成立全国先进会计工作者评选表彰领导小组（以下简称领导小组），全面指导评选表彰工作，并负责评选表彰名额的确定和评选最终结果的审定。领导小组下设办公室，负责落实领导小组的工作决议、组织专家评审委员会对推荐的候选人进行评审、承担评选表彰的组织实施、沟通协调等各项管理工作。各地区、各部门应当设立相应领导机构和办事机构，负责本地区、本部门的评选表彰工作。”</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行政奖励</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准备</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1.决定责任：制定评选方案，成立评选领导小组，下发通知文件；</w:t>
            </w:r>
          </w:p>
        </w:tc>
        <w:tc>
          <w:tcPr>
            <w:tcW w:w="218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eastAsia="zh-CN"/>
              </w:rPr>
              <w:t>《中华人民共和国会计法》第四十四条：</w:t>
            </w:r>
            <w:r>
              <w:rPr>
                <w:rFonts w:hint="eastAsia" w:ascii="仿宋" w:hAnsi="仿宋" w:eastAsia="仿宋" w:cs="仿宋"/>
                <w:color w:val="auto"/>
                <w:szCs w:val="21"/>
              </w:rPr>
              <w:t>财政部门及有关行政部门的工作人员在实施监督管理中滥用职权、玩忽职守、徇私舞弊或者泄露国家秘密、工作秘密、商业秘密、个人隐私、个人信息的，依法给予处分；构成犯罪的，依法追究刑事责任。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会计股</w:t>
            </w:r>
          </w:p>
        </w:tc>
      </w:tr>
      <w:tr>
        <w:tblPrEx>
          <w:tblCellMar>
            <w:top w:w="0" w:type="dxa"/>
            <w:left w:w="0" w:type="dxa"/>
            <w:bottom w:w="0" w:type="dxa"/>
            <w:right w:w="0" w:type="dxa"/>
          </w:tblCellMar>
        </w:tblPrEx>
        <w:trPr>
          <w:trHeight w:val="944"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2.审查责任：审核候选人参评资格及事迹材料。</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82"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评审</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3.审查责任：组织专家委员会评审。</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302"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公示</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4.公示责任：公示受表彰候选人名单。没有问题的，给与表彰。</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332"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5.报送责任：根据需要向市财政局推荐全市先进会计工作者候选人材料。</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671"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21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2783"/>
        <w:gridCol w:w="218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27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1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723"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52</w:t>
            </w:r>
          </w:p>
          <w:p>
            <w:pPr>
              <w:autoSpaceDN w:val="0"/>
              <w:snapToGrid w:val="0"/>
              <w:jc w:val="center"/>
              <w:textAlignment w:val="center"/>
              <w:rPr>
                <w:rFonts w:ascii="仿宋" w:hAnsi="仿宋" w:eastAsia="仿宋" w:cs="仿宋"/>
                <w:color w:val="auto"/>
                <w:szCs w:val="21"/>
              </w:rPr>
            </w:pP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对政府非税收入管理工作中做出突出贡献或者举报违法行为有功的单位和个人给予表彰、奖励</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政府非税收入管理条例》(2013年11月29日河南省第十二届人民代表大会常务委员会第五次会议通过)第八条：“对在政府非税收入管理工作中做出突出贡献或者举报违法行为有功的单位和个人，由县级以上人民政府或者其财政部门给予表彰、奖励。”</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行政奖励</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制定方案</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1.结合年度和专项工作制定表彰奖励的办法，明确表彰项目、名额、方法等具体事项。</w:t>
            </w:r>
          </w:p>
        </w:tc>
        <w:tc>
          <w:tcPr>
            <w:tcW w:w="218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政府非税收入管理条例》第四十三条：财政、价格主管、审计等部门及其工作人员有下列违法行为之一的，由县级以上人民政府对单位给予警告或者通报批评，对直接负责的主管人员和其他直接责任人员由监察机关或者任免机关依法给予行政处分；构成犯罪的，依法追究刑事责任：</w:t>
            </w:r>
            <w:r>
              <w:rPr>
                <w:rFonts w:hint="eastAsia" w:ascii="仿宋" w:hAnsi="仿宋" w:eastAsia="仿宋" w:cs="仿宋"/>
                <w:color w:val="auto"/>
                <w:szCs w:val="21"/>
              </w:rPr>
              <w:br w:type="textWrapping"/>
            </w:r>
            <w:r>
              <w:rPr>
                <w:rFonts w:hint="eastAsia" w:ascii="仿宋" w:hAnsi="仿宋" w:eastAsia="仿宋" w:cs="仿宋"/>
                <w:color w:val="auto"/>
                <w:szCs w:val="21"/>
              </w:rPr>
              <w:t>1.包庇或者纵容政府非税收入管理违法行为的；</w:t>
            </w:r>
            <w:r>
              <w:rPr>
                <w:rFonts w:hint="eastAsia" w:ascii="仿宋" w:hAnsi="仿宋" w:eastAsia="仿宋" w:cs="仿宋"/>
                <w:color w:val="auto"/>
                <w:szCs w:val="21"/>
              </w:rPr>
              <w:br w:type="textWrapping"/>
            </w:r>
            <w:r>
              <w:rPr>
                <w:rFonts w:hint="eastAsia" w:ascii="仿宋" w:hAnsi="仿宋" w:eastAsia="仿宋" w:cs="仿宋"/>
                <w:color w:val="auto"/>
                <w:szCs w:val="21"/>
              </w:rPr>
              <w:t>2.对举报和投诉事项拖延、推诿或者不依法处理的；</w:t>
            </w:r>
            <w:r>
              <w:rPr>
                <w:rFonts w:hint="eastAsia" w:ascii="仿宋" w:hAnsi="仿宋" w:eastAsia="仿宋" w:cs="仿宋"/>
                <w:color w:val="auto"/>
                <w:szCs w:val="21"/>
              </w:rPr>
              <w:br w:type="textWrapping"/>
            </w:r>
            <w:r>
              <w:rPr>
                <w:rFonts w:hint="eastAsia" w:ascii="仿宋" w:hAnsi="仿宋" w:eastAsia="仿宋" w:cs="仿宋"/>
                <w:color w:val="auto"/>
                <w:szCs w:val="21"/>
              </w:rPr>
              <w:t>3.不履行政府非税收入监督管理法定职责的；</w:t>
            </w:r>
            <w:r>
              <w:rPr>
                <w:rFonts w:hint="eastAsia" w:ascii="仿宋" w:hAnsi="仿宋" w:eastAsia="仿宋" w:cs="仿宋"/>
                <w:color w:val="auto"/>
                <w:szCs w:val="21"/>
              </w:rPr>
              <w:br w:type="textWrapping"/>
            </w:r>
            <w:r>
              <w:rPr>
                <w:rFonts w:hint="eastAsia" w:ascii="仿宋" w:hAnsi="仿宋" w:eastAsia="仿宋" w:cs="仿宋"/>
                <w:color w:val="auto"/>
                <w:szCs w:val="21"/>
              </w:rPr>
              <w:t>4.违法发放、销毁政府非税收入票据的；</w:t>
            </w:r>
            <w:r>
              <w:rPr>
                <w:rFonts w:hint="eastAsia" w:ascii="仿宋" w:hAnsi="仿宋" w:eastAsia="仿宋" w:cs="仿宋"/>
                <w:color w:val="auto"/>
                <w:szCs w:val="21"/>
              </w:rPr>
              <w:br w:type="textWrapping"/>
            </w:r>
            <w:r>
              <w:rPr>
                <w:rFonts w:hint="eastAsia" w:ascii="仿宋" w:hAnsi="仿宋" w:eastAsia="仿宋" w:cs="仿宋"/>
                <w:color w:val="auto"/>
                <w:szCs w:val="21"/>
              </w:rPr>
              <w:t>5.其他滥用职权、玩忽职守、徇私舞弊的行为。</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521"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组织推荐</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2.有关执收单位和各级非税收入管理机构结合方案进行推荐，并报送相关推荐材料。</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97"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受理审核</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3.对报送材料进行审核，对合格的表彰推荐事项予以受理。将最终受理的表彰推荐对所有参评单位和个人进行公示。接受并处理公示反馈。</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48"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材料评审</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4.对表彰材料的真实性、贡献度进行全面评审。提出初步表彰意见。</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80"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复核决定</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5.对初步表彰意见进行综合考量，并作出表彰奖励决定。</w:t>
            </w:r>
          </w:p>
        </w:tc>
        <w:tc>
          <w:tcPr>
            <w:tcW w:w="218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68"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送达通报</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6.将表彰奖励结果通报、送达有关单位和个人。</w:t>
            </w:r>
          </w:p>
        </w:tc>
        <w:tc>
          <w:tcPr>
            <w:tcW w:w="21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211"/>
        <w:gridCol w:w="4304"/>
        <w:gridCol w:w="691"/>
        <w:gridCol w:w="1246"/>
        <w:gridCol w:w="3562"/>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2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3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69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2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56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0"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53</w:t>
            </w:r>
          </w:p>
        </w:tc>
        <w:tc>
          <w:tcPr>
            <w:tcW w:w="121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非营利组织免税资格认定</w:t>
            </w:r>
          </w:p>
        </w:tc>
        <w:tc>
          <w:tcPr>
            <w:tcW w:w="4304"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中华人民共和国企业所得税法》第二十六条第四项：“企业的下列收入为免税收入：（四）符合条件的非营利组织的收入。”《中华人民共和国企业所得税法实施条例》（国务院令第512号）第八十四条：“企业所得税法第二十六条第（四）项所称符合条件的非营利组织，是指同时符合下列条件的组织：（一）依法履行非营利组织登记手续；（二）从事公益性或者非营利性活动；（三）取得的收入除用于与该组织有关的、合理的支出外，全部用于登记核定或者章程规定的公益性或者非营利性事业；（四）财产及其孳息不用于分配；（五）按照登记核定或者章程规定，该组织注销后的剩余财产用于公益性或者非营利性目的，或者由登记管理机关转赠给与该组织性质、宗旨相同的组织，并向社会公告；（六）投入人对投入该组织的财产不保留或者享有任何财产权利；（七）工作人员工资福利开支控制在规定的比例内，不变相分配该组织的财产。前款规定的非营利组织的认定管理办法由国务院财政、税务主管部门会同国务院有关部门制定。”   《财政部 国家税务总局关于非营利组织免税资格认定管理有关问题的通知》（财税〔2014〕13号）第二项：“经省级(含省级)以上登记管理机关批准设立或登记的非营利组织，凡符合规定条件的，应向其所在地省级税务主管机关提出免税资格申请，并提供本通知规定的相关材料；经市(地)级或县级登记管理机关批准设立或登记的非营利组织，凡符合规定条件的，分别向其所在地市(地)级或县级税务主管机关提出免税资格申请，并提供本通知规定的相关材料。财政、税务部门按照上述管理权限，对非营利组织享受免税的资格联合进行审核确认，并定期予以公布”。</w:t>
            </w:r>
          </w:p>
        </w:tc>
        <w:tc>
          <w:tcPr>
            <w:tcW w:w="69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行政确认</w:t>
            </w:r>
          </w:p>
        </w:tc>
        <w:tc>
          <w:tcPr>
            <w:tcW w:w="12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5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1.受理责任：县税务局有关部门按照《财政部 国家税务总局关于非营利组织免税资格认定管理有关问题的通知》（财税〔2014〕13号）第二条规定，按照管辖权限分别受理申请材料；一次性告知补正材料。</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《财政部 税务总局关于非营利组织免税资格认定管理有关问题的通知》七、各级财政、税务部门及其工作人员在认定非营利组织免税资格工作中，存在违法违纪行为的，按照《中华人民共和国公务员法》《中华人民共和国行政监察法》等国家有关规定追究相应责任；涉嫌犯罪的，移送司法机关处理。</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1037"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0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5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2.审查责任：税政条法股严格按照《财政部 国家税务总局关于非营利组织免税资格认定管理有关问题的通知》（财税〔2014〕13号）有关规定，会同县税务局相关部门联合审查材料。</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0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5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3.决定责任：税政条法股会同县税务局联合公布经审查认定具有免税资格非营利组织名单。</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27"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0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35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4.事后监管责任：税政条法股严格按照《财政部 国家税务总局关于非营利组织免税资格认定管理有关问题的通知》（财税〔2014〕13号）有关规定，做好后续工作。</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1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04"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4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56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p>
            <w:pPr>
              <w:autoSpaceDN w:val="0"/>
              <w:snapToGrid w:val="0"/>
              <w:jc w:val="left"/>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sz w:val="20"/>
          <w:szCs w:val="21"/>
        </w:rPr>
      </w:pPr>
    </w:p>
    <w:tbl>
      <w:tblPr>
        <w:tblStyle w:val="6"/>
        <w:tblW w:w="15450" w:type="dxa"/>
        <w:jc w:val="center"/>
        <w:tblLayout w:type="fixed"/>
        <w:tblCellMar>
          <w:top w:w="0" w:type="dxa"/>
          <w:left w:w="0" w:type="dxa"/>
          <w:bottom w:w="0" w:type="dxa"/>
          <w:right w:w="0" w:type="dxa"/>
        </w:tblCellMar>
      </w:tblPr>
      <w:tblGrid>
        <w:gridCol w:w="932"/>
        <w:gridCol w:w="1336"/>
        <w:gridCol w:w="5014"/>
        <w:gridCol w:w="942"/>
        <w:gridCol w:w="1040"/>
        <w:gridCol w:w="3110"/>
        <w:gridCol w:w="1430"/>
        <w:gridCol w:w="1646"/>
      </w:tblGrid>
      <w:tr>
        <w:tblPrEx>
          <w:tblCellMar>
            <w:top w:w="0" w:type="dxa"/>
            <w:left w:w="0" w:type="dxa"/>
            <w:bottom w:w="0" w:type="dxa"/>
            <w:right w:w="0" w:type="dxa"/>
          </w:tblCellMar>
        </w:tblPrEx>
        <w:trPr>
          <w:trHeight w:val="635" w:hRule="atLeast"/>
          <w:jc w:val="center"/>
        </w:trPr>
        <w:tc>
          <w:tcPr>
            <w:tcW w:w="93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50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94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0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1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4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026" w:hRule="atLeast"/>
          <w:jc w:val="center"/>
        </w:trPr>
        <w:tc>
          <w:tcPr>
            <w:tcW w:w="932"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54</w:t>
            </w:r>
          </w:p>
        </w:tc>
        <w:tc>
          <w:tcPr>
            <w:tcW w:w="133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政府采购中标成交结果无效认定</w:t>
            </w:r>
          </w:p>
        </w:tc>
        <w:tc>
          <w:tcPr>
            <w:tcW w:w="5014"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 w:val="16"/>
                <w:szCs w:val="16"/>
              </w:rPr>
            </w:pPr>
            <w:r>
              <w:rPr>
                <w:rFonts w:hint="eastAsia" w:ascii="仿宋" w:hAnsi="仿宋" w:eastAsia="仿宋" w:cs="仿宋"/>
                <w:color w:val="auto"/>
                <w:sz w:val="16"/>
                <w:szCs w:val="16"/>
              </w:rPr>
              <w:t xml:space="preserve">《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供应商有前款(一)至(五)项情形之一的，中标、成交无效。《中华人民共和国政府采购法实施条例》（国务院令第658号）第七十一条：“有《政府采购法》第七十一条、第七十二条规定的违法行为之一，影响或者可能影响中标、成交结果的，依照下列规定处理：（一）未确定中标或者成交供应商的，终止本次政府采购活动，重新开展政府采购活动。（二）已确定中标或者成交供应商但尚未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 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    </w:t>
            </w:r>
          </w:p>
          <w:p>
            <w:pPr>
              <w:autoSpaceDN w:val="0"/>
              <w:snapToGrid w:val="0"/>
              <w:jc w:val="left"/>
              <w:textAlignment w:val="center"/>
              <w:rPr>
                <w:rFonts w:ascii="仿宋" w:hAnsi="仿宋" w:eastAsia="仿宋" w:cs="仿宋"/>
                <w:color w:val="auto"/>
                <w:sz w:val="16"/>
                <w:szCs w:val="16"/>
              </w:rPr>
            </w:pPr>
            <w:r>
              <w:rPr>
                <w:rFonts w:hint="eastAsia" w:ascii="仿宋" w:hAnsi="仿宋" w:eastAsia="仿宋" w:cs="仿宋"/>
                <w:color w:val="auto"/>
                <w:sz w:val="16"/>
                <w:szCs w:val="16"/>
              </w:rPr>
              <w:t xml:space="preserve">    《政府采购货物服务招标投标管理办法》（财政部令第87号）第七十九条：“ 有本办法第七十七条、第七十八条规定的违法行为之一，经改正后仍然影响或者可能影响中标结果的，依照政府采购法实施条例第七十一条规定处理。”    </w:t>
            </w:r>
          </w:p>
        </w:tc>
        <w:tc>
          <w:tcPr>
            <w:tcW w:w="94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行政确认</w:t>
            </w:r>
          </w:p>
        </w:tc>
        <w:tc>
          <w:tcPr>
            <w:tcW w:w="104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1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1.受理责任：对处理投诉、监督检查中发现，或者接到举报，或经有关部门移送此类违法案件，予以受理。</w:t>
            </w:r>
          </w:p>
        </w:tc>
        <w:tc>
          <w:tcPr>
            <w:tcW w:w="143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《中华人民共和国政府采购法》第八十条：政府采购监督管理部门的工作人员在实施监督检查中违反本法规定滥用职权，玩忽职守，徇私舞弊的，依法给予行政处分;构成犯罪的，依法追究刑事责任。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807" w:hRule="atLeast"/>
          <w:jc w:val="center"/>
        </w:trPr>
        <w:tc>
          <w:tcPr>
            <w:tcW w:w="93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1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4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1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2.审查责任：依据政府采购法律法规对相关情况进行调查，是否符合中标、成交无效情形。</w:t>
            </w:r>
          </w:p>
        </w:tc>
        <w:tc>
          <w:tcPr>
            <w:tcW w:w="14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39" w:hRule="atLeast"/>
          <w:jc w:val="center"/>
        </w:trPr>
        <w:tc>
          <w:tcPr>
            <w:tcW w:w="93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1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4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1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3.决定责任：对于符合中标、成交无效情形的，依法认定中标、成交无效。</w:t>
            </w:r>
          </w:p>
        </w:tc>
        <w:tc>
          <w:tcPr>
            <w:tcW w:w="14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52" w:hRule="atLeast"/>
          <w:jc w:val="center"/>
        </w:trPr>
        <w:tc>
          <w:tcPr>
            <w:tcW w:w="932"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14"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4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4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31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4.监管责任：监督认定中标成交结果无效后政府采购项目落实情况。</w:t>
            </w:r>
          </w:p>
        </w:tc>
        <w:tc>
          <w:tcPr>
            <w:tcW w:w="1430"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88" w:hRule="atLeast"/>
          <w:jc w:val="center"/>
        </w:trPr>
        <w:tc>
          <w:tcPr>
            <w:tcW w:w="932"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3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014"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4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4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4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376"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55</w:t>
            </w: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会计代理记账机构执业资格认定</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pStyle w:val="5"/>
              <w:keepNext w:val="0"/>
              <w:keepLines w:val="0"/>
              <w:widowControl/>
              <w:suppressLineNumbers w:val="0"/>
              <w:shd w:val="clear" w:fill="FFFFFF"/>
              <w:spacing w:before="0" w:beforeAutospacing="0" w:after="0" w:afterAutospacing="0" w:line="240" w:lineRule="auto"/>
              <w:ind w:left="0" w:right="0" w:firstLine="0"/>
              <w:jc w:val="left"/>
              <w:rPr>
                <w:rFonts w:hint="eastAsia" w:ascii="仿宋" w:hAnsi="仿宋" w:eastAsia="仿宋" w:cs="仿宋"/>
                <w:b w:val="0"/>
                <w:bCs w:val="0"/>
                <w:i w:val="0"/>
                <w:iCs w:val="0"/>
                <w:caps w:val="0"/>
                <w:color w:val="auto"/>
                <w:spacing w:val="0"/>
                <w:sz w:val="21"/>
                <w:szCs w:val="21"/>
              </w:rPr>
            </w:pPr>
            <w:r>
              <w:rPr>
                <w:rFonts w:hint="eastAsia" w:ascii="仿宋" w:hAnsi="仿宋" w:eastAsia="仿宋" w:cs="仿宋"/>
                <w:color w:val="auto"/>
                <w:sz w:val="21"/>
                <w:szCs w:val="21"/>
                <w:u w:val="none"/>
              </w:rPr>
              <w:t>《中华人民共和国会计法》</w:t>
            </w:r>
            <w:r>
              <w:rPr>
                <w:rFonts w:hint="eastAsia" w:ascii="仿宋" w:hAnsi="仿宋" w:eastAsia="仿宋" w:cs="仿宋"/>
                <w:i w:val="0"/>
                <w:iCs w:val="0"/>
                <w:caps w:val="0"/>
                <w:color w:val="auto"/>
                <w:spacing w:val="20"/>
                <w:sz w:val="21"/>
                <w:szCs w:val="21"/>
                <w:u w:val="none"/>
                <w:shd w:val="clear" w:fill="FFFFFF"/>
              </w:rPr>
              <w:t>第三十四条　各单位应当根据会计业务的需要，依法采取下列一种方式组织本单位的会计工作：（一）设置会计机构；（二）在有关机构中设置会计岗位并指定会计主管人员；（三）委托经批准设立从事会计代理记账业务的中介机构代理记账；（四）国务院财政部门规定的其他方式。</w:t>
            </w:r>
            <w:r>
              <w:rPr>
                <w:rFonts w:hint="eastAsia" w:ascii="仿宋" w:hAnsi="仿宋" w:eastAsia="仿宋" w:cs="仿宋"/>
                <w:b w:val="0"/>
                <w:bCs w:val="0"/>
                <w:i w:val="0"/>
                <w:iCs w:val="0"/>
                <w:caps w:val="0"/>
                <w:color w:val="auto"/>
                <w:spacing w:val="8"/>
                <w:sz w:val="21"/>
                <w:szCs w:val="21"/>
                <w:u w:val="none"/>
                <w:shd w:val="clear" w:fill="FFFFFF"/>
              </w:rPr>
              <w:t>代理记账管理办法</w:t>
            </w:r>
            <w:r>
              <w:rPr>
                <w:rFonts w:hint="eastAsia" w:ascii="仿宋" w:hAnsi="仿宋" w:eastAsia="仿宋" w:cs="仿宋"/>
                <w:b w:val="0"/>
                <w:bCs w:val="0"/>
                <w:i w:val="0"/>
                <w:iCs w:val="0"/>
                <w:caps w:val="0"/>
                <w:color w:val="auto"/>
                <w:spacing w:val="8"/>
                <w:sz w:val="21"/>
                <w:szCs w:val="21"/>
                <w:u w:val="none"/>
                <w:shd w:val="clear" w:fill="FFFFFF"/>
                <w:lang w:eastAsia="zh-CN"/>
              </w:rPr>
              <w:t>（财政部令第</w:t>
            </w:r>
            <w:r>
              <w:rPr>
                <w:rFonts w:hint="eastAsia" w:ascii="仿宋" w:hAnsi="仿宋" w:eastAsia="仿宋" w:cs="仿宋"/>
                <w:b w:val="0"/>
                <w:bCs w:val="0"/>
                <w:i w:val="0"/>
                <w:iCs w:val="0"/>
                <w:caps w:val="0"/>
                <w:color w:val="auto"/>
                <w:spacing w:val="8"/>
                <w:sz w:val="21"/>
                <w:szCs w:val="21"/>
                <w:u w:val="none"/>
                <w:shd w:val="clear" w:fill="FFFFFF"/>
                <w:lang w:val="en-US" w:eastAsia="zh-CN"/>
              </w:rPr>
              <w:t>98号）</w:t>
            </w:r>
            <w:r>
              <w:rPr>
                <w:rStyle w:val="9"/>
                <w:rFonts w:hint="eastAsia" w:ascii="仿宋" w:hAnsi="仿宋" w:eastAsia="仿宋" w:cs="仿宋"/>
                <w:b w:val="0"/>
                <w:bCs w:val="0"/>
                <w:i w:val="0"/>
                <w:iCs w:val="0"/>
                <w:caps w:val="0"/>
                <w:color w:val="auto"/>
                <w:spacing w:val="0"/>
                <w:sz w:val="21"/>
                <w:szCs w:val="21"/>
                <w:u w:val="none"/>
                <w:shd w:val="clear" w:fill="FFFFFF"/>
              </w:rPr>
              <w:t>第三条</w:t>
            </w:r>
            <w:r>
              <w:rPr>
                <w:rFonts w:hint="eastAsia" w:ascii="仿宋" w:hAnsi="仿宋" w:eastAsia="仿宋" w:cs="仿宋"/>
                <w:b w:val="0"/>
                <w:bCs w:val="0"/>
                <w:i w:val="0"/>
                <w:iCs w:val="0"/>
                <w:caps w:val="0"/>
                <w:color w:val="auto"/>
                <w:spacing w:val="0"/>
                <w:sz w:val="21"/>
                <w:szCs w:val="21"/>
                <w:u w:val="none"/>
                <w:shd w:val="clear" w:fill="FFFFFF"/>
              </w:rPr>
              <w:t> 除会计师事务所以外</w:t>
            </w:r>
            <w:r>
              <w:rPr>
                <w:rFonts w:hint="eastAsia" w:ascii="仿宋" w:hAnsi="仿宋" w:eastAsia="仿宋" w:cs="仿宋"/>
                <w:b w:val="0"/>
                <w:bCs w:val="0"/>
                <w:i w:val="0"/>
                <w:iCs w:val="0"/>
                <w:caps w:val="0"/>
                <w:color w:val="auto"/>
                <w:spacing w:val="0"/>
                <w:sz w:val="21"/>
                <w:szCs w:val="21"/>
                <w:shd w:val="clear" w:fill="FFFFFF"/>
              </w:rPr>
              <w:t>的机构从事代理记账业务，应当经县级以上地方人民政府财政部门（以下简称审批机关）批准，领取由财政部统一规定样式的代理记账许可证书。具体审批机关由省、自治区、直辖市、计划单列市人民政府财政部门确定。会计师事务所及其分所可以依法从事代理记账业务。</w:t>
            </w:r>
          </w:p>
          <w:p>
            <w:pPr>
              <w:autoSpaceDN w:val="0"/>
              <w:snapToGrid w:val="0"/>
              <w:jc w:val="center"/>
              <w:textAlignment w:val="center"/>
              <w:rPr>
                <w:rFonts w:ascii="仿宋" w:hAnsi="仿宋" w:eastAsia="仿宋" w:cs="仿宋"/>
                <w:color w:val="auto"/>
                <w:szCs w:val="21"/>
              </w:rPr>
            </w:pP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1、受理责任：财政部门接收行政许可申请材料；经机关负责人审批，依法受理或不予受理；不予受理的依法告知理由；申请材料不齐全的，一次性告知需补正的材料。</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《代理记账管理办法》第二十七条：县级以上人民政府财政部门及其工作人员在代理记账资格管理过程中，滥用职权、玩忽职守、徇私舞弊的，依法给予行政处分；涉嫌犯罪的，移送司法机关处理。</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会计股</w:t>
            </w:r>
          </w:p>
        </w:tc>
      </w:tr>
      <w:tr>
        <w:tblPrEx>
          <w:tblCellMar>
            <w:top w:w="0" w:type="dxa"/>
            <w:left w:w="0" w:type="dxa"/>
            <w:bottom w:w="0" w:type="dxa"/>
            <w:right w:w="0" w:type="dxa"/>
          </w:tblCellMar>
        </w:tblPrEx>
        <w:trPr>
          <w:trHeight w:val="1011"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71"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3、决定责任：经机关负责人审批，作出决定；对于不予行政许可的，书面告知申请人，并说明理由。</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031"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4、送达责任：对于行政许可的，及时通知当事人。</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p>
      <w:pPr>
        <w:autoSpaceDN w:val="0"/>
        <w:snapToGrid w:val="0"/>
        <w:jc w:val="center"/>
        <w:textAlignment w:val="center"/>
        <w:rPr>
          <w:rFonts w:ascii="仿宋" w:hAnsi="仿宋" w:eastAsia="仿宋" w:cs="仿宋"/>
          <w:color w:val="auto"/>
          <w:sz w:val="18"/>
          <w:szCs w:val="18"/>
        </w:rPr>
      </w:pPr>
    </w:p>
    <w:tbl>
      <w:tblPr>
        <w:tblStyle w:val="6"/>
        <w:tblW w:w="14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1847"/>
        <w:gridCol w:w="3927"/>
        <w:gridCol w:w="870"/>
        <w:gridCol w:w="1047"/>
        <w:gridCol w:w="3323"/>
        <w:gridCol w:w="164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14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392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87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0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3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64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03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1144"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56-</w:t>
            </w:r>
            <w:r>
              <w:rPr>
                <w:rFonts w:hint="default" w:ascii="仿宋" w:hAnsi="仿宋" w:eastAsia="仿宋" w:cs="仿宋"/>
                <w:i w:val="0"/>
                <w:caps w:val="0"/>
                <w:color w:val="auto"/>
                <w:spacing w:val="0"/>
                <w:sz w:val="21"/>
                <w:szCs w:val="21"/>
                <w:shd w:val="clear" w:color="070000" w:fill="FFFFFF"/>
                <w:lang w:val="en-US" w:eastAsia="zh-CN"/>
              </w:rPr>
              <w:t>1</w:t>
            </w:r>
          </w:p>
        </w:tc>
        <w:tc>
          <w:tcPr>
            <w:tcW w:w="1847" w:type="dxa"/>
            <w:vMerge w:val="restart"/>
            <w:noWrap w:val="0"/>
            <w:tcMar>
              <w:top w:w="15" w:type="dxa"/>
              <w:left w:w="15" w:type="dxa"/>
              <w:right w:w="15" w:type="dxa"/>
            </w:tcMar>
            <w:vAlign w:val="center"/>
          </w:tcPr>
          <w:p>
            <w:pPr>
              <w:spacing w:line="360" w:lineRule="exact"/>
              <w:jc w:val="both"/>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szCs w:val="21"/>
              </w:rPr>
              <w:t>财政票据发放</w:t>
            </w:r>
          </w:p>
        </w:tc>
        <w:tc>
          <w:tcPr>
            <w:tcW w:w="3927" w:type="dxa"/>
            <w:vMerge w:val="restart"/>
            <w:noWrap w:val="0"/>
            <w:tcMar>
              <w:top w:w="15" w:type="dxa"/>
              <w:left w:w="15" w:type="dxa"/>
              <w:right w:w="15" w:type="dxa"/>
            </w:tcMar>
            <w:vAlign w:val="top"/>
          </w:tcPr>
          <w:p>
            <w:pPr>
              <w:tabs>
                <w:tab w:val="left" w:pos="4222"/>
              </w:tabs>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财政部关于修改&lt;财政票据管理办法&gt;的决定》(财政部令第104号)第四条：“财政部门是财政票据的主管部门。财政部负责全国财政票据管理工作，承担中央单位财政票据的监（印）制、发放、核销、销毁和监督检查等工作，指导地方财政票据管理工作。省、自治区、直辖市人民政府财政部门，新疆生产建设兵团财政局（以下简称省级财政部门）负责本行政区域财政票据的监（印）制、发放、核销、销毁和监督检查等工作，指导下级财政部门财政票据管理工作。省级以下财政部门负责本行政区域财政票据的申领、发放、核销、销毁和监督检查等工作。”第十八条：“省级以下财政部门应当根据本地区用票需求，按照财政管理体制向上一级财政部门报送用票计划，申领财政票据。上级财政部门经审核后发放财政票据。”第二十二条：“受理申请的财政部门应当对申请单位提交的材料进行审核，对符合条件的单位，核发《财政票据领用证》，并发放财政票据。《财政票据领用证》应当包括单位基本信息、领用票据名称和项目名称、领用票据记录、检查核销票据记录、检查核销结果记录等项目。”第二十三条：“再次领用财政票据，应当出示《财政票据领用证》，提供前次票据使用情况，包括票据的种类、册（份）数、起止号码、使用份数、作废份数、收取金额及票据存根等内容。受理申请的财政部门审核后，发放财政票据。”</w:t>
            </w:r>
          </w:p>
          <w:p>
            <w:pPr>
              <w:tabs>
                <w:tab w:val="left" w:pos="4222"/>
              </w:tabs>
              <w:spacing w:line="360" w:lineRule="exact"/>
              <w:ind w:firstLine="480" w:firstLineChars="200"/>
              <w:rPr>
                <w:rFonts w:hint="eastAsia" w:ascii="仿宋_GB2312" w:hAnsi="仿宋_GB2312" w:eastAsia="仿宋_GB2312" w:cs="仿宋_GB2312"/>
                <w:i w:val="0"/>
                <w:caps w:val="0"/>
                <w:color w:val="auto"/>
                <w:spacing w:val="0"/>
                <w:sz w:val="24"/>
                <w:szCs w:val="24"/>
                <w:shd w:val="clear" w:color="070000" w:fill="FFFFFF"/>
              </w:rPr>
            </w:pPr>
          </w:p>
        </w:tc>
        <w:tc>
          <w:tcPr>
            <w:tcW w:w="870"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1047"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kern w:val="0"/>
                <w:szCs w:val="21"/>
                <w:lang w:bidi="ar"/>
              </w:rPr>
              <w:t>受理</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1.受理责任：各县（区）财政部门、市级用票单位提出用票申请。</w:t>
            </w:r>
          </w:p>
        </w:tc>
        <w:tc>
          <w:tcPr>
            <w:tcW w:w="1646"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auto"/>
                <w:kern w:val="0"/>
                <w:sz w:val="21"/>
                <w:szCs w:val="21"/>
                <w:u w:val="none"/>
                <w:lang w:val="en-US" w:eastAsia="zh-CN" w:bidi="ar"/>
              </w:rPr>
              <w:t>《财政票据管理办法》第四十三条：财政部门、行政事业单位工作人员违反本办法规定，在工作中徇私舞弊、玩忽职守、滥用职权的，依法给予处分；构成犯罪的，依法追究刑事责任。</w:t>
            </w:r>
          </w:p>
        </w:tc>
        <w:tc>
          <w:tcPr>
            <w:tcW w:w="1035"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Cs w:val="21"/>
                <w:lang w:eastAsia="zh-CN"/>
              </w:rPr>
              <w:t>税政与条法股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927"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_GB2312" w:hAnsi="仿宋_GB2312" w:eastAsia="仿宋_GB2312" w:cs="仿宋_GB2312"/>
                <w:i w:val="0"/>
                <w:caps w:val="0"/>
                <w:color w:val="auto"/>
                <w:spacing w:val="0"/>
                <w:sz w:val="24"/>
                <w:szCs w:val="24"/>
                <w:shd w:val="clear" w:color="070000" w:fill="FFFFFF"/>
              </w:rPr>
            </w:pPr>
          </w:p>
        </w:tc>
        <w:tc>
          <w:tcPr>
            <w:tcW w:w="870"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7"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kern w:val="0"/>
                <w:szCs w:val="21"/>
                <w:lang w:bidi="ar"/>
              </w:rPr>
              <w:t>审核</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2.审核责任：审核各县（区）财政部门财政票据用票需求计划；市本级用票单位按凭证用领、分次限量、核旧领新的原则进行审核。</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3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927"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_GB2312" w:hAnsi="仿宋_GB2312" w:eastAsia="仿宋_GB2312" w:cs="仿宋_GB2312"/>
                <w:i w:val="0"/>
                <w:caps w:val="0"/>
                <w:color w:val="auto"/>
                <w:spacing w:val="0"/>
                <w:sz w:val="24"/>
                <w:szCs w:val="24"/>
                <w:shd w:val="clear" w:color="070000" w:fill="FFFFFF"/>
              </w:rPr>
            </w:pPr>
          </w:p>
        </w:tc>
        <w:tc>
          <w:tcPr>
            <w:tcW w:w="870"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7"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kern w:val="0"/>
                <w:szCs w:val="21"/>
                <w:lang w:bidi="ar"/>
              </w:rPr>
              <w:t>发放</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3.发放责任：对各县（区）财政部门按财政票据用票需求计划发放、调运；对市级用票单位按审核后的票据种类、数量发放，一次一般不得超过其六个月用量。</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3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8"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927"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_GB2312" w:hAnsi="仿宋_GB2312" w:eastAsia="仿宋_GB2312" w:cs="仿宋_GB2312"/>
                <w:i w:val="0"/>
                <w:caps w:val="0"/>
                <w:color w:val="auto"/>
                <w:spacing w:val="0"/>
                <w:sz w:val="24"/>
                <w:szCs w:val="24"/>
                <w:shd w:val="clear" w:color="070000" w:fill="FFFFFF"/>
              </w:rPr>
            </w:pPr>
          </w:p>
        </w:tc>
        <w:tc>
          <w:tcPr>
            <w:tcW w:w="870"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47"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kern w:val="0"/>
                <w:szCs w:val="21"/>
                <w:lang w:bidi="ar"/>
              </w:rPr>
              <w:t>事后监管</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4.监管责任：对已领取财政票据的市本级用票单位进行监督检查，防止不按规定使用财政票据的行为。</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03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bl>
    <w:p>
      <w:pPr>
        <w:rPr>
          <w:rFonts w:hint="default"/>
          <w:color w:val="auto"/>
          <w:lang w:val="en-US" w:eastAsia="zh-CN"/>
        </w:rPr>
      </w:pPr>
      <w:r>
        <w:rPr>
          <w:rFonts w:hint="default"/>
          <w:color w:val="auto"/>
          <w:lang w:val="en-US" w:eastAsia="zh-CN"/>
        </w:rPr>
        <w:br w:type="page"/>
      </w:r>
    </w:p>
    <w:tbl>
      <w:tblPr>
        <w:tblStyle w:val="6"/>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1847"/>
        <w:gridCol w:w="3300"/>
        <w:gridCol w:w="1059"/>
        <w:gridCol w:w="1485"/>
        <w:gridCol w:w="3323"/>
        <w:gridCol w:w="164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14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330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48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3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64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88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1144"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56-</w:t>
            </w:r>
            <w:r>
              <w:rPr>
                <w:rFonts w:hint="default" w:ascii="仿宋" w:hAnsi="仿宋" w:eastAsia="仿宋" w:cs="仿宋"/>
                <w:i w:val="0"/>
                <w:caps w:val="0"/>
                <w:color w:val="auto"/>
                <w:spacing w:val="0"/>
                <w:sz w:val="21"/>
                <w:szCs w:val="21"/>
                <w:shd w:val="clear" w:color="070000" w:fill="FFFFFF"/>
                <w:lang w:val="en-US" w:eastAsia="zh-CN"/>
              </w:rPr>
              <w:t>2</w:t>
            </w:r>
          </w:p>
        </w:tc>
        <w:tc>
          <w:tcPr>
            <w:tcW w:w="1847" w:type="dxa"/>
            <w:vMerge w:val="restart"/>
            <w:noWrap w:val="0"/>
            <w:tcMar>
              <w:top w:w="15" w:type="dxa"/>
              <w:left w:w="15" w:type="dxa"/>
              <w:right w:w="15" w:type="dxa"/>
            </w:tcMar>
            <w:vAlign w:val="center"/>
          </w:tcPr>
          <w:p>
            <w:pPr>
              <w:spacing w:line="360" w:lineRule="exact"/>
              <w:jc w:val="both"/>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szCs w:val="21"/>
              </w:rPr>
              <w:t>财政票据核销</w:t>
            </w:r>
          </w:p>
        </w:tc>
        <w:tc>
          <w:tcPr>
            <w:tcW w:w="3300" w:type="dxa"/>
            <w:vMerge w:val="restart"/>
            <w:noWrap w:val="0"/>
            <w:tcMar>
              <w:top w:w="15" w:type="dxa"/>
              <w:left w:w="15" w:type="dxa"/>
              <w:right w:w="15" w:type="dxa"/>
            </w:tcMar>
            <w:vAlign w:val="top"/>
          </w:tcPr>
          <w:p>
            <w:pPr>
              <w:tabs>
                <w:tab w:val="left" w:pos="4222"/>
              </w:tabs>
              <w:spacing w:line="240" w:lineRule="auto"/>
              <w:ind w:firstLine="420" w:firstLineChars="200"/>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color w:val="auto"/>
                <w:sz w:val="21"/>
                <w:szCs w:val="21"/>
              </w:rPr>
              <w:t>《财政部关于修改&lt;财政票据管理办法&gt;的决定》(财政部令第104号)第四条：“财政部门是财政票据的主管部门。财政部负责全国财政票据管理工作，承担中央单位财政票据的监（印）制、发放、核销、销毁和监督检查等工作，指导地方财政票据管理工作。省、自治区、直辖市人民政府财政部门，新疆生产建设兵团财政局（以下简称省级财政部门）负责本行政区域财政票据的监（印）制、发放、核销、销毁和监督检查等工作，指导下级财政部门财政票据管理工作。”第二十三条：“再次领用财政票据，应当出示《财政票据领用证》，提供前次票据使用情况，包括票据的种类、册（份）数、起止号码、使用份数、作废份数、收取金额及票据存根等内容。受理申请的财政部门审核后，发放财政票据。”</w:t>
            </w:r>
          </w:p>
        </w:tc>
        <w:tc>
          <w:tcPr>
            <w:tcW w:w="1059"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1485" w:type="dxa"/>
            <w:noWrap w:val="0"/>
            <w:tcMar>
              <w:top w:w="15" w:type="dxa"/>
              <w:left w:w="15" w:type="dxa"/>
              <w:right w:w="15" w:type="dxa"/>
            </w:tcMar>
            <w:vAlign w:val="center"/>
          </w:tcPr>
          <w:p>
            <w:pPr>
              <w:widowControl/>
              <w:spacing w:line="360" w:lineRule="exac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Cs w:val="21"/>
                <w:lang w:bidi="ar"/>
              </w:rPr>
              <w:t>受理</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1.受理责任：接收用票单位的财政票据存根或未使用的空白财政票据。</w:t>
            </w:r>
          </w:p>
        </w:tc>
        <w:tc>
          <w:tcPr>
            <w:tcW w:w="1646"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auto"/>
                <w:kern w:val="0"/>
                <w:sz w:val="21"/>
                <w:szCs w:val="21"/>
                <w:u w:val="none"/>
                <w:lang w:val="en-US" w:eastAsia="zh-CN" w:bidi="ar"/>
              </w:rPr>
              <w:t>《财政票据管理办法》第四十三条：财政部门、行政事业单位工作人员违反本办法规定，在工作中徇私舞弊、玩忽职守、滥用职权的，依法给予处分；构成犯罪的，依法追究刑事责任</w:t>
            </w:r>
            <w:r>
              <w:rPr>
                <w:rFonts w:hint="eastAsia" w:ascii="仿宋" w:hAnsi="仿宋" w:eastAsia="仿宋" w:cs="仿宋"/>
                <w:i w:val="0"/>
                <w:color w:val="auto"/>
                <w:kern w:val="0"/>
                <w:sz w:val="24"/>
                <w:szCs w:val="24"/>
                <w:u w:val="none"/>
                <w:lang w:val="en-US" w:eastAsia="zh-CN" w:bidi="ar"/>
              </w:rPr>
              <w:t>。</w:t>
            </w:r>
          </w:p>
        </w:tc>
        <w:tc>
          <w:tcPr>
            <w:tcW w:w="880"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Cs w:val="21"/>
                <w:lang w:eastAsia="zh-CN"/>
              </w:rPr>
              <w:t>税政与条法股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300"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 w:hAnsi="仿宋" w:eastAsia="仿宋" w:cs="仿宋"/>
                <w:i w:val="0"/>
                <w:caps w:val="0"/>
                <w:color w:val="auto"/>
                <w:spacing w:val="0"/>
                <w:sz w:val="24"/>
                <w:szCs w:val="24"/>
                <w:shd w:val="clear" w:color="070000" w:fill="FFFFFF"/>
              </w:rPr>
            </w:pPr>
          </w:p>
        </w:tc>
        <w:tc>
          <w:tcPr>
            <w:tcW w:w="105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1485" w:type="dxa"/>
            <w:noWrap w:val="0"/>
            <w:tcMar>
              <w:top w:w="15" w:type="dxa"/>
              <w:left w:w="15" w:type="dxa"/>
              <w:right w:w="15" w:type="dxa"/>
            </w:tcMar>
            <w:vAlign w:val="center"/>
          </w:tcPr>
          <w:p>
            <w:pPr>
              <w:widowControl/>
              <w:spacing w:line="360" w:lineRule="exac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Cs w:val="21"/>
                <w:lang w:bidi="ar"/>
              </w:rPr>
              <w:t>审核</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2.审核责任：按相关规定对用票单位财政票据使用情况进行审核。</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880"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300"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 w:hAnsi="仿宋" w:eastAsia="仿宋" w:cs="仿宋"/>
                <w:i w:val="0"/>
                <w:caps w:val="0"/>
                <w:color w:val="auto"/>
                <w:spacing w:val="0"/>
                <w:sz w:val="24"/>
                <w:szCs w:val="24"/>
                <w:shd w:val="clear" w:color="070000" w:fill="FFFFFF"/>
              </w:rPr>
            </w:pPr>
          </w:p>
        </w:tc>
        <w:tc>
          <w:tcPr>
            <w:tcW w:w="105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1485" w:type="dxa"/>
            <w:noWrap w:val="0"/>
            <w:tcMar>
              <w:top w:w="15" w:type="dxa"/>
              <w:left w:w="15" w:type="dxa"/>
              <w:right w:w="15" w:type="dxa"/>
            </w:tcMar>
            <w:vAlign w:val="center"/>
          </w:tcPr>
          <w:p>
            <w:pPr>
              <w:widowControl/>
              <w:spacing w:line="360" w:lineRule="exac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Cs w:val="21"/>
                <w:lang w:bidi="ar"/>
              </w:rPr>
              <w:t>核销</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3.核销责任：对按规定使用的财政票据进行核销。</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880"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8"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300"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_GB2312" w:hAnsi="仿宋_GB2312" w:eastAsia="仿宋_GB2312" w:cs="仿宋_GB2312"/>
                <w:i w:val="0"/>
                <w:caps w:val="0"/>
                <w:color w:val="auto"/>
                <w:spacing w:val="0"/>
                <w:sz w:val="24"/>
                <w:szCs w:val="24"/>
                <w:shd w:val="clear" w:color="070000" w:fill="FFFFFF"/>
              </w:rPr>
            </w:pPr>
          </w:p>
        </w:tc>
        <w:tc>
          <w:tcPr>
            <w:tcW w:w="105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485"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kern w:val="0"/>
                <w:szCs w:val="21"/>
                <w:lang w:bidi="ar"/>
              </w:rPr>
              <w:t>事后监管</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4.监管责任：对不按规定使用财政票据的单位，要求其进行整改，整改合格后方可核销。</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880"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bl>
    <w:p>
      <w:pPr>
        <w:rPr>
          <w:rFonts w:hint="default"/>
          <w:color w:val="auto"/>
          <w:lang w:val="en-US" w:eastAsia="zh-CN"/>
        </w:rPr>
      </w:pPr>
      <w:r>
        <w:rPr>
          <w:rFonts w:hint="default"/>
          <w:color w:val="auto"/>
          <w:lang w:val="en-US" w:eastAsia="zh-CN"/>
        </w:rPr>
        <w:br w:type="page"/>
      </w:r>
    </w:p>
    <w:tbl>
      <w:tblPr>
        <w:tblStyle w:val="6"/>
        <w:tblW w:w="14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1847"/>
        <w:gridCol w:w="3300"/>
        <w:gridCol w:w="1059"/>
        <w:gridCol w:w="1485"/>
        <w:gridCol w:w="3323"/>
        <w:gridCol w:w="1646"/>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14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84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330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48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3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64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95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1144"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1"/>
                <w:szCs w:val="21"/>
                <w:shd w:val="clear" w:color="070000" w:fill="FFFFFF"/>
                <w:lang w:val="en-US" w:eastAsia="zh-CN"/>
              </w:rPr>
              <w:t>56-3</w:t>
            </w:r>
          </w:p>
        </w:tc>
        <w:tc>
          <w:tcPr>
            <w:tcW w:w="1847" w:type="dxa"/>
            <w:vMerge w:val="restart"/>
            <w:noWrap w:val="0"/>
            <w:tcMar>
              <w:top w:w="15" w:type="dxa"/>
              <w:left w:w="15" w:type="dxa"/>
              <w:right w:w="15" w:type="dxa"/>
            </w:tcMar>
            <w:vAlign w:val="center"/>
          </w:tcPr>
          <w:p>
            <w:pPr>
              <w:spacing w:line="360" w:lineRule="exact"/>
              <w:jc w:val="both"/>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szCs w:val="21"/>
              </w:rPr>
              <w:t>财政票据销毁</w:t>
            </w:r>
          </w:p>
        </w:tc>
        <w:tc>
          <w:tcPr>
            <w:tcW w:w="3300" w:type="dxa"/>
            <w:vMerge w:val="restart"/>
            <w:noWrap w:val="0"/>
            <w:tcMar>
              <w:top w:w="15" w:type="dxa"/>
              <w:left w:w="15" w:type="dxa"/>
              <w:right w:w="15" w:type="dxa"/>
            </w:tcMar>
            <w:vAlign w:val="top"/>
          </w:tcPr>
          <w:p>
            <w:pPr>
              <w:tabs>
                <w:tab w:val="left" w:pos="4222"/>
              </w:tabs>
              <w:spacing w:line="240" w:lineRule="auto"/>
              <w:ind w:firstLine="360" w:firstLineChars="200"/>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color w:val="auto"/>
                <w:sz w:val="18"/>
                <w:szCs w:val="18"/>
              </w:rPr>
              <w:t>《财政部关于修改&lt;财政票据管理办法&gt;的决定》 (财政部令第104号)第四条：“财政部门是财政票据的主管部门。财政部负责全国财政票据管理工作，承担中央单位财政票据的监（印）制、发放、核销、销毁和监督检查等工作，指导地方财政票据管理工作。省、自治区、直辖市人民政府财政部门，新疆生产建设兵团财政局（以下简称省级财政部门）负责本行政区域财政票据的监（印）制、发放、核销、销毁和监督检查等工作，指导下级财政部门财政票据管理工作。”第三十四条：“纸质票据使用完毕，使用单位应当按照要求填写相关资料，按顺序清理纸质票据存根、装订成册、妥善保管。纸质票据存根的保存期限一般为5年。保存期满需要销毁的，报经原核发票据的财政部门查验后销毁。保存期未满、但有特殊情况需要提前销毁的，应当报原核发票据的财政部门批准。”第三十五条：“尚未使用但应予作废销毁的财政票据，使用单位应当登记造册，报原核发票据的财政部门核准、销毁。”第三十六条：“财政票据使用单位发生合并、分立、撤销、职权变更，或者收费项目被依法取消或者名称变更的，应当自变动之日起15日内，向原核发票据的财政部门办理《财政票据领用证》的变更或者注销手续；对已使用财政票据的存根和尚未使用的财政票据应当分别登记造册，报财政部门核准、销毁。”</w:t>
            </w:r>
          </w:p>
        </w:tc>
        <w:tc>
          <w:tcPr>
            <w:tcW w:w="1059"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24"/>
                <w:szCs w:val="24"/>
                <w:shd w:val="clear" w:color="070000" w:fill="FFFFFF"/>
                <w:lang w:val="en-US" w:eastAsia="zh-CN"/>
              </w:rPr>
              <w:t>其他职权</w:t>
            </w:r>
          </w:p>
        </w:tc>
        <w:tc>
          <w:tcPr>
            <w:tcW w:w="1485" w:type="dxa"/>
            <w:noWrap w:val="0"/>
            <w:tcMar>
              <w:top w:w="15" w:type="dxa"/>
              <w:left w:w="15" w:type="dxa"/>
              <w:right w:w="15" w:type="dxa"/>
            </w:tcMar>
            <w:vAlign w:val="center"/>
          </w:tcPr>
          <w:p>
            <w:pPr>
              <w:widowControl/>
              <w:spacing w:line="360" w:lineRule="exac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Cs w:val="21"/>
                <w:lang w:bidi="ar"/>
              </w:rPr>
              <w:t>受理</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1.受理责任：市本级用票单位对拟销毁财政票据存根及尚未使用但应予作废销毁的财政票据登记造册，报市</w:t>
            </w:r>
            <w:r>
              <w:rPr>
                <w:rFonts w:hint="eastAsia" w:ascii="仿宋" w:hAnsi="仿宋" w:eastAsia="仿宋" w:cs="仿宋"/>
                <w:color w:val="auto"/>
                <w:kern w:val="0"/>
                <w:szCs w:val="21"/>
                <w:lang w:eastAsia="zh-CN" w:bidi="ar"/>
              </w:rPr>
              <w:t>税政与条法科</w:t>
            </w:r>
            <w:r>
              <w:rPr>
                <w:rFonts w:hint="eastAsia" w:ascii="仿宋" w:hAnsi="仿宋" w:eastAsia="仿宋" w:cs="仿宋"/>
                <w:color w:val="auto"/>
                <w:kern w:val="0"/>
                <w:szCs w:val="21"/>
                <w:lang w:bidi="ar"/>
              </w:rPr>
              <w:t>。</w:t>
            </w:r>
          </w:p>
        </w:tc>
        <w:tc>
          <w:tcPr>
            <w:tcW w:w="1646"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olor w:val="auto"/>
                <w:kern w:val="0"/>
                <w:sz w:val="24"/>
                <w:szCs w:val="24"/>
                <w:u w:val="none"/>
                <w:lang w:val="en-US" w:eastAsia="zh-CN" w:bidi="ar"/>
              </w:rPr>
              <w:t>《财政票据管理办法》第四十三条：财政部门、行政事业单位工作人员违反本办法规定，在工作中徇私舞弊、玩忽职守、滥用职权的，依法给予处分；构成犯罪的，依法追究刑事责任。</w:t>
            </w:r>
          </w:p>
        </w:tc>
        <w:tc>
          <w:tcPr>
            <w:tcW w:w="952"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Cs w:val="21"/>
                <w:lang w:eastAsia="zh-CN"/>
              </w:rPr>
              <w:t>税政与条法股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300"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 w:hAnsi="仿宋" w:eastAsia="仿宋" w:cs="仿宋"/>
                <w:i w:val="0"/>
                <w:caps w:val="0"/>
                <w:color w:val="auto"/>
                <w:spacing w:val="0"/>
                <w:sz w:val="24"/>
                <w:szCs w:val="24"/>
                <w:shd w:val="clear" w:color="070000" w:fill="FFFFFF"/>
              </w:rPr>
            </w:pPr>
          </w:p>
        </w:tc>
        <w:tc>
          <w:tcPr>
            <w:tcW w:w="105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1485" w:type="dxa"/>
            <w:noWrap w:val="0"/>
            <w:tcMar>
              <w:top w:w="15" w:type="dxa"/>
              <w:left w:w="15" w:type="dxa"/>
              <w:right w:w="15" w:type="dxa"/>
            </w:tcMar>
            <w:vAlign w:val="center"/>
          </w:tcPr>
          <w:p>
            <w:pPr>
              <w:widowControl/>
              <w:spacing w:line="360" w:lineRule="exac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Cs w:val="21"/>
                <w:lang w:bidi="ar"/>
              </w:rPr>
              <w:t>审核</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2.审核责任：按相关规定对用票单位保存期满的财政票据存根进行查验，特殊原因提前销毁的，还需审核其理由是否正当；对尚未使用但应予作废销毁的财政票据进行核准。</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95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300"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 w:hAnsi="仿宋" w:eastAsia="仿宋" w:cs="仿宋"/>
                <w:i w:val="0"/>
                <w:caps w:val="0"/>
                <w:color w:val="auto"/>
                <w:spacing w:val="0"/>
                <w:sz w:val="24"/>
                <w:szCs w:val="24"/>
                <w:shd w:val="clear" w:color="070000" w:fill="FFFFFF"/>
              </w:rPr>
            </w:pPr>
          </w:p>
        </w:tc>
        <w:tc>
          <w:tcPr>
            <w:tcW w:w="105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1485" w:type="dxa"/>
            <w:noWrap w:val="0"/>
            <w:tcMar>
              <w:top w:w="15" w:type="dxa"/>
              <w:left w:w="15" w:type="dxa"/>
              <w:right w:w="15" w:type="dxa"/>
            </w:tcMar>
            <w:vAlign w:val="center"/>
          </w:tcPr>
          <w:p>
            <w:pPr>
              <w:widowControl/>
              <w:spacing w:line="360" w:lineRule="exac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Cs w:val="21"/>
                <w:lang w:bidi="ar"/>
              </w:rPr>
              <w:t>销毁</w:t>
            </w: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3.销毁监管责任：对查验无误的财政票据存根或核准无误的空白财政票据进行销毁。</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95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8" w:hRule="atLeast"/>
          <w:jc w:val="center"/>
        </w:trPr>
        <w:tc>
          <w:tcPr>
            <w:tcW w:w="1144"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847" w:type="dxa"/>
            <w:vMerge w:val="continue"/>
            <w:noWrap w:val="0"/>
            <w:tcMar>
              <w:top w:w="15" w:type="dxa"/>
              <w:left w:w="15" w:type="dxa"/>
              <w:right w:w="15" w:type="dxa"/>
            </w:tcMar>
            <w:vAlign w:val="top"/>
          </w:tcPr>
          <w:p>
            <w:pPr>
              <w:spacing w:line="360" w:lineRule="exact"/>
              <w:rPr>
                <w:rFonts w:hint="eastAsia" w:ascii="仿宋" w:hAnsi="仿宋" w:eastAsia="仿宋" w:cs="仿宋"/>
                <w:color w:val="auto"/>
                <w:szCs w:val="21"/>
              </w:rPr>
            </w:pPr>
          </w:p>
        </w:tc>
        <w:tc>
          <w:tcPr>
            <w:tcW w:w="3300" w:type="dxa"/>
            <w:vMerge w:val="continue"/>
            <w:noWrap w:val="0"/>
            <w:tcMar>
              <w:top w:w="15" w:type="dxa"/>
              <w:left w:w="15" w:type="dxa"/>
              <w:right w:w="15" w:type="dxa"/>
            </w:tcMar>
            <w:vAlign w:val="top"/>
          </w:tcPr>
          <w:p>
            <w:pPr>
              <w:tabs>
                <w:tab w:val="left" w:pos="4222"/>
              </w:tabs>
              <w:spacing w:line="360" w:lineRule="exact"/>
              <w:ind w:firstLine="480" w:firstLineChars="200"/>
              <w:rPr>
                <w:rFonts w:hint="eastAsia" w:ascii="仿宋_GB2312" w:hAnsi="仿宋_GB2312" w:eastAsia="仿宋_GB2312" w:cs="仿宋_GB2312"/>
                <w:i w:val="0"/>
                <w:caps w:val="0"/>
                <w:color w:val="auto"/>
                <w:spacing w:val="0"/>
                <w:sz w:val="24"/>
                <w:szCs w:val="24"/>
                <w:shd w:val="clear" w:color="070000" w:fill="FFFFFF"/>
              </w:rPr>
            </w:pPr>
          </w:p>
        </w:tc>
        <w:tc>
          <w:tcPr>
            <w:tcW w:w="1059"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1485" w:type="dxa"/>
            <w:noWrap w:val="0"/>
            <w:tcMar>
              <w:top w:w="15" w:type="dxa"/>
              <w:left w:w="15" w:type="dxa"/>
              <w:right w:w="15" w:type="dxa"/>
            </w:tcMar>
            <w:vAlign w:val="center"/>
          </w:tcPr>
          <w:p>
            <w:pPr>
              <w:spacing w:line="360" w:lineRule="exact"/>
              <w:rPr>
                <w:rFonts w:hint="eastAsia" w:ascii="仿宋_GB2312" w:hAnsi="仿宋_GB2312" w:eastAsia="仿宋_GB2312" w:cs="仿宋_GB2312"/>
                <w:color w:val="auto"/>
                <w:kern w:val="0"/>
                <w:sz w:val="24"/>
                <w:szCs w:val="24"/>
                <w:lang w:val="en-US" w:eastAsia="zh-CN"/>
              </w:rPr>
            </w:pPr>
          </w:p>
        </w:tc>
        <w:tc>
          <w:tcPr>
            <w:tcW w:w="3323" w:type="dxa"/>
            <w:noWrap w:val="0"/>
            <w:tcMar>
              <w:top w:w="15" w:type="dxa"/>
              <w:left w:w="15" w:type="dxa"/>
              <w:right w:w="15" w:type="dxa"/>
            </w:tcMar>
            <w:vAlign w:val="center"/>
          </w:tcPr>
          <w:p>
            <w:pPr>
              <w:widowControl/>
              <w:spacing w:line="360" w:lineRule="exact"/>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kern w:val="0"/>
                <w:szCs w:val="21"/>
                <w:lang w:bidi="ar"/>
              </w:rPr>
              <w:t>4.其他法律法规规章文件规定应履行的责任。</w:t>
            </w:r>
          </w:p>
        </w:tc>
        <w:tc>
          <w:tcPr>
            <w:tcW w:w="1646"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c>
          <w:tcPr>
            <w:tcW w:w="952"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p>
        </w:tc>
      </w:tr>
    </w:tbl>
    <w:p>
      <w:pPr>
        <w:autoSpaceDN w:val="0"/>
        <w:snapToGrid w:val="0"/>
        <w:jc w:val="center"/>
        <w:textAlignment w:val="center"/>
        <w:rPr>
          <w:rFonts w:ascii="仿宋" w:hAnsi="仿宋" w:eastAsia="仿宋" w:cs="仿宋"/>
          <w:color w:val="auto"/>
          <w:sz w:val="18"/>
          <w:szCs w:val="18"/>
        </w:rPr>
      </w:pPr>
    </w:p>
    <w:p>
      <w:pPr>
        <w:autoSpaceDN w:val="0"/>
        <w:snapToGrid w:val="0"/>
        <w:jc w:val="center"/>
        <w:textAlignment w:val="center"/>
        <w:rPr>
          <w:rFonts w:ascii="仿宋" w:hAnsi="仿宋" w:eastAsia="仿宋" w:cs="仿宋"/>
          <w:color w:val="auto"/>
          <w:sz w:val="18"/>
          <w:szCs w:val="18"/>
        </w:rPr>
      </w:pPr>
    </w:p>
    <w:p>
      <w:pPr>
        <w:autoSpaceDN w:val="0"/>
        <w:snapToGrid w:val="0"/>
        <w:jc w:val="center"/>
        <w:textAlignment w:val="center"/>
        <w:rPr>
          <w:rFonts w:ascii="仿宋" w:hAnsi="仿宋" w:eastAsia="仿宋" w:cs="仿宋"/>
          <w:color w:val="auto"/>
          <w:sz w:val="18"/>
          <w:szCs w:val="18"/>
        </w:rPr>
      </w:pPr>
    </w:p>
    <w:p>
      <w:pPr>
        <w:autoSpaceDN w:val="0"/>
        <w:snapToGrid w:val="0"/>
        <w:jc w:val="center"/>
        <w:textAlignment w:val="center"/>
        <w:rPr>
          <w:rFonts w:ascii="仿宋" w:hAnsi="仿宋" w:eastAsia="仿宋" w:cs="仿宋"/>
          <w:color w:val="auto"/>
          <w:sz w:val="18"/>
          <w:szCs w:val="18"/>
        </w:rPr>
      </w:pPr>
    </w:p>
    <w:p>
      <w:pPr>
        <w:autoSpaceDN w:val="0"/>
        <w:snapToGrid w:val="0"/>
        <w:jc w:val="center"/>
        <w:textAlignment w:val="center"/>
        <w:rPr>
          <w:rFonts w:ascii="仿宋" w:hAnsi="仿宋" w:eastAsia="仿宋" w:cs="仿宋"/>
          <w:color w:val="auto"/>
          <w:sz w:val="18"/>
          <w:szCs w:val="18"/>
        </w:rPr>
      </w:pPr>
    </w:p>
    <w:p>
      <w:pPr>
        <w:autoSpaceDN w:val="0"/>
        <w:snapToGrid w:val="0"/>
        <w:jc w:val="center"/>
        <w:textAlignment w:val="center"/>
        <w:rPr>
          <w:color w:val="auto"/>
          <w:sz w:val="20"/>
          <w:szCs w:val="21"/>
        </w:rPr>
      </w:pPr>
      <w:r>
        <w:rPr>
          <w:rFonts w:ascii="仿宋" w:hAnsi="仿宋" w:eastAsia="仿宋" w:cs="仿宋"/>
          <w:color w:val="auto"/>
          <w:sz w:val="18"/>
          <w:szCs w:val="18"/>
        </w:rPr>
        <w:br w:type="page"/>
      </w:r>
    </w:p>
    <w:tbl>
      <w:tblPr>
        <w:tblStyle w:val="6"/>
        <w:tblW w:w="15450" w:type="dxa"/>
        <w:jc w:val="center"/>
        <w:tblLayout w:type="fixed"/>
        <w:tblCellMar>
          <w:top w:w="0" w:type="dxa"/>
          <w:left w:w="0" w:type="dxa"/>
          <w:bottom w:w="0" w:type="dxa"/>
          <w:right w:w="0" w:type="dxa"/>
        </w:tblCellMar>
      </w:tblPr>
      <w:tblGrid>
        <w:gridCol w:w="1144"/>
        <w:gridCol w:w="1387"/>
        <w:gridCol w:w="4007"/>
        <w:gridCol w:w="812"/>
        <w:gridCol w:w="1485"/>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0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8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204"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57</w:t>
            </w:r>
          </w:p>
        </w:tc>
        <w:tc>
          <w:tcPr>
            <w:tcW w:w="138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金融企业财务登记</w:t>
            </w:r>
          </w:p>
        </w:tc>
        <w:tc>
          <w:tcPr>
            <w:tcW w:w="4007"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地方金融企业财务监督管理办法》（财金〔2010〕56号）第六条：“地方金融企业应在完成工商登记之日起30日内，按财务隶属关系向地方财政部门办理财务登记。地方财政部门应建立登记档案，作为地方金融企业财务监督管理基础资料，以及作为对其实施考核、评价、财政支持政策等的依据。”第七条：“地方金融企业首次申请办理财务登记的，应提交以下资料：（一）出资人协议及有关部门批准设立的文件；（二）会计师事务所出具的验资报告或证明；（三）企业章程；（四）《企业法人营业执照》副本复印件。”第八条：“地方金融企业下列情况发生变化时，从发生之日起30日内，向地方财政部门办理变更财务登记：（一）名称、住所或法定代表人变动；（二）组织形式变动；（三）分立或合并；（四）控股股东变动；（五）地方财政部门规定的其他情形。”第九条：“地方金融企业发生以下情形，应办理移交登记手续或注销财务登记：（一）地方金融企业法人机构工商注册登记发生变更导致财务主管部门变化的，根据企业申请，应当办理财务登记基础资料移交手续；（二）地方金融企业解散或被依法撤销的，应自出资人协议生效或有关部门批准之日起30日内，向地方财政部门办理注销财务登记；（三）地方金融企业被依法宣告破产的，应自法院裁定之日起30日内，向地方财政部门办理注销财务登记。”</w:t>
            </w:r>
          </w:p>
        </w:tc>
        <w:tc>
          <w:tcPr>
            <w:tcW w:w="81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申请</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1.申请责任：金融企业按规定申请办理财务登记，按要求申报有关资料。</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地方金融企业财务监督管理办法》第三十六条：地方财政部门工作人员应根据国家法律法规,正确履行财务监督管理职能,保守企业商业秘密,对滥用职权、玩忽职守、徇私舞弊,或者泄露国家秘密、商业秘密的相关责任人,依法进行处理。</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金融与服务业股</w:t>
            </w:r>
          </w:p>
        </w:tc>
      </w:tr>
      <w:tr>
        <w:tblPrEx>
          <w:tblCellMar>
            <w:top w:w="0" w:type="dxa"/>
            <w:left w:w="0" w:type="dxa"/>
            <w:bottom w:w="0" w:type="dxa"/>
            <w:right w:w="0" w:type="dxa"/>
          </w:tblCellMar>
        </w:tblPrEx>
        <w:trPr>
          <w:trHeight w:val="807"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受理责任：收到申请后，对申请材料不齐全或者不符合法定形式的，应当在5个工作日内书面一次性告知申请人需要补正的全部内容。对申请材料齐全、符合法定形式，或者申请人按照要求全部补正申请材料的应当受理。</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75"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3.审查责任：受理申请后，应当对申请材料进行审查。</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9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07"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办理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4.办理责任：在受理申请后的20个工作日内决定是否予以办理。不予办理的，应当说明理由。</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890"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8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007"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1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531"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58</w:t>
            </w: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金融企业国有资产评估核准或备案</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国有资产评估监督管理暂行办法》（财政部令第47号）第三条：“县级以上人民政府财政部门（以下简称财政部门）按照统一政策、分级管理的原则，对本级金融企业资产评估工作进行监督管理。”第十条：“金融企业资产评估项目实行核准制和备案制。”第十一条：“金融企业下列经济行为涉及资产评估的，资产评估项目实行核准：（一）经批准进行改组改制、拟在境内或者境外上市、以非货币性资产与外商合资经营或者合作经营的经济行为；（二）经县级以上人民政府批准的其他涉及国有资产产权变动的经济行为。中央金融企业资产评估项目报财政部核准。地方金融企业资产评估项目报本级财政部门核准。”第十七条：“除本办法第十一条第一款规定的经济行为以外的其他经济行为，应当进行资产评估的，资产评估项目实行备案。”</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360" w:lineRule="exact"/>
              <w:ind w:left="0" w:leftChars="0" w:right="0" w:rightChars="0"/>
              <w:jc w:val="both"/>
              <w:rPr>
                <w:rFonts w:ascii="仿宋" w:hAnsi="仿宋" w:eastAsia="仿宋" w:cs="仿宋"/>
                <w:color w:val="auto"/>
                <w:szCs w:val="21"/>
              </w:rPr>
            </w:pPr>
            <w:r>
              <w:rPr>
                <w:rFonts w:hint="eastAsia" w:ascii="仿宋" w:hAnsi="仿宋" w:eastAsia="仿宋" w:cs="仿宋"/>
                <w:color w:val="auto"/>
                <w:sz w:val="21"/>
                <w:szCs w:val="21"/>
              </w:rPr>
              <w:t>受理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240" w:lineRule="auto"/>
              <w:ind w:left="0" w:leftChars="0" w:right="0" w:rightChars="0"/>
              <w:jc w:val="both"/>
              <w:rPr>
                <w:rFonts w:ascii="仿宋" w:hAnsi="仿宋" w:eastAsia="仿宋" w:cs="仿宋"/>
                <w:color w:val="auto"/>
                <w:szCs w:val="21"/>
              </w:rPr>
            </w:pPr>
            <w:r>
              <w:rPr>
                <w:rFonts w:hint="eastAsia" w:ascii="仿宋" w:hAnsi="仿宋" w:eastAsia="仿宋" w:cs="仿宋"/>
                <w:color w:val="auto"/>
                <w:sz w:val="20"/>
                <w:szCs w:val="20"/>
              </w:rPr>
              <w:t>1.收到申请文件及材料之日起，市财政资产评估管理办公室3日内决定是否受理</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国有资产评估监督管理暂行办法》第三十二条：财政部门工作人员在资产评估监督管理工作中滥用职权、玩忽职守、徇私舞弊，或者泄漏金融企业商业秘密的，依法给予行政处分，涉嫌犯罪的，依法移送司法机关。</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金融与服务业股、资产管理股</w:t>
            </w:r>
          </w:p>
        </w:tc>
      </w:tr>
      <w:tr>
        <w:tblPrEx>
          <w:tblCellMar>
            <w:top w:w="0" w:type="dxa"/>
            <w:left w:w="0" w:type="dxa"/>
            <w:bottom w:w="0" w:type="dxa"/>
            <w:right w:w="0" w:type="dxa"/>
          </w:tblCellMar>
        </w:tblPrEx>
        <w:trPr>
          <w:trHeight w:val="144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360" w:lineRule="exact"/>
              <w:ind w:left="0" w:leftChars="0" w:right="0" w:rightChars="0"/>
              <w:jc w:val="both"/>
              <w:rPr>
                <w:rFonts w:ascii="仿宋" w:hAnsi="仿宋" w:eastAsia="仿宋" w:cs="仿宋"/>
                <w:color w:val="auto"/>
                <w:szCs w:val="21"/>
              </w:rPr>
            </w:pPr>
            <w:r>
              <w:rPr>
                <w:rFonts w:hint="eastAsia" w:ascii="仿宋" w:hAnsi="仿宋" w:eastAsia="仿宋" w:cs="仿宋"/>
                <w:color w:val="auto"/>
                <w:sz w:val="21"/>
                <w:szCs w:val="21"/>
              </w:rPr>
              <w:t>审核</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240" w:lineRule="auto"/>
              <w:ind w:left="0" w:leftChars="0" w:right="0" w:rightChars="0"/>
              <w:jc w:val="both"/>
              <w:rPr>
                <w:rFonts w:ascii="仿宋" w:hAnsi="仿宋" w:eastAsia="仿宋" w:cs="仿宋"/>
                <w:color w:val="auto"/>
                <w:szCs w:val="21"/>
              </w:rPr>
            </w:pPr>
            <w:r>
              <w:rPr>
                <w:rFonts w:hint="eastAsia" w:ascii="仿宋" w:hAnsi="仿宋" w:eastAsia="仿宋" w:cs="仿宋"/>
                <w:color w:val="auto"/>
                <w:sz w:val="20"/>
                <w:szCs w:val="20"/>
              </w:rPr>
              <w:t>2.不属于本机关职权范围内的，不予受理，并通知申请单位。申请材料齐全、符合法定形式，或者申请单位按照要求提交全部补齐申请资料的，予以受理。虽然申请资料不齐全或者不符合规定的，但自接收之日起3个工作日内不告知主管部门的，自收到申请资料之日起即为受理。按照有关规定对申报事项进行审查;对重大事项或者存疑事项组织专家评审论证；20 个工作日内提出审查意见。</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425"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360" w:lineRule="exact"/>
              <w:ind w:left="0" w:leftChars="0" w:right="0" w:rightChars="0"/>
              <w:jc w:val="both"/>
              <w:rPr>
                <w:rFonts w:ascii="仿宋" w:hAnsi="仿宋" w:eastAsia="仿宋" w:cs="仿宋"/>
                <w:color w:val="auto"/>
                <w:szCs w:val="21"/>
              </w:rPr>
            </w:pPr>
            <w:r>
              <w:rPr>
                <w:rFonts w:hint="eastAsia" w:ascii="仿宋" w:hAnsi="仿宋" w:eastAsia="仿宋" w:cs="仿宋"/>
                <w:color w:val="auto"/>
                <w:sz w:val="21"/>
                <w:szCs w:val="21"/>
              </w:rPr>
              <w:t>决定</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240" w:lineRule="auto"/>
              <w:ind w:left="0" w:leftChars="0" w:right="0" w:rightChars="0"/>
              <w:jc w:val="both"/>
              <w:rPr>
                <w:rFonts w:ascii="仿宋" w:hAnsi="仿宋" w:eastAsia="仿宋" w:cs="仿宋"/>
                <w:color w:val="auto"/>
                <w:szCs w:val="21"/>
              </w:rPr>
            </w:pPr>
            <w:r>
              <w:rPr>
                <w:rFonts w:hint="eastAsia" w:ascii="仿宋" w:hAnsi="仿宋" w:eastAsia="仿宋" w:cs="仿宋"/>
                <w:color w:val="auto"/>
                <w:sz w:val="20"/>
                <w:szCs w:val="20"/>
              </w:rPr>
              <w:t>3.对于符合要求的七日内予以核准备案，申请材料不齐全或者不符合有关规定的，应当在3日内一次告知主管部门需要补齐的全部内容。</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20"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spacing w:line="360" w:lineRule="exact"/>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auto" w:sz="4" w:space="0"/>
              <w:left w:val="single" w:color="auto" w:sz="4" w:space="0"/>
              <w:right w:val="single" w:color="auto" w:sz="4" w:space="0"/>
            </w:tcBorders>
            <w:tcMar>
              <w:top w:w="15" w:type="dxa"/>
              <w:left w:w="15" w:type="dxa"/>
              <w:right w:w="15" w:type="dxa"/>
            </w:tcMar>
            <w:vAlign w:val="center"/>
          </w:tcPr>
          <w:p>
            <w:pPr>
              <w:spacing w:line="240" w:lineRule="auto"/>
              <w:rPr>
                <w:rFonts w:ascii="仿宋" w:hAnsi="仿宋" w:eastAsia="仿宋" w:cs="仿宋"/>
                <w:color w:val="auto"/>
                <w:szCs w:val="21"/>
              </w:rPr>
            </w:pPr>
            <w:r>
              <w:rPr>
                <w:rFonts w:hint="eastAsia" w:ascii="仿宋" w:hAnsi="仿宋" w:eastAsia="仿宋" w:cs="仿宋"/>
                <w:color w:val="auto"/>
                <w:sz w:val="20"/>
                <w:szCs w:val="20"/>
              </w:rPr>
              <w:t>4.5日内将文件送主管部门，由主管部门告知申请单位。</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20"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8"/>
              <w:widowControl/>
              <w:spacing w:before="0" w:beforeAutospacing="0" w:after="0" w:afterAutospacing="0" w:line="360" w:lineRule="exact"/>
              <w:ind w:left="0" w:leftChars="0" w:right="0" w:rightChars="0"/>
              <w:jc w:val="both"/>
              <w:rPr>
                <w:rFonts w:ascii="仿宋" w:hAnsi="仿宋" w:eastAsia="仿宋" w:cs="仿宋"/>
                <w:color w:val="auto"/>
                <w:szCs w:val="21"/>
              </w:rPr>
            </w:pPr>
            <w:r>
              <w:rPr>
                <w:rFonts w:hint="eastAsia" w:ascii="仿宋" w:hAnsi="仿宋" w:eastAsia="仿宋" w:cs="仿宋"/>
                <w:color w:val="auto"/>
                <w:sz w:val="21"/>
                <w:szCs w:val="21"/>
              </w:rPr>
              <w:t>归档</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8"/>
              <w:widowControl/>
              <w:numPr>
                <w:ilvl w:val="0"/>
                <w:numId w:val="1"/>
              </w:numPr>
              <w:spacing w:before="0" w:beforeAutospacing="0" w:after="0" w:afterAutospacing="0" w:line="240" w:lineRule="auto"/>
              <w:ind w:left="0" w:leftChars="0" w:right="0" w:rightChars="0"/>
              <w:jc w:val="both"/>
              <w:rPr>
                <w:rFonts w:ascii="仿宋" w:hAnsi="仿宋" w:eastAsia="仿宋" w:cs="仿宋"/>
                <w:color w:val="auto"/>
                <w:szCs w:val="21"/>
              </w:rPr>
            </w:pPr>
            <w:r>
              <w:rPr>
                <w:rFonts w:hint="eastAsia" w:ascii="仿宋" w:hAnsi="仿宋" w:eastAsia="仿宋" w:cs="仿宋"/>
                <w:color w:val="auto"/>
                <w:sz w:val="20"/>
                <w:szCs w:val="20"/>
              </w:rPr>
              <w:t>核准备案结束后资料归档</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黑体" w:hAnsi="黑体" w:eastAsia="黑体" w:cs="黑体"/>
                <w:color w:val="auto"/>
                <w:sz w:val="24"/>
              </w:rPr>
            </w:pPr>
            <w:r>
              <w:rPr>
                <w:rFonts w:hint="eastAsia" w:ascii="黑体" w:hAnsi="黑体" w:eastAsia="黑体" w:cs="黑体"/>
                <w:color w:val="auto"/>
                <w:sz w:val="24"/>
              </w:rPr>
              <w:t>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职权类别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kern w:val="0"/>
                <w:sz w:val="24"/>
              </w:rPr>
            </w:pPr>
            <w:r>
              <w:rPr>
                <w:rFonts w:hint="eastAsia" w:ascii="黑体" w:hAnsi="黑体" w:eastAsia="黑体" w:cs="黑体"/>
                <w:color w:val="auto"/>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黑体" w:hAnsi="黑体" w:eastAsia="黑体" w:cs="黑体"/>
                <w:color w:val="auto"/>
                <w:sz w:val="24"/>
              </w:rPr>
            </w:pPr>
            <w:r>
              <w:rPr>
                <w:rFonts w:hint="eastAsia" w:ascii="黑体" w:hAnsi="黑体" w:eastAsia="黑体" w:cs="黑体"/>
                <w:color w:val="auto"/>
                <w:sz w:val="24"/>
              </w:rPr>
              <w:t>处室</w:t>
            </w:r>
          </w:p>
        </w:tc>
      </w:tr>
      <w:tr>
        <w:tblPrEx>
          <w:tblCellMar>
            <w:top w:w="0" w:type="dxa"/>
            <w:left w:w="0" w:type="dxa"/>
            <w:bottom w:w="0" w:type="dxa"/>
            <w:right w:w="0" w:type="dxa"/>
          </w:tblCellMar>
        </w:tblPrEx>
        <w:trPr>
          <w:trHeight w:val="1158" w:hRule="atLeast"/>
          <w:jc w:val="center"/>
        </w:trPr>
        <w:tc>
          <w:tcPr>
            <w:tcW w:w="1144"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59</w:t>
            </w:r>
          </w:p>
        </w:tc>
        <w:tc>
          <w:tcPr>
            <w:tcW w:w="1847"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金融类企业国有资产产权登记</w:t>
            </w:r>
          </w:p>
        </w:tc>
        <w:tc>
          <w:tcPr>
            <w:tcW w:w="3300" w:type="dxa"/>
            <w:vMerge w:val="restart"/>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关于印发《国有金融资本产权登记管理办法（试行）》的通知（财金〔2019〕93号）第八条  ：“国有金融资本产权登记和管理机关为同级财政部门。国有金融资本产权登记按照统一规制、分级管理的原则，由县级以上（含县级，下同）财政部门组织实施。（一） 财政部负责中央国有金融资本产权登记管理工作。（二）县级以上地方财政部门负责本级国有金融资本产权登记管理工作。上级财政部门指导和监督下级财政部门的国有金融资本产权登记管理工作。财政部各地监管局根据财政部的委托，协助办理中央国有金融资本产权登记工作，开展属地国有金融资本产权登记监督管理工作。”</w:t>
            </w:r>
          </w:p>
        </w:tc>
        <w:tc>
          <w:tcPr>
            <w:tcW w:w="1059"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485"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申请</w:t>
            </w:r>
          </w:p>
        </w:tc>
        <w:tc>
          <w:tcPr>
            <w:tcW w:w="3323"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1.申请责任：金融类企业按规定申请国有资产产权登记，按要求申报有关资料。</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国有金融资本产权登记管理办法（试行）》第三十七条：财政部门工作人员在产权登记工作中应严格执行本办法，不得玩忽职守、滥用职权。存在违规登记及其他滥用职权、玩忽职守、徇私舞弊等违法违纪行为的，按照《公务员法》《监察法》等有关规定追究责任；涉嫌犯罪的，依法移送司法机关处理。</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金融与服务业股、县属功能类公益类企业国有资产监管办公室</w:t>
            </w:r>
          </w:p>
        </w:tc>
      </w:tr>
      <w:tr>
        <w:tblPrEx>
          <w:tblCellMar>
            <w:top w:w="0" w:type="dxa"/>
            <w:left w:w="0" w:type="dxa"/>
            <w:bottom w:w="0" w:type="dxa"/>
            <w:right w:w="0" w:type="dxa"/>
          </w:tblCellMar>
        </w:tblPrEx>
        <w:trPr>
          <w:trHeight w:val="1158"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323"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受理责任：收到申请后，对申请材料不齐全或者不符合法定形式的，应当在5个工作日内书面一次性告知申请人需要补正的全部内容。对申请材料齐全、符合法定形式，或者申请人按照要求全部补正申请材料的应当受理。</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58"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323"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3.审查责任：受理申请后，应当对申请材料进行审查。</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58"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办理</w:t>
            </w:r>
          </w:p>
        </w:tc>
        <w:tc>
          <w:tcPr>
            <w:tcW w:w="3323"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4.办理责任：在受理申请后的20个工作日内决定是否予以办理。不予办理的，应当说明理由。</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58"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single" w:color="auto" w:sz="4" w:space="0"/>
              <w:left w:val="single" w:color="auto"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23"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tbl>
      <w:tblPr>
        <w:tblStyle w:val="7"/>
        <w:tblW w:w="14364"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66"/>
        <w:gridCol w:w="4612"/>
        <w:gridCol w:w="1200"/>
        <w:gridCol w:w="1200"/>
        <w:gridCol w:w="2505"/>
        <w:gridCol w:w="157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1"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序号</w:t>
            </w:r>
          </w:p>
        </w:tc>
        <w:tc>
          <w:tcPr>
            <w:tcW w:w="1266"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名称</w:t>
            </w:r>
          </w:p>
        </w:tc>
        <w:tc>
          <w:tcPr>
            <w:tcW w:w="4612"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实施依据</w:t>
            </w:r>
          </w:p>
        </w:tc>
        <w:tc>
          <w:tcPr>
            <w:tcW w:w="1200"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职权类别</w:t>
            </w:r>
          </w:p>
        </w:tc>
        <w:tc>
          <w:tcPr>
            <w:tcW w:w="1200"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办理环节</w:t>
            </w:r>
          </w:p>
        </w:tc>
        <w:tc>
          <w:tcPr>
            <w:tcW w:w="2505"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责任事项</w:t>
            </w:r>
          </w:p>
        </w:tc>
        <w:tc>
          <w:tcPr>
            <w:tcW w:w="1575"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追责情形</w:t>
            </w:r>
          </w:p>
        </w:tc>
        <w:tc>
          <w:tcPr>
            <w:tcW w:w="1125"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881"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60</w:t>
            </w:r>
          </w:p>
        </w:tc>
        <w:tc>
          <w:tcPr>
            <w:tcW w:w="1266"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财政专项资金的分配</w:t>
            </w:r>
          </w:p>
          <w:p>
            <w:pPr>
              <w:autoSpaceDN w:val="0"/>
              <w:snapToGrid w:val="0"/>
              <w:jc w:val="center"/>
              <w:textAlignment w:val="center"/>
              <w:rPr>
                <w:rFonts w:ascii="仿宋" w:hAnsi="仿宋" w:eastAsia="仿宋" w:cs="仿宋"/>
                <w:color w:val="auto"/>
                <w:szCs w:val="21"/>
              </w:rPr>
            </w:pPr>
          </w:p>
        </w:tc>
        <w:tc>
          <w:tcPr>
            <w:tcW w:w="4612"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预算法》第五十二条：“各级预算经本级人民代表大会批准后，本级政府财政部门应当在二十日内向本级各部门批复预算。各部门应当在接到本级政府财政部门批复的本部门预算后十五日内向所属各单位批复预算。中央对地方的一般性转移支付应当在全国人民代表大会批准预算后三十日内正式下达。中央对地方的专项转移支付应当在全国人民代表大会批准预算后九十日内正式下达。省、自治区、直辖市政府接到中央一般性转移支付和专项转移支付后，应当在三十日内正式下达到本行政区域县级以上各级政府。县级以上地方各级预算安排对下级政府的一般性转移支付和专项转移支付，应当分别在本级人民代表大会批准预算后的三十日和六十日内正式下达。对自然灾害等突发事件处理的转移支付，应当及时下达预算；对据实结算等特殊项目的转移支付，可以分期下达预算，或者先预付后结算。县级以上各级政府财政部门应当将批复本级各部门的预算和批复下级政府的转移支付预算，抄送本级人民代表大会财政经济委员会、有关专门委员会和常务委员会有关工作机构。”</w:t>
            </w:r>
          </w:p>
        </w:tc>
        <w:tc>
          <w:tcPr>
            <w:tcW w:w="1200"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tc>
        <w:tc>
          <w:tcPr>
            <w:tcW w:w="1200"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资金安排</w:t>
            </w:r>
          </w:p>
        </w:tc>
        <w:tc>
          <w:tcPr>
            <w:tcW w:w="2505"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1.资金安排责任：编制年度预算时，由业务主管部门提出专项资金安排建议及初步审核意见并报预算科，预算科根据项目轻重缓急情况和市级财力状况提出安排意见按程序报批。</w:t>
            </w:r>
          </w:p>
        </w:tc>
        <w:tc>
          <w:tcPr>
            <w:tcW w:w="1575"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125"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预算股、政府采购监督管理股、有关业务股室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881" w:type="dxa"/>
            <w:vMerge w:val="continue"/>
            <w:vAlign w:val="center"/>
          </w:tcPr>
          <w:p>
            <w:pPr>
              <w:autoSpaceDN w:val="0"/>
              <w:snapToGrid w:val="0"/>
              <w:jc w:val="center"/>
              <w:textAlignment w:val="center"/>
              <w:rPr>
                <w:rFonts w:ascii="仿宋" w:hAnsi="仿宋" w:eastAsia="仿宋" w:cs="仿宋"/>
                <w:color w:val="auto"/>
                <w:szCs w:val="21"/>
              </w:rPr>
            </w:pPr>
          </w:p>
        </w:tc>
        <w:tc>
          <w:tcPr>
            <w:tcW w:w="1266" w:type="dxa"/>
            <w:vMerge w:val="continue"/>
            <w:vAlign w:val="center"/>
          </w:tcPr>
          <w:p>
            <w:pPr>
              <w:autoSpaceDN w:val="0"/>
              <w:snapToGrid w:val="0"/>
              <w:jc w:val="center"/>
              <w:textAlignment w:val="center"/>
              <w:rPr>
                <w:rFonts w:ascii="仿宋" w:hAnsi="仿宋" w:eastAsia="仿宋" w:cs="仿宋"/>
                <w:color w:val="auto"/>
                <w:szCs w:val="21"/>
              </w:rPr>
            </w:pPr>
          </w:p>
        </w:tc>
        <w:tc>
          <w:tcPr>
            <w:tcW w:w="4612" w:type="dxa"/>
            <w:vMerge w:val="continue"/>
            <w:vAlign w:val="center"/>
          </w:tcPr>
          <w:p>
            <w:pPr>
              <w:autoSpaceDN w:val="0"/>
              <w:snapToGrid w:val="0"/>
              <w:jc w:val="center"/>
              <w:textAlignment w:val="center"/>
              <w:rPr>
                <w:rFonts w:ascii="仿宋" w:hAnsi="仿宋" w:eastAsia="仿宋" w:cs="仿宋"/>
                <w:color w:val="auto"/>
                <w:szCs w:val="21"/>
              </w:rPr>
            </w:pPr>
          </w:p>
        </w:tc>
        <w:tc>
          <w:tcPr>
            <w:tcW w:w="1200" w:type="dxa"/>
            <w:vMerge w:val="continue"/>
            <w:vAlign w:val="center"/>
          </w:tcPr>
          <w:p>
            <w:pPr>
              <w:autoSpaceDN w:val="0"/>
              <w:snapToGrid w:val="0"/>
              <w:jc w:val="center"/>
              <w:textAlignment w:val="center"/>
              <w:rPr>
                <w:rFonts w:ascii="仿宋" w:hAnsi="仿宋" w:eastAsia="仿宋" w:cs="仿宋"/>
                <w:color w:val="auto"/>
                <w:szCs w:val="21"/>
              </w:rPr>
            </w:pPr>
          </w:p>
        </w:tc>
        <w:tc>
          <w:tcPr>
            <w:tcW w:w="1200"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分配下达</w:t>
            </w:r>
          </w:p>
        </w:tc>
        <w:tc>
          <w:tcPr>
            <w:tcW w:w="2505"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2.分配下达责任：业务主管部门提出专项资金初步分配意见，经领导批准后，抄送预算股并按程序下达；国库股和国库支付局按项目进度拨付资金；各业务主管部门督促项目承担单位按预算用途执行。</w:t>
            </w:r>
          </w:p>
        </w:tc>
        <w:tc>
          <w:tcPr>
            <w:tcW w:w="1575" w:type="dxa"/>
            <w:vMerge w:val="continue"/>
            <w:vAlign w:val="center"/>
          </w:tcPr>
          <w:p>
            <w:pPr>
              <w:autoSpaceDN w:val="0"/>
              <w:snapToGrid w:val="0"/>
              <w:jc w:val="center"/>
              <w:textAlignment w:val="center"/>
              <w:rPr>
                <w:rFonts w:ascii="仿宋" w:hAnsi="仿宋" w:eastAsia="仿宋" w:cs="仿宋"/>
                <w:color w:val="auto"/>
                <w:szCs w:val="21"/>
              </w:rPr>
            </w:pPr>
          </w:p>
        </w:tc>
        <w:tc>
          <w:tcPr>
            <w:tcW w:w="1125"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881" w:type="dxa"/>
            <w:vMerge w:val="continue"/>
            <w:vAlign w:val="center"/>
          </w:tcPr>
          <w:p>
            <w:pPr>
              <w:autoSpaceDN w:val="0"/>
              <w:snapToGrid w:val="0"/>
              <w:jc w:val="center"/>
              <w:textAlignment w:val="center"/>
              <w:rPr>
                <w:rFonts w:ascii="仿宋" w:hAnsi="仿宋" w:eastAsia="仿宋" w:cs="仿宋"/>
                <w:color w:val="auto"/>
                <w:szCs w:val="21"/>
              </w:rPr>
            </w:pPr>
          </w:p>
        </w:tc>
        <w:tc>
          <w:tcPr>
            <w:tcW w:w="1266" w:type="dxa"/>
            <w:vMerge w:val="continue"/>
            <w:vAlign w:val="center"/>
          </w:tcPr>
          <w:p>
            <w:pPr>
              <w:autoSpaceDN w:val="0"/>
              <w:snapToGrid w:val="0"/>
              <w:jc w:val="center"/>
              <w:textAlignment w:val="center"/>
              <w:rPr>
                <w:rFonts w:ascii="仿宋" w:hAnsi="仿宋" w:eastAsia="仿宋" w:cs="仿宋"/>
                <w:color w:val="auto"/>
                <w:szCs w:val="21"/>
              </w:rPr>
            </w:pPr>
          </w:p>
        </w:tc>
        <w:tc>
          <w:tcPr>
            <w:tcW w:w="4612" w:type="dxa"/>
            <w:vMerge w:val="continue"/>
            <w:vAlign w:val="center"/>
          </w:tcPr>
          <w:p>
            <w:pPr>
              <w:autoSpaceDN w:val="0"/>
              <w:snapToGrid w:val="0"/>
              <w:jc w:val="center"/>
              <w:textAlignment w:val="center"/>
              <w:rPr>
                <w:rFonts w:ascii="仿宋" w:hAnsi="仿宋" w:eastAsia="仿宋" w:cs="仿宋"/>
                <w:color w:val="auto"/>
                <w:szCs w:val="21"/>
              </w:rPr>
            </w:pPr>
          </w:p>
        </w:tc>
        <w:tc>
          <w:tcPr>
            <w:tcW w:w="1200" w:type="dxa"/>
            <w:vMerge w:val="continue"/>
            <w:vAlign w:val="center"/>
          </w:tcPr>
          <w:p>
            <w:pPr>
              <w:autoSpaceDN w:val="0"/>
              <w:snapToGrid w:val="0"/>
              <w:jc w:val="center"/>
              <w:textAlignment w:val="center"/>
              <w:rPr>
                <w:rFonts w:ascii="仿宋" w:hAnsi="仿宋" w:eastAsia="仿宋" w:cs="仿宋"/>
                <w:color w:val="auto"/>
                <w:szCs w:val="21"/>
              </w:rPr>
            </w:pPr>
          </w:p>
        </w:tc>
        <w:tc>
          <w:tcPr>
            <w:tcW w:w="1200" w:type="dxa"/>
            <w:vAlign w:val="center"/>
          </w:tcPr>
          <w:p>
            <w:pPr>
              <w:autoSpaceDN w:val="0"/>
              <w:snapToGrid w:val="0"/>
              <w:jc w:val="center"/>
              <w:textAlignment w:val="center"/>
              <w:rPr>
                <w:rFonts w:ascii="仿宋" w:hAnsi="仿宋" w:eastAsia="仿宋" w:cs="仿宋"/>
                <w:color w:val="auto"/>
                <w:szCs w:val="21"/>
              </w:rPr>
            </w:pPr>
          </w:p>
        </w:tc>
        <w:tc>
          <w:tcPr>
            <w:tcW w:w="2505"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3.其他法律法规规章文件规定应履行的责任。</w:t>
            </w:r>
          </w:p>
        </w:tc>
        <w:tc>
          <w:tcPr>
            <w:tcW w:w="1575" w:type="dxa"/>
            <w:vMerge w:val="continue"/>
            <w:vAlign w:val="center"/>
          </w:tcPr>
          <w:p>
            <w:pPr>
              <w:autoSpaceDN w:val="0"/>
              <w:snapToGrid w:val="0"/>
              <w:jc w:val="center"/>
              <w:textAlignment w:val="center"/>
              <w:rPr>
                <w:rFonts w:ascii="仿宋" w:hAnsi="仿宋" w:eastAsia="仿宋" w:cs="仿宋"/>
                <w:color w:val="auto"/>
                <w:szCs w:val="21"/>
              </w:rPr>
            </w:pPr>
          </w:p>
        </w:tc>
        <w:tc>
          <w:tcPr>
            <w:tcW w:w="1125" w:type="dxa"/>
            <w:vMerge w:val="continue"/>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tbl>
      <w:tblPr>
        <w:tblStyle w:val="7"/>
        <w:tblW w:w="15059"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7"/>
        <w:gridCol w:w="3346"/>
        <w:gridCol w:w="1568"/>
        <w:gridCol w:w="1295"/>
        <w:gridCol w:w="2734"/>
        <w:gridCol w:w="208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93"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序号</w:t>
            </w:r>
          </w:p>
        </w:tc>
        <w:tc>
          <w:tcPr>
            <w:tcW w:w="1547"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名称</w:t>
            </w:r>
          </w:p>
        </w:tc>
        <w:tc>
          <w:tcPr>
            <w:tcW w:w="3346"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实施依据</w:t>
            </w:r>
          </w:p>
        </w:tc>
        <w:tc>
          <w:tcPr>
            <w:tcW w:w="1568"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职权类别</w:t>
            </w:r>
          </w:p>
        </w:tc>
        <w:tc>
          <w:tcPr>
            <w:tcW w:w="1295"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办理环节</w:t>
            </w:r>
          </w:p>
        </w:tc>
        <w:tc>
          <w:tcPr>
            <w:tcW w:w="2734"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责任事项</w:t>
            </w:r>
          </w:p>
        </w:tc>
        <w:tc>
          <w:tcPr>
            <w:tcW w:w="2080"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追责情形</w:t>
            </w:r>
          </w:p>
        </w:tc>
        <w:tc>
          <w:tcPr>
            <w:tcW w:w="1296"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193"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61</w:t>
            </w:r>
          </w:p>
        </w:tc>
        <w:tc>
          <w:tcPr>
            <w:tcW w:w="1547"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金融企业一般准备弥补亏损或者转未分配利润备案</w:t>
            </w:r>
          </w:p>
        </w:tc>
        <w:tc>
          <w:tcPr>
            <w:tcW w:w="3346" w:type="dxa"/>
            <w:vMerge w:val="restart"/>
            <w:vAlign w:val="center"/>
          </w:tcPr>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准备金计提管理办法》（财金〔2012〕20号）第十四条：“金融企业履行公司治理程序，并报经同级财政部门备案后，可用一般准备弥补亏损，但不得用于分红。因特殊原因，经履行公司治理程序，并报经同级财政部门备案后，金融企业可将一般准备转为未分配利润。”</w:t>
            </w:r>
          </w:p>
        </w:tc>
        <w:tc>
          <w:tcPr>
            <w:tcW w:w="1568"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tc>
        <w:tc>
          <w:tcPr>
            <w:tcW w:w="129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申请</w:t>
            </w:r>
          </w:p>
        </w:tc>
        <w:tc>
          <w:tcPr>
            <w:tcW w:w="273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1.申请责任：金融企业按规定申请将一般准备弥补亏损或转为未分配利润，按要求申报有关资料。</w:t>
            </w:r>
          </w:p>
        </w:tc>
        <w:tc>
          <w:tcPr>
            <w:tcW w:w="2080"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shd w:val="clear" w:color="070000" w:fill="FFFFFF"/>
              </w:rPr>
              <w:t>《地方金融企业财务监督管理办法》第三十六条：地方财政部门工作人员应根据国家法律法规,正确履行财务监督管理职能,保守企业商业秘密,对滥用职权、玩忽职守、徇私舞弊,或者泄露国家秘密、商业秘密的相关责任人,依法进行处理。</w:t>
            </w:r>
          </w:p>
        </w:tc>
        <w:tc>
          <w:tcPr>
            <w:tcW w:w="1296"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金融与服务业股、县属功能类公益类企业国有资产监管办公室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193" w:type="dxa"/>
            <w:vMerge w:val="continue"/>
            <w:vAlign w:val="center"/>
          </w:tcPr>
          <w:p>
            <w:pPr>
              <w:autoSpaceDN w:val="0"/>
              <w:snapToGrid w:val="0"/>
              <w:jc w:val="center"/>
              <w:textAlignment w:val="center"/>
              <w:rPr>
                <w:rFonts w:ascii="仿宋" w:hAnsi="仿宋" w:eastAsia="仿宋" w:cs="仿宋"/>
                <w:color w:val="auto"/>
                <w:szCs w:val="21"/>
              </w:rPr>
            </w:pPr>
          </w:p>
        </w:tc>
        <w:tc>
          <w:tcPr>
            <w:tcW w:w="1547" w:type="dxa"/>
            <w:vMerge w:val="continue"/>
            <w:vAlign w:val="center"/>
          </w:tcPr>
          <w:p>
            <w:pPr>
              <w:autoSpaceDN w:val="0"/>
              <w:snapToGrid w:val="0"/>
              <w:jc w:val="center"/>
              <w:textAlignment w:val="center"/>
              <w:rPr>
                <w:rFonts w:ascii="仿宋" w:hAnsi="仿宋" w:eastAsia="仿宋" w:cs="仿宋"/>
                <w:color w:val="auto"/>
                <w:szCs w:val="21"/>
              </w:rPr>
            </w:pPr>
          </w:p>
        </w:tc>
        <w:tc>
          <w:tcPr>
            <w:tcW w:w="3346" w:type="dxa"/>
            <w:vMerge w:val="continue"/>
            <w:vAlign w:val="center"/>
          </w:tcPr>
          <w:p>
            <w:pPr>
              <w:autoSpaceDN w:val="0"/>
              <w:snapToGrid w:val="0"/>
              <w:jc w:val="center"/>
              <w:textAlignment w:val="center"/>
              <w:rPr>
                <w:rFonts w:ascii="仿宋" w:hAnsi="仿宋" w:eastAsia="仿宋" w:cs="仿宋"/>
                <w:color w:val="auto"/>
                <w:szCs w:val="21"/>
              </w:rPr>
            </w:pPr>
          </w:p>
        </w:tc>
        <w:tc>
          <w:tcPr>
            <w:tcW w:w="1568" w:type="dxa"/>
            <w:vMerge w:val="continue"/>
            <w:vAlign w:val="center"/>
          </w:tcPr>
          <w:p>
            <w:pPr>
              <w:autoSpaceDN w:val="0"/>
              <w:snapToGrid w:val="0"/>
              <w:jc w:val="center"/>
              <w:textAlignment w:val="center"/>
              <w:rPr>
                <w:rFonts w:ascii="仿宋" w:hAnsi="仿宋" w:eastAsia="仿宋" w:cs="仿宋"/>
                <w:color w:val="auto"/>
                <w:szCs w:val="21"/>
              </w:rPr>
            </w:pPr>
          </w:p>
        </w:tc>
        <w:tc>
          <w:tcPr>
            <w:tcW w:w="129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273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受理责任：收到申请后，对申请材料不齐全或者不符合法定形式的，应当在5个工作日内书面一次性告知申请人需要补正的全部内容。对申请材料齐全、符合法定形式，或者申请人按照要求全部补正申请材料的应当受理。</w:t>
            </w:r>
          </w:p>
        </w:tc>
        <w:tc>
          <w:tcPr>
            <w:tcW w:w="2080" w:type="dxa"/>
            <w:vMerge w:val="continue"/>
            <w:vAlign w:val="center"/>
          </w:tcPr>
          <w:p>
            <w:pPr>
              <w:autoSpaceDN w:val="0"/>
              <w:snapToGrid w:val="0"/>
              <w:jc w:val="center"/>
              <w:textAlignment w:val="center"/>
              <w:rPr>
                <w:rFonts w:ascii="仿宋" w:hAnsi="仿宋" w:eastAsia="仿宋" w:cs="仿宋"/>
                <w:color w:val="auto"/>
                <w:szCs w:val="21"/>
              </w:rPr>
            </w:pPr>
          </w:p>
        </w:tc>
        <w:tc>
          <w:tcPr>
            <w:tcW w:w="1296"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193" w:type="dxa"/>
            <w:vMerge w:val="continue"/>
            <w:vAlign w:val="center"/>
          </w:tcPr>
          <w:p>
            <w:pPr>
              <w:autoSpaceDN w:val="0"/>
              <w:snapToGrid w:val="0"/>
              <w:jc w:val="center"/>
              <w:textAlignment w:val="center"/>
              <w:rPr>
                <w:rFonts w:ascii="仿宋" w:hAnsi="仿宋" w:eastAsia="仿宋" w:cs="仿宋"/>
                <w:color w:val="auto"/>
                <w:szCs w:val="21"/>
              </w:rPr>
            </w:pPr>
          </w:p>
        </w:tc>
        <w:tc>
          <w:tcPr>
            <w:tcW w:w="1547" w:type="dxa"/>
            <w:vMerge w:val="continue"/>
            <w:vAlign w:val="center"/>
          </w:tcPr>
          <w:p>
            <w:pPr>
              <w:autoSpaceDN w:val="0"/>
              <w:snapToGrid w:val="0"/>
              <w:jc w:val="center"/>
              <w:textAlignment w:val="center"/>
              <w:rPr>
                <w:rFonts w:ascii="仿宋" w:hAnsi="仿宋" w:eastAsia="仿宋" w:cs="仿宋"/>
                <w:color w:val="auto"/>
                <w:szCs w:val="21"/>
              </w:rPr>
            </w:pPr>
          </w:p>
        </w:tc>
        <w:tc>
          <w:tcPr>
            <w:tcW w:w="3346" w:type="dxa"/>
            <w:vMerge w:val="continue"/>
            <w:vAlign w:val="center"/>
          </w:tcPr>
          <w:p>
            <w:pPr>
              <w:autoSpaceDN w:val="0"/>
              <w:snapToGrid w:val="0"/>
              <w:jc w:val="center"/>
              <w:textAlignment w:val="center"/>
              <w:rPr>
                <w:rFonts w:ascii="仿宋" w:hAnsi="仿宋" w:eastAsia="仿宋" w:cs="仿宋"/>
                <w:color w:val="auto"/>
                <w:szCs w:val="21"/>
              </w:rPr>
            </w:pPr>
          </w:p>
        </w:tc>
        <w:tc>
          <w:tcPr>
            <w:tcW w:w="1568" w:type="dxa"/>
            <w:vMerge w:val="continue"/>
            <w:vAlign w:val="center"/>
          </w:tcPr>
          <w:p>
            <w:pPr>
              <w:autoSpaceDN w:val="0"/>
              <w:snapToGrid w:val="0"/>
              <w:jc w:val="center"/>
              <w:textAlignment w:val="center"/>
              <w:rPr>
                <w:rFonts w:ascii="仿宋" w:hAnsi="仿宋" w:eastAsia="仿宋" w:cs="仿宋"/>
                <w:color w:val="auto"/>
                <w:szCs w:val="21"/>
              </w:rPr>
            </w:pPr>
          </w:p>
        </w:tc>
        <w:tc>
          <w:tcPr>
            <w:tcW w:w="129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73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3.审查责任：受理申请后，应当对申请材料进行审查。</w:t>
            </w:r>
          </w:p>
        </w:tc>
        <w:tc>
          <w:tcPr>
            <w:tcW w:w="2080" w:type="dxa"/>
            <w:vMerge w:val="continue"/>
            <w:vAlign w:val="center"/>
          </w:tcPr>
          <w:p>
            <w:pPr>
              <w:autoSpaceDN w:val="0"/>
              <w:snapToGrid w:val="0"/>
              <w:jc w:val="center"/>
              <w:textAlignment w:val="center"/>
              <w:rPr>
                <w:rFonts w:ascii="仿宋" w:hAnsi="仿宋" w:eastAsia="仿宋" w:cs="仿宋"/>
                <w:color w:val="auto"/>
                <w:szCs w:val="21"/>
              </w:rPr>
            </w:pPr>
          </w:p>
        </w:tc>
        <w:tc>
          <w:tcPr>
            <w:tcW w:w="1296"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193" w:type="dxa"/>
            <w:vMerge w:val="continue"/>
            <w:vAlign w:val="center"/>
          </w:tcPr>
          <w:p>
            <w:pPr>
              <w:autoSpaceDN w:val="0"/>
              <w:snapToGrid w:val="0"/>
              <w:jc w:val="center"/>
              <w:textAlignment w:val="center"/>
              <w:rPr>
                <w:rFonts w:ascii="仿宋" w:hAnsi="仿宋" w:eastAsia="仿宋" w:cs="仿宋"/>
                <w:color w:val="auto"/>
                <w:szCs w:val="21"/>
              </w:rPr>
            </w:pPr>
          </w:p>
        </w:tc>
        <w:tc>
          <w:tcPr>
            <w:tcW w:w="1547" w:type="dxa"/>
            <w:vMerge w:val="continue"/>
            <w:vAlign w:val="center"/>
          </w:tcPr>
          <w:p>
            <w:pPr>
              <w:autoSpaceDN w:val="0"/>
              <w:snapToGrid w:val="0"/>
              <w:jc w:val="center"/>
              <w:textAlignment w:val="center"/>
              <w:rPr>
                <w:rFonts w:ascii="仿宋" w:hAnsi="仿宋" w:eastAsia="仿宋" w:cs="仿宋"/>
                <w:color w:val="auto"/>
                <w:szCs w:val="21"/>
              </w:rPr>
            </w:pPr>
          </w:p>
        </w:tc>
        <w:tc>
          <w:tcPr>
            <w:tcW w:w="3346" w:type="dxa"/>
            <w:vMerge w:val="continue"/>
            <w:vAlign w:val="center"/>
          </w:tcPr>
          <w:p>
            <w:pPr>
              <w:autoSpaceDN w:val="0"/>
              <w:snapToGrid w:val="0"/>
              <w:jc w:val="center"/>
              <w:textAlignment w:val="center"/>
              <w:rPr>
                <w:rFonts w:ascii="仿宋" w:hAnsi="仿宋" w:eastAsia="仿宋" w:cs="仿宋"/>
                <w:color w:val="auto"/>
                <w:szCs w:val="21"/>
              </w:rPr>
            </w:pPr>
          </w:p>
        </w:tc>
        <w:tc>
          <w:tcPr>
            <w:tcW w:w="1568" w:type="dxa"/>
            <w:vMerge w:val="continue"/>
            <w:vAlign w:val="center"/>
          </w:tcPr>
          <w:p>
            <w:pPr>
              <w:autoSpaceDN w:val="0"/>
              <w:snapToGrid w:val="0"/>
              <w:jc w:val="center"/>
              <w:textAlignment w:val="center"/>
              <w:rPr>
                <w:rFonts w:ascii="仿宋" w:hAnsi="仿宋" w:eastAsia="仿宋" w:cs="仿宋"/>
                <w:color w:val="auto"/>
                <w:szCs w:val="21"/>
              </w:rPr>
            </w:pPr>
          </w:p>
        </w:tc>
        <w:tc>
          <w:tcPr>
            <w:tcW w:w="129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办理</w:t>
            </w:r>
          </w:p>
        </w:tc>
        <w:tc>
          <w:tcPr>
            <w:tcW w:w="273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4.办理责任：在受理申请后的20个工作日内决定是否予以办理。不予办理的，应当说明理由。</w:t>
            </w:r>
          </w:p>
        </w:tc>
        <w:tc>
          <w:tcPr>
            <w:tcW w:w="2080" w:type="dxa"/>
            <w:vMerge w:val="continue"/>
            <w:vAlign w:val="center"/>
          </w:tcPr>
          <w:p>
            <w:pPr>
              <w:autoSpaceDN w:val="0"/>
              <w:snapToGrid w:val="0"/>
              <w:jc w:val="center"/>
              <w:textAlignment w:val="center"/>
              <w:rPr>
                <w:rFonts w:ascii="仿宋" w:hAnsi="仿宋" w:eastAsia="仿宋" w:cs="仿宋"/>
                <w:color w:val="auto"/>
                <w:szCs w:val="21"/>
              </w:rPr>
            </w:pPr>
          </w:p>
        </w:tc>
        <w:tc>
          <w:tcPr>
            <w:tcW w:w="1296"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193" w:type="dxa"/>
            <w:vMerge w:val="continue"/>
            <w:vAlign w:val="center"/>
          </w:tcPr>
          <w:p>
            <w:pPr>
              <w:autoSpaceDN w:val="0"/>
              <w:snapToGrid w:val="0"/>
              <w:jc w:val="center"/>
              <w:textAlignment w:val="center"/>
              <w:rPr>
                <w:rFonts w:ascii="仿宋" w:hAnsi="仿宋" w:eastAsia="仿宋" w:cs="仿宋"/>
                <w:color w:val="auto"/>
                <w:szCs w:val="21"/>
              </w:rPr>
            </w:pPr>
          </w:p>
        </w:tc>
        <w:tc>
          <w:tcPr>
            <w:tcW w:w="1547" w:type="dxa"/>
            <w:vMerge w:val="continue"/>
            <w:vAlign w:val="center"/>
          </w:tcPr>
          <w:p>
            <w:pPr>
              <w:autoSpaceDN w:val="0"/>
              <w:snapToGrid w:val="0"/>
              <w:jc w:val="center"/>
              <w:textAlignment w:val="center"/>
              <w:rPr>
                <w:rFonts w:ascii="仿宋" w:hAnsi="仿宋" w:eastAsia="仿宋" w:cs="仿宋"/>
                <w:color w:val="auto"/>
                <w:szCs w:val="21"/>
              </w:rPr>
            </w:pPr>
          </w:p>
        </w:tc>
        <w:tc>
          <w:tcPr>
            <w:tcW w:w="3346" w:type="dxa"/>
            <w:vMerge w:val="continue"/>
            <w:vAlign w:val="center"/>
          </w:tcPr>
          <w:p>
            <w:pPr>
              <w:autoSpaceDN w:val="0"/>
              <w:snapToGrid w:val="0"/>
              <w:jc w:val="center"/>
              <w:textAlignment w:val="center"/>
              <w:rPr>
                <w:rFonts w:ascii="仿宋" w:hAnsi="仿宋" w:eastAsia="仿宋" w:cs="仿宋"/>
                <w:color w:val="auto"/>
                <w:szCs w:val="21"/>
              </w:rPr>
            </w:pPr>
          </w:p>
        </w:tc>
        <w:tc>
          <w:tcPr>
            <w:tcW w:w="1568" w:type="dxa"/>
            <w:vMerge w:val="continue"/>
            <w:vAlign w:val="center"/>
          </w:tcPr>
          <w:p>
            <w:pPr>
              <w:autoSpaceDN w:val="0"/>
              <w:snapToGrid w:val="0"/>
              <w:jc w:val="center"/>
              <w:textAlignment w:val="center"/>
              <w:rPr>
                <w:rFonts w:ascii="仿宋" w:hAnsi="仿宋" w:eastAsia="仿宋" w:cs="仿宋"/>
                <w:color w:val="auto"/>
                <w:szCs w:val="21"/>
              </w:rPr>
            </w:pPr>
          </w:p>
        </w:tc>
        <w:tc>
          <w:tcPr>
            <w:tcW w:w="1295" w:type="dxa"/>
            <w:vAlign w:val="center"/>
          </w:tcPr>
          <w:p>
            <w:pPr>
              <w:autoSpaceDN w:val="0"/>
              <w:snapToGrid w:val="0"/>
              <w:jc w:val="center"/>
              <w:textAlignment w:val="center"/>
              <w:rPr>
                <w:rFonts w:ascii="仿宋" w:hAnsi="仿宋" w:eastAsia="仿宋" w:cs="仿宋"/>
                <w:color w:val="auto"/>
                <w:szCs w:val="21"/>
              </w:rPr>
            </w:pPr>
          </w:p>
        </w:tc>
        <w:tc>
          <w:tcPr>
            <w:tcW w:w="273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2080" w:type="dxa"/>
            <w:vMerge w:val="continue"/>
            <w:vAlign w:val="center"/>
          </w:tcPr>
          <w:p>
            <w:pPr>
              <w:autoSpaceDN w:val="0"/>
              <w:snapToGrid w:val="0"/>
              <w:jc w:val="center"/>
              <w:textAlignment w:val="center"/>
              <w:rPr>
                <w:rFonts w:ascii="仿宋" w:hAnsi="仿宋" w:eastAsia="仿宋" w:cs="仿宋"/>
                <w:color w:val="auto"/>
                <w:szCs w:val="21"/>
              </w:rPr>
            </w:pPr>
          </w:p>
        </w:tc>
        <w:tc>
          <w:tcPr>
            <w:tcW w:w="1296" w:type="dxa"/>
            <w:vMerge w:val="continue"/>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tbl>
      <w:tblPr>
        <w:tblStyle w:val="7"/>
        <w:tblW w:w="15205"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230"/>
        <w:gridCol w:w="4390"/>
        <w:gridCol w:w="1358"/>
        <w:gridCol w:w="1068"/>
        <w:gridCol w:w="2146"/>
        <w:gridCol w:w="268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序号</w:t>
            </w:r>
          </w:p>
        </w:tc>
        <w:tc>
          <w:tcPr>
            <w:tcW w:w="1230"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名称</w:t>
            </w:r>
          </w:p>
        </w:tc>
        <w:tc>
          <w:tcPr>
            <w:tcW w:w="4390"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实施依据</w:t>
            </w:r>
          </w:p>
        </w:tc>
        <w:tc>
          <w:tcPr>
            <w:tcW w:w="1358"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职权类别</w:t>
            </w:r>
          </w:p>
        </w:tc>
        <w:tc>
          <w:tcPr>
            <w:tcW w:w="1068"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办理环节</w:t>
            </w:r>
          </w:p>
        </w:tc>
        <w:tc>
          <w:tcPr>
            <w:tcW w:w="2146"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责任事项</w:t>
            </w:r>
          </w:p>
        </w:tc>
        <w:tc>
          <w:tcPr>
            <w:tcW w:w="2689"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追责情形</w:t>
            </w:r>
          </w:p>
        </w:tc>
        <w:tc>
          <w:tcPr>
            <w:tcW w:w="1292"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032"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62</w:t>
            </w:r>
          </w:p>
        </w:tc>
        <w:tc>
          <w:tcPr>
            <w:tcW w:w="1230" w:type="dxa"/>
            <w:vMerge w:val="restart"/>
            <w:vAlign w:val="center"/>
          </w:tcPr>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金融企业选聘会计师事务所备案</w:t>
            </w:r>
          </w:p>
        </w:tc>
        <w:tc>
          <w:tcPr>
            <w:tcW w:w="4390" w:type="dxa"/>
            <w:vMerge w:val="restart"/>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金融企业选聘会计师事务所招标管理办法（试行）》（财金〔2010〕169号）第三十一条：“经履行本办法规定程序，金融企业决定聘用中标会计师事务所后15个工作日内，应将选聘会计师事务所情况报同级财政部门备案。备案内容包括招标、投标、评标、中标情况，以及履行内部审议程序的情况等。”第三十四条：“金融企业聘用会计师事务所从事其他审计、审阅、鉴证、咨询等业务，以及聘用其他中介机构（包括评估机构、律师事务所、咨询公司等）参照本办法执行。”</w:t>
            </w:r>
          </w:p>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金融企业选聘会计师事务所管理办法）》（财金〔2016〕12号）第三十一条：“经履行本办法规定程序，金融企业拟聘用中标会计师事务所或根据第二十六条规定拟延长聘用年限的，应在决定聘用（或延长聘用）后15个工作日内，将选聘会计师事务所结果报同级财政部门备案。”第三十二条：“除金融企业连续聘用同一会计师事务所达到规定年限的情况外，在中标有效期满前，金融企业解聘会计师事务所或会计师事务所辞聘的，金融企业应将有关情况报同级财政部门备案。备案内容包括金融企业解聘会计师事务所或会计师事务所辞聘的主要原因，金融企业对该会计师事务所执业质量和执业道德等情况的基本评价，会计师事务所的陈述意见，以及其他需要说明的情况。”</w:t>
            </w:r>
          </w:p>
        </w:tc>
        <w:tc>
          <w:tcPr>
            <w:tcW w:w="1358"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tc>
        <w:tc>
          <w:tcPr>
            <w:tcW w:w="1068"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申请</w:t>
            </w:r>
          </w:p>
        </w:tc>
        <w:tc>
          <w:tcPr>
            <w:tcW w:w="2146" w:type="dxa"/>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1.申请责任：金融企业按规定申请选聘会计师事务所备案，按要求申报有关资料。</w:t>
            </w:r>
          </w:p>
        </w:tc>
        <w:tc>
          <w:tcPr>
            <w:tcW w:w="2689" w:type="dxa"/>
            <w:vMerge w:val="restart"/>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《委托会计师事务所审计招标规范》第三条：</w:t>
            </w:r>
            <w:r>
              <w:rPr>
                <w:rFonts w:hint="eastAsia" w:ascii="仿宋" w:hAnsi="仿宋" w:eastAsia="仿宋" w:cs="仿宋"/>
                <w:color w:val="auto"/>
                <w:szCs w:val="21"/>
              </w:rPr>
              <w:br w:type="textWrapping"/>
            </w:r>
            <w:r>
              <w:rPr>
                <w:rFonts w:hint="eastAsia" w:ascii="仿宋" w:hAnsi="仿宋" w:eastAsia="仿宋" w:cs="仿宋"/>
                <w:color w:val="auto"/>
                <w:szCs w:val="21"/>
              </w:rPr>
              <w:t>任何单位和个人不得违反法律、行政法规规定，限制或者排斥会计师事务所参加投标，不得以任何方式非法干涉招标投标活动。</w:t>
            </w:r>
          </w:p>
        </w:tc>
        <w:tc>
          <w:tcPr>
            <w:tcW w:w="1292"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金融与服务业股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032" w:type="dxa"/>
            <w:vMerge w:val="continue"/>
            <w:vAlign w:val="center"/>
          </w:tcPr>
          <w:p>
            <w:pPr>
              <w:autoSpaceDN w:val="0"/>
              <w:snapToGrid w:val="0"/>
              <w:jc w:val="center"/>
              <w:textAlignment w:val="center"/>
              <w:rPr>
                <w:rFonts w:ascii="仿宋" w:hAnsi="仿宋" w:eastAsia="仿宋" w:cs="仿宋"/>
                <w:color w:val="auto"/>
                <w:szCs w:val="21"/>
              </w:rPr>
            </w:pPr>
          </w:p>
        </w:tc>
        <w:tc>
          <w:tcPr>
            <w:tcW w:w="1230" w:type="dxa"/>
            <w:vMerge w:val="continue"/>
            <w:vAlign w:val="center"/>
          </w:tcPr>
          <w:p>
            <w:pPr>
              <w:autoSpaceDN w:val="0"/>
              <w:snapToGrid w:val="0"/>
              <w:jc w:val="center"/>
              <w:textAlignment w:val="center"/>
              <w:rPr>
                <w:rFonts w:ascii="仿宋" w:hAnsi="仿宋" w:eastAsia="仿宋" w:cs="仿宋"/>
                <w:color w:val="auto"/>
                <w:szCs w:val="21"/>
              </w:rPr>
            </w:pPr>
          </w:p>
        </w:tc>
        <w:tc>
          <w:tcPr>
            <w:tcW w:w="4390" w:type="dxa"/>
            <w:vMerge w:val="continue"/>
            <w:vAlign w:val="center"/>
          </w:tcPr>
          <w:p>
            <w:pPr>
              <w:autoSpaceDN w:val="0"/>
              <w:snapToGrid w:val="0"/>
              <w:jc w:val="center"/>
              <w:textAlignment w:val="center"/>
              <w:rPr>
                <w:rFonts w:ascii="仿宋" w:hAnsi="仿宋" w:eastAsia="仿宋" w:cs="仿宋"/>
                <w:color w:val="auto"/>
                <w:szCs w:val="21"/>
              </w:rPr>
            </w:pPr>
          </w:p>
        </w:tc>
        <w:tc>
          <w:tcPr>
            <w:tcW w:w="1358" w:type="dxa"/>
            <w:vMerge w:val="continue"/>
            <w:vAlign w:val="center"/>
          </w:tcPr>
          <w:p>
            <w:pPr>
              <w:autoSpaceDN w:val="0"/>
              <w:snapToGrid w:val="0"/>
              <w:jc w:val="center"/>
              <w:textAlignment w:val="center"/>
              <w:rPr>
                <w:rFonts w:ascii="仿宋" w:hAnsi="仿宋" w:eastAsia="仿宋" w:cs="仿宋"/>
                <w:color w:val="auto"/>
                <w:szCs w:val="21"/>
              </w:rPr>
            </w:pPr>
          </w:p>
        </w:tc>
        <w:tc>
          <w:tcPr>
            <w:tcW w:w="1068"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2146" w:type="dxa"/>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2.受理责任：收到申请后，对申请材料不齐全或者不符合法定形式的，应当在5个工作日内书面一次性告知申请人需要补正的全部内容。对申请材料齐全、符合法定形式，或者申请人按照要求全部补正申请材料的应当受理。</w:t>
            </w:r>
          </w:p>
        </w:tc>
        <w:tc>
          <w:tcPr>
            <w:tcW w:w="2689" w:type="dxa"/>
            <w:vMerge w:val="continue"/>
            <w:vAlign w:val="center"/>
          </w:tcPr>
          <w:p>
            <w:pPr>
              <w:autoSpaceDN w:val="0"/>
              <w:snapToGrid w:val="0"/>
              <w:jc w:val="center"/>
              <w:textAlignment w:val="center"/>
              <w:rPr>
                <w:rFonts w:ascii="仿宋" w:hAnsi="仿宋" w:eastAsia="仿宋" w:cs="仿宋"/>
                <w:color w:val="auto"/>
                <w:szCs w:val="21"/>
              </w:rPr>
            </w:pPr>
          </w:p>
        </w:tc>
        <w:tc>
          <w:tcPr>
            <w:tcW w:w="1292"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032" w:type="dxa"/>
            <w:vMerge w:val="continue"/>
            <w:vAlign w:val="center"/>
          </w:tcPr>
          <w:p>
            <w:pPr>
              <w:autoSpaceDN w:val="0"/>
              <w:snapToGrid w:val="0"/>
              <w:jc w:val="center"/>
              <w:textAlignment w:val="center"/>
              <w:rPr>
                <w:rFonts w:ascii="仿宋" w:hAnsi="仿宋" w:eastAsia="仿宋" w:cs="仿宋"/>
                <w:color w:val="auto"/>
                <w:szCs w:val="21"/>
              </w:rPr>
            </w:pPr>
          </w:p>
        </w:tc>
        <w:tc>
          <w:tcPr>
            <w:tcW w:w="1230" w:type="dxa"/>
            <w:vMerge w:val="continue"/>
            <w:vAlign w:val="center"/>
          </w:tcPr>
          <w:p>
            <w:pPr>
              <w:autoSpaceDN w:val="0"/>
              <w:snapToGrid w:val="0"/>
              <w:jc w:val="center"/>
              <w:textAlignment w:val="center"/>
              <w:rPr>
                <w:rFonts w:ascii="仿宋" w:hAnsi="仿宋" w:eastAsia="仿宋" w:cs="仿宋"/>
                <w:color w:val="auto"/>
                <w:szCs w:val="21"/>
              </w:rPr>
            </w:pPr>
          </w:p>
        </w:tc>
        <w:tc>
          <w:tcPr>
            <w:tcW w:w="4390" w:type="dxa"/>
            <w:vMerge w:val="continue"/>
            <w:vAlign w:val="center"/>
          </w:tcPr>
          <w:p>
            <w:pPr>
              <w:autoSpaceDN w:val="0"/>
              <w:snapToGrid w:val="0"/>
              <w:jc w:val="center"/>
              <w:textAlignment w:val="center"/>
              <w:rPr>
                <w:rFonts w:ascii="仿宋" w:hAnsi="仿宋" w:eastAsia="仿宋" w:cs="仿宋"/>
                <w:color w:val="auto"/>
                <w:szCs w:val="21"/>
              </w:rPr>
            </w:pPr>
          </w:p>
        </w:tc>
        <w:tc>
          <w:tcPr>
            <w:tcW w:w="1358" w:type="dxa"/>
            <w:vMerge w:val="continue"/>
            <w:vAlign w:val="center"/>
          </w:tcPr>
          <w:p>
            <w:pPr>
              <w:autoSpaceDN w:val="0"/>
              <w:snapToGrid w:val="0"/>
              <w:jc w:val="center"/>
              <w:textAlignment w:val="center"/>
              <w:rPr>
                <w:rFonts w:ascii="仿宋" w:hAnsi="仿宋" w:eastAsia="仿宋" w:cs="仿宋"/>
                <w:color w:val="auto"/>
                <w:szCs w:val="21"/>
              </w:rPr>
            </w:pPr>
          </w:p>
        </w:tc>
        <w:tc>
          <w:tcPr>
            <w:tcW w:w="1068"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146" w:type="dxa"/>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3.审查责任：受理申请后，应当对申请材料进行审查。</w:t>
            </w:r>
          </w:p>
        </w:tc>
        <w:tc>
          <w:tcPr>
            <w:tcW w:w="2689" w:type="dxa"/>
            <w:vMerge w:val="continue"/>
            <w:vAlign w:val="center"/>
          </w:tcPr>
          <w:p>
            <w:pPr>
              <w:autoSpaceDN w:val="0"/>
              <w:snapToGrid w:val="0"/>
              <w:jc w:val="center"/>
              <w:textAlignment w:val="center"/>
              <w:rPr>
                <w:rFonts w:ascii="仿宋" w:hAnsi="仿宋" w:eastAsia="仿宋" w:cs="仿宋"/>
                <w:color w:val="auto"/>
                <w:szCs w:val="21"/>
              </w:rPr>
            </w:pPr>
          </w:p>
        </w:tc>
        <w:tc>
          <w:tcPr>
            <w:tcW w:w="1292"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032" w:type="dxa"/>
            <w:vMerge w:val="continue"/>
            <w:vAlign w:val="center"/>
          </w:tcPr>
          <w:p>
            <w:pPr>
              <w:autoSpaceDN w:val="0"/>
              <w:snapToGrid w:val="0"/>
              <w:jc w:val="center"/>
              <w:textAlignment w:val="center"/>
              <w:rPr>
                <w:rFonts w:ascii="仿宋" w:hAnsi="仿宋" w:eastAsia="仿宋" w:cs="仿宋"/>
                <w:color w:val="auto"/>
                <w:szCs w:val="21"/>
              </w:rPr>
            </w:pPr>
          </w:p>
        </w:tc>
        <w:tc>
          <w:tcPr>
            <w:tcW w:w="1230" w:type="dxa"/>
            <w:vMerge w:val="continue"/>
            <w:vAlign w:val="center"/>
          </w:tcPr>
          <w:p>
            <w:pPr>
              <w:autoSpaceDN w:val="0"/>
              <w:snapToGrid w:val="0"/>
              <w:jc w:val="center"/>
              <w:textAlignment w:val="center"/>
              <w:rPr>
                <w:rFonts w:ascii="仿宋" w:hAnsi="仿宋" w:eastAsia="仿宋" w:cs="仿宋"/>
                <w:color w:val="auto"/>
                <w:szCs w:val="21"/>
              </w:rPr>
            </w:pPr>
          </w:p>
        </w:tc>
        <w:tc>
          <w:tcPr>
            <w:tcW w:w="4390" w:type="dxa"/>
            <w:vMerge w:val="continue"/>
            <w:vAlign w:val="center"/>
          </w:tcPr>
          <w:p>
            <w:pPr>
              <w:autoSpaceDN w:val="0"/>
              <w:snapToGrid w:val="0"/>
              <w:jc w:val="center"/>
              <w:textAlignment w:val="center"/>
              <w:rPr>
                <w:rFonts w:ascii="仿宋" w:hAnsi="仿宋" w:eastAsia="仿宋" w:cs="仿宋"/>
                <w:color w:val="auto"/>
                <w:szCs w:val="21"/>
              </w:rPr>
            </w:pPr>
          </w:p>
        </w:tc>
        <w:tc>
          <w:tcPr>
            <w:tcW w:w="1358" w:type="dxa"/>
            <w:vMerge w:val="continue"/>
            <w:vAlign w:val="center"/>
          </w:tcPr>
          <w:p>
            <w:pPr>
              <w:autoSpaceDN w:val="0"/>
              <w:snapToGrid w:val="0"/>
              <w:jc w:val="center"/>
              <w:textAlignment w:val="center"/>
              <w:rPr>
                <w:rFonts w:ascii="仿宋" w:hAnsi="仿宋" w:eastAsia="仿宋" w:cs="仿宋"/>
                <w:color w:val="auto"/>
                <w:szCs w:val="21"/>
              </w:rPr>
            </w:pPr>
          </w:p>
        </w:tc>
        <w:tc>
          <w:tcPr>
            <w:tcW w:w="1068"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办理</w:t>
            </w:r>
          </w:p>
        </w:tc>
        <w:tc>
          <w:tcPr>
            <w:tcW w:w="2146" w:type="dxa"/>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4.办理责任：在受理申请后的20个工作日内决定是否予以办理。不予办理的，应当说明理由。</w:t>
            </w:r>
          </w:p>
        </w:tc>
        <w:tc>
          <w:tcPr>
            <w:tcW w:w="2689" w:type="dxa"/>
            <w:vMerge w:val="continue"/>
            <w:vAlign w:val="center"/>
          </w:tcPr>
          <w:p>
            <w:pPr>
              <w:autoSpaceDN w:val="0"/>
              <w:snapToGrid w:val="0"/>
              <w:jc w:val="center"/>
              <w:textAlignment w:val="center"/>
              <w:rPr>
                <w:rFonts w:ascii="仿宋" w:hAnsi="仿宋" w:eastAsia="仿宋" w:cs="仿宋"/>
                <w:color w:val="auto"/>
                <w:szCs w:val="21"/>
              </w:rPr>
            </w:pPr>
          </w:p>
        </w:tc>
        <w:tc>
          <w:tcPr>
            <w:tcW w:w="1292"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032" w:type="dxa"/>
            <w:vMerge w:val="continue"/>
            <w:vAlign w:val="center"/>
          </w:tcPr>
          <w:p>
            <w:pPr>
              <w:autoSpaceDN w:val="0"/>
              <w:snapToGrid w:val="0"/>
              <w:jc w:val="center"/>
              <w:textAlignment w:val="center"/>
              <w:rPr>
                <w:rFonts w:ascii="仿宋" w:hAnsi="仿宋" w:eastAsia="仿宋" w:cs="仿宋"/>
                <w:color w:val="auto"/>
                <w:szCs w:val="21"/>
              </w:rPr>
            </w:pPr>
          </w:p>
        </w:tc>
        <w:tc>
          <w:tcPr>
            <w:tcW w:w="1230" w:type="dxa"/>
            <w:vMerge w:val="continue"/>
            <w:vAlign w:val="center"/>
          </w:tcPr>
          <w:p>
            <w:pPr>
              <w:autoSpaceDN w:val="0"/>
              <w:snapToGrid w:val="0"/>
              <w:jc w:val="center"/>
              <w:textAlignment w:val="center"/>
              <w:rPr>
                <w:rFonts w:ascii="仿宋" w:hAnsi="仿宋" w:eastAsia="仿宋" w:cs="仿宋"/>
                <w:color w:val="auto"/>
                <w:szCs w:val="21"/>
              </w:rPr>
            </w:pPr>
          </w:p>
        </w:tc>
        <w:tc>
          <w:tcPr>
            <w:tcW w:w="4390" w:type="dxa"/>
            <w:vMerge w:val="continue"/>
            <w:vAlign w:val="center"/>
          </w:tcPr>
          <w:p>
            <w:pPr>
              <w:autoSpaceDN w:val="0"/>
              <w:snapToGrid w:val="0"/>
              <w:jc w:val="center"/>
              <w:textAlignment w:val="center"/>
              <w:rPr>
                <w:rFonts w:ascii="仿宋" w:hAnsi="仿宋" w:eastAsia="仿宋" w:cs="仿宋"/>
                <w:color w:val="auto"/>
                <w:szCs w:val="21"/>
              </w:rPr>
            </w:pPr>
          </w:p>
        </w:tc>
        <w:tc>
          <w:tcPr>
            <w:tcW w:w="1358" w:type="dxa"/>
            <w:vMerge w:val="continue"/>
            <w:vAlign w:val="center"/>
          </w:tcPr>
          <w:p>
            <w:pPr>
              <w:autoSpaceDN w:val="0"/>
              <w:snapToGrid w:val="0"/>
              <w:jc w:val="center"/>
              <w:textAlignment w:val="center"/>
              <w:rPr>
                <w:rFonts w:ascii="仿宋" w:hAnsi="仿宋" w:eastAsia="仿宋" w:cs="仿宋"/>
                <w:color w:val="auto"/>
                <w:szCs w:val="21"/>
              </w:rPr>
            </w:pPr>
          </w:p>
        </w:tc>
        <w:tc>
          <w:tcPr>
            <w:tcW w:w="1068" w:type="dxa"/>
            <w:vAlign w:val="center"/>
          </w:tcPr>
          <w:p>
            <w:pPr>
              <w:autoSpaceDN w:val="0"/>
              <w:snapToGrid w:val="0"/>
              <w:jc w:val="center"/>
              <w:textAlignment w:val="center"/>
              <w:rPr>
                <w:rFonts w:ascii="仿宋" w:hAnsi="仿宋" w:eastAsia="仿宋" w:cs="仿宋"/>
                <w:color w:val="auto"/>
                <w:szCs w:val="21"/>
              </w:rPr>
            </w:pPr>
          </w:p>
        </w:tc>
        <w:tc>
          <w:tcPr>
            <w:tcW w:w="2146" w:type="dxa"/>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2689" w:type="dxa"/>
            <w:vMerge w:val="continue"/>
            <w:vAlign w:val="center"/>
          </w:tcPr>
          <w:p>
            <w:pPr>
              <w:autoSpaceDN w:val="0"/>
              <w:snapToGrid w:val="0"/>
              <w:jc w:val="center"/>
              <w:textAlignment w:val="center"/>
              <w:rPr>
                <w:rFonts w:ascii="仿宋" w:hAnsi="仿宋" w:eastAsia="仿宋" w:cs="仿宋"/>
                <w:color w:val="auto"/>
                <w:szCs w:val="21"/>
              </w:rPr>
            </w:pPr>
          </w:p>
        </w:tc>
        <w:tc>
          <w:tcPr>
            <w:tcW w:w="1292" w:type="dxa"/>
            <w:vMerge w:val="continue"/>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sz w:val="20"/>
          <w:szCs w:val="21"/>
        </w:rPr>
      </w:pPr>
    </w:p>
    <w:p>
      <w:pPr>
        <w:autoSpaceDN w:val="0"/>
        <w:snapToGrid w:val="0"/>
        <w:textAlignment w:val="center"/>
        <w:rPr>
          <w:color w:val="auto"/>
          <w:sz w:val="20"/>
          <w:szCs w:val="21"/>
        </w:rPr>
      </w:pPr>
    </w:p>
    <w:p>
      <w:pPr>
        <w:autoSpaceDN w:val="0"/>
        <w:snapToGrid w:val="0"/>
        <w:textAlignment w:val="center"/>
        <w:rPr>
          <w:color w:val="auto"/>
          <w:sz w:val="20"/>
          <w:szCs w:val="21"/>
        </w:rPr>
      </w:pPr>
    </w:p>
    <w:p>
      <w:pPr>
        <w:autoSpaceDN w:val="0"/>
        <w:snapToGrid w:val="0"/>
        <w:textAlignment w:val="center"/>
        <w:rPr>
          <w:color w:val="auto"/>
          <w:sz w:val="20"/>
          <w:szCs w:val="21"/>
        </w:rPr>
      </w:pPr>
    </w:p>
    <w:p>
      <w:pPr>
        <w:autoSpaceDN w:val="0"/>
        <w:snapToGrid w:val="0"/>
        <w:textAlignment w:val="center"/>
        <w:rPr>
          <w:color w:val="auto"/>
          <w:sz w:val="20"/>
          <w:szCs w:val="21"/>
        </w:rPr>
      </w:pPr>
    </w:p>
    <w:p>
      <w:pPr>
        <w:autoSpaceDN w:val="0"/>
        <w:snapToGrid w:val="0"/>
        <w:textAlignment w:val="center"/>
        <w:rPr>
          <w:color w:val="auto"/>
          <w:sz w:val="20"/>
          <w:szCs w:val="21"/>
        </w:rPr>
      </w:pPr>
    </w:p>
    <w:tbl>
      <w:tblPr>
        <w:tblStyle w:val="6"/>
        <w:tblW w:w="14245" w:type="dxa"/>
        <w:jc w:val="center"/>
        <w:tblLayout w:type="fixed"/>
        <w:tblCellMar>
          <w:top w:w="0" w:type="dxa"/>
          <w:left w:w="0" w:type="dxa"/>
          <w:bottom w:w="0" w:type="dxa"/>
          <w:right w:w="0" w:type="dxa"/>
        </w:tblCellMar>
      </w:tblPr>
      <w:tblGrid>
        <w:gridCol w:w="983"/>
        <w:gridCol w:w="1023"/>
        <w:gridCol w:w="3192"/>
        <w:gridCol w:w="1117"/>
        <w:gridCol w:w="790"/>
        <w:gridCol w:w="4438"/>
        <w:gridCol w:w="1291"/>
        <w:gridCol w:w="1411"/>
      </w:tblGrid>
      <w:tr>
        <w:tblPrEx>
          <w:tblCellMar>
            <w:top w:w="0" w:type="dxa"/>
            <w:left w:w="0" w:type="dxa"/>
            <w:bottom w:w="0" w:type="dxa"/>
            <w:right w:w="0" w:type="dxa"/>
          </w:tblCellMar>
        </w:tblPrEx>
        <w:trPr>
          <w:trHeight w:val="635" w:hRule="atLeast"/>
          <w:jc w:val="center"/>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职权类别</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29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4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595"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63</w:t>
            </w:r>
          </w:p>
        </w:tc>
        <w:tc>
          <w:tcPr>
            <w:tcW w:w="10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金融企业年金审核</w:t>
            </w:r>
          </w:p>
        </w:tc>
        <w:tc>
          <w:tcPr>
            <w:tcW w:w="31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《国有金融企业年金管理办法》（财金〔2012〕159号）第二十三条：“金融企业应当按照本办法规定，将企业年金方案履行内部法定程序或者报财政部门审核后，报相关部门备案</w:t>
            </w:r>
          </w:p>
        </w:tc>
        <w:tc>
          <w:tcPr>
            <w:tcW w:w="11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其他职权</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申请</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1.申请责任：金融企业按规定申请企业年金方案备案，按要求申报有关资料。</w:t>
            </w:r>
          </w:p>
        </w:tc>
        <w:tc>
          <w:tcPr>
            <w:tcW w:w="1291"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《金融企业财务规则》第六十四条：财政部门工作人员在履行财务管理职责过程中滥用职权、玩忽职守、徇私舞弊，或者泄露国家秘密、商业秘密的，依法进行处理。</w:t>
            </w:r>
          </w:p>
        </w:tc>
        <w:tc>
          <w:tcPr>
            <w:tcW w:w="1411"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金融与服务业股</w:t>
            </w:r>
          </w:p>
        </w:tc>
      </w:tr>
      <w:tr>
        <w:tblPrEx>
          <w:tblCellMar>
            <w:top w:w="0" w:type="dxa"/>
            <w:left w:w="0" w:type="dxa"/>
            <w:bottom w:w="0" w:type="dxa"/>
            <w:right w:w="0" w:type="dxa"/>
          </w:tblCellMar>
        </w:tblPrEx>
        <w:trPr>
          <w:trHeight w:val="1821"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受理责任：收到申请后，对申请材料不齐全或者不符合法定形式的，应当在5个工作日内书面一次性告知申请人需要补正的全部内容。对申请材料齐全、符合法定形式，或者申请人按照要求全部补正申请材料的应当受理。</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573"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3.审查责任：受理申请后，应当对申请材料进行审查</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46"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办理</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4.办理责任：在受理申请后的20个工作日内决定是否予以办理。不予办理的，应当说明理由。</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352"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4245" w:type="dxa"/>
        <w:jc w:val="center"/>
        <w:tblLayout w:type="fixed"/>
        <w:tblCellMar>
          <w:top w:w="0" w:type="dxa"/>
          <w:left w:w="0" w:type="dxa"/>
          <w:bottom w:w="0" w:type="dxa"/>
          <w:right w:w="0" w:type="dxa"/>
        </w:tblCellMar>
      </w:tblPr>
      <w:tblGrid>
        <w:gridCol w:w="983"/>
        <w:gridCol w:w="1023"/>
        <w:gridCol w:w="3192"/>
        <w:gridCol w:w="1117"/>
        <w:gridCol w:w="790"/>
        <w:gridCol w:w="4438"/>
        <w:gridCol w:w="1291"/>
        <w:gridCol w:w="1411"/>
      </w:tblGrid>
      <w:tr>
        <w:tblPrEx>
          <w:tblCellMar>
            <w:top w:w="0" w:type="dxa"/>
            <w:left w:w="0" w:type="dxa"/>
            <w:bottom w:w="0" w:type="dxa"/>
            <w:right w:w="0" w:type="dxa"/>
          </w:tblCellMar>
        </w:tblPrEx>
        <w:trPr>
          <w:trHeight w:val="635" w:hRule="atLeast"/>
          <w:jc w:val="center"/>
        </w:trPr>
        <w:tc>
          <w:tcPr>
            <w:tcW w:w="9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职权类别</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4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29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41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738" w:hRule="atLeast"/>
          <w:jc w:val="center"/>
        </w:trPr>
        <w:tc>
          <w:tcPr>
            <w:tcW w:w="9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64</w:t>
            </w:r>
          </w:p>
        </w:tc>
        <w:tc>
          <w:tcPr>
            <w:tcW w:w="10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《财政票据领用证》核发</w:t>
            </w:r>
          </w:p>
        </w:tc>
        <w:tc>
          <w:tcPr>
            <w:tcW w:w="31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财政票据管理办法》(财政部长令第70号)第二十一条：“首次领用财政票据，应当按照规定程序办理《财政票据领用证》。办理《财政票据领用证》，应当提交申请函，填写《财政票据领用证申请表》，并且按要求提供与票据种类相关的可核验信息，并对提供信息的真实性承担法律责任。”第二十二条第一款：“受理申请的财政部门应当对申请单位提交的材料进行审核，对符合条件的单位，核发《财政票据领用证》，并发放财政票据。”</w:t>
            </w:r>
          </w:p>
        </w:tc>
        <w:tc>
          <w:tcPr>
            <w:tcW w:w="111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其他职权</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1.受理责任：公示并接收用票单位应当提交的材料；一次性告知补正材料。不予受理的应告知理由。</w:t>
            </w:r>
          </w:p>
        </w:tc>
        <w:tc>
          <w:tcPr>
            <w:tcW w:w="1291"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《财政票据管理办法》第四十三条：财政部门、行政事业单位工作人员违反本办法规定，在工作中徇私舞弊、玩忽职守、滥用职权的，依法给予处分；构成犯罪的，依法追究刑事责任。</w:t>
            </w:r>
            <w:r>
              <w:rPr>
                <w:rFonts w:ascii="仿宋" w:hAnsi="仿宋" w:eastAsia="仿宋" w:cs="仿宋"/>
                <w:color w:val="auto"/>
                <w:szCs w:val="21"/>
              </w:rPr>
              <w:t>。</w:t>
            </w:r>
          </w:p>
        </w:tc>
        <w:tc>
          <w:tcPr>
            <w:tcW w:w="1411"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0" w:type="dxa"/>
            <w:bottom w:w="0" w:type="dxa"/>
            <w:right w:w="0" w:type="dxa"/>
          </w:tblCellMar>
        </w:tblPrEx>
        <w:trPr>
          <w:trHeight w:val="702"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2.审查责任：对用票单位提供的材料进行审核，提出审核意见。</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56"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3.决定责任：对符合办理财政票据领购证条件的单位，予以办理财政票据领购证。不予办理的应告知理由。</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37"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4.事后监管责任：对已办理财政票据领购证的单位进行日常督查和年度审验，防止不按规定范围使用票据的行为。</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52" w:hRule="atLeast"/>
          <w:jc w:val="center"/>
        </w:trPr>
        <w:tc>
          <w:tcPr>
            <w:tcW w:w="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31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4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291"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1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sz w:val="20"/>
          <w:szCs w:val="21"/>
        </w:rPr>
      </w:pPr>
      <w:r>
        <w:rPr>
          <w:rFonts w:ascii="仿宋" w:hAnsi="仿宋" w:eastAsia="仿宋" w:cs="仿宋"/>
          <w:color w:val="auto"/>
          <w:szCs w:val="21"/>
        </w:rPr>
        <w:br w:type="page"/>
      </w:r>
    </w:p>
    <w:tbl>
      <w:tblPr>
        <w:tblStyle w:val="6"/>
        <w:tblW w:w="14417" w:type="dxa"/>
        <w:jc w:val="center"/>
        <w:tblLayout w:type="fixed"/>
        <w:tblCellMar>
          <w:top w:w="0" w:type="dxa"/>
          <w:left w:w="0" w:type="dxa"/>
          <w:bottom w:w="0" w:type="dxa"/>
          <w:right w:w="0" w:type="dxa"/>
        </w:tblCellMar>
      </w:tblPr>
      <w:tblGrid>
        <w:gridCol w:w="721"/>
        <w:gridCol w:w="1345"/>
        <w:gridCol w:w="2679"/>
        <w:gridCol w:w="859"/>
        <w:gridCol w:w="1019"/>
        <w:gridCol w:w="3100"/>
        <w:gridCol w:w="3203"/>
        <w:gridCol w:w="1491"/>
      </w:tblGrid>
      <w:tr>
        <w:tblPrEx>
          <w:tblCellMar>
            <w:top w:w="0" w:type="dxa"/>
            <w:left w:w="0" w:type="dxa"/>
            <w:bottom w:w="0" w:type="dxa"/>
            <w:right w:w="0" w:type="dxa"/>
          </w:tblCellMar>
        </w:tblPrEx>
        <w:trPr>
          <w:trHeight w:val="699" w:hRule="atLeast"/>
          <w:jc w:val="center"/>
        </w:trPr>
        <w:tc>
          <w:tcPr>
            <w:tcW w:w="7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3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26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8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职权</w:t>
            </w:r>
          </w:p>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类别</w:t>
            </w:r>
          </w:p>
        </w:tc>
        <w:tc>
          <w:tcPr>
            <w:tcW w:w="10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31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32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黑体" w:eastAsia="黑体" w:cs="黑体"/>
                <w:color w:val="auto"/>
                <w:kern w:val="0"/>
                <w:sz w:val="24"/>
              </w:rPr>
              <w:t>追责情形</w:t>
            </w:r>
          </w:p>
        </w:tc>
        <w:tc>
          <w:tcPr>
            <w:tcW w:w="149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976" w:hRule="atLeast"/>
          <w:jc w:val="center"/>
        </w:trPr>
        <w:tc>
          <w:tcPr>
            <w:tcW w:w="721"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65</w:t>
            </w:r>
          </w:p>
        </w:tc>
        <w:tc>
          <w:tcPr>
            <w:tcW w:w="134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国际金融组织和外国政府贷款、赠款管理</w:t>
            </w:r>
          </w:p>
        </w:tc>
        <w:tc>
          <w:tcPr>
            <w:tcW w:w="2679"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 《国际金融组织和外国政府贷款赠款管理办法》（财政部令第85号）第四条：“地方财政部门作为地方政府性债务归口管理部门，负责本地区贷款、赠款的管理工作。”</w:t>
            </w:r>
          </w:p>
        </w:tc>
        <w:tc>
          <w:tcPr>
            <w:tcW w:w="8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019"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申报</w:t>
            </w: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1.根据财政部贷款信息公告，协助拟借用贷款的项目申报单位进行项目申报。</w:t>
            </w:r>
          </w:p>
        </w:tc>
        <w:tc>
          <w:tcPr>
            <w:tcW w:w="320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国际金融组织和外国政府贷款赠款管理办法》第五十六条：项目实施单位、项目协调机构及财政部门和个人存在以虚报、冒领等手段骗取贷款赠款资金，或者滞留、截留、挪用等违反规定使用贷款赠款资金，或者从中非法获益等行为的，依照相关法律法规的规定处理；第五十七条：各级财政部门、项目实施单位和项目协调机构的工作人员在贷款、赠款的管理、资金使用和偿还过程中，贪污受贿、滥用职权、玩忽职守、徇私舞弊的，依照相关法律法规的规定处理。</w:t>
            </w:r>
          </w:p>
        </w:tc>
        <w:tc>
          <w:tcPr>
            <w:tcW w:w="149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农业农村股、政府债务管理办公室</w:t>
            </w:r>
          </w:p>
        </w:tc>
      </w:tr>
      <w:tr>
        <w:tblPrEx>
          <w:tblCellMar>
            <w:top w:w="0" w:type="dxa"/>
            <w:left w:w="0" w:type="dxa"/>
            <w:bottom w:w="0" w:type="dxa"/>
            <w:right w:w="0" w:type="dxa"/>
          </w:tblCellMar>
        </w:tblPrEx>
        <w:trPr>
          <w:trHeight w:val="1387" w:hRule="atLeast"/>
          <w:jc w:val="center"/>
        </w:trPr>
        <w:tc>
          <w:tcPr>
            <w:tcW w:w="721"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7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提款</w:t>
            </w: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2.按照项目要求，进行提款报账。</w:t>
            </w:r>
          </w:p>
        </w:tc>
        <w:tc>
          <w:tcPr>
            <w:tcW w:w="320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1"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4196" w:hRule="atLeast"/>
          <w:jc w:val="center"/>
        </w:trPr>
        <w:tc>
          <w:tcPr>
            <w:tcW w:w="72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4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79"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9" w:type="dxa"/>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还款</w:t>
            </w:r>
          </w:p>
        </w:tc>
        <w:tc>
          <w:tcPr>
            <w:tcW w:w="31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3.根据省级财政部门出具的还款通知单，市级财政部门向项目单位出具还款通知单，督促项目单位按时还款。</w:t>
            </w:r>
          </w:p>
        </w:tc>
        <w:tc>
          <w:tcPr>
            <w:tcW w:w="320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textAlignment w:val="center"/>
        <w:rPr>
          <w:rFonts w:ascii="仿宋" w:hAnsi="仿宋" w:eastAsia="仿宋" w:cs="仿宋"/>
          <w:color w:val="auto"/>
          <w:sz w:val="18"/>
          <w:szCs w:val="18"/>
        </w:rPr>
      </w:pPr>
    </w:p>
    <w:tbl>
      <w:tblPr>
        <w:tblStyle w:val="6"/>
        <w:tblpPr w:leftFromText="180" w:rightFromText="180" w:vertAnchor="text" w:horzAnchor="page" w:tblpX="1297" w:tblpY="76"/>
        <w:tblOverlap w:val="never"/>
        <w:tblW w:w="14305" w:type="dxa"/>
        <w:tblInd w:w="0" w:type="dxa"/>
        <w:tblLayout w:type="fixed"/>
        <w:tblCellMar>
          <w:top w:w="0" w:type="dxa"/>
          <w:left w:w="0" w:type="dxa"/>
          <w:bottom w:w="0" w:type="dxa"/>
          <w:right w:w="0" w:type="dxa"/>
        </w:tblCellMar>
      </w:tblPr>
      <w:tblGrid>
        <w:gridCol w:w="727"/>
        <w:gridCol w:w="1084"/>
        <w:gridCol w:w="2909"/>
        <w:gridCol w:w="996"/>
        <w:gridCol w:w="771"/>
        <w:gridCol w:w="3121"/>
        <w:gridCol w:w="3219"/>
        <w:gridCol w:w="1478"/>
      </w:tblGrid>
      <w:tr>
        <w:tblPrEx>
          <w:tblCellMar>
            <w:top w:w="0" w:type="dxa"/>
            <w:left w:w="0" w:type="dxa"/>
            <w:bottom w:w="0" w:type="dxa"/>
            <w:right w:w="0" w:type="dxa"/>
          </w:tblCellMar>
        </w:tblPrEx>
        <w:trPr>
          <w:trHeight w:val="811" w:hRule="atLeast"/>
        </w:trPr>
        <w:tc>
          <w:tcPr>
            <w:tcW w:w="72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0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29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99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77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31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32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追责情形</w:t>
            </w:r>
          </w:p>
        </w:tc>
        <w:tc>
          <w:tcPr>
            <w:tcW w:w="14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709" w:hRule="atLeast"/>
        </w:trPr>
        <w:tc>
          <w:tcPr>
            <w:tcW w:w="72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66</w:t>
            </w:r>
          </w:p>
        </w:tc>
        <w:tc>
          <w:tcPr>
            <w:tcW w:w="108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政府采购异地抽取专家备案</w:t>
            </w:r>
          </w:p>
        </w:tc>
        <w:tc>
          <w:tcPr>
            <w:tcW w:w="2909"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关于进一步规范政府采购评审工作有关问题的通知》（财库〔2012〕69号）第四部分：妥善处理评审中的特殊情形：采购项目有特殊需要的，采购人或采购代理机构可以在异地财政部门专家库中抽取专家，但应在事前向本级财政部门备案。</w:t>
            </w:r>
          </w:p>
        </w:tc>
        <w:tc>
          <w:tcPr>
            <w:tcW w:w="99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tc>
        <w:tc>
          <w:tcPr>
            <w:tcW w:w="771"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1.受理责任：受理采购人或采购代理机构申请资料，一次性告知所需备案材料。</w:t>
            </w:r>
          </w:p>
        </w:tc>
        <w:tc>
          <w:tcPr>
            <w:tcW w:w="321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评审专家管理办法》第三十一条：财政部门工作人员在评审专家管理工作中存在滥用职权、玩忽职守、徇私舞弊等违法违纪行为的，依照《政府采购法》《中华人民共和国公务员法》《中华人民共和国行政监察法》《政府采购法实施条例》等国家有关规定追究相应责任；涉嫌犯罪的，移送司法机关处理。</w:t>
            </w:r>
          </w:p>
        </w:tc>
        <w:tc>
          <w:tcPr>
            <w:tcW w:w="14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1070" w:hRule="atLeast"/>
        </w:trPr>
        <w:tc>
          <w:tcPr>
            <w:tcW w:w="727"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0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7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2.审查责任：审查采购项目异地抽取专家的必要性。</w:t>
            </w:r>
          </w:p>
        </w:tc>
        <w:tc>
          <w:tcPr>
            <w:tcW w:w="32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49" w:hRule="atLeast"/>
        </w:trPr>
        <w:tc>
          <w:tcPr>
            <w:tcW w:w="727"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0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71"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备案</w:t>
            </w: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3.备案责任：确有特殊需要的，可以异地财政部门抽取。</w:t>
            </w:r>
          </w:p>
        </w:tc>
        <w:tc>
          <w:tcPr>
            <w:tcW w:w="32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29" w:hRule="atLeast"/>
        </w:trPr>
        <w:tc>
          <w:tcPr>
            <w:tcW w:w="727"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09"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71"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监督管理</w:t>
            </w: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4.管理责任：对异地财政部门抽取专家情况进行跟踪检查。</w:t>
            </w:r>
          </w:p>
        </w:tc>
        <w:tc>
          <w:tcPr>
            <w:tcW w:w="3219"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78"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34" w:hRule="atLeast"/>
        </w:trPr>
        <w:tc>
          <w:tcPr>
            <w:tcW w:w="72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bottom w:val="single" w:color="auto"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2909" w:type="dxa"/>
            <w:vMerge w:val="continue"/>
            <w:tcBorders>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7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321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4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pPr w:leftFromText="180" w:rightFromText="180" w:vertAnchor="text" w:horzAnchor="page" w:tblpX="1297" w:tblpY="1"/>
        <w:tblOverlap w:val="never"/>
        <w:tblW w:w="14305" w:type="dxa"/>
        <w:tblInd w:w="0" w:type="dxa"/>
        <w:tblLayout w:type="fixed"/>
        <w:tblCellMar>
          <w:top w:w="0" w:type="dxa"/>
          <w:left w:w="0" w:type="dxa"/>
          <w:bottom w:w="0" w:type="dxa"/>
          <w:right w:w="0" w:type="dxa"/>
        </w:tblCellMar>
      </w:tblPr>
      <w:tblGrid>
        <w:gridCol w:w="727"/>
        <w:gridCol w:w="1084"/>
        <w:gridCol w:w="2909"/>
        <w:gridCol w:w="996"/>
        <w:gridCol w:w="771"/>
        <w:gridCol w:w="3121"/>
        <w:gridCol w:w="3219"/>
        <w:gridCol w:w="1478"/>
      </w:tblGrid>
      <w:tr>
        <w:tblPrEx>
          <w:tblCellMar>
            <w:top w:w="0" w:type="dxa"/>
            <w:left w:w="0" w:type="dxa"/>
            <w:bottom w:w="0" w:type="dxa"/>
            <w:right w:w="0" w:type="dxa"/>
          </w:tblCellMar>
        </w:tblPrEx>
        <w:trPr>
          <w:trHeight w:val="709" w:hRule="atLeast"/>
        </w:trPr>
        <w:tc>
          <w:tcPr>
            <w:tcW w:w="727" w:type="dxa"/>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序号</w:t>
            </w:r>
          </w:p>
        </w:tc>
        <w:tc>
          <w:tcPr>
            <w:tcW w:w="1084"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项目名称</w:t>
            </w:r>
          </w:p>
        </w:tc>
        <w:tc>
          <w:tcPr>
            <w:tcW w:w="2909" w:type="dxa"/>
            <w:tcBorders>
              <w:top w:val="single" w:color="auto" w:sz="4" w:space="0"/>
              <w:left w:val="single" w:color="000000" w:sz="4" w:space="0"/>
              <w:right w:val="nil"/>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实施依据</w:t>
            </w:r>
          </w:p>
        </w:tc>
        <w:tc>
          <w:tcPr>
            <w:tcW w:w="996"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黑体" w:hAnsi="宋体" w:eastAsia="黑体" w:cs="黑体"/>
                <w:color w:val="auto"/>
                <w:kern w:val="0"/>
                <w:sz w:val="24"/>
              </w:rPr>
              <w:t>职权类别</w:t>
            </w:r>
          </w:p>
        </w:tc>
        <w:tc>
          <w:tcPr>
            <w:tcW w:w="771" w:type="dxa"/>
            <w:tcBorders>
              <w:top w:val="single" w:color="auto" w:sz="4" w:space="0"/>
              <w:left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办理环节</w:t>
            </w: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责任事项</w:t>
            </w:r>
          </w:p>
        </w:tc>
        <w:tc>
          <w:tcPr>
            <w:tcW w:w="3219"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追责情形</w:t>
            </w:r>
          </w:p>
        </w:tc>
        <w:tc>
          <w:tcPr>
            <w:tcW w:w="1478"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1669" w:hRule="atLeast"/>
        </w:trPr>
        <w:tc>
          <w:tcPr>
            <w:tcW w:w="72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67</w:t>
            </w:r>
          </w:p>
        </w:tc>
        <w:tc>
          <w:tcPr>
            <w:tcW w:w="1084"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落实国有资本运作相关制度规范，组织指导所监管企业开展国有资本运营，推动国有资本保值增值</w:t>
            </w:r>
          </w:p>
        </w:tc>
        <w:tc>
          <w:tcPr>
            <w:tcW w:w="2909"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二章第十四条：“国有资产监督管理机构的主要义务是…（三）探索有效的企业国有资产经营体制和方式，加强企业国有资产监督管理工作，促进企业国有资产保值增值，防止企业国有资产流失”</w:t>
            </w:r>
          </w:p>
        </w:tc>
        <w:tc>
          <w:tcPr>
            <w:tcW w:w="99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tc>
        <w:tc>
          <w:tcPr>
            <w:tcW w:w="771"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依照相关法律法规实话具体措施</w:t>
            </w: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组织指导所监管企业国有资本运营中，推动国有资本保值增值。</w:t>
            </w:r>
          </w:p>
        </w:tc>
        <w:tc>
          <w:tcPr>
            <w:tcW w:w="321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六十九条：履行出资人职责的机构的工作人员玩忽职守、滥用职权、徇私舞弊，尚不构成犯罪的，依法给予处分；第七十五条：违反本法规定，构成犯罪的，依法追究刑事责任。</w:t>
            </w:r>
          </w:p>
        </w:tc>
        <w:tc>
          <w:tcPr>
            <w:tcW w:w="14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0" w:type="dxa"/>
            <w:bottom w:w="0" w:type="dxa"/>
            <w:right w:w="0" w:type="dxa"/>
          </w:tblCellMar>
        </w:tblPrEx>
        <w:trPr>
          <w:trHeight w:val="3298" w:hRule="atLeast"/>
        </w:trPr>
        <w:tc>
          <w:tcPr>
            <w:tcW w:w="72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4"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09"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71"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其他法律法规规定文件规定应履行的责任</w:t>
            </w:r>
          </w:p>
        </w:tc>
        <w:tc>
          <w:tcPr>
            <w:tcW w:w="321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tbl>
      <w:tblPr>
        <w:tblStyle w:val="6"/>
        <w:tblpPr w:leftFromText="180" w:rightFromText="180" w:vertAnchor="text" w:horzAnchor="page" w:tblpX="1417" w:tblpY="140"/>
        <w:tblOverlap w:val="never"/>
        <w:tblW w:w="14174" w:type="dxa"/>
        <w:tblInd w:w="0" w:type="dxa"/>
        <w:tblLayout w:type="fixed"/>
        <w:tblCellMar>
          <w:top w:w="0" w:type="dxa"/>
          <w:left w:w="0" w:type="dxa"/>
          <w:bottom w:w="0" w:type="dxa"/>
          <w:right w:w="0" w:type="dxa"/>
        </w:tblCellMar>
      </w:tblPr>
      <w:tblGrid>
        <w:gridCol w:w="626"/>
        <w:gridCol w:w="836"/>
        <w:gridCol w:w="3843"/>
        <w:gridCol w:w="975"/>
        <w:gridCol w:w="690"/>
        <w:gridCol w:w="3468"/>
        <w:gridCol w:w="2553"/>
        <w:gridCol w:w="1183"/>
      </w:tblGrid>
      <w:tr>
        <w:tblPrEx>
          <w:tblCellMar>
            <w:top w:w="0" w:type="dxa"/>
            <w:left w:w="0" w:type="dxa"/>
            <w:bottom w:w="0" w:type="dxa"/>
            <w:right w:w="0" w:type="dxa"/>
          </w:tblCellMar>
        </w:tblPrEx>
        <w:trPr>
          <w:trHeight w:val="593" w:hRule="atLeast"/>
        </w:trPr>
        <w:tc>
          <w:tcPr>
            <w:tcW w:w="6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序号</w:t>
            </w:r>
          </w:p>
        </w:tc>
        <w:tc>
          <w:tcPr>
            <w:tcW w:w="8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项目名称</w:t>
            </w:r>
          </w:p>
        </w:tc>
        <w:tc>
          <w:tcPr>
            <w:tcW w:w="38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实施依据</w:t>
            </w:r>
          </w:p>
        </w:tc>
        <w:tc>
          <w:tcPr>
            <w:tcW w:w="9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职权类别</w:t>
            </w:r>
          </w:p>
        </w:tc>
        <w:tc>
          <w:tcPr>
            <w:tcW w:w="6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34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25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追责情形</w:t>
            </w:r>
          </w:p>
        </w:tc>
        <w:tc>
          <w:tcPr>
            <w:tcW w:w="11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842" w:hRule="atLeast"/>
        </w:trPr>
        <w:tc>
          <w:tcPr>
            <w:tcW w:w="626"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68</w:t>
            </w:r>
          </w:p>
        </w:tc>
        <w:tc>
          <w:tcPr>
            <w:tcW w:w="83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拟定和审核所监管企业改制、上市、重组等方案和国有资本出资企业的组建方案</w:t>
            </w:r>
          </w:p>
        </w:tc>
        <w:tc>
          <w:tcPr>
            <w:tcW w:w="3843"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二十一条：“国有资产监督管理机构依照法定程序决定其所出资企业中的国有独资企业、国有独资公司的分立、合并、破产、解散、增减资本、发行公司债券等重大事项。其中，重要的国有独资企业、国有独资公司分立、合并、破产、解散的，应当由国有资产监督管理机构审核后，报本级人民政府批准。”</w:t>
            </w:r>
          </w:p>
        </w:tc>
        <w:tc>
          <w:tcPr>
            <w:tcW w:w="97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tc>
        <w:tc>
          <w:tcPr>
            <w:tcW w:w="690"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4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1.</w:t>
            </w:r>
            <w:r>
              <w:rPr>
                <w:rFonts w:hint="eastAsia" w:ascii="仿宋" w:hAnsi="仿宋" w:eastAsia="仿宋" w:cs="仿宋"/>
                <w:color w:val="auto"/>
                <w:szCs w:val="21"/>
              </w:rPr>
              <w:t>受理责任：公示依法应当提交的材料，一次性告知需补齐材料，依法受理或不予受理（不予受理的依法告知理由）</w:t>
            </w:r>
          </w:p>
        </w:tc>
        <w:tc>
          <w:tcPr>
            <w:tcW w:w="255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六十九条：履行出资人职责的机构的工作人员玩忽职守、滥用职权、徇私舞弊，尚不构成犯罪的，依法给予处分；第七十五条：违反本法规定，构成犯罪的，依法追究刑事责任。</w:t>
            </w:r>
          </w:p>
        </w:tc>
        <w:tc>
          <w:tcPr>
            <w:tcW w:w="118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0" w:type="dxa"/>
            <w:bottom w:w="0" w:type="dxa"/>
            <w:right w:w="0" w:type="dxa"/>
          </w:tblCellMar>
        </w:tblPrEx>
        <w:trPr>
          <w:trHeight w:val="2392" w:hRule="atLeast"/>
        </w:trPr>
        <w:tc>
          <w:tcPr>
            <w:tcW w:w="62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4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4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2.</w:t>
            </w:r>
            <w:r>
              <w:rPr>
                <w:rFonts w:hint="eastAsia" w:ascii="仿宋" w:hAnsi="仿宋" w:eastAsia="仿宋" w:cs="仿宋"/>
                <w:color w:val="auto"/>
                <w:szCs w:val="21"/>
              </w:rPr>
              <w:t>审查责任：按照国家和我省关于企业改制、重组等相关规定对申报材料进行审查；组织专家对材料进行评审论证；提出审核意见。需要报上级有关部门的相关规定上报。</w:t>
            </w:r>
          </w:p>
        </w:tc>
        <w:tc>
          <w:tcPr>
            <w:tcW w:w="255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 w:hRule="atLeast"/>
        </w:trPr>
        <w:tc>
          <w:tcPr>
            <w:tcW w:w="62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4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4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3.</w:t>
            </w:r>
            <w:r>
              <w:rPr>
                <w:rFonts w:hint="eastAsia" w:ascii="仿宋" w:hAnsi="仿宋" w:eastAsia="仿宋" w:cs="仿宋"/>
                <w:color w:val="auto"/>
                <w:szCs w:val="21"/>
              </w:rPr>
              <w:t>决定责任：做出决定。审核同意的，制作结果认定文件；审核不同意的，以便函开工告知申请单位。</w:t>
            </w:r>
          </w:p>
        </w:tc>
        <w:tc>
          <w:tcPr>
            <w:tcW w:w="255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48" w:hRule="atLeast"/>
        </w:trPr>
        <w:tc>
          <w:tcPr>
            <w:tcW w:w="626"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43"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75"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34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4.</w:t>
            </w:r>
            <w:r>
              <w:rPr>
                <w:rFonts w:hint="eastAsia" w:ascii="仿宋" w:hAnsi="仿宋" w:eastAsia="仿宋" w:cs="仿宋"/>
                <w:color w:val="auto"/>
                <w:szCs w:val="21"/>
              </w:rPr>
              <w:t>对所监管企业改制方案落实情况进行检查</w:t>
            </w:r>
          </w:p>
        </w:tc>
        <w:tc>
          <w:tcPr>
            <w:tcW w:w="255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26" w:hRule="atLeast"/>
        </w:trPr>
        <w:tc>
          <w:tcPr>
            <w:tcW w:w="626"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6" w:type="dxa"/>
            <w:vMerge w:val="continue"/>
            <w:tcBorders>
              <w:left w:val="single" w:color="000000" w:sz="4" w:space="0"/>
              <w:bottom w:val="single" w:color="auto"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3843" w:type="dxa"/>
            <w:vMerge w:val="continue"/>
            <w:tcBorders>
              <w:left w:val="single" w:color="000000" w:sz="4" w:space="0"/>
              <w:bottom w:val="single" w:color="auto" w:sz="4" w:space="0"/>
              <w:right w:val="nil"/>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97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90"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4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5.</w:t>
            </w:r>
            <w:r>
              <w:rPr>
                <w:rFonts w:hint="eastAsia" w:ascii="仿宋" w:hAnsi="仿宋" w:eastAsia="仿宋" w:cs="仿宋"/>
                <w:color w:val="auto"/>
                <w:szCs w:val="21"/>
              </w:rPr>
              <w:t>其他法律法规规定文件规定应履行的责任</w:t>
            </w:r>
          </w:p>
        </w:tc>
        <w:tc>
          <w:tcPr>
            <w:tcW w:w="255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8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rFonts w:ascii="仿宋" w:hAnsi="仿宋" w:eastAsia="仿宋" w:cs="仿宋"/>
          <w:color w:val="auto"/>
          <w:szCs w:val="21"/>
        </w:rPr>
      </w:pPr>
      <w:r>
        <w:rPr>
          <w:rFonts w:ascii="仿宋" w:hAnsi="仿宋" w:eastAsia="仿宋" w:cs="仿宋"/>
          <w:color w:val="auto"/>
          <w:szCs w:val="21"/>
        </w:rPr>
        <w:br w:type="page"/>
      </w:r>
    </w:p>
    <w:p>
      <w:pPr>
        <w:autoSpaceDN w:val="0"/>
        <w:snapToGrid w:val="0"/>
        <w:jc w:val="center"/>
        <w:textAlignment w:val="center"/>
        <w:rPr>
          <w:rFonts w:ascii="仿宋" w:hAnsi="仿宋" w:eastAsia="仿宋" w:cs="仿宋"/>
          <w:color w:val="auto"/>
          <w:szCs w:val="21"/>
        </w:rPr>
      </w:pPr>
    </w:p>
    <w:tbl>
      <w:tblPr>
        <w:tblStyle w:val="6"/>
        <w:tblpPr w:leftFromText="180" w:rightFromText="180" w:vertAnchor="text" w:horzAnchor="page" w:tblpX="1636" w:tblpY="163"/>
        <w:tblOverlap w:val="never"/>
        <w:tblW w:w="14008" w:type="dxa"/>
        <w:tblInd w:w="0" w:type="dxa"/>
        <w:tblLayout w:type="fixed"/>
        <w:tblCellMar>
          <w:top w:w="0" w:type="dxa"/>
          <w:left w:w="0" w:type="dxa"/>
          <w:bottom w:w="0" w:type="dxa"/>
          <w:right w:w="0" w:type="dxa"/>
        </w:tblCellMar>
      </w:tblPr>
      <w:tblGrid>
        <w:gridCol w:w="650"/>
        <w:gridCol w:w="1051"/>
        <w:gridCol w:w="5275"/>
        <w:gridCol w:w="1019"/>
        <w:gridCol w:w="514"/>
        <w:gridCol w:w="2708"/>
        <w:gridCol w:w="1609"/>
        <w:gridCol w:w="1182"/>
      </w:tblGrid>
      <w:tr>
        <w:tblPrEx>
          <w:tblCellMar>
            <w:top w:w="0" w:type="dxa"/>
            <w:left w:w="0" w:type="dxa"/>
            <w:bottom w:w="0" w:type="dxa"/>
            <w:right w:w="0" w:type="dxa"/>
          </w:tblCellMar>
        </w:tblPrEx>
        <w:trPr>
          <w:trHeight w:val="1239" w:hRule="atLeast"/>
        </w:trPr>
        <w:tc>
          <w:tcPr>
            <w:tcW w:w="6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Style w:val="2"/>
              <w:rPr>
                <w:rFonts w:ascii="黑体" w:hAnsi="宋体" w:eastAsia="黑体" w:cs="黑体"/>
                <w:color w:val="auto"/>
                <w:sz w:val="24"/>
                <w:szCs w:val="24"/>
              </w:rPr>
            </w:pPr>
            <w:r>
              <w:rPr>
                <w:color w:val="auto"/>
                <w:sz w:val="20"/>
                <w:szCs w:val="21"/>
              </w:rPr>
              <w:br w:type="page"/>
            </w:r>
            <w:r>
              <w:rPr>
                <w:rFonts w:hint="eastAsia" w:ascii="黑体" w:hAnsi="宋体" w:eastAsia="黑体" w:cs="黑体"/>
                <w:color w:val="auto"/>
                <w:kern w:val="0"/>
                <w:sz w:val="24"/>
                <w:szCs w:val="24"/>
              </w:rPr>
              <w:t>序号</w:t>
            </w:r>
          </w:p>
        </w:tc>
        <w:tc>
          <w:tcPr>
            <w:tcW w:w="10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5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10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5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270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6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追责情形</w:t>
            </w:r>
          </w:p>
        </w:tc>
        <w:tc>
          <w:tcPr>
            <w:tcW w:w="11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1749" w:hRule="atLeast"/>
        </w:trPr>
        <w:tc>
          <w:tcPr>
            <w:tcW w:w="650"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ind w:firstLine="210" w:firstLineChars="100"/>
              <w:jc w:val="left"/>
              <w:textAlignment w:val="center"/>
              <w:rPr>
                <w:rFonts w:ascii="仿宋" w:hAnsi="仿宋" w:eastAsia="仿宋" w:cs="仿宋"/>
                <w:color w:val="auto"/>
                <w:szCs w:val="21"/>
              </w:rPr>
            </w:pPr>
            <w:r>
              <w:rPr>
                <w:rFonts w:hint="eastAsia" w:ascii="仿宋" w:hAnsi="仿宋" w:eastAsia="仿宋" w:cs="仿宋"/>
                <w:color w:val="auto"/>
                <w:szCs w:val="21"/>
              </w:rPr>
              <w:t>69</w:t>
            </w:r>
          </w:p>
        </w:tc>
        <w:tc>
          <w:tcPr>
            <w:tcW w:w="1051"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指导所监管企业对所从事的金融业务加强管理与服务，组织指导有关企业投资基金的设立与运作</w:t>
            </w:r>
          </w:p>
        </w:tc>
        <w:tc>
          <w:tcPr>
            <w:tcW w:w="5275"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《内乡县财政局职能配置、内设机构和人员编制规定》第五条第十九款：“指导所监管企业对所从事的金融业务加强管理与服务，组织指导有关企业投资基金的设立与运作。”</w:t>
            </w:r>
          </w:p>
        </w:tc>
        <w:tc>
          <w:tcPr>
            <w:tcW w:w="101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left"/>
              <w:textAlignment w:val="center"/>
              <w:rPr>
                <w:rFonts w:ascii="仿宋" w:hAnsi="仿宋" w:eastAsia="仿宋" w:cs="仿宋"/>
                <w:color w:val="auto"/>
                <w:szCs w:val="21"/>
              </w:rPr>
            </w:pPr>
          </w:p>
        </w:tc>
        <w:tc>
          <w:tcPr>
            <w:tcW w:w="514"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依照相关法律法规实施</w:t>
            </w:r>
          </w:p>
        </w:tc>
        <w:tc>
          <w:tcPr>
            <w:tcW w:w="2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指导所监管企业所从事的金融企业加强管理与服务，组织指导有关企业投资资金的设立与运作。</w:t>
            </w:r>
          </w:p>
        </w:tc>
        <w:tc>
          <w:tcPr>
            <w:tcW w:w="160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六十九条：履行出资人职责的机构的工作人员玩忽职守、滥用职权、徇私舞弊，尚不构成犯罪的，依法给予处分；第七十五条：违反本法规定，构成犯罪的，依法追究刑事责任。</w:t>
            </w:r>
          </w:p>
        </w:tc>
        <w:tc>
          <w:tcPr>
            <w:tcW w:w="118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0" w:type="dxa"/>
            <w:bottom w:w="0" w:type="dxa"/>
            <w:right w:w="0" w:type="dxa"/>
          </w:tblCellMar>
        </w:tblPrEx>
        <w:trPr>
          <w:trHeight w:val="829" w:hRule="atLeast"/>
        </w:trPr>
        <w:tc>
          <w:tcPr>
            <w:tcW w:w="65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051"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5275"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01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514"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2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其他法律法规规定文件规定应履行的责任</w:t>
            </w:r>
          </w:p>
        </w:tc>
        <w:tc>
          <w:tcPr>
            <w:tcW w:w="160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18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pPr w:leftFromText="180" w:rightFromText="180" w:vertAnchor="text" w:horzAnchor="page" w:tblpX="1636" w:tblpY="9"/>
        <w:tblOverlap w:val="never"/>
        <w:tblW w:w="14020" w:type="dxa"/>
        <w:tblInd w:w="0" w:type="dxa"/>
        <w:tblLayout w:type="fixed"/>
        <w:tblCellMar>
          <w:top w:w="0" w:type="dxa"/>
          <w:left w:w="0" w:type="dxa"/>
          <w:bottom w:w="0" w:type="dxa"/>
          <w:right w:w="0" w:type="dxa"/>
        </w:tblCellMar>
      </w:tblPr>
      <w:tblGrid>
        <w:gridCol w:w="657"/>
        <w:gridCol w:w="1040"/>
        <w:gridCol w:w="5289"/>
        <w:gridCol w:w="996"/>
        <w:gridCol w:w="537"/>
        <w:gridCol w:w="2687"/>
        <w:gridCol w:w="1616"/>
        <w:gridCol w:w="1198"/>
      </w:tblGrid>
      <w:tr>
        <w:tblPrEx>
          <w:tblCellMar>
            <w:top w:w="0" w:type="dxa"/>
            <w:left w:w="0" w:type="dxa"/>
            <w:bottom w:w="0" w:type="dxa"/>
            <w:right w:w="0" w:type="dxa"/>
          </w:tblCellMar>
        </w:tblPrEx>
        <w:trPr>
          <w:trHeight w:val="709" w:hRule="atLeast"/>
        </w:trPr>
        <w:tc>
          <w:tcPr>
            <w:tcW w:w="657" w:type="dxa"/>
            <w:tcBorders>
              <w:top w:val="single" w:color="auto" w:sz="4" w:space="0"/>
              <w:left w:val="single" w:color="auto" w:sz="4" w:space="0"/>
              <w:right w:val="single" w:color="000000" w:sz="4" w:space="0"/>
            </w:tcBorders>
            <w:tcMar>
              <w:top w:w="15" w:type="dxa"/>
              <w:left w:w="15" w:type="dxa"/>
              <w:right w:w="15" w:type="dxa"/>
            </w:tcMar>
            <w:vAlign w:val="center"/>
          </w:tcPr>
          <w:p>
            <w:pPr>
              <w:pStyle w:val="2"/>
              <w:rPr>
                <w:rFonts w:hint="eastAsia" w:ascii="仿宋" w:hAnsi="仿宋" w:eastAsia="仿宋" w:cs="仿宋"/>
                <w:color w:val="auto"/>
                <w:szCs w:val="21"/>
              </w:rPr>
            </w:pPr>
            <w:r>
              <w:rPr>
                <w:color w:val="auto"/>
                <w:sz w:val="20"/>
                <w:szCs w:val="21"/>
              </w:rPr>
              <w:br w:type="page"/>
            </w:r>
            <w:r>
              <w:rPr>
                <w:rFonts w:hint="eastAsia" w:ascii="黑体" w:hAnsi="宋体" w:eastAsia="黑体" w:cs="黑体"/>
                <w:color w:val="auto"/>
                <w:kern w:val="0"/>
                <w:sz w:val="24"/>
                <w:szCs w:val="24"/>
              </w:rPr>
              <w:t>序号</w:t>
            </w:r>
          </w:p>
        </w:tc>
        <w:tc>
          <w:tcPr>
            <w:tcW w:w="1040"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项目名称</w:t>
            </w:r>
          </w:p>
        </w:tc>
        <w:tc>
          <w:tcPr>
            <w:tcW w:w="5289" w:type="dxa"/>
            <w:tcBorders>
              <w:top w:val="single" w:color="auto" w:sz="4" w:space="0"/>
              <w:left w:val="single" w:color="000000" w:sz="4" w:space="0"/>
              <w:right w:val="nil"/>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实施依据</w:t>
            </w:r>
          </w:p>
        </w:tc>
        <w:tc>
          <w:tcPr>
            <w:tcW w:w="996"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黑体" w:hAnsi="宋体" w:eastAsia="黑体" w:cs="黑体"/>
                <w:color w:val="auto"/>
                <w:kern w:val="0"/>
                <w:sz w:val="24"/>
              </w:rPr>
              <w:t>职权类别</w:t>
            </w:r>
          </w:p>
        </w:tc>
        <w:tc>
          <w:tcPr>
            <w:tcW w:w="537" w:type="dxa"/>
            <w:tcBorders>
              <w:top w:val="single" w:color="auto" w:sz="4" w:space="0"/>
              <w:left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办理环节</w:t>
            </w:r>
          </w:p>
        </w:tc>
        <w:tc>
          <w:tcPr>
            <w:tcW w:w="2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责任事项</w:t>
            </w:r>
          </w:p>
        </w:tc>
        <w:tc>
          <w:tcPr>
            <w:tcW w:w="1616"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追责情形</w:t>
            </w:r>
          </w:p>
        </w:tc>
        <w:tc>
          <w:tcPr>
            <w:tcW w:w="1198"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709" w:hRule="atLeast"/>
        </w:trPr>
        <w:tc>
          <w:tcPr>
            <w:tcW w:w="65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ind w:firstLine="210" w:firstLineChars="100"/>
              <w:jc w:val="left"/>
              <w:textAlignment w:val="center"/>
              <w:rPr>
                <w:rFonts w:ascii="仿宋" w:hAnsi="仿宋" w:eastAsia="仿宋" w:cs="仿宋"/>
                <w:color w:val="auto"/>
                <w:szCs w:val="21"/>
              </w:rPr>
            </w:pPr>
            <w:r>
              <w:rPr>
                <w:rFonts w:hint="eastAsia" w:ascii="仿宋" w:hAnsi="仿宋" w:eastAsia="仿宋" w:cs="仿宋"/>
                <w:color w:val="auto"/>
                <w:szCs w:val="21"/>
              </w:rPr>
              <w:t>70</w:t>
            </w:r>
          </w:p>
        </w:tc>
        <w:tc>
          <w:tcPr>
            <w:tcW w:w="104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承担所监管企业资产评估项目的核准和备案工作</w:t>
            </w:r>
          </w:p>
        </w:tc>
        <w:tc>
          <w:tcPr>
            <w:tcW w:w="5289"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《企业国有资产评估管理暂行办法》第三条“各级国有资产监督管理机构负责其所出资企业的国有资产评估监管工作”。第四条“企业国有资产评估项目实行核准制和备案制。”</w:t>
            </w:r>
          </w:p>
        </w:tc>
        <w:tc>
          <w:tcPr>
            <w:tcW w:w="99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tc>
        <w:tc>
          <w:tcPr>
            <w:tcW w:w="537"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依照相关法律法规实施</w:t>
            </w:r>
          </w:p>
        </w:tc>
        <w:tc>
          <w:tcPr>
            <w:tcW w:w="2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负责其所出资企业的国有资产评估监管工作</w:t>
            </w:r>
          </w:p>
        </w:tc>
        <w:tc>
          <w:tcPr>
            <w:tcW w:w="161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单位国有资产管理暂行办法》第五十条：财政部门、行政单位及其工作人员违反本办法的规定，擅自占有、使用、处置国有资产的，按照《财政违法行为处罚处分条例》处理。违反国家国有资产管理规定的其他行为，按国家有关法律法规处理。</w:t>
            </w:r>
          </w:p>
        </w:tc>
        <w:tc>
          <w:tcPr>
            <w:tcW w:w="119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0" w:type="dxa"/>
            <w:bottom w:w="0" w:type="dxa"/>
            <w:right w:w="0" w:type="dxa"/>
          </w:tblCellMar>
        </w:tblPrEx>
        <w:trPr>
          <w:trHeight w:val="362" w:hRule="atLeast"/>
        </w:trPr>
        <w:tc>
          <w:tcPr>
            <w:tcW w:w="65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4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289"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3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负责对企业国有资产评估项目实行核准和备案进行监管</w:t>
            </w:r>
          </w:p>
        </w:tc>
        <w:tc>
          <w:tcPr>
            <w:tcW w:w="16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62" w:hRule="atLeast"/>
        </w:trPr>
        <w:tc>
          <w:tcPr>
            <w:tcW w:w="65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color w:val="auto"/>
              </w:rPr>
            </w:pPr>
          </w:p>
        </w:tc>
        <w:tc>
          <w:tcPr>
            <w:tcW w:w="104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color w:val="auto"/>
              </w:rPr>
            </w:pPr>
          </w:p>
        </w:tc>
        <w:tc>
          <w:tcPr>
            <w:tcW w:w="5289"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color w:val="auto"/>
              </w:rPr>
            </w:pPr>
          </w:p>
        </w:tc>
        <w:tc>
          <w:tcPr>
            <w:tcW w:w="99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color w:val="auto"/>
              </w:rPr>
            </w:pPr>
          </w:p>
        </w:tc>
        <w:tc>
          <w:tcPr>
            <w:tcW w:w="537"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color w:val="auto"/>
              </w:rPr>
            </w:pPr>
          </w:p>
        </w:tc>
        <w:tc>
          <w:tcPr>
            <w:tcW w:w="2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其他法律法规规定文件规定应履行的责任</w:t>
            </w:r>
          </w:p>
        </w:tc>
        <w:tc>
          <w:tcPr>
            <w:tcW w:w="16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hint="eastAsia" w:ascii="仿宋" w:hAnsi="仿宋" w:eastAsia="仿宋" w:cs="仿宋"/>
                <w:color w:val="auto"/>
                <w:szCs w:val="21"/>
              </w:rPr>
            </w:pPr>
          </w:p>
        </w:tc>
        <w:tc>
          <w:tcPr>
            <w:tcW w:w="119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hint="eastAsia"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pPr w:leftFromText="180" w:rightFromText="180" w:vertAnchor="text" w:horzAnchor="page" w:tblpX="1188" w:tblpY="111"/>
        <w:tblOverlap w:val="never"/>
        <w:tblW w:w="14546" w:type="dxa"/>
        <w:tblInd w:w="0" w:type="dxa"/>
        <w:tblLayout w:type="fixed"/>
        <w:tblCellMar>
          <w:top w:w="0" w:type="dxa"/>
          <w:left w:w="0" w:type="dxa"/>
          <w:bottom w:w="0" w:type="dxa"/>
          <w:right w:w="0" w:type="dxa"/>
        </w:tblCellMar>
      </w:tblPr>
      <w:tblGrid>
        <w:gridCol w:w="987"/>
        <w:gridCol w:w="1530"/>
        <w:gridCol w:w="3167"/>
        <w:gridCol w:w="759"/>
        <w:gridCol w:w="988"/>
        <w:gridCol w:w="2946"/>
        <w:gridCol w:w="2950"/>
        <w:gridCol w:w="1219"/>
      </w:tblGrid>
      <w:tr>
        <w:tblPrEx>
          <w:tblCellMar>
            <w:top w:w="0" w:type="dxa"/>
            <w:left w:w="0" w:type="dxa"/>
            <w:bottom w:w="0" w:type="dxa"/>
            <w:right w:w="0" w:type="dxa"/>
          </w:tblCellMar>
        </w:tblPrEx>
        <w:trPr>
          <w:trHeight w:val="1075" w:hRule="atLeast"/>
        </w:trPr>
        <w:tc>
          <w:tcPr>
            <w:tcW w:w="9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序号</w:t>
            </w:r>
          </w:p>
        </w:tc>
        <w:tc>
          <w:tcPr>
            <w:tcW w:w="15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项目名称</w:t>
            </w:r>
          </w:p>
        </w:tc>
        <w:tc>
          <w:tcPr>
            <w:tcW w:w="31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实施依据</w:t>
            </w:r>
          </w:p>
        </w:tc>
        <w:tc>
          <w:tcPr>
            <w:tcW w:w="7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职权</w:t>
            </w:r>
          </w:p>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类别</w:t>
            </w:r>
          </w:p>
        </w:tc>
        <w:tc>
          <w:tcPr>
            <w:tcW w:w="98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办理环节</w:t>
            </w:r>
          </w:p>
        </w:tc>
        <w:tc>
          <w:tcPr>
            <w:tcW w:w="29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责任事项</w:t>
            </w:r>
          </w:p>
        </w:tc>
        <w:tc>
          <w:tcPr>
            <w:tcW w:w="29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追责情形</w:t>
            </w:r>
          </w:p>
        </w:tc>
        <w:tc>
          <w:tcPr>
            <w:tcW w:w="12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责任科室</w:t>
            </w:r>
          </w:p>
        </w:tc>
      </w:tr>
      <w:tr>
        <w:tblPrEx>
          <w:tblCellMar>
            <w:top w:w="0" w:type="dxa"/>
            <w:left w:w="0" w:type="dxa"/>
            <w:bottom w:w="0" w:type="dxa"/>
            <w:right w:w="0" w:type="dxa"/>
          </w:tblCellMar>
        </w:tblPrEx>
        <w:trPr>
          <w:trHeight w:val="2874" w:hRule="atLeast"/>
        </w:trPr>
        <w:tc>
          <w:tcPr>
            <w:tcW w:w="98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71</w:t>
            </w:r>
          </w:p>
        </w:tc>
        <w:tc>
          <w:tcPr>
            <w:tcW w:w="153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按照干部管理权限,承担对所监管企业领导人员的考察、任免等相关管理工作,负责所监管企业领导班子日常监督管理工作</w:t>
            </w:r>
          </w:p>
        </w:tc>
        <w:tc>
          <w:tcPr>
            <w:tcW w:w="3167"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val="en-US" w:eastAsia="zh-CN"/>
              </w:rPr>
              <w:t>《企业国有资产监督管理暂行条例》第十三条：“国有资产监督管理机构的主要职责是：（三）依照规定向所出资企业派出监事会。（四）依照法定程序对所出资企业的企业负责人进行任免、考核，并根据考核结果对其进行奖惩。”</w:t>
            </w:r>
          </w:p>
        </w:tc>
        <w:tc>
          <w:tcPr>
            <w:tcW w:w="7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988"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依照相关法律法规</w:t>
            </w:r>
            <w:r>
              <w:rPr>
                <w:rFonts w:hint="eastAsia" w:ascii="仿宋" w:hAnsi="仿宋" w:eastAsia="仿宋" w:cs="仿宋"/>
                <w:color w:val="auto"/>
                <w:szCs w:val="21"/>
                <w:lang w:eastAsia="zh-CN"/>
              </w:rPr>
              <w:t>实施</w:t>
            </w:r>
          </w:p>
        </w:tc>
        <w:tc>
          <w:tcPr>
            <w:tcW w:w="2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负责依照法定程序对所出资企业的企业负责人进行任免、考核，并根据考核结果对其进行</w:t>
            </w:r>
            <w:r>
              <w:rPr>
                <w:rFonts w:hint="eastAsia" w:ascii="仿宋" w:hAnsi="仿宋" w:eastAsia="仿宋" w:cs="仿宋"/>
                <w:color w:val="auto"/>
                <w:szCs w:val="21"/>
                <w:lang w:eastAsia="zh-CN"/>
              </w:rPr>
              <w:t>奖惩。</w:t>
            </w:r>
          </w:p>
        </w:tc>
        <w:tc>
          <w:tcPr>
            <w:tcW w:w="29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三十八条：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p>
        </w:tc>
        <w:tc>
          <w:tcPr>
            <w:tcW w:w="121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0" w:type="dxa"/>
            <w:bottom w:w="0" w:type="dxa"/>
            <w:right w:w="0" w:type="dxa"/>
          </w:tblCellMar>
        </w:tblPrEx>
        <w:trPr>
          <w:trHeight w:val="3219" w:hRule="atLeast"/>
        </w:trPr>
        <w:tc>
          <w:tcPr>
            <w:tcW w:w="98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53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167"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7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988"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其他法律法规规章文件规定应履行的责任</w:t>
            </w:r>
          </w:p>
        </w:tc>
        <w:tc>
          <w:tcPr>
            <w:tcW w:w="29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c>
          <w:tcPr>
            <w:tcW w:w="121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pPr w:leftFromText="180" w:rightFromText="180" w:vertAnchor="text" w:horzAnchor="page" w:tblpX="1188" w:tblpY="1"/>
        <w:tblOverlap w:val="never"/>
        <w:tblW w:w="14546" w:type="dxa"/>
        <w:tblInd w:w="93" w:type="dxa"/>
        <w:tblLayout w:type="fixed"/>
        <w:tblCellMar>
          <w:top w:w="0" w:type="dxa"/>
          <w:left w:w="108" w:type="dxa"/>
          <w:bottom w:w="0" w:type="dxa"/>
          <w:right w:w="108" w:type="dxa"/>
        </w:tblCellMar>
      </w:tblPr>
      <w:tblGrid>
        <w:gridCol w:w="793"/>
        <w:gridCol w:w="1245"/>
        <w:gridCol w:w="5175"/>
        <w:gridCol w:w="1365"/>
        <w:gridCol w:w="1095"/>
        <w:gridCol w:w="2160"/>
        <w:gridCol w:w="1494"/>
        <w:gridCol w:w="1219"/>
      </w:tblGrid>
      <w:tr>
        <w:tblPrEx>
          <w:tblCellMar>
            <w:top w:w="0" w:type="dxa"/>
            <w:left w:w="108" w:type="dxa"/>
            <w:bottom w:w="0" w:type="dxa"/>
            <w:right w:w="108"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项目名称</w:t>
            </w:r>
          </w:p>
        </w:tc>
        <w:tc>
          <w:tcPr>
            <w:tcW w:w="5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实施依据</w:t>
            </w:r>
          </w:p>
        </w:tc>
        <w:tc>
          <w:tcPr>
            <w:tcW w:w="1365" w:type="dxa"/>
            <w:tcBorders>
              <w:top w:val="single" w:color="000000" w:sz="4" w:space="0"/>
              <w:left w:val="single" w:color="000000" w:sz="4" w:space="0"/>
              <w:right w:val="single" w:color="000000" w:sz="4" w:space="0"/>
            </w:tcBorders>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职权</w:t>
            </w:r>
          </w:p>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类别</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办理环节</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责任事项</w:t>
            </w:r>
          </w:p>
        </w:tc>
        <w:tc>
          <w:tcPr>
            <w:tcW w:w="14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追责情形</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1950" w:hRule="atLeast"/>
        </w:trPr>
        <w:tc>
          <w:tcPr>
            <w:tcW w:w="79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72</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按照规定权限负责监管企业党的建设和企业领导人员相关管理工作，审核监管企业领导人员的薪酬方案和企业工资总额分配方案等</w:t>
            </w:r>
          </w:p>
        </w:tc>
        <w:tc>
          <w:tcPr>
            <w:tcW w:w="517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val="en-US" w:eastAsia="zh-CN"/>
              </w:rPr>
              <w:t>《企业国有资产法》第二十七条：“履行出资人职责的机构……依据考核结果决定对企业管理者的奖惩。履行出资人职责的机构应当按照国家有关规定，确定其任命的国家出资企业管理者的薪酬标准。”第二十九条：“本法第二十二条第一款第一项、第二项规定的企业管理者，国务院和地方人民政府规定由本级人民政府任免的，依照其规定。履行出资人职责的机构依照本章规定</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对上述企业管理者进行考核、奖惩并确定其薪酬标准。”</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企业国有资产监督管理暂行条例》（国务院令第378号）第十九条：“国有资产监督管理机构应当依照有关规定，确定所出资企业中的国有独资企业、国有独资公司的企业负责人的薪酬；依据考核结果，决定其向所出资企业派出的企业负责人的奖惩。”第二十六条：“国有资产监督管理机构依照国家有关规定拟订所出资企业收入分配制度改革的指导意见，调控所出资企业工资分配的总体水平。”</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中共河南省委、河南省人民政府关于印发&lt;河南省省管国有企业负责人薪酬制度改革实施意见&gt;的通知》(豫发〔2015〕17号）：“省财政厅、省政府国资委和其他有关业务主管部门按照分工，负责省管国有企业负责人的薪酬水平审核。”</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中共河南省委办公厅、河南省人民政府办公厅关于印发&lt;关于加强和改进省管企业领导人员管理工作的意见&gt;、&lt;关于进一步完善省管企业负责人薪酬制度的意见&gt;的通知》（豫办〔2017〕6号）：“国有独资和国有控股企业负责人的薪酬方案，由省政府国资委或其他履行出资人职能的部门审核确定。省财政厅、省政府国资委和其他有关部门负责制定省管企业负责人的经营业绩考核和薪酬审核管理办法，并做好企业负责人经营业绩考核和薪酬审核工作。”</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国有企业领导人员廉洁从业若干规定》(中办发〔2009〕26号）第十三条：“国有企业应当按照有关规定建立健全职务消费制度，报履行国有资产出资人职责的机构备案，并将职务消费情况作为厂务公开的内容向职工公开。”</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《中央金融企业负责人薪酬审核管理办法》（财金〔2011〕72号）第三十一条：“省级人民政府财政部门依据本法的原则制定具体办法，并组织实施本地区非中央金融企业负责人的薪酬管理工作。”</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财政部监察部审计署关于印发&lt;中央金融企业负责人职务消费管理暂行办法&gt;的通知》（财金〔2012〕125号）第二十二条：“省级人民政府财政部门和国务院有关金融监管部门依据本办法的原则制定具体办法，组织实施本地区本行业非中央金融企业负责人职务消费的监督管理工作。”</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省管企业负责人履职待遇、业务支出管理暂行办法》（豫办〔2016〕26号）第二十七条：“企业应当对企业负责人履职待遇、业务支出实施预算管理，按年度、项目、人员编制预算，报履行出资人职责的机构备案。”</w:t>
            </w:r>
            <w:r>
              <w:rPr>
                <w:rFonts w:hint="eastAsia" w:ascii="仿宋" w:hAnsi="仿宋" w:eastAsia="仿宋" w:cs="仿宋"/>
                <w:color w:val="auto"/>
                <w:szCs w:val="21"/>
                <w:lang w:val="en-US" w:eastAsia="zh-CN"/>
              </w:rPr>
              <w:br w:type="textWrapping"/>
            </w:r>
            <w:r>
              <w:rPr>
                <w:rFonts w:hint="eastAsia" w:ascii="仿宋" w:hAnsi="仿宋" w:eastAsia="仿宋" w:cs="仿宋"/>
                <w:color w:val="auto"/>
                <w:szCs w:val="21"/>
                <w:lang w:val="en-US" w:eastAsia="zh-CN"/>
              </w:rPr>
              <w:t>《河南省国有企业贯彻落实“三重一大”决策制度实施办法》（豫办〔2012〕5号)第五条：“股东大会（股东会）决定的事项：决定有关董事的报酬事项，有关监事的报酬事项。”</w:t>
            </w:r>
          </w:p>
        </w:tc>
        <w:tc>
          <w:tcPr>
            <w:tcW w:w="1365"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1.受理责任：明确告知申报单位依法应当提交的材料；一次性告知需补齐材料；依法受理或不予受理（不予受理的需明确告知理由）。</w:t>
            </w:r>
          </w:p>
        </w:tc>
        <w:tc>
          <w:tcPr>
            <w:tcW w:w="149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《中华人民共和国企业国有资产法》第六十九条：履行出资人职责的机构的工作人员玩忽职守、滥用职权、徇私舞弊，尚不构成犯罪的，依法给予处分。</w:t>
            </w:r>
          </w:p>
        </w:tc>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108" w:type="dxa"/>
            <w:bottom w:w="0" w:type="dxa"/>
            <w:right w:w="108" w:type="dxa"/>
          </w:tblCellMar>
        </w:tblPrEx>
        <w:trPr>
          <w:trHeight w:val="2864" w:hRule="atLeast"/>
        </w:trPr>
        <w:tc>
          <w:tcPr>
            <w:tcW w:w="7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17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365"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2.审查责任：按照国家和我省关于企业领导人薪酬方案、工资分配方案等相关规定对申报材料进行审查；组织相关人员或科室对材料进行评审论证；提出审核意见。需要报上级有关部门的按程序规定上报。</w:t>
            </w:r>
          </w:p>
        </w:tc>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1479" w:hRule="atLeast"/>
        </w:trPr>
        <w:tc>
          <w:tcPr>
            <w:tcW w:w="7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17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365"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95" w:type="dxa"/>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3.决定责任：做出决定。审核同意的，制作结果认定文件；审核不同意的，以便函形式告知申请单位。</w:t>
            </w:r>
          </w:p>
        </w:tc>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1833" w:hRule="atLeast"/>
        </w:trPr>
        <w:tc>
          <w:tcPr>
            <w:tcW w:w="7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17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365"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095" w:type="dxa"/>
            <w:tcBorders>
              <w:top w:val="single" w:color="auto" w:sz="4" w:space="0"/>
              <w:left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2160" w:type="dxa"/>
            <w:tcBorders>
              <w:top w:val="single" w:color="000000" w:sz="4" w:space="0"/>
              <w:left w:val="single" w:color="auto"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4.对所监管企业方案落实情况进行检查。</w:t>
            </w:r>
          </w:p>
        </w:tc>
        <w:tc>
          <w:tcPr>
            <w:tcW w:w="1494"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19"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rFonts w:ascii="仿宋" w:hAnsi="仿宋" w:eastAsia="仿宋" w:cs="仿宋"/>
          <w:color w:val="auto"/>
          <w:sz w:val="18"/>
          <w:szCs w:val="18"/>
        </w:rPr>
      </w:pPr>
    </w:p>
    <w:p>
      <w:pPr>
        <w:autoSpaceDN w:val="0"/>
        <w:snapToGrid w:val="0"/>
        <w:jc w:val="center"/>
        <w:textAlignment w:val="center"/>
        <w:rPr>
          <w:color w:val="auto"/>
        </w:rPr>
      </w:pPr>
      <w:r>
        <w:rPr>
          <w:rFonts w:ascii="仿宋" w:hAnsi="仿宋" w:eastAsia="仿宋" w:cs="仿宋"/>
          <w:color w:val="auto"/>
          <w:sz w:val="18"/>
          <w:szCs w:val="18"/>
        </w:rPr>
        <w:br w:type="page"/>
      </w:r>
    </w:p>
    <w:p>
      <w:pPr>
        <w:rPr>
          <w:color w:val="auto"/>
        </w:rPr>
      </w:pPr>
    </w:p>
    <w:tbl>
      <w:tblPr>
        <w:tblStyle w:val="6"/>
        <w:tblpPr w:leftFromText="180" w:rightFromText="180" w:vertAnchor="text" w:horzAnchor="page" w:tblpX="991" w:tblpY="163"/>
        <w:tblOverlap w:val="never"/>
        <w:tblW w:w="15060" w:type="dxa"/>
        <w:tblInd w:w="0" w:type="dxa"/>
        <w:tblLayout w:type="fixed"/>
        <w:tblCellMar>
          <w:top w:w="0" w:type="dxa"/>
          <w:left w:w="108" w:type="dxa"/>
          <w:bottom w:w="0" w:type="dxa"/>
          <w:right w:w="108" w:type="dxa"/>
        </w:tblCellMar>
      </w:tblPr>
      <w:tblGrid>
        <w:gridCol w:w="1050"/>
        <w:gridCol w:w="1335"/>
        <w:gridCol w:w="3281"/>
        <w:gridCol w:w="1080"/>
        <w:gridCol w:w="1080"/>
        <w:gridCol w:w="3499"/>
        <w:gridCol w:w="2295"/>
        <w:gridCol w:w="1440"/>
      </w:tblGrid>
      <w:tr>
        <w:tblPrEx>
          <w:tblCellMar>
            <w:top w:w="0" w:type="dxa"/>
            <w:left w:w="108" w:type="dxa"/>
            <w:bottom w:w="0" w:type="dxa"/>
            <w:right w:w="108" w:type="dxa"/>
          </w:tblCellMar>
        </w:tblPrEx>
        <w:trPr>
          <w:trHeight w:val="100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32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34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1390" w:hRule="atLeast"/>
        </w:trPr>
        <w:tc>
          <w:tcPr>
            <w:tcW w:w="105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73</w:t>
            </w:r>
          </w:p>
        </w:tc>
        <w:tc>
          <w:tcPr>
            <w:tcW w:w="1335"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指导所监管企业董事会、监事会的建设</w:t>
            </w:r>
          </w:p>
        </w:tc>
        <w:tc>
          <w:tcPr>
            <w:tcW w:w="3281"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《企业国有资产监督管理暂行条例》：第十七条　国有资产监督管理机构依照有关规定，任免或者建议任免所出资企业的企业负责人：（一）任免国有独资企业的总经理、副总经理、总会计师及其他企业负责人；（二）任免国有独资公司的董事长、副董事长、董事，并向其提出总经理、副总经理、总会计师等的任免建议；（三）依照公司章程，提出向国有控股的公司派出的董事、监事人选，推荐国有控股的公司的董事长、副董事长和监事会主席人选，并向其提出总经理、副总经理、总会计师人选的建议；（四）依照公司章程，提出向国有参股的公司派出的董事、监事人选。</w:t>
            </w:r>
          </w:p>
        </w:tc>
        <w:tc>
          <w:tcPr>
            <w:tcW w:w="108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08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依照相关法律法规</w:t>
            </w:r>
            <w:r>
              <w:rPr>
                <w:rFonts w:hint="eastAsia" w:ascii="仿宋" w:hAnsi="仿宋" w:eastAsia="仿宋" w:cs="仿宋"/>
                <w:color w:val="auto"/>
                <w:szCs w:val="21"/>
                <w:lang w:eastAsia="zh-CN"/>
              </w:rPr>
              <w:t>实施</w:t>
            </w:r>
          </w:p>
        </w:tc>
        <w:tc>
          <w:tcPr>
            <w:tcW w:w="3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1.负责建立健全适应现代企业制度要求的企业负责人的选用机制和激励约束机制。</w:t>
            </w:r>
          </w:p>
        </w:tc>
        <w:tc>
          <w:tcPr>
            <w:tcW w:w="2295"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三十八条：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p>
        </w:tc>
        <w:tc>
          <w:tcPr>
            <w:tcW w:w="1440"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108" w:type="dxa"/>
            <w:bottom w:w="0" w:type="dxa"/>
            <w:right w:w="108" w:type="dxa"/>
          </w:tblCellMar>
        </w:tblPrEx>
        <w:trPr>
          <w:trHeight w:val="1287" w:hRule="atLeast"/>
        </w:trPr>
        <w:tc>
          <w:tcPr>
            <w:tcW w:w="1050"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335"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3281"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3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2.负责依照有关规定，确定所出资企业中的国有独资企业、国有独资公司的企业负责人的薪酬</w:t>
            </w:r>
          </w:p>
        </w:tc>
        <w:tc>
          <w:tcPr>
            <w:tcW w:w="2295"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440"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90" w:hRule="atLeast"/>
        </w:trPr>
        <w:tc>
          <w:tcPr>
            <w:tcW w:w="1050"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335"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3281"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34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auto"/>
                <w:kern w:val="0"/>
                <w:sz w:val="21"/>
                <w:szCs w:val="21"/>
                <w:u w:val="none"/>
                <w:lang w:val="en-US" w:eastAsia="zh-CN" w:bidi="ar"/>
              </w:rPr>
              <w:t>3.其他法律法规规章文件规定应履行的责任。</w:t>
            </w:r>
          </w:p>
        </w:tc>
        <w:tc>
          <w:tcPr>
            <w:tcW w:w="2295"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440"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color w:val="auto"/>
        </w:rPr>
      </w:pPr>
      <w:r>
        <w:rPr>
          <w:rFonts w:ascii="仿宋" w:hAnsi="仿宋" w:eastAsia="仿宋" w:cs="仿宋"/>
          <w:color w:val="auto"/>
          <w:szCs w:val="21"/>
        </w:rPr>
        <w:br w:type="page"/>
      </w:r>
    </w:p>
    <w:tbl>
      <w:tblPr>
        <w:tblStyle w:val="6"/>
        <w:tblW w:w="14917" w:type="dxa"/>
        <w:tblInd w:w="-578" w:type="dxa"/>
        <w:tblLayout w:type="fixed"/>
        <w:tblCellMar>
          <w:top w:w="0" w:type="dxa"/>
          <w:left w:w="108" w:type="dxa"/>
          <w:bottom w:w="0" w:type="dxa"/>
          <w:right w:w="108" w:type="dxa"/>
        </w:tblCellMar>
      </w:tblPr>
      <w:tblGrid>
        <w:gridCol w:w="963"/>
        <w:gridCol w:w="1075"/>
        <w:gridCol w:w="4036"/>
        <w:gridCol w:w="996"/>
        <w:gridCol w:w="906"/>
        <w:gridCol w:w="3855"/>
        <w:gridCol w:w="1885"/>
        <w:gridCol w:w="1201"/>
      </w:tblGrid>
      <w:tr>
        <w:tblPrEx>
          <w:tblCellMar>
            <w:top w:w="0" w:type="dxa"/>
            <w:left w:w="108" w:type="dxa"/>
            <w:bottom w:w="0" w:type="dxa"/>
            <w:right w:w="108" w:type="dxa"/>
          </w:tblCellMar>
        </w:tblPrEx>
        <w:trPr>
          <w:trHeight w:val="1002"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4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1482" w:hRule="atLeast"/>
        </w:trPr>
        <w:tc>
          <w:tcPr>
            <w:tcW w:w="9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74</w:t>
            </w: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审核所监管企业负责人薪酬方案，规范履职待遇、业务支出</w:t>
            </w:r>
          </w:p>
        </w:tc>
        <w:tc>
          <w:tcPr>
            <w:tcW w:w="403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十六条“国有资产监督管理机构应当建立健全适应现代企业制度要求的企业负责人的选用机制和激励约束机制”。第十九条“国有资产监督管理机构应当依照有关规定，确定所出资企业中的国有独资企业、国有独资公司的企业负责人的薪酬”</w:t>
            </w: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90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rPr>
              <w:t>依照相关</w:t>
            </w:r>
            <w:r>
              <w:rPr>
                <w:rFonts w:hint="eastAsia" w:ascii="仿宋" w:hAnsi="仿宋" w:eastAsia="仿宋" w:cs="仿宋"/>
                <w:color w:val="auto"/>
                <w:szCs w:val="21"/>
                <w:lang w:eastAsia="zh-CN"/>
              </w:rPr>
              <w:t>法律法规实施</w:t>
            </w:r>
          </w:p>
        </w:tc>
        <w:tc>
          <w:tcPr>
            <w:tcW w:w="385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1.</w:t>
            </w:r>
            <w:r>
              <w:rPr>
                <w:rFonts w:hint="eastAsia" w:ascii="仿宋" w:hAnsi="仿宋" w:eastAsia="仿宋" w:cs="仿宋"/>
                <w:color w:val="auto"/>
                <w:szCs w:val="21"/>
              </w:rPr>
              <w:t>负责建立健全适应现代企业制度要求的企业负责人的选用机制和激励约束机制。</w:t>
            </w:r>
          </w:p>
        </w:tc>
        <w:tc>
          <w:tcPr>
            <w:tcW w:w="188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《中华人民共和国企业国有资产法》第六十九条：履行出资人职责的机构的工作人员玩忽职守、滥用职权、徇私舞弊，尚不构成犯罪的，依法给予处分。</w:t>
            </w:r>
          </w:p>
        </w:tc>
        <w:tc>
          <w:tcPr>
            <w:tcW w:w="1201"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108" w:type="dxa"/>
            <w:bottom w:w="0" w:type="dxa"/>
            <w:right w:w="108" w:type="dxa"/>
          </w:tblCellMar>
        </w:tblPrEx>
        <w:trPr>
          <w:trHeight w:val="496" w:hRule="atLeast"/>
        </w:trPr>
        <w:tc>
          <w:tcPr>
            <w:tcW w:w="963"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75"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4036"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06"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3855" w:type="dxa"/>
            <w:tcBorders>
              <w:top w:val="single" w:color="000000"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2.</w:t>
            </w:r>
            <w:r>
              <w:rPr>
                <w:rFonts w:hint="eastAsia" w:ascii="仿宋" w:hAnsi="仿宋" w:eastAsia="仿宋" w:cs="仿宋"/>
                <w:color w:val="auto"/>
                <w:szCs w:val="21"/>
              </w:rPr>
              <w:t>负责依照有关规定，确定所出资企业中的国有独资企业、国有独资公司的企业负责人薪酬。</w:t>
            </w:r>
          </w:p>
        </w:tc>
        <w:tc>
          <w:tcPr>
            <w:tcW w:w="1885"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01"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496" w:hRule="atLeast"/>
        </w:trPr>
        <w:tc>
          <w:tcPr>
            <w:tcW w:w="963" w:type="dxa"/>
            <w:vMerge w:val="continue"/>
            <w:tcBorders>
              <w:left w:val="single" w:color="000000" w:sz="4" w:space="0"/>
              <w:bottom w:val="single" w:color="auto" w:sz="4" w:space="0"/>
              <w:right w:val="single" w:color="000000" w:sz="4" w:space="0"/>
            </w:tcBorders>
            <w:vAlign w:val="center"/>
          </w:tcPr>
          <w:p>
            <w:pPr>
              <w:autoSpaceDN w:val="0"/>
              <w:snapToGrid w:val="0"/>
              <w:jc w:val="left"/>
              <w:textAlignment w:val="center"/>
              <w:rPr>
                <w:color w:val="auto"/>
              </w:rPr>
            </w:pPr>
          </w:p>
        </w:tc>
        <w:tc>
          <w:tcPr>
            <w:tcW w:w="1075" w:type="dxa"/>
            <w:vMerge w:val="continue"/>
            <w:tcBorders>
              <w:left w:val="single" w:color="000000" w:sz="4" w:space="0"/>
              <w:bottom w:val="single" w:color="auto" w:sz="4" w:space="0"/>
              <w:right w:val="single" w:color="000000" w:sz="4" w:space="0"/>
            </w:tcBorders>
            <w:vAlign w:val="center"/>
          </w:tcPr>
          <w:p>
            <w:pPr>
              <w:autoSpaceDN w:val="0"/>
              <w:snapToGrid w:val="0"/>
              <w:jc w:val="left"/>
              <w:textAlignment w:val="center"/>
              <w:rPr>
                <w:color w:val="auto"/>
              </w:rPr>
            </w:pPr>
          </w:p>
        </w:tc>
        <w:tc>
          <w:tcPr>
            <w:tcW w:w="4036" w:type="dxa"/>
            <w:vMerge w:val="continue"/>
            <w:tcBorders>
              <w:left w:val="single" w:color="000000" w:sz="4" w:space="0"/>
              <w:bottom w:val="single" w:color="auto" w:sz="4" w:space="0"/>
              <w:right w:val="single" w:color="000000" w:sz="4" w:space="0"/>
            </w:tcBorders>
            <w:vAlign w:val="center"/>
          </w:tcPr>
          <w:p>
            <w:pPr>
              <w:autoSpaceDN w:val="0"/>
              <w:snapToGrid w:val="0"/>
              <w:jc w:val="left"/>
              <w:textAlignment w:val="center"/>
              <w:rPr>
                <w:color w:val="auto"/>
              </w:rPr>
            </w:pPr>
          </w:p>
        </w:tc>
        <w:tc>
          <w:tcPr>
            <w:tcW w:w="996" w:type="dxa"/>
            <w:vMerge w:val="continue"/>
            <w:tcBorders>
              <w:left w:val="single" w:color="000000" w:sz="4" w:space="0"/>
              <w:bottom w:val="single" w:color="auto" w:sz="4" w:space="0"/>
              <w:right w:val="single" w:color="000000" w:sz="4" w:space="0"/>
            </w:tcBorders>
            <w:vAlign w:val="center"/>
          </w:tcPr>
          <w:p>
            <w:pPr>
              <w:autoSpaceDN w:val="0"/>
              <w:snapToGrid w:val="0"/>
              <w:jc w:val="left"/>
              <w:textAlignment w:val="center"/>
              <w:rPr>
                <w:color w:val="auto"/>
              </w:rPr>
            </w:pPr>
          </w:p>
        </w:tc>
        <w:tc>
          <w:tcPr>
            <w:tcW w:w="906" w:type="dxa"/>
            <w:vMerge w:val="continue"/>
            <w:tcBorders>
              <w:left w:val="single" w:color="000000" w:sz="4" w:space="0"/>
              <w:bottom w:val="single" w:color="auto" w:sz="4" w:space="0"/>
              <w:right w:val="single" w:color="000000" w:sz="4" w:space="0"/>
            </w:tcBorders>
            <w:vAlign w:val="center"/>
          </w:tcPr>
          <w:p>
            <w:pPr>
              <w:autoSpaceDN w:val="0"/>
              <w:snapToGrid w:val="0"/>
              <w:jc w:val="left"/>
              <w:textAlignment w:val="center"/>
              <w:rPr>
                <w:color w:val="auto"/>
              </w:rPr>
            </w:pPr>
          </w:p>
        </w:tc>
        <w:tc>
          <w:tcPr>
            <w:tcW w:w="3855" w:type="dxa"/>
            <w:tcBorders>
              <w:top w:val="single" w:color="000000" w:sz="4" w:space="0"/>
              <w:left w:val="single" w:color="000000" w:sz="4" w:space="0"/>
              <w:bottom w:val="single" w:color="auto" w:sz="4" w:space="0"/>
              <w:right w:val="single" w:color="000000" w:sz="4" w:space="0"/>
            </w:tcBorders>
            <w:vAlign w:val="center"/>
          </w:tcPr>
          <w:p>
            <w:pPr>
              <w:autoSpaceDN w:val="0"/>
              <w:snapToGrid w:val="0"/>
              <w:jc w:val="left"/>
              <w:textAlignment w:val="center"/>
              <w:rPr>
                <w:rFonts w:hint="default" w:ascii="仿宋" w:hAnsi="仿宋" w:eastAsia="仿宋" w:cs="仿宋"/>
                <w:color w:val="auto"/>
                <w:szCs w:val="21"/>
                <w:lang w:val="en-US"/>
              </w:rPr>
            </w:pPr>
            <w:r>
              <w:rPr>
                <w:rFonts w:hint="default" w:ascii="仿宋" w:hAnsi="仿宋" w:eastAsia="仿宋" w:cs="仿宋"/>
                <w:color w:val="auto"/>
                <w:kern w:val="0"/>
                <w:szCs w:val="21"/>
                <w:lang w:val="en-US" w:bidi="ar"/>
              </w:rPr>
              <w:t>3.</w:t>
            </w:r>
            <w:r>
              <w:rPr>
                <w:rFonts w:hint="eastAsia" w:ascii="仿宋" w:hAnsi="仿宋" w:eastAsia="仿宋" w:cs="仿宋"/>
                <w:color w:val="auto"/>
                <w:kern w:val="0"/>
                <w:szCs w:val="21"/>
                <w:lang w:bidi="ar"/>
              </w:rPr>
              <w:t>其他法律法规规章文件规定应履行的责任。</w:t>
            </w:r>
          </w:p>
        </w:tc>
        <w:tc>
          <w:tcPr>
            <w:tcW w:w="1885" w:type="dxa"/>
            <w:vMerge w:val="continue"/>
            <w:tcBorders>
              <w:left w:val="single" w:color="000000" w:sz="4" w:space="0"/>
              <w:bottom w:val="single" w:color="auto" w:sz="4" w:space="0"/>
              <w:right w:val="single" w:color="000000" w:sz="4" w:space="0"/>
            </w:tcBorders>
            <w:vAlign w:val="center"/>
          </w:tcPr>
          <w:p>
            <w:pPr>
              <w:autoSpaceDN w:val="0"/>
              <w:snapToGrid w:val="0"/>
              <w:jc w:val="left"/>
              <w:textAlignment w:val="center"/>
              <w:rPr>
                <w:rFonts w:hint="default" w:ascii="仿宋" w:hAnsi="仿宋" w:eastAsia="仿宋" w:cs="仿宋"/>
                <w:color w:val="auto"/>
                <w:szCs w:val="21"/>
                <w:lang w:val="en-US"/>
              </w:rPr>
            </w:pPr>
          </w:p>
        </w:tc>
        <w:tc>
          <w:tcPr>
            <w:tcW w:w="1201" w:type="dxa"/>
            <w:vMerge w:val="continue"/>
            <w:tcBorders>
              <w:left w:val="single" w:color="000000" w:sz="4" w:space="0"/>
              <w:bottom w:val="single" w:color="auto" w:sz="4" w:space="0"/>
              <w:right w:val="single" w:color="000000" w:sz="4" w:space="0"/>
            </w:tcBorders>
            <w:vAlign w:val="center"/>
          </w:tcPr>
          <w:p>
            <w:pPr>
              <w:autoSpaceDN w:val="0"/>
              <w:snapToGrid w:val="0"/>
              <w:jc w:val="left"/>
              <w:textAlignment w:val="center"/>
              <w:rPr>
                <w:rFonts w:hint="default" w:ascii="仿宋" w:hAnsi="仿宋" w:eastAsia="仿宋" w:cs="仿宋"/>
                <w:color w:val="auto"/>
                <w:szCs w:val="21"/>
                <w:lang w:val="en-US"/>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4917" w:type="dxa"/>
        <w:tblInd w:w="-578" w:type="dxa"/>
        <w:tblLayout w:type="fixed"/>
        <w:tblCellMar>
          <w:top w:w="0" w:type="dxa"/>
          <w:left w:w="108" w:type="dxa"/>
          <w:bottom w:w="0" w:type="dxa"/>
          <w:right w:w="108" w:type="dxa"/>
        </w:tblCellMar>
      </w:tblPr>
      <w:tblGrid>
        <w:gridCol w:w="963"/>
        <w:gridCol w:w="1075"/>
        <w:gridCol w:w="4036"/>
        <w:gridCol w:w="996"/>
        <w:gridCol w:w="906"/>
        <w:gridCol w:w="3855"/>
        <w:gridCol w:w="1885"/>
        <w:gridCol w:w="1201"/>
      </w:tblGrid>
      <w:tr>
        <w:tblPrEx>
          <w:tblCellMar>
            <w:top w:w="0" w:type="dxa"/>
            <w:left w:w="108" w:type="dxa"/>
            <w:bottom w:w="0" w:type="dxa"/>
            <w:right w:w="108" w:type="dxa"/>
          </w:tblCellMar>
        </w:tblPrEx>
        <w:trPr>
          <w:trHeight w:val="1362" w:hRule="atLeast"/>
        </w:trPr>
        <w:tc>
          <w:tcPr>
            <w:tcW w:w="96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序号</w:t>
            </w:r>
          </w:p>
        </w:tc>
        <w:tc>
          <w:tcPr>
            <w:tcW w:w="107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项目名称</w:t>
            </w:r>
          </w:p>
        </w:tc>
        <w:tc>
          <w:tcPr>
            <w:tcW w:w="403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18"/>
                <w:szCs w:val="18"/>
              </w:rPr>
            </w:pPr>
            <w:r>
              <w:rPr>
                <w:rFonts w:hint="eastAsia" w:ascii="黑体" w:hAnsi="宋体" w:eastAsia="黑体" w:cs="黑体"/>
                <w:color w:val="auto"/>
                <w:kern w:val="0"/>
                <w:sz w:val="24"/>
              </w:rPr>
              <w:t>实施依据</w:t>
            </w:r>
          </w:p>
        </w:tc>
        <w:tc>
          <w:tcPr>
            <w:tcW w:w="996"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职权类别</w:t>
            </w:r>
          </w:p>
        </w:tc>
        <w:tc>
          <w:tcPr>
            <w:tcW w:w="9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办理环节</w:t>
            </w:r>
          </w:p>
        </w:tc>
        <w:tc>
          <w:tcPr>
            <w:tcW w:w="3855"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责任事项</w:t>
            </w:r>
          </w:p>
        </w:tc>
        <w:tc>
          <w:tcPr>
            <w:tcW w:w="188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0"/>
                <w:szCs w:val="20"/>
              </w:rPr>
            </w:pPr>
            <w:r>
              <w:rPr>
                <w:rFonts w:hint="eastAsia" w:ascii="黑体" w:hAnsi="宋体" w:eastAsia="黑体" w:cs="黑体"/>
                <w:color w:val="auto"/>
                <w:kern w:val="0"/>
                <w:sz w:val="24"/>
              </w:rPr>
              <w:t>追责情形</w:t>
            </w:r>
          </w:p>
        </w:tc>
        <w:tc>
          <w:tcPr>
            <w:tcW w:w="1201" w:type="dxa"/>
            <w:tcBorders>
              <w:top w:val="single" w:color="auto" w:sz="4" w:space="0"/>
              <w:left w:val="single" w:color="000000" w:sz="4" w:space="0"/>
              <w:right w:val="single" w:color="auto" w:sz="4" w:space="0"/>
            </w:tcBorders>
            <w:vAlign w:val="center"/>
          </w:tcPr>
          <w:p>
            <w:pPr>
              <w:widowControl/>
              <w:jc w:val="center"/>
              <w:textAlignment w:val="center"/>
              <w:rPr>
                <w:rFonts w:hint="eastAsia" w:ascii="仿宋" w:hAnsi="仿宋" w:eastAsia="仿宋" w:cs="仿宋"/>
                <w:color w:val="auto"/>
                <w:szCs w:val="21"/>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1002" w:hRule="atLeast"/>
        </w:trPr>
        <w:tc>
          <w:tcPr>
            <w:tcW w:w="963" w:type="dxa"/>
            <w:vMerge w:val="restart"/>
            <w:tcBorders>
              <w:top w:val="single" w:color="auto" w:sz="4" w:space="0"/>
              <w:left w:val="single" w:color="auto"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75</w:t>
            </w:r>
          </w:p>
        </w:tc>
        <w:tc>
          <w:tcPr>
            <w:tcW w:w="1075" w:type="dxa"/>
            <w:vMerge w:val="restart"/>
            <w:tcBorders>
              <w:top w:val="single" w:color="auto"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依法对需要出资人决定的重大事项研究提出建议</w:t>
            </w:r>
          </w:p>
        </w:tc>
        <w:tc>
          <w:tcPr>
            <w:tcW w:w="4036" w:type="dxa"/>
            <w:vMerge w:val="restart"/>
            <w:tcBorders>
              <w:top w:val="single" w:color="auto" w:sz="4" w:space="0"/>
              <w:left w:val="single" w:color="000000" w:sz="4" w:space="0"/>
              <w:bottom w:val="single" w:color="000000" w:sz="4" w:space="0"/>
              <w:right w:val="single" w:color="000000" w:sz="4" w:space="0"/>
            </w:tcBorders>
            <w:vAlign w:val="center"/>
          </w:tcPr>
          <w:p>
            <w:pPr>
              <w:numPr>
                <w:ilvl w:val="0"/>
                <w:numId w:val="2"/>
              </w:num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 xml:space="preserve">制定修改或参与制定修改公司章程： 《公司法》第23条：“股东共同制定公司章程……”。第37条：“修改公司章程”。 </w:t>
            </w:r>
            <w:r>
              <w:rPr>
                <w:rFonts w:hint="eastAsia" w:ascii="仿宋" w:hAnsi="仿宋" w:eastAsia="仿宋" w:cs="仿宋"/>
                <w:color w:val="auto"/>
                <w:sz w:val="20"/>
                <w:szCs w:val="20"/>
              </w:rPr>
              <w:br w:type="textWrapping"/>
            </w:r>
            <w:r>
              <w:rPr>
                <w:rFonts w:hint="eastAsia" w:ascii="仿宋" w:hAnsi="仿宋" w:eastAsia="仿宋" w:cs="仿宋"/>
                <w:color w:val="auto"/>
                <w:sz w:val="20"/>
                <w:szCs w:val="20"/>
              </w:rPr>
              <w:t>（二）审核公司重大经济事项：</w:t>
            </w:r>
            <w:r>
              <w:rPr>
                <w:rFonts w:hint="eastAsia" w:ascii="仿宋" w:hAnsi="仿宋" w:eastAsia="仿宋" w:cs="仿宋"/>
                <w:color w:val="auto"/>
                <w:sz w:val="20"/>
                <w:szCs w:val="20"/>
              </w:rPr>
              <w:br w:type="textWrapping"/>
            </w:r>
            <w:r>
              <w:rPr>
                <w:rFonts w:hint="eastAsia" w:ascii="仿宋" w:hAnsi="仿宋" w:eastAsia="仿宋" w:cs="仿宋"/>
                <w:color w:val="auto"/>
                <w:sz w:val="20"/>
                <w:szCs w:val="20"/>
              </w:rPr>
              <w:t xml:space="preserve">1.《公司法》第37条：“（九）对公司合并、分立、解散、清算或者变更公司形式作出决议；” 2.《企业国有资产监督管理暂行条例》（国务院令第378号）第22条：“国有资产监督管理机构依照公司法的规定，派出股东代表、董事，参加国有控股的公司、国有参股的公司的股东会、董事会。 国有控股的公司、国有参股的公司的股东会、董事会决定公司的分立、合并、破产、解散、增减资本、发行公司债券、任免企业负责人等重大事项时，国有资产监督管理机构派出的股东代表、董事，应当按照国有资产监督管理机构的指示发表意见、行使表决权。 </w:t>
            </w:r>
          </w:p>
          <w:p>
            <w:pPr>
              <w:numPr>
                <w:ilvl w:val="0"/>
                <w:numId w:val="2"/>
              </w:num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（三）投资负面清单管理：《国务院关于改革和完善国有资产管理体制的若干意见》（国发〔2015〕63 号）：国有资产监管机构根据政府宏观政策和有关管理要求，建立健全国有资本进退机制，制定国有资本投资负面清单。</w:t>
            </w:r>
          </w:p>
        </w:tc>
        <w:tc>
          <w:tcPr>
            <w:tcW w:w="996" w:type="dxa"/>
            <w:vMerge w:val="restart"/>
            <w:tcBorders>
              <w:top w:val="single" w:color="auto"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906"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855" w:type="dxa"/>
            <w:tcBorders>
              <w:top w:val="single" w:color="auto"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1.受理责任：明确告知申报单位依法应当提交的材料；一次性告知需补齐材料；依法受理或不予受理（不予受理的需明确告知理由）。</w:t>
            </w:r>
          </w:p>
        </w:tc>
        <w:tc>
          <w:tcPr>
            <w:tcW w:w="1885" w:type="dxa"/>
            <w:vMerge w:val="restart"/>
            <w:tcBorders>
              <w:top w:val="single" w:color="auto"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 xml:space="preserve">《中华人民共和国企业国有资产法》第六十八条： 履行出资人职责的机构有下列行为之一的，对其直接负责的主管人员和其他直接责任人员依法给予处分：（1）违反法定的权限、程序，决定国家出资企业重大事项，造成国有资产损失的； （2）有其他不依法履行出资人职责的行为，造成国有资产损失的。 </w:t>
            </w:r>
            <w:r>
              <w:rPr>
                <w:rFonts w:hint="eastAsia" w:ascii="仿宋" w:hAnsi="仿宋" w:eastAsia="仿宋" w:cs="仿宋"/>
                <w:color w:val="auto"/>
                <w:kern w:val="0"/>
                <w:sz w:val="20"/>
                <w:szCs w:val="20"/>
              </w:rPr>
              <w:br w:type="textWrapping"/>
            </w:r>
            <w:r>
              <w:rPr>
                <w:rFonts w:hint="eastAsia" w:ascii="仿宋" w:hAnsi="仿宋" w:eastAsia="仿宋" w:cs="仿宋"/>
                <w:color w:val="auto"/>
                <w:kern w:val="0"/>
                <w:sz w:val="20"/>
                <w:szCs w:val="20"/>
              </w:rPr>
              <w:t xml:space="preserve">  </w:t>
            </w:r>
          </w:p>
        </w:tc>
        <w:tc>
          <w:tcPr>
            <w:tcW w:w="1201" w:type="dxa"/>
            <w:vMerge w:val="restart"/>
            <w:tcBorders>
              <w:top w:val="single" w:color="auto" w:sz="4" w:space="0"/>
              <w:left w:val="single" w:color="000000"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资产管理股、县属功能类公益类企业国有资产监管办公室</w:t>
            </w:r>
          </w:p>
        </w:tc>
      </w:tr>
      <w:tr>
        <w:tblPrEx>
          <w:tblCellMar>
            <w:top w:w="0" w:type="dxa"/>
            <w:left w:w="108" w:type="dxa"/>
            <w:bottom w:w="0" w:type="dxa"/>
            <w:right w:w="108" w:type="dxa"/>
          </w:tblCellMar>
        </w:tblPrEx>
        <w:trPr>
          <w:trHeight w:val="330" w:hRule="atLeast"/>
        </w:trPr>
        <w:tc>
          <w:tcPr>
            <w:tcW w:w="963" w:type="dxa"/>
            <w:vMerge w:val="continue"/>
            <w:tcBorders>
              <w:top w:val="single" w:color="000000" w:sz="4" w:space="0"/>
              <w:left w:val="single" w:color="auto"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75"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4036"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top w:val="single" w:color="000000" w:sz="4" w:space="0"/>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855" w:type="dxa"/>
            <w:tcBorders>
              <w:top w:val="single" w:color="000000" w:sz="4" w:space="0"/>
              <w:left w:val="single" w:color="auto"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2.审查责任：按照国家和我省关于企业重大事项的相关规定对申报材料进行审查；组织相关人员对材料进行评审论证；提出审核意见。需要报上级有关部门的按程序规定上报。</w:t>
            </w:r>
          </w:p>
        </w:tc>
        <w:tc>
          <w:tcPr>
            <w:tcW w:w="1885"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01" w:type="dxa"/>
            <w:vMerge w:val="continue"/>
            <w:tcBorders>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330" w:hRule="atLeast"/>
        </w:trPr>
        <w:tc>
          <w:tcPr>
            <w:tcW w:w="963" w:type="dxa"/>
            <w:vMerge w:val="continue"/>
            <w:tcBorders>
              <w:top w:val="single" w:color="000000" w:sz="4" w:space="0"/>
              <w:left w:val="single" w:color="auto"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75"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4036"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06"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855" w:type="dxa"/>
            <w:tcBorders>
              <w:top w:val="single" w:color="000000"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3.决定责任：做出决定。审核同意的，制作结果认定文件；审核不同意的，以便函形式告知申请单位。</w:t>
            </w:r>
          </w:p>
        </w:tc>
        <w:tc>
          <w:tcPr>
            <w:tcW w:w="1885" w:type="dxa"/>
            <w:vMerge w:val="continue"/>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01" w:type="dxa"/>
            <w:vMerge w:val="continue"/>
            <w:tcBorders>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90" w:hRule="atLeast"/>
        </w:trPr>
        <w:tc>
          <w:tcPr>
            <w:tcW w:w="963" w:type="dxa"/>
            <w:vMerge w:val="continue"/>
            <w:tcBorders>
              <w:left w:val="single" w:color="auto"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75"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4036"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96"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06" w:type="dxa"/>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3855" w:type="dxa"/>
            <w:tcBorders>
              <w:top w:val="single" w:color="000000"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4.对所监管企业方案落实情况进行检查。</w:t>
            </w:r>
          </w:p>
        </w:tc>
        <w:tc>
          <w:tcPr>
            <w:tcW w:w="1885"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01" w:type="dxa"/>
            <w:vMerge w:val="continue"/>
            <w:tcBorders>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5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4"/>
        <w:gridCol w:w="1376"/>
        <w:gridCol w:w="3865"/>
        <w:gridCol w:w="657"/>
        <w:gridCol w:w="788"/>
        <w:gridCol w:w="3722"/>
        <w:gridCol w:w="284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144" w:type="dxa"/>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376" w:type="dxa"/>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865" w:type="dxa"/>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657" w:type="dxa"/>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788" w:type="dxa"/>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722" w:type="dxa"/>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847" w:type="dxa"/>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051" w:type="dxa"/>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144" w:type="dxa"/>
            <w:vMerge w:val="restart"/>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76</w:t>
            </w:r>
          </w:p>
        </w:tc>
        <w:tc>
          <w:tcPr>
            <w:tcW w:w="1376" w:type="dxa"/>
            <w:vMerge w:val="restart"/>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农村综合改革和基层财政管理财政专项资金拨付和绩效评价</w:t>
            </w:r>
          </w:p>
        </w:tc>
        <w:tc>
          <w:tcPr>
            <w:tcW w:w="3865" w:type="dxa"/>
            <w:vMerge w:val="restart"/>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预算法》第五十二条：“……县级以上地方各级预算安排对下级政府的一般性转移支付和专项转移支付，应当分别在本级人民代表大会批准预算后的三十日和六十日内正式下达。……”第五十三条：“各级预算由本级政府组织执行，具体工作由本级政府财政部门负责。”第五十七条：“各级政府财政部门必须依照法律、行政法规和国务院财政部门的规定，及时、足额地拨付预算支出资金，加强对预算支出的管理和监督。”</w:t>
            </w:r>
          </w:p>
        </w:tc>
        <w:tc>
          <w:tcPr>
            <w:tcW w:w="657" w:type="dxa"/>
            <w:vMerge w:val="restart"/>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788" w:type="dxa"/>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资金安排</w:t>
            </w:r>
          </w:p>
        </w:tc>
        <w:tc>
          <w:tcPr>
            <w:tcW w:w="3722" w:type="dxa"/>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1.资金安排责任：编制年度预算时，由农业农村股提出专项资金安排建议，并报预算股，预算股根据项目轻重缓急情况和县级财力状况提出安排意见按程序报批。                       </w:t>
            </w:r>
          </w:p>
        </w:tc>
        <w:tc>
          <w:tcPr>
            <w:tcW w:w="2847" w:type="dxa"/>
            <w:vMerge w:val="restart"/>
            <w:tcMar>
              <w:top w:w="15" w:type="dxa"/>
              <w:left w:w="15" w:type="dxa"/>
              <w:right w:w="15" w:type="dxa"/>
            </w:tcMar>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 w:val="20"/>
                <w:szCs w:val="20"/>
              </w:rPr>
              <w:t>《中华人民共和国公务员法》第五十九条：公务员应当遵纪守法，不得有下列行为：1.不担当，不作为，玩忽职守，贻误工作；2.拒绝执行上级依法作出的决定和命令；3.对批评、申诉、控告、检举进行压制或者打击报复；4.弄虚作假，误导、欺骗领导和公众；5.贪污贿赂，利用职务之便为自己或者他人谋取私利；6.违反财经纪律，浪费国家资财；7.滥用职权，侵害公民、法人或者其他组织的合法权益；8.泄露国家秘密或者工作秘密；9.违纪违法的其他行为。</w:t>
            </w:r>
          </w:p>
        </w:tc>
        <w:tc>
          <w:tcPr>
            <w:tcW w:w="1051" w:type="dxa"/>
            <w:vMerge w:val="restart"/>
            <w:tcMar>
              <w:top w:w="15" w:type="dxa"/>
              <w:left w:w="15" w:type="dxa"/>
              <w:right w:w="15" w:type="dxa"/>
            </w:tcMar>
            <w:vAlign w:val="center"/>
          </w:tcPr>
          <w:p>
            <w:pPr>
              <w:autoSpaceDN w:val="0"/>
              <w:snapToGrid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rPr>
              <w:t>农村农业股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144"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65"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5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分配下达</w:t>
            </w:r>
          </w:p>
        </w:tc>
        <w:tc>
          <w:tcPr>
            <w:tcW w:w="3722" w:type="dxa"/>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2.分配下达责任：农业农村股提出专项资金初步分配意见，报预算科审核后按程序下达。</w:t>
            </w:r>
          </w:p>
        </w:tc>
        <w:tc>
          <w:tcPr>
            <w:tcW w:w="284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144"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65"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5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组织评价</w:t>
            </w:r>
          </w:p>
        </w:tc>
        <w:tc>
          <w:tcPr>
            <w:tcW w:w="3722" w:type="dxa"/>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3.组织评价责任：直接组织对专项资金的绩效评价。</w:t>
            </w:r>
          </w:p>
        </w:tc>
        <w:tc>
          <w:tcPr>
            <w:tcW w:w="284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144"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65"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5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结果运用</w:t>
            </w:r>
          </w:p>
        </w:tc>
        <w:tc>
          <w:tcPr>
            <w:tcW w:w="3722" w:type="dxa"/>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4.结果运用责任将绩效评价结果作为以后年度预算安排的重要参考。</w:t>
            </w:r>
          </w:p>
        </w:tc>
        <w:tc>
          <w:tcPr>
            <w:tcW w:w="284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144"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37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865"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5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788" w:type="dxa"/>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722" w:type="dxa"/>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284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1"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tbl>
      <w:tblPr>
        <w:tblStyle w:val="7"/>
        <w:tblW w:w="15449"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358"/>
        <w:gridCol w:w="3854"/>
        <w:gridCol w:w="700"/>
        <w:gridCol w:w="767"/>
        <w:gridCol w:w="3744"/>
        <w:gridCol w:w="284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snapToGrid w:val="0"/>
              <w:jc w:val="center"/>
              <w:textAlignment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0"/>
                <w:sz w:val="24"/>
              </w:rPr>
              <w:t>序号</w:t>
            </w:r>
          </w:p>
        </w:tc>
        <w:tc>
          <w:tcPr>
            <w:tcW w:w="1358" w:type="dxa"/>
            <w:vAlign w:val="center"/>
          </w:tcPr>
          <w:p>
            <w:pPr>
              <w:widowControl/>
              <w:snapToGrid w:val="0"/>
              <w:jc w:val="center"/>
              <w:textAlignment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0"/>
                <w:sz w:val="24"/>
              </w:rPr>
              <w:t>项目名称</w:t>
            </w:r>
          </w:p>
        </w:tc>
        <w:tc>
          <w:tcPr>
            <w:tcW w:w="3854" w:type="dxa"/>
            <w:vAlign w:val="center"/>
          </w:tcPr>
          <w:p>
            <w:pPr>
              <w:widowControl/>
              <w:snapToGrid w:val="0"/>
              <w:jc w:val="center"/>
              <w:textAlignment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0"/>
                <w:sz w:val="24"/>
              </w:rPr>
              <w:t>实施依据</w:t>
            </w:r>
          </w:p>
        </w:tc>
        <w:tc>
          <w:tcPr>
            <w:tcW w:w="700"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0"/>
                <w:sz w:val="24"/>
              </w:rPr>
              <w:t>类别</w:t>
            </w:r>
          </w:p>
        </w:tc>
        <w:tc>
          <w:tcPr>
            <w:tcW w:w="767" w:type="dxa"/>
            <w:vAlign w:val="center"/>
          </w:tcPr>
          <w:p>
            <w:pPr>
              <w:widowControl/>
              <w:snapToGrid w:val="0"/>
              <w:jc w:val="center"/>
              <w:textAlignment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0"/>
                <w:sz w:val="24"/>
              </w:rPr>
              <w:t>办理环节</w:t>
            </w:r>
          </w:p>
        </w:tc>
        <w:tc>
          <w:tcPr>
            <w:tcW w:w="3744" w:type="dxa"/>
            <w:vAlign w:val="center"/>
          </w:tcPr>
          <w:p>
            <w:pPr>
              <w:widowControl/>
              <w:snapToGrid w:val="0"/>
              <w:jc w:val="center"/>
              <w:textAlignment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0"/>
                <w:sz w:val="24"/>
              </w:rPr>
              <w:t>责任事项</w:t>
            </w:r>
          </w:p>
        </w:tc>
        <w:tc>
          <w:tcPr>
            <w:tcW w:w="2847" w:type="dxa"/>
            <w:vAlign w:val="center"/>
          </w:tcPr>
          <w:p>
            <w:pPr>
              <w:widowControl/>
              <w:snapToGrid w:val="0"/>
              <w:jc w:val="center"/>
              <w:textAlignment w:val="center"/>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kern w:val="0"/>
                <w:sz w:val="24"/>
              </w:rPr>
              <w:t>追责情形</w:t>
            </w:r>
          </w:p>
        </w:tc>
        <w:tc>
          <w:tcPr>
            <w:tcW w:w="1018" w:type="dxa"/>
            <w:vAlign w:val="center"/>
          </w:tcPr>
          <w:p>
            <w:pPr>
              <w:widowControl/>
              <w:snapToGrid w:val="0"/>
              <w:jc w:val="center"/>
              <w:textAlignment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kern w:val="0"/>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vAlign w:val="center"/>
          </w:tcPr>
          <w:p>
            <w:pPr>
              <w:autoSpaceDN w:val="0"/>
              <w:snapToGrid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77</w:t>
            </w:r>
          </w:p>
        </w:tc>
        <w:tc>
          <w:tcPr>
            <w:tcW w:w="1358" w:type="dxa"/>
            <w:vMerge w:val="restart"/>
          </w:tcPr>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承担所出资的国有独资公司章程的审核工作</w:t>
            </w:r>
          </w:p>
        </w:tc>
        <w:tc>
          <w:tcPr>
            <w:tcW w:w="3854" w:type="dxa"/>
            <w:vMerge w:val="restart"/>
          </w:tcPr>
          <w:p>
            <w:pPr>
              <w:autoSpaceDN w:val="0"/>
              <w:snapToGrid w:val="0"/>
              <w:jc w:val="left"/>
              <w:textAlignment w:val="center"/>
              <w:rPr>
                <w:rFonts w:ascii="仿宋" w:hAnsi="仿宋" w:eastAsia="仿宋" w:cs="仿宋"/>
                <w:color w:val="auto"/>
                <w:sz w:val="16"/>
                <w:szCs w:val="16"/>
              </w:rPr>
            </w:pPr>
            <w:r>
              <w:rPr>
                <w:rFonts w:hint="eastAsia" w:ascii="仿宋" w:hAnsi="仿宋" w:eastAsia="仿宋" w:cs="仿宋"/>
                <w:color w:val="auto"/>
                <w:sz w:val="20"/>
                <w:szCs w:val="20"/>
              </w:rPr>
              <w:t>《企业国有资产法》第十二条“ 履行出资人职责的机构依照法律、行政法规的规定，制定或者参与制定国家出资企业的章程”。《公司法》第二十三条“设立有限责任公司，应当具备下列条件：（三）股东共同制定公司章程”；第三十七条“ 股东会行使下列职权；（十）修改公司章程”；第六十五条“ 国有独资公司章程由国有资产监督管理机构制定，或者由董事会制订报国有资产监督管理机构批准。”《企业国有资产监督管理暂行条例》（国务院令第378号）第二十条“ 国有资产监督管理机构负责指导国有及国有控股企业建立现代企业制度，审核批准其所出资企业中的国有独资企业、国有独资公司的重组、股份制改造方案和所出资企业中的国有独资公司的章程”。</w:t>
            </w:r>
          </w:p>
        </w:tc>
        <w:tc>
          <w:tcPr>
            <w:tcW w:w="700" w:type="dxa"/>
            <w:vMerge w:val="restart"/>
          </w:tcPr>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767"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国家出资企业单程制定修改或参与制定修改</w:t>
            </w:r>
          </w:p>
        </w:tc>
        <w:tc>
          <w:tcPr>
            <w:tcW w:w="374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负责审核批准其所出资企业中的国有独资企业，国有独资公司的重组、股份制改造方案和所出资企业中的国有独资公司的章程。国有独资五年成功章程由国有资产监管管理机构制定，或者由董事会制订报国有资产监督管理机构批准。</w:t>
            </w:r>
          </w:p>
        </w:tc>
        <w:tc>
          <w:tcPr>
            <w:tcW w:w="2847"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六十九条：履行出资人职责的机构的工作人员玩忽职守、滥用职权、徇私舞弊，尚不构成犯罪的，依法给予处分；第七十五条：违反本法规定，构成犯罪的，依法追究刑事责任。</w:t>
            </w:r>
          </w:p>
        </w:tc>
        <w:tc>
          <w:tcPr>
            <w:tcW w:w="1018"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资产管理股、县属功能类公益类国有资产监管办公室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61" w:type="dxa"/>
            <w:vMerge w:val="continue"/>
          </w:tcPr>
          <w:p>
            <w:pPr>
              <w:autoSpaceDN w:val="0"/>
              <w:snapToGrid w:val="0"/>
              <w:jc w:val="center"/>
              <w:textAlignment w:val="center"/>
              <w:rPr>
                <w:rFonts w:ascii="仿宋" w:hAnsi="仿宋" w:eastAsia="仿宋" w:cs="仿宋"/>
                <w:color w:val="auto"/>
                <w:szCs w:val="21"/>
              </w:rPr>
            </w:pPr>
          </w:p>
        </w:tc>
        <w:tc>
          <w:tcPr>
            <w:tcW w:w="1358" w:type="dxa"/>
            <w:vMerge w:val="continue"/>
          </w:tcPr>
          <w:p>
            <w:pPr>
              <w:autoSpaceDN w:val="0"/>
              <w:snapToGrid w:val="0"/>
              <w:jc w:val="center"/>
              <w:textAlignment w:val="center"/>
              <w:rPr>
                <w:rFonts w:ascii="仿宋" w:hAnsi="仿宋" w:eastAsia="仿宋" w:cs="仿宋"/>
                <w:color w:val="auto"/>
                <w:szCs w:val="21"/>
              </w:rPr>
            </w:pPr>
          </w:p>
        </w:tc>
        <w:tc>
          <w:tcPr>
            <w:tcW w:w="3854" w:type="dxa"/>
            <w:vMerge w:val="continue"/>
          </w:tcPr>
          <w:p>
            <w:pPr>
              <w:autoSpaceDN w:val="0"/>
              <w:snapToGrid w:val="0"/>
              <w:jc w:val="center"/>
              <w:textAlignment w:val="center"/>
              <w:rPr>
                <w:rFonts w:ascii="仿宋" w:hAnsi="仿宋" w:eastAsia="仿宋" w:cs="仿宋"/>
                <w:color w:val="auto"/>
                <w:szCs w:val="21"/>
              </w:rPr>
            </w:pPr>
          </w:p>
        </w:tc>
        <w:tc>
          <w:tcPr>
            <w:tcW w:w="700" w:type="dxa"/>
            <w:vMerge w:val="continue"/>
          </w:tcPr>
          <w:p>
            <w:pPr>
              <w:autoSpaceDN w:val="0"/>
              <w:snapToGrid w:val="0"/>
              <w:jc w:val="center"/>
              <w:textAlignment w:val="center"/>
              <w:rPr>
                <w:rFonts w:ascii="仿宋" w:hAnsi="仿宋" w:eastAsia="仿宋" w:cs="仿宋"/>
                <w:color w:val="auto"/>
                <w:szCs w:val="21"/>
              </w:rPr>
            </w:pPr>
          </w:p>
        </w:tc>
        <w:tc>
          <w:tcPr>
            <w:tcW w:w="767" w:type="dxa"/>
            <w:vMerge w:val="continue"/>
            <w:vAlign w:val="center"/>
          </w:tcPr>
          <w:p>
            <w:pPr>
              <w:autoSpaceDN w:val="0"/>
              <w:snapToGrid w:val="0"/>
              <w:jc w:val="center"/>
              <w:textAlignment w:val="center"/>
              <w:rPr>
                <w:rFonts w:ascii="仿宋" w:hAnsi="仿宋" w:eastAsia="仿宋" w:cs="仿宋"/>
                <w:color w:val="auto"/>
                <w:szCs w:val="21"/>
              </w:rPr>
            </w:pPr>
          </w:p>
        </w:tc>
        <w:tc>
          <w:tcPr>
            <w:tcW w:w="374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对所监管企业章程的落实情况进行检查</w:t>
            </w:r>
          </w:p>
        </w:tc>
        <w:tc>
          <w:tcPr>
            <w:tcW w:w="2847" w:type="dxa"/>
            <w:vMerge w:val="continue"/>
            <w:vAlign w:val="center"/>
          </w:tcPr>
          <w:p>
            <w:pPr>
              <w:autoSpaceDN w:val="0"/>
              <w:snapToGrid w:val="0"/>
              <w:jc w:val="center"/>
              <w:textAlignment w:val="center"/>
              <w:rPr>
                <w:rFonts w:ascii="仿宋" w:hAnsi="仿宋" w:eastAsia="仿宋" w:cs="仿宋"/>
                <w:color w:val="auto"/>
                <w:szCs w:val="21"/>
              </w:rPr>
            </w:pPr>
          </w:p>
        </w:tc>
        <w:tc>
          <w:tcPr>
            <w:tcW w:w="1018"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61" w:type="dxa"/>
            <w:vMerge w:val="continue"/>
          </w:tcPr>
          <w:p>
            <w:pPr>
              <w:autoSpaceDN w:val="0"/>
              <w:snapToGrid w:val="0"/>
              <w:jc w:val="center"/>
              <w:textAlignment w:val="center"/>
              <w:rPr>
                <w:rFonts w:ascii="仿宋" w:hAnsi="仿宋" w:eastAsia="仿宋" w:cs="仿宋"/>
                <w:color w:val="auto"/>
                <w:szCs w:val="21"/>
              </w:rPr>
            </w:pPr>
          </w:p>
        </w:tc>
        <w:tc>
          <w:tcPr>
            <w:tcW w:w="1358" w:type="dxa"/>
            <w:vMerge w:val="continue"/>
          </w:tcPr>
          <w:p>
            <w:pPr>
              <w:autoSpaceDN w:val="0"/>
              <w:snapToGrid w:val="0"/>
              <w:jc w:val="center"/>
              <w:textAlignment w:val="center"/>
              <w:rPr>
                <w:rFonts w:ascii="仿宋" w:hAnsi="仿宋" w:eastAsia="仿宋" w:cs="仿宋"/>
                <w:color w:val="auto"/>
                <w:szCs w:val="21"/>
              </w:rPr>
            </w:pPr>
          </w:p>
        </w:tc>
        <w:tc>
          <w:tcPr>
            <w:tcW w:w="3854" w:type="dxa"/>
            <w:vMerge w:val="continue"/>
          </w:tcPr>
          <w:p>
            <w:pPr>
              <w:autoSpaceDN w:val="0"/>
              <w:snapToGrid w:val="0"/>
              <w:jc w:val="center"/>
              <w:textAlignment w:val="center"/>
              <w:rPr>
                <w:rFonts w:ascii="仿宋" w:hAnsi="仿宋" w:eastAsia="仿宋" w:cs="仿宋"/>
                <w:color w:val="auto"/>
                <w:szCs w:val="21"/>
              </w:rPr>
            </w:pPr>
          </w:p>
        </w:tc>
        <w:tc>
          <w:tcPr>
            <w:tcW w:w="700" w:type="dxa"/>
            <w:vMerge w:val="continue"/>
          </w:tcPr>
          <w:p>
            <w:pPr>
              <w:autoSpaceDN w:val="0"/>
              <w:snapToGrid w:val="0"/>
              <w:jc w:val="center"/>
              <w:textAlignment w:val="center"/>
              <w:rPr>
                <w:rFonts w:ascii="仿宋" w:hAnsi="仿宋" w:eastAsia="仿宋" w:cs="仿宋"/>
                <w:color w:val="auto"/>
                <w:szCs w:val="21"/>
              </w:rPr>
            </w:pPr>
          </w:p>
        </w:tc>
        <w:tc>
          <w:tcPr>
            <w:tcW w:w="767" w:type="dxa"/>
            <w:vMerge w:val="continue"/>
            <w:vAlign w:val="center"/>
          </w:tcPr>
          <w:p>
            <w:pPr>
              <w:autoSpaceDN w:val="0"/>
              <w:snapToGrid w:val="0"/>
              <w:jc w:val="center"/>
              <w:textAlignment w:val="center"/>
              <w:rPr>
                <w:rFonts w:ascii="仿宋" w:hAnsi="仿宋" w:eastAsia="仿宋" w:cs="仿宋"/>
                <w:color w:val="auto"/>
                <w:szCs w:val="21"/>
              </w:rPr>
            </w:pPr>
          </w:p>
        </w:tc>
        <w:tc>
          <w:tcPr>
            <w:tcW w:w="374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其他法律法规规定文件规定应履行的责任</w:t>
            </w:r>
          </w:p>
        </w:tc>
        <w:tc>
          <w:tcPr>
            <w:tcW w:w="2847" w:type="dxa"/>
            <w:vMerge w:val="continue"/>
            <w:vAlign w:val="center"/>
          </w:tcPr>
          <w:p>
            <w:pPr>
              <w:autoSpaceDN w:val="0"/>
              <w:snapToGrid w:val="0"/>
              <w:jc w:val="center"/>
              <w:textAlignment w:val="center"/>
              <w:rPr>
                <w:rFonts w:ascii="仿宋" w:hAnsi="仿宋" w:eastAsia="仿宋" w:cs="仿宋"/>
                <w:color w:val="auto"/>
                <w:szCs w:val="21"/>
              </w:rPr>
            </w:pPr>
          </w:p>
        </w:tc>
        <w:tc>
          <w:tcPr>
            <w:tcW w:w="1018" w:type="dxa"/>
            <w:vMerge w:val="continue"/>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tbl>
      <w:tblPr>
        <w:tblStyle w:val="6"/>
        <w:tblW w:w="15198" w:type="dxa"/>
        <w:tblInd w:w="-690" w:type="dxa"/>
        <w:tblLayout w:type="fixed"/>
        <w:tblCellMar>
          <w:top w:w="0" w:type="dxa"/>
          <w:left w:w="108" w:type="dxa"/>
          <w:bottom w:w="0" w:type="dxa"/>
          <w:right w:w="108" w:type="dxa"/>
        </w:tblCellMar>
      </w:tblPr>
      <w:tblGrid>
        <w:gridCol w:w="898"/>
        <w:gridCol w:w="1406"/>
        <w:gridCol w:w="4139"/>
        <w:gridCol w:w="1268"/>
        <w:gridCol w:w="815"/>
        <w:gridCol w:w="2963"/>
        <w:gridCol w:w="2591"/>
        <w:gridCol w:w="1118"/>
      </w:tblGrid>
      <w:tr>
        <w:tblPrEx>
          <w:tblCellMar>
            <w:top w:w="0" w:type="dxa"/>
            <w:left w:w="108" w:type="dxa"/>
            <w:bottom w:w="0" w:type="dxa"/>
            <w:right w:w="108" w:type="dxa"/>
          </w:tblCellMar>
        </w:tblPrEx>
        <w:trPr>
          <w:trHeight w:val="1260" w:hRule="atLeast"/>
        </w:trPr>
        <w:tc>
          <w:tcPr>
            <w:tcW w:w="89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40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413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126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81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2963"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259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111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2282" w:hRule="atLeast"/>
        </w:trPr>
        <w:tc>
          <w:tcPr>
            <w:tcW w:w="898" w:type="dxa"/>
            <w:vMerge w:val="restart"/>
            <w:tcBorders>
              <w:top w:val="single" w:color="auto" w:sz="4" w:space="0"/>
              <w:left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78</w:t>
            </w:r>
          </w:p>
        </w:tc>
        <w:tc>
          <w:tcPr>
            <w:tcW w:w="1406" w:type="dxa"/>
            <w:vMerge w:val="restart"/>
            <w:tcBorders>
              <w:top w:val="single" w:color="auto"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预算绩效管理</w:t>
            </w:r>
          </w:p>
        </w:tc>
        <w:tc>
          <w:tcPr>
            <w:tcW w:w="4139" w:type="dxa"/>
            <w:vMerge w:val="restart"/>
            <w:tcBorders>
              <w:top w:val="single" w:color="auto"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预算法》第十二条：“各级预算应当遵循统筹兼顾、勤俭节约、量力而行、讲求绩效和收支平衡的原则。”第三十二条：“各部门、各单位应当按照国务院财政部门制定的政府收支分类科目、预算支出标准和要求，以及绩效目标管理等预算编制规定，根据其依法履行职能和事业发展的需要以及存量资产情况，编制本部门、本单位预算草案。”第四十九条：“对执行年度预算、改进预算管理、提高预算绩效、加强预算监督等提出意见和建议。”《中共中央 国务院关于全面实施预算绩效管理的意见》、《中共河南省委、省政府关于全面实施预算绩效管理的实施意见》，构建全方位、全过程、全覆盖的预算绩效管理体系。</w:t>
            </w:r>
          </w:p>
        </w:tc>
        <w:tc>
          <w:tcPr>
            <w:tcW w:w="1268" w:type="dxa"/>
            <w:vMerge w:val="restart"/>
            <w:tcBorders>
              <w:top w:val="single" w:color="auto"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815" w:type="dxa"/>
            <w:tcBorders>
              <w:top w:val="single" w:color="auto"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申报</w:t>
            </w:r>
          </w:p>
        </w:tc>
        <w:tc>
          <w:tcPr>
            <w:tcW w:w="2963" w:type="dxa"/>
            <w:tcBorders>
              <w:top w:val="single" w:color="auto"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1.各单位在编制下年预算时，申报绩效目标上报各业务科室和预算股、</w:t>
            </w:r>
            <w:r>
              <w:rPr>
                <w:rFonts w:hint="eastAsia" w:ascii="仿宋" w:hAnsi="仿宋" w:eastAsia="仿宋" w:cs="仿宋"/>
                <w:color w:val="auto"/>
                <w:szCs w:val="21"/>
                <w:lang w:eastAsia="zh-CN"/>
              </w:rPr>
              <w:t>预算</w:t>
            </w:r>
            <w:r>
              <w:rPr>
                <w:rFonts w:hint="eastAsia" w:ascii="仿宋" w:hAnsi="仿宋" w:eastAsia="仿宋" w:cs="仿宋"/>
                <w:color w:val="auto"/>
                <w:szCs w:val="21"/>
              </w:rPr>
              <w:t>绩效管理股</w:t>
            </w:r>
          </w:p>
        </w:tc>
        <w:tc>
          <w:tcPr>
            <w:tcW w:w="2591" w:type="dxa"/>
            <w:vMerge w:val="restart"/>
            <w:tcBorders>
              <w:top w:val="single" w:color="auto"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1118" w:type="dxa"/>
            <w:vMerge w:val="restart"/>
            <w:tcBorders>
              <w:top w:val="single" w:color="auto" w:sz="4" w:space="0"/>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预算绩效管理股</w:t>
            </w:r>
          </w:p>
        </w:tc>
      </w:tr>
      <w:tr>
        <w:tblPrEx>
          <w:tblCellMar>
            <w:top w:w="0" w:type="dxa"/>
            <w:left w:w="108" w:type="dxa"/>
            <w:bottom w:w="0" w:type="dxa"/>
            <w:right w:w="108" w:type="dxa"/>
          </w:tblCellMar>
        </w:tblPrEx>
        <w:trPr>
          <w:trHeight w:val="3627" w:hRule="atLeast"/>
        </w:trPr>
        <w:tc>
          <w:tcPr>
            <w:tcW w:w="898" w:type="dxa"/>
            <w:vMerge w:val="continue"/>
            <w:tcBorders>
              <w:left w:val="single" w:color="auto" w:sz="4" w:space="0"/>
              <w:bottom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406"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4139"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68"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815" w:type="dxa"/>
            <w:tcBorders>
              <w:top w:val="single" w:color="000000"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批复</w:t>
            </w:r>
          </w:p>
        </w:tc>
        <w:tc>
          <w:tcPr>
            <w:tcW w:w="2963" w:type="dxa"/>
            <w:tcBorders>
              <w:top w:val="single" w:color="000000"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2.各业务股室和预算股、绩效绩效管理股审批后会同预算批复下达各单位。</w:t>
            </w:r>
          </w:p>
        </w:tc>
        <w:tc>
          <w:tcPr>
            <w:tcW w:w="2591"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118" w:type="dxa"/>
            <w:vMerge w:val="continue"/>
            <w:tcBorders>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926" w:type="dxa"/>
        <w:tblInd w:w="-613" w:type="dxa"/>
        <w:tblLayout w:type="fixed"/>
        <w:tblCellMar>
          <w:top w:w="0" w:type="dxa"/>
          <w:left w:w="108" w:type="dxa"/>
          <w:bottom w:w="0" w:type="dxa"/>
          <w:right w:w="108" w:type="dxa"/>
        </w:tblCellMar>
      </w:tblPr>
      <w:tblGrid>
        <w:gridCol w:w="722"/>
        <w:gridCol w:w="964"/>
        <w:gridCol w:w="5932"/>
        <w:gridCol w:w="810"/>
        <w:gridCol w:w="1140"/>
        <w:gridCol w:w="2595"/>
        <w:gridCol w:w="1620"/>
        <w:gridCol w:w="1143"/>
      </w:tblGrid>
      <w:tr>
        <w:tblPrEx>
          <w:tblCellMar>
            <w:top w:w="0" w:type="dxa"/>
            <w:left w:w="108" w:type="dxa"/>
            <w:bottom w:w="0" w:type="dxa"/>
            <w:right w:w="108" w:type="dxa"/>
          </w:tblCellMar>
        </w:tblPrEx>
        <w:trPr>
          <w:trHeight w:val="1260" w:hRule="atLeast"/>
        </w:trPr>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9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59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25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1476" w:hRule="atLeast"/>
        </w:trPr>
        <w:tc>
          <w:tcPr>
            <w:tcW w:w="722" w:type="dxa"/>
            <w:vMerge w:val="restart"/>
            <w:tcBorders>
              <w:top w:val="single" w:color="000000" w:sz="4" w:space="0"/>
              <w:left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79</w:t>
            </w:r>
          </w:p>
        </w:tc>
        <w:tc>
          <w:tcPr>
            <w:tcW w:w="964"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终止采购活动、撤销采购合同、责成重新开展政府采购活动</w:t>
            </w:r>
          </w:p>
        </w:tc>
        <w:tc>
          <w:tcPr>
            <w:tcW w:w="5932"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 w:val="15"/>
                <w:szCs w:val="15"/>
              </w:rPr>
            </w:pPr>
            <w:r>
              <w:rPr>
                <w:rFonts w:hint="eastAsia" w:ascii="仿宋" w:hAnsi="仿宋" w:eastAsia="仿宋" w:cs="仿宋"/>
                <w:color w:val="auto"/>
                <w:sz w:val="16"/>
                <w:szCs w:val="16"/>
              </w:rPr>
              <w:t>《中华人民共和国政府采购法实施条例》（国务院令第658号）第七十一条：“有政府采购法第七十一条、第七十二条规定的违法行为之一，影响或者可能影响中标、成交结果的，依照下列规定处理：（一）未确定中标或者成交供应商的，终止本次政府采购活动，重新开展政府采购活动。（二）已确定中标或者成交供应商但尚未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政府采购质疑和投诉办法》（财政部令第94号）第三十一条 投诉人对采购文件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责令重新开展采购活动。（三）政府采购合同已经签订但尚未履行的，撤销合同，责令重新开展采购活动。（四）政府采购合同已经履行，给他人造成损失的，相关当事人可依法提起诉讼，由责任人承担赔偿责任。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四）政府采购合同已经履行，给他人造成损失的，相关当事人可依法提起诉讼,由责任人承担赔偿责任。诉人对废标行为提起的投诉事项成立的，财政部门应当认定废标行为无效。 《政府采购非招标方式管理办法》（财政部令第74号）第五十六条：“有本办法第五十一条、第五十二条、第五十五条违法行为之一，并且影响或者可能影响成交结果的，应当按照下列情形分别处理：（一）未确定成交供应商的，终止本次采购活动，依法重新开展采购活动；（二）已确定成交供应商但采购合同尚未履行的，撤销合同，从合格的成交候选人中另行确定成交供应商，没有合格的成交候选人的，重新开展采购活动；（三）采购合同已经履行的，给采购人、供应商造成损失的，由责任人依法承担赔偿责任。”</w:t>
            </w:r>
          </w:p>
        </w:tc>
        <w:tc>
          <w:tcPr>
            <w:tcW w:w="810"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1.审查责任：对处理投诉、监督检查中发现，或者接到举报，或经有关部门移送此类违法案件予以审查。</w:t>
            </w:r>
          </w:p>
        </w:tc>
        <w:tc>
          <w:tcPr>
            <w:tcW w:w="1620"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143"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108" w:type="dxa"/>
            <w:bottom w:w="0" w:type="dxa"/>
            <w:right w:w="108" w:type="dxa"/>
          </w:tblCellMar>
        </w:tblPrEx>
        <w:trPr>
          <w:trHeight w:val="1476" w:hRule="atLeast"/>
        </w:trPr>
        <w:tc>
          <w:tcPr>
            <w:tcW w:w="722" w:type="dxa"/>
            <w:vMerge w:val="continue"/>
            <w:tcBorders>
              <w:left w:val="single" w:color="000000" w:sz="4" w:space="0"/>
              <w:right w:val="single" w:color="000000" w:sz="4" w:space="0"/>
            </w:tcBorders>
            <w:noWrap/>
            <w:vAlign w:val="center"/>
          </w:tcPr>
          <w:p>
            <w:pPr>
              <w:autoSpaceDN w:val="0"/>
              <w:snapToGrid w:val="0"/>
              <w:jc w:val="center"/>
              <w:textAlignment w:val="center"/>
              <w:rPr>
                <w:color w:val="auto"/>
              </w:rPr>
            </w:pPr>
          </w:p>
        </w:tc>
        <w:tc>
          <w:tcPr>
            <w:tcW w:w="964"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5932"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810"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认定</w:t>
            </w: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2.认定责任：依据政府采购法律法规认定是否影响中标成交结果，或者中标成交结果的产生过程是否存在违法行为。</w:t>
            </w:r>
          </w:p>
        </w:tc>
        <w:tc>
          <w:tcPr>
            <w:tcW w:w="1620"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1143"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r>
      <w:tr>
        <w:tblPrEx>
          <w:tblCellMar>
            <w:top w:w="0" w:type="dxa"/>
            <w:left w:w="108" w:type="dxa"/>
            <w:bottom w:w="0" w:type="dxa"/>
            <w:right w:w="108" w:type="dxa"/>
          </w:tblCellMar>
        </w:tblPrEx>
        <w:trPr>
          <w:trHeight w:val="1476" w:hRule="atLeast"/>
        </w:trPr>
        <w:tc>
          <w:tcPr>
            <w:tcW w:w="722" w:type="dxa"/>
            <w:vMerge w:val="continue"/>
            <w:tcBorders>
              <w:left w:val="single" w:color="000000" w:sz="4" w:space="0"/>
              <w:right w:val="single" w:color="000000" w:sz="4" w:space="0"/>
            </w:tcBorders>
            <w:noWrap/>
            <w:vAlign w:val="center"/>
          </w:tcPr>
          <w:p>
            <w:pPr>
              <w:autoSpaceDN w:val="0"/>
              <w:snapToGrid w:val="0"/>
              <w:jc w:val="center"/>
              <w:textAlignment w:val="center"/>
              <w:rPr>
                <w:color w:val="auto"/>
              </w:rPr>
            </w:pPr>
          </w:p>
        </w:tc>
        <w:tc>
          <w:tcPr>
            <w:tcW w:w="964"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5932"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810"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3.决定责任：根据法律法规规定的情形作出终止采购活动、重新开展采购活动、撤销合同等。</w:t>
            </w:r>
          </w:p>
        </w:tc>
        <w:tc>
          <w:tcPr>
            <w:tcW w:w="1620"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1143"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r>
      <w:tr>
        <w:tblPrEx>
          <w:tblCellMar>
            <w:top w:w="0" w:type="dxa"/>
            <w:left w:w="108" w:type="dxa"/>
            <w:bottom w:w="0" w:type="dxa"/>
            <w:right w:w="108" w:type="dxa"/>
          </w:tblCellMar>
        </w:tblPrEx>
        <w:trPr>
          <w:trHeight w:val="1476" w:hRule="atLeast"/>
        </w:trPr>
        <w:tc>
          <w:tcPr>
            <w:tcW w:w="722" w:type="dxa"/>
            <w:vMerge w:val="continue"/>
            <w:tcBorders>
              <w:left w:val="single" w:color="000000" w:sz="4" w:space="0"/>
              <w:right w:val="single" w:color="000000" w:sz="4" w:space="0"/>
            </w:tcBorders>
            <w:noWrap/>
            <w:vAlign w:val="center"/>
          </w:tcPr>
          <w:p>
            <w:pPr>
              <w:autoSpaceDN w:val="0"/>
              <w:snapToGrid w:val="0"/>
              <w:jc w:val="center"/>
              <w:textAlignment w:val="center"/>
              <w:rPr>
                <w:color w:val="auto"/>
              </w:rPr>
            </w:pPr>
          </w:p>
        </w:tc>
        <w:tc>
          <w:tcPr>
            <w:tcW w:w="964"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5932"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810"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监督管理</w:t>
            </w: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4.管理责任：监督采购项目后续采购活动依法进行。</w:t>
            </w:r>
          </w:p>
        </w:tc>
        <w:tc>
          <w:tcPr>
            <w:tcW w:w="1620"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c>
          <w:tcPr>
            <w:tcW w:w="1143" w:type="dxa"/>
            <w:vMerge w:val="continue"/>
            <w:tcBorders>
              <w:left w:val="single" w:color="000000" w:sz="4" w:space="0"/>
              <w:right w:val="single" w:color="000000" w:sz="4" w:space="0"/>
            </w:tcBorders>
            <w:vAlign w:val="center"/>
          </w:tcPr>
          <w:p>
            <w:pPr>
              <w:autoSpaceDN w:val="0"/>
              <w:snapToGrid w:val="0"/>
              <w:jc w:val="center"/>
              <w:textAlignment w:val="center"/>
              <w:rPr>
                <w:color w:val="auto"/>
              </w:rPr>
            </w:pPr>
          </w:p>
        </w:tc>
      </w:tr>
      <w:tr>
        <w:tblPrEx>
          <w:tblCellMar>
            <w:top w:w="0" w:type="dxa"/>
            <w:left w:w="108" w:type="dxa"/>
            <w:bottom w:w="0" w:type="dxa"/>
            <w:right w:w="108" w:type="dxa"/>
          </w:tblCellMar>
        </w:tblPrEx>
        <w:trPr>
          <w:trHeight w:val="391" w:hRule="atLeast"/>
        </w:trPr>
        <w:tc>
          <w:tcPr>
            <w:tcW w:w="722" w:type="dxa"/>
            <w:vMerge w:val="continue"/>
            <w:tcBorders>
              <w:left w:val="single" w:color="000000" w:sz="4" w:space="0"/>
              <w:bottom w:val="single" w:color="000000" w:sz="4" w:space="0"/>
              <w:right w:val="single" w:color="000000" w:sz="4" w:space="0"/>
            </w:tcBorders>
            <w:noWrap/>
            <w:vAlign w:val="center"/>
          </w:tcPr>
          <w:p>
            <w:pPr>
              <w:autoSpaceDN w:val="0"/>
              <w:snapToGrid w:val="0"/>
              <w:jc w:val="center"/>
              <w:textAlignment w:val="center"/>
              <w:rPr>
                <w:color w:val="auto"/>
              </w:rPr>
            </w:pPr>
          </w:p>
        </w:tc>
        <w:tc>
          <w:tcPr>
            <w:tcW w:w="964"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color w:val="auto"/>
              </w:rPr>
            </w:pPr>
          </w:p>
        </w:tc>
        <w:tc>
          <w:tcPr>
            <w:tcW w:w="5932"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color w:val="auto"/>
              </w:rPr>
            </w:pPr>
          </w:p>
        </w:tc>
        <w:tc>
          <w:tcPr>
            <w:tcW w:w="810"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color w:val="auto"/>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Cs w:val="21"/>
              </w:rPr>
            </w:pPr>
          </w:p>
        </w:tc>
        <w:tc>
          <w:tcPr>
            <w:tcW w:w="25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620"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color w:val="auto"/>
              </w:rPr>
            </w:pPr>
          </w:p>
        </w:tc>
        <w:tc>
          <w:tcPr>
            <w:tcW w:w="1143"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color w:val="auto"/>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143" w:type="dxa"/>
        <w:tblInd w:w="-1013" w:type="dxa"/>
        <w:tblLayout w:type="fixed"/>
        <w:tblCellMar>
          <w:top w:w="0" w:type="dxa"/>
          <w:left w:w="108" w:type="dxa"/>
          <w:bottom w:w="0" w:type="dxa"/>
          <w:right w:w="108" w:type="dxa"/>
        </w:tblCellMar>
      </w:tblPr>
      <w:tblGrid>
        <w:gridCol w:w="870"/>
        <w:gridCol w:w="1303"/>
        <w:gridCol w:w="5239"/>
        <w:gridCol w:w="456"/>
        <w:gridCol w:w="699"/>
        <w:gridCol w:w="4008"/>
        <w:gridCol w:w="1278"/>
        <w:gridCol w:w="1290"/>
      </w:tblGrid>
      <w:tr>
        <w:tblPrEx>
          <w:tblCellMar>
            <w:top w:w="0" w:type="dxa"/>
            <w:left w:w="108" w:type="dxa"/>
            <w:bottom w:w="0" w:type="dxa"/>
            <w:right w:w="108" w:type="dxa"/>
          </w:tblCellMar>
        </w:tblPrEx>
        <w:trPr>
          <w:trHeight w:val="1260" w:hRule="atLeast"/>
        </w:trPr>
        <w:tc>
          <w:tcPr>
            <w:tcW w:w="8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303"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523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45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69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400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27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129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1282" w:hRule="atLeast"/>
        </w:trPr>
        <w:tc>
          <w:tcPr>
            <w:tcW w:w="870" w:type="dxa"/>
            <w:vMerge w:val="restart"/>
            <w:tcBorders>
              <w:top w:val="single" w:color="auto" w:sz="4" w:space="0"/>
              <w:left w:val="single" w:color="auto" w:sz="4" w:space="0"/>
              <w:bottom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80</w:t>
            </w:r>
          </w:p>
        </w:tc>
        <w:tc>
          <w:tcPr>
            <w:tcW w:w="1303" w:type="dxa"/>
            <w:vMerge w:val="restart"/>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供应商投诉处理</w:t>
            </w:r>
          </w:p>
        </w:tc>
        <w:tc>
          <w:tcPr>
            <w:tcW w:w="5239" w:type="dxa"/>
            <w:vMerge w:val="restart"/>
            <w:tcBorders>
              <w:top w:val="single" w:color="auto" w:sz="4" w:space="0"/>
              <w:left w:val="single" w:color="000000"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 w:val="16"/>
                <w:szCs w:val="16"/>
              </w:rPr>
            </w:pPr>
            <w:r>
              <w:rPr>
                <w:rFonts w:hint="eastAsia" w:ascii="仿宋" w:hAnsi="仿宋" w:eastAsia="仿宋" w:cs="仿宋"/>
                <w:color w:val="auto"/>
                <w:sz w:val="22"/>
                <w:szCs w:val="22"/>
              </w:rPr>
              <w:t xml:space="preserve"> </w:t>
            </w:r>
            <w:r>
              <w:rPr>
                <w:rFonts w:hint="eastAsia" w:ascii="仿宋" w:hAnsi="仿宋" w:eastAsia="仿宋" w:cs="仿宋"/>
                <w:color w:val="auto"/>
                <w:sz w:val="16"/>
                <w:szCs w:val="16"/>
              </w:rPr>
              <w:t>《中华人民共和国政府采购法》第五十六条：“政府采购监督管理部门应当在收到投诉后三十个工作日内，对投诉事项作出处理决定，并以书面形式通知投诉人和与投诉事项相关的当事人。”</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 w:val="16"/>
                <w:szCs w:val="16"/>
              </w:rPr>
              <w:t xml:space="preserve">    《政府采购质疑和投诉办法》（财政部令第94号）第二十九条：“ 投诉处理过程中，有下列情形之一的，财政部门应当驳回投诉：（一）受理后发现投诉不符合法定受理条件；（二）投诉事项缺乏事实依据，投诉事项不成立；（三）投诉人捏造事实或者提供虚假材料；（四）投诉人以非法手段取得证明材料。证据来源的合法性存在明显疑问，投诉人无法证明其取得方式合法的，视为以非法手段取得证明材料。”第三十条：“ 财政部门受理投诉后,投诉人书面申请撤回投诉的，财政部门应当终止投诉处理程序，并书面告知相关当事人。”第三十一条 ：“投诉人对采购文件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责令重新开展采购活动。（三）政府采购合同已经签订但尚未履行的，撤销合同，责令重新开展采购活动。（四）政府采购合同已经履行，给他人造成损失的，相关当事人可依法提起诉讼，由责任人承担赔偿责任。”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四）政府采购合同已经履行，给他人造成损失的，相关当事人可依法提起诉讼,由责任人承担赔偿责任。投诉人对废标行为提起的投诉事项成立的，财政部门应当认定废标行为无效。”</w:t>
            </w:r>
          </w:p>
        </w:tc>
        <w:tc>
          <w:tcPr>
            <w:tcW w:w="456" w:type="dxa"/>
            <w:vMerge w:val="restart"/>
            <w:tcBorders>
              <w:top w:val="single" w:color="auto" w:sz="4" w:space="0"/>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699" w:type="dxa"/>
            <w:tcBorders>
              <w:top w:val="single" w:color="auto"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4008" w:type="dxa"/>
            <w:tcBorders>
              <w:top w:val="single" w:color="auto"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1.受理责任：收到供应商投诉书后，5个工作日内进行审查。符合条件的自收到投诉书之日起即为受理；不符合条件的书面告知投诉人。</w:t>
            </w:r>
          </w:p>
        </w:tc>
        <w:tc>
          <w:tcPr>
            <w:tcW w:w="1278" w:type="dxa"/>
            <w:vMerge w:val="restart"/>
            <w:tcBorders>
              <w:top w:val="single" w:color="auto"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 xml:space="preserve">《中华人民共和国政府采购法》第八十一条：政府采购监督管理部门对供应商的投诉逾期未作处理的，给予直接负责的主管人员和其他直接责任人员行政处分。 </w:t>
            </w:r>
          </w:p>
        </w:tc>
        <w:tc>
          <w:tcPr>
            <w:tcW w:w="1290" w:type="dxa"/>
            <w:vMerge w:val="restart"/>
            <w:tcBorders>
              <w:top w:val="single" w:color="auto" w:sz="4" w:space="0"/>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108" w:type="dxa"/>
            <w:bottom w:w="0" w:type="dxa"/>
            <w:right w:w="108" w:type="dxa"/>
          </w:tblCellMar>
        </w:tblPrEx>
        <w:trPr>
          <w:trHeight w:val="1282" w:hRule="atLeast"/>
        </w:trPr>
        <w:tc>
          <w:tcPr>
            <w:tcW w:w="870" w:type="dxa"/>
            <w:vMerge w:val="continue"/>
            <w:tcBorders>
              <w:top w:val="single" w:color="auto" w:sz="4" w:space="0"/>
              <w:left w:val="single" w:color="auto" w:sz="4" w:space="0"/>
              <w:bottom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303" w:type="dxa"/>
            <w:vMerge w:val="continue"/>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239" w:type="dxa"/>
            <w:vMerge w:val="continue"/>
            <w:tcBorders>
              <w:top w:val="single" w:color="auto" w:sz="4" w:space="0"/>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456" w:type="dxa"/>
            <w:vMerge w:val="continue"/>
            <w:tcBorders>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699"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调查</w:t>
            </w:r>
          </w:p>
        </w:tc>
        <w:tc>
          <w:tcPr>
            <w:tcW w:w="4008"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2.调查责任：原则上采取书面审查，必要时可以进行调查取证，也可以组织投诉人与被投诉人当面进行质证。</w:t>
            </w:r>
          </w:p>
        </w:tc>
        <w:tc>
          <w:tcPr>
            <w:tcW w:w="1278"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9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1282" w:hRule="atLeast"/>
        </w:trPr>
        <w:tc>
          <w:tcPr>
            <w:tcW w:w="870" w:type="dxa"/>
            <w:vMerge w:val="continue"/>
            <w:tcBorders>
              <w:top w:val="single" w:color="auto" w:sz="4" w:space="0"/>
              <w:left w:val="single" w:color="auto" w:sz="4" w:space="0"/>
              <w:bottom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303" w:type="dxa"/>
            <w:vMerge w:val="continue"/>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239" w:type="dxa"/>
            <w:vMerge w:val="continue"/>
            <w:tcBorders>
              <w:top w:val="single" w:color="auto" w:sz="4" w:space="0"/>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456" w:type="dxa"/>
            <w:vMerge w:val="continue"/>
            <w:tcBorders>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699"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4008"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3.决定责任：自受理投诉30个工作日内对投诉事项作出决定，制作投诉处理决定书，并加盖印章，通知投诉人、被投诉人及其他与投诉处理结果有利害关系的政府采购当事人。</w:t>
            </w:r>
          </w:p>
        </w:tc>
        <w:tc>
          <w:tcPr>
            <w:tcW w:w="1278"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9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1282" w:hRule="atLeast"/>
        </w:trPr>
        <w:tc>
          <w:tcPr>
            <w:tcW w:w="870" w:type="dxa"/>
            <w:vMerge w:val="continue"/>
            <w:tcBorders>
              <w:top w:val="single" w:color="auto" w:sz="4" w:space="0"/>
              <w:left w:val="single" w:color="auto" w:sz="4" w:space="0"/>
              <w:bottom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303" w:type="dxa"/>
            <w:vMerge w:val="continue"/>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239" w:type="dxa"/>
            <w:vMerge w:val="continue"/>
            <w:tcBorders>
              <w:top w:val="single" w:color="auto" w:sz="4" w:space="0"/>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456" w:type="dxa"/>
            <w:vMerge w:val="continue"/>
            <w:tcBorders>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699"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4008"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4.送达责任：依照民事诉讼法关于送达的规定执行。</w:t>
            </w:r>
          </w:p>
        </w:tc>
        <w:tc>
          <w:tcPr>
            <w:tcW w:w="1278"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9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625" w:hRule="atLeast"/>
        </w:trPr>
        <w:tc>
          <w:tcPr>
            <w:tcW w:w="870" w:type="dxa"/>
            <w:vMerge w:val="continue"/>
            <w:tcBorders>
              <w:top w:val="single" w:color="auto" w:sz="4" w:space="0"/>
              <w:left w:val="single" w:color="auto" w:sz="4" w:space="0"/>
              <w:bottom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303" w:type="dxa"/>
            <w:vMerge w:val="continue"/>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239" w:type="dxa"/>
            <w:vMerge w:val="continue"/>
            <w:tcBorders>
              <w:top w:val="single" w:color="auto" w:sz="4" w:space="0"/>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456" w:type="dxa"/>
            <w:vMerge w:val="continue"/>
            <w:tcBorders>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699"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公告</w:t>
            </w:r>
          </w:p>
          <w:p>
            <w:pPr>
              <w:autoSpaceDN w:val="0"/>
              <w:snapToGrid w:val="0"/>
              <w:jc w:val="center"/>
              <w:textAlignment w:val="center"/>
              <w:rPr>
                <w:rFonts w:ascii="仿宋" w:hAnsi="仿宋" w:eastAsia="仿宋" w:cs="仿宋"/>
                <w:color w:val="auto"/>
                <w:szCs w:val="21"/>
              </w:rPr>
            </w:pPr>
          </w:p>
        </w:tc>
        <w:tc>
          <w:tcPr>
            <w:tcW w:w="4008"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5.公告责任：投诉处理结果在省级以上财政部门指定的政府采购信息发布媒体上公告。</w:t>
            </w:r>
          </w:p>
        </w:tc>
        <w:tc>
          <w:tcPr>
            <w:tcW w:w="1278" w:type="dxa"/>
            <w:vMerge w:val="continue"/>
            <w:tcBorders>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9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625" w:hRule="atLeast"/>
        </w:trPr>
        <w:tc>
          <w:tcPr>
            <w:tcW w:w="870" w:type="dxa"/>
            <w:vMerge w:val="continue"/>
            <w:tcBorders>
              <w:left w:val="single" w:color="auto" w:sz="4" w:space="0"/>
              <w:bottom w:val="single" w:color="auto" w:sz="4" w:space="0"/>
              <w:right w:val="single" w:color="000000" w:sz="4" w:space="0"/>
            </w:tcBorders>
            <w:noWrap/>
            <w:vAlign w:val="center"/>
          </w:tcPr>
          <w:p>
            <w:pPr>
              <w:autoSpaceDN w:val="0"/>
              <w:snapToGrid w:val="0"/>
              <w:jc w:val="center"/>
              <w:textAlignment w:val="center"/>
              <w:rPr>
                <w:color w:val="auto"/>
              </w:rPr>
            </w:pPr>
          </w:p>
        </w:tc>
        <w:tc>
          <w:tcPr>
            <w:tcW w:w="1303"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color w:val="auto"/>
              </w:rPr>
            </w:pPr>
          </w:p>
        </w:tc>
        <w:tc>
          <w:tcPr>
            <w:tcW w:w="5239" w:type="dxa"/>
            <w:vMerge w:val="continue"/>
            <w:tcBorders>
              <w:left w:val="single" w:color="000000" w:sz="4" w:space="0"/>
              <w:bottom w:val="single" w:color="auto" w:sz="4" w:space="0"/>
              <w:right w:val="single" w:color="auto" w:sz="4" w:space="0"/>
            </w:tcBorders>
            <w:vAlign w:val="center"/>
          </w:tcPr>
          <w:p>
            <w:pPr>
              <w:autoSpaceDN w:val="0"/>
              <w:snapToGrid w:val="0"/>
              <w:jc w:val="center"/>
              <w:textAlignment w:val="center"/>
              <w:rPr>
                <w:color w:val="auto"/>
              </w:rPr>
            </w:pPr>
          </w:p>
        </w:tc>
        <w:tc>
          <w:tcPr>
            <w:tcW w:w="456" w:type="dxa"/>
            <w:vMerge w:val="continue"/>
            <w:tcBorders>
              <w:left w:val="single" w:color="auto" w:sz="4" w:space="0"/>
              <w:bottom w:val="single" w:color="auto" w:sz="4" w:space="0"/>
              <w:right w:val="single" w:color="000000" w:sz="4" w:space="0"/>
            </w:tcBorders>
            <w:vAlign w:val="center"/>
          </w:tcPr>
          <w:p>
            <w:pPr>
              <w:autoSpaceDN w:val="0"/>
              <w:snapToGrid w:val="0"/>
              <w:jc w:val="center"/>
              <w:textAlignment w:val="center"/>
              <w:rPr>
                <w:color w:val="auto"/>
              </w:rPr>
            </w:pPr>
          </w:p>
        </w:tc>
        <w:tc>
          <w:tcPr>
            <w:tcW w:w="699" w:type="dxa"/>
            <w:tcBorders>
              <w:top w:val="single" w:color="000000" w:sz="4" w:space="0"/>
              <w:left w:val="single" w:color="000000" w:sz="4" w:space="0"/>
              <w:bottom w:val="single" w:color="auto" w:sz="4" w:space="0"/>
              <w:right w:val="single" w:color="auto" w:sz="4" w:space="0"/>
            </w:tcBorders>
            <w:vAlign w:val="center"/>
          </w:tcPr>
          <w:p>
            <w:pPr>
              <w:autoSpaceDN w:val="0"/>
              <w:snapToGrid w:val="0"/>
              <w:jc w:val="center"/>
              <w:textAlignment w:val="center"/>
              <w:rPr>
                <w:color w:val="auto"/>
              </w:rPr>
            </w:pPr>
          </w:p>
        </w:tc>
        <w:tc>
          <w:tcPr>
            <w:tcW w:w="4008" w:type="dxa"/>
            <w:tcBorders>
              <w:top w:val="single" w:color="000000" w:sz="4" w:space="0"/>
              <w:left w:val="single" w:color="auto" w:sz="4" w:space="0"/>
              <w:bottom w:val="single" w:color="auto" w:sz="4" w:space="0"/>
              <w:right w:val="single" w:color="000000" w:sz="4" w:space="0"/>
            </w:tcBorders>
            <w:vAlign w:val="center"/>
          </w:tcPr>
          <w:p>
            <w:pPr>
              <w:autoSpaceDN w:val="0"/>
              <w:snapToGrid w:val="0"/>
              <w:jc w:val="left"/>
              <w:textAlignment w:val="center"/>
              <w:rPr>
                <w:color w:val="auto"/>
              </w:rPr>
            </w:pPr>
            <w:r>
              <w:rPr>
                <w:rFonts w:hint="eastAsia" w:ascii="仿宋" w:hAnsi="仿宋" w:eastAsia="仿宋" w:cs="仿宋"/>
                <w:color w:val="auto"/>
                <w:szCs w:val="21"/>
              </w:rPr>
              <w:t>6.其他法律法规规章文件规定应履行的责任。</w:t>
            </w:r>
          </w:p>
        </w:tc>
        <w:tc>
          <w:tcPr>
            <w:tcW w:w="1278" w:type="dxa"/>
            <w:vMerge w:val="continue"/>
            <w:tcBorders>
              <w:left w:val="single" w:color="000000" w:sz="4" w:space="0"/>
              <w:bottom w:val="single" w:color="auto" w:sz="4" w:space="0"/>
              <w:right w:val="single" w:color="000000" w:sz="4" w:space="0"/>
            </w:tcBorders>
            <w:vAlign w:val="center"/>
          </w:tcPr>
          <w:p>
            <w:pPr>
              <w:autoSpaceDN w:val="0"/>
              <w:snapToGrid w:val="0"/>
              <w:jc w:val="center"/>
              <w:textAlignment w:val="center"/>
              <w:rPr>
                <w:color w:val="auto"/>
              </w:rPr>
            </w:pPr>
          </w:p>
        </w:tc>
        <w:tc>
          <w:tcPr>
            <w:tcW w:w="1290" w:type="dxa"/>
            <w:vMerge w:val="continue"/>
            <w:tcBorders>
              <w:left w:val="single" w:color="000000" w:sz="4" w:space="0"/>
              <w:bottom w:val="single" w:color="auto" w:sz="4" w:space="0"/>
              <w:right w:val="single" w:color="auto" w:sz="4" w:space="0"/>
            </w:tcBorders>
            <w:vAlign w:val="center"/>
          </w:tcPr>
          <w:p>
            <w:pPr>
              <w:autoSpaceDN w:val="0"/>
              <w:snapToGrid w:val="0"/>
              <w:jc w:val="center"/>
              <w:textAlignment w:val="center"/>
              <w:rPr>
                <w:color w:val="auto"/>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4494" w:type="dxa"/>
        <w:tblInd w:w="-394" w:type="dxa"/>
        <w:tblLayout w:type="fixed"/>
        <w:tblCellMar>
          <w:top w:w="0" w:type="dxa"/>
          <w:left w:w="108" w:type="dxa"/>
          <w:bottom w:w="0" w:type="dxa"/>
          <w:right w:w="108" w:type="dxa"/>
        </w:tblCellMar>
      </w:tblPr>
      <w:tblGrid>
        <w:gridCol w:w="744"/>
        <w:gridCol w:w="1264"/>
        <w:gridCol w:w="5240"/>
        <w:gridCol w:w="843"/>
        <w:gridCol w:w="876"/>
        <w:gridCol w:w="2242"/>
        <w:gridCol w:w="2010"/>
        <w:gridCol w:w="1275"/>
      </w:tblGrid>
      <w:tr>
        <w:tblPrEx>
          <w:tblCellMar>
            <w:top w:w="0" w:type="dxa"/>
            <w:left w:w="108" w:type="dxa"/>
            <w:bottom w:w="0" w:type="dxa"/>
            <w:right w:w="108" w:type="dxa"/>
          </w:tblCellMar>
        </w:tblPrEx>
        <w:trPr>
          <w:trHeight w:val="1260" w:hRule="atLeast"/>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52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87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224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20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3061" w:hRule="atLeast"/>
        </w:trPr>
        <w:tc>
          <w:tcPr>
            <w:tcW w:w="744" w:type="dxa"/>
            <w:vMerge w:val="restart"/>
            <w:tcBorders>
              <w:top w:val="single" w:color="000000" w:sz="4" w:space="0"/>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81</w:t>
            </w: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审核所监管企业资本金变动、股权管理及发债方案</w:t>
            </w:r>
          </w:p>
        </w:tc>
        <w:tc>
          <w:tcPr>
            <w:tcW w:w="524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firstLine="376" w:firstLineChars="200"/>
              <w:rPr>
                <w:rFonts w:hint="eastAsia" w:ascii="仿宋" w:hAnsi="仿宋" w:eastAsia="仿宋" w:cs="仿宋"/>
                <w:color w:val="auto"/>
                <w:spacing w:val="-11"/>
                <w:szCs w:val="21"/>
                <w:shd w:val="clear" w:color="070000" w:fill="FFFFFF"/>
              </w:rPr>
            </w:pPr>
            <w:r>
              <w:rPr>
                <w:rFonts w:hint="eastAsia" w:ascii="仿宋" w:hAnsi="仿宋" w:eastAsia="仿宋" w:cs="仿宋"/>
                <w:color w:val="auto"/>
                <w:spacing w:val="-11"/>
                <w:szCs w:val="21"/>
                <w:shd w:val="clear" w:color="070000" w:fill="FFFFFF"/>
              </w:rPr>
              <w:t>《企业国有资产法》第三十一条 ：“国有独资企业、国有独资公司合并、分立，增加或者减少注册资本，发行债券，分配利润，以及解散、申请破产，由履行出资人职责的机构决定。”</w:t>
            </w:r>
          </w:p>
          <w:p>
            <w:pPr>
              <w:spacing w:line="360" w:lineRule="exact"/>
              <w:rPr>
                <w:rFonts w:hint="eastAsia" w:ascii="仿宋" w:hAnsi="仿宋" w:eastAsia="仿宋" w:cs="仿宋"/>
                <w:color w:val="auto"/>
                <w:spacing w:val="-11"/>
                <w:szCs w:val="21"/>
                <w:shd w:val="clear" w:color="070000" w:fill="FFFFFF"/>
              </w:rPr>
            </w:pPr>
            <w:r>
              <w:rPr>
                <w:rFonts w:hint="eastAsia" w:ascii="仿宋" w:hAnsi="仿宋" w:eastAsia="仿宋" w:cs="仿宋"/>
                <w:color w:val="auto"/>
                <w:spacing w:val="-11"/>
                <w:szCs w:val="21"/>
                <w:shd w:val="clear" w:color="070000" w:fill="FFFFFF"/>
              </w:rPr>
              <w:t>《企业国有资产监督管理暂行条例》（国务院令第378号）第二十一条：“国有资产监督管理机构依照法定程序决定其所出资企业中的国有独资企业、国有独资公司的分立、合并、破产、解散、增减资本、发行公司债券等重大事项。”</w:t>
            </w:r>
          </w:p>
          <w:p>
            <w:pPr>
              <w:spacing w:line="360" w:lineRule="exact"/>
              <w:ind w:firstLine="376" w:firstLineChars="200"/>
              <w:rPr>
                <w:rFonts w:hint="eastAsia" w:ascii="仿宋" w:hAnsi="仿宋" w:eastAsia="仿宋" w:cs="仿宋"/>
                <w:color w:val="auto"/>
                <w:spacing w:val="-11"/>
                <w:szCs w:val="21"/>
                <w:shd w:val="clear" w:color="070000" w:fill="FFFFFF"/>
              </w:rPr>
            </w:pPr>
            <w:r>
              <w:rPr>
                <w:rFonts w:hint="eastAsia" w:ascii="仿宋" w:hAnsi="仿宋" w:eastAsia="仿宋" w:cs="仿宋"/>
                <w:color w:val="auto"/>
                <w:spacing w:val="-11"/>
                <w:szCs w:val="21"/>
                <w:shd w:val="clear" w:color="070000" w:fill="FFFFFF"/>
              </w:rPr>
              <w:t>《企业国有资产监督管理暂行条例》（国务院令第378号）第二十三条 ：“国有资产监督管理机构决定其所出资企业的国有股权转让。”</w:t>
            </w:r>
          </w:p>
          <w:p>
            <w:pPr>
              <w:autoSpaceDN w:val="0"/>
              <w:snapToGrid w:val="0"/>
              <w:jc w:val="left"/>
              <w:textAlignment w:val="center"/>
              <w:rPr>
                <w:rFonts w:ascii="仿宋" w:hAnsi="仿宋" w:eastAsia="仿宋" w:cs="仿宋"/>
                <w:color w:val="auto"/>
                <w:szCs w:val="21"/>
              </w:rPr>
            </w:pPr>
          </w:p>
        </w:tc>
        <w:tc>
          <w:tcPr>
            <w:tcW w:w="843" w:type="dxa"/>
            <w:vMerge w:val="restart"/>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876" w:type="dxa"/>
            <w:vMerge w:val="restart"/>
            <w:tcBorders>
              <w:top w:val="single" w:color="auto" w:sz="4" w:space="0"/>
              <w:left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依照相关法律法规</w:t>
            </w:r>
            <w:r>
              <w:rPr>
                <w:rFonts w:hint="eastAsia" w:ascii="仿宋" w:hAnsi="仿宋" w:eastAsia="仿宋" w:cs="仿宋"/>
                <w:color w:val="auto"/>
                <w:szCs w:val="21"/>
                <w:lang w:eastAsia="zh-CN"/>
              </w:rPr>
              <w:t>实</w:t>
            </w:r>
            <w:r>
              <w:rPr>
                <w:rFonts w:hint="eastAsia" w:ascii="仿宋" w:hAnsi="仿宋" w:eastAsia="仿宋" w:cs="仿宋"/>
                <w:color w:val="auto"/>
                <w:szCs w:val="21"/>
              </w:rPr>
              <w:t>施</w:t>
            </w:r>
          </w:p>
        </w:tc>
        <w:tc>
          <w:tcPr>
            <w:tcW w:w="2242" w:type="dxa"/>
            <w:tcBorders>
              <w:top w:val="single" w:color="auto" w:sz="4" w:space="0"/>
              <w:left w:val="single" w:color="000000" w:sz="4" w:space="0"/>
              <w:bottom w:val="single" w:color="000000"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负责决定国有独资企业、国有独资公司增加或者减少注册资本，发行债券等</w:t>
            </w:r>
            <w:r>
              <w:rPr>
                <w:rFonts w:hint="eastAsia" w:ascii="仿宋" w:hAnsi="仿宋" w:eastAsia="仿宋" w:cs="仿宋"/>
                <w:color w:val="auto"/>
                <w:szCs w:val="21"/>
                <w:lang w:eastAsia="zh-CN"/>
              </w:rPr>
              <w:t>工作</w:t>
            </w:r>
            <w:r>
              <w:rPr>
                <w:rFonts w:hint="eastAsia" w:ascii="仿宋" w:hAnsi="仿宋" w:eastAsia="仿宋" w:cs="仿宋"/>
                <w:color w:val="auto"/>
                <w:szCs w:val="21"/>
              </w:rPr>
              <w:t>。</w:t>
            </w:r>
          </w:p>
        </w:tc>
        <w:tc>
          <w:tcPr>
            <w:tcW w:w="2010" w:type="dxa"/>
            <w:vMerge w:val="restart"/>
            <w:tcBorders>
              <w:top w:val="single" w:color="000000" w:sz="4" w:space="0"/>
              <w:left w:val="single" w:color="auto"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三十六条：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资产管理股、县属功能类公益类国有资产监管办公室</w:t>
            </w:r>
          </w:p>
        </w:tc>
      </w:tr>
      <w:tr>
        <w:tblPrEx>
          <w:tblCellMar>
            <w:top w:w="0" w:type="dxa"/>
            <w:left w:w="108" w:type="dxa"/>
            <w:bottom w:w="0" w:type="dxa"/>
            <w:right w:w="108" w:type="dxa"/>
          </w:tblCellMar>
        </w:tblPrEx>
        <w:trPr>
          <w:trHeight w:val="312" w:hRule="atLeast"/>
        </w:trPr>
        <w:tc>
          <w:tcPr>
            <w:tcW w:w="744" w:type="dxa"/>
            <w:vMerge w:val="continue"/>
            <w:tcBorders>
              <w:top w:val="single" w:color="000000" w:sz="4" w:space="0"/>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2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843" w:type="dxa"/>
            <w:vMerge w:val="continue"/>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876" w:type="dxa"/>
            <w:vMerge w:val="continue"/>
            <w:tcBorders>
              <w:left w:val="single" w:color="auto" w:sz="4" w:space="0"/>
              <w:bottom w:val="single" w:color="auto"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2242" w:type="dxa"/>
            <w:tcBorders>
              <w:top w:val="single" w:color="000000" w:sz="4" w:space="0"/>
              <w:left w:val="single" w:color="000000"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其他法律法规规定文件规定应履行的责任</w:t>
            </w:r>
          </w:p>
        </w:tc>
        <w:tc>
          <w:tcPr>
            <w:tcW w:w="2010" w:type="dxa"/>
            <w:vMerge w:val="continue"/>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p>
      <w:pPr>
        <w:autoSpaceDN w:val="0"/>
        <w:snapToGrid w:val="0"/>
        <w:textAlignment w:val="center"/>
        <w:rPr>
          <w:color w:val="auto"/>
        </w:rPr>
      </w:pPr>
    </w:p>
    <w:tbl>
      <w:tblPr>
        <w:tblStyle w:val="6"/>
        <w:tblW w:w="15420" w:type="dxa"/>
        <w:tblInd w:w="-863" w:type="dxa"/>
        <w:tblLayout w:type="fixed"/>
        <w:tblCellMar>
          <w:top w:w="0" w:type="dxa"/>
          <w:left w:w="108" w:type="dxa"/>
          <w:bottom w:w="0" w:type="dxa"/>
          <w:right w:w="108" w:type="dxa"/>
        </w:tblCellMar>
      </w:tblPr>
      <w:tblGrid>
        <w:gridCol w:w="469"/>
        <w:gridCol w:w="1046"/>
        <w:gridCol w:w="2933"/>
        <w:gridCol w:w="1650"/>
        <w:gridCol w:w="1230"/>
        <w:gridCol w:w="5332"/>
        <w:gridCol w:w="1998"/>
        <w:gridCol w:w="762"/>
      </w:tblGrid>
      <w:tr>
        <w:tblPrEx>
          <w:tblCellMar>
            <w:top w:w="0" w:type="dxa"/>
            <w:left w:w="108" w:type="dxa"/>
            <w:bottom w:w="0" w:type="dxa"/>
            <w:right w:w="108" w:type="dxa"/>
          </w:tblCellMar>
        </w:tblPrEx>
        <w:trPr>
          <w:trHeight w:val="1260" w:hRule="atLeast"/>
        </w:trPr>
        <w:tc>
          <w:tcPr>
            <w:tcW w:w="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29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12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533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19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432" w:hRule="atLeast"/>
        </w:trPr>
        <w:tc>
          <w:tcPr>
            <w:tcW w:w="469" w:type="dxa"/>
            <w:vMerge w:val="restart"/>
            <w:tcBorders>
              <w:top w:val="single" w:color="000000" w:sz="4" w:space="0"/>
              <w:left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82</w:t>
            </w:r>
          </w:p>
        </w:tc>
        <w:tc>
          <w:tcPr>
            <w:tcW w:w="1046"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非税收入代收银行确定及取消</w:t>
            </w:r>
          </w:p>
        </w:tc>
        <w:tc>
          <w:tcPr>
            <w:tcW w:w="2933" w:type="dxa"/>
            <w:vMerge w:val="restart"/>
            <w:tcBorders>
              <w:top w:val="single" w:color="000000" w:sz="4" w:space="0"/>
              <w:left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政府非税收入管理条例》（2013年11月29日河南省第十二届人民代表大会常务委员会第五次会议审议通过）第十三条第三款：“代收银行由县级以上财政部门按照公开、公平、科学和便民原则确定，并向社会公布.财政部门和代收银行应当按照国家有关规定签订代收协议。” 《河南省政府非税收入管理条例》（2013年11月29日河南省第十二届人民代表大会常务委员会第五次会议审议通过）第四十二条：“代收银行不按照规定收纳、清算、划转政府非税收入的，由财政部门责令改正；情节严重的，由财政部门将其从已公布的代收银行名单中除名，并在四年内不得确定其为代收银行。”</w:t>
            </w:r>
          </w:p>
        </w:tc>
        <w:tc>
          <w:tcPr>
            <w:tcW w:w="1650" w:type="dxa"/>
            <w:vMerge w:val="restart"/>
            <w:tcBorders>
              <w:top w:val="single" w:color="000000" w:sz="4" w:space="0"/>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其他职权1、非税收入代收银行确定</w:t>
            </w:r>
          </w:p>
        </w:tc>
        <w:tc>
          <w:tcPr>
            <w:tcW w:w="1230" w:type="dxa"/>
            <w:tcBorders>
              <w:top w:val="single" w:color="auto" w:sz="4" w:space="0"/>
              <w:left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5332"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1.受理责任：受理有代收市级非税收入意向的银行提交的材料。</w:t>
            </w:r>
          </w:p>
        </w:tc>
        <w:tc>
          <w:tcPr>
            <w:tcW w:w="1998" w:type="dxa"/>
            <w:vMerge w:val="restart"/>
            <w:tcBorders>
              <w:top w:val="single" w:color="000000" w:sz="4" w:space="0"/>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财政违法行为处罚处分条例》第二十八条：财政部门、审计机关、监察机关的工作人员滥用职权、玩忽职守、徇私舞弊的，给予警告、记过或者记大过处分；情节较重的，给予降级或者撤职处分；情节严重的，给予开除处分。构成犯罪的，依法追究刑事责任。</w:t>
            </w:r>
          </w:p>
        </w:tc>
        <w:tc>
          <w:tcPr>
            <w:tcW w:w="762" w:type="dxa"/>
            <w:vMerge w:val="restart"/>
            <w:tcBorders>
              <w:top w:val="single" w:color="000000" w:sz="4" w:space="0"/>
              <w:left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税政与条法股</w:t>
            </w:r>
          </w:p>
        </w:tc>
      </w:tr>
      <w:tr>
        <w:tblPrEx>
          <w:tblCellMar>
            <w:top w:w="0" w:type="dxa"/>
            <w:left w:w="108" w:type="dxa"/>
            <w:bottom w:w="0" w:type="dxa"/>
            <w:right w:w="108" w:type="dxa"/>
          </w:tblCellMar>
        </w:tblPrEx>
        <w:trPr>
          <w:trHeight w:val="432" w:hRule="atLeast"/>
        </w:trPr>
        <w:tc>
          <w:tcPr>
            <w:tcW w:w="469" w:type="dxa"/>
            <w:vMerge w:val="continue"/>
            <w:tcBorders>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000000" w:sz="4" w:space="0"/>
              <w:left w:val="single" w:color="auto"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332"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2.审查责任：对提交的材料进行审核，并进行现场审查。</w:t>
            </w:r>
          </w:p>
        </w:tc>
        <w:tc>
          <w:tcPr>
            <w:tcW w:w="1998" w:type="dxa"/>
            <w:vMerge w:val="continue"/>
            <w:tcBorders>
              <w:left w:val="single" w:color="auto"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625"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332" w:type="dxa"/>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3.决定责任：按照公开、公平、科学和便民原则确定市级非税收入代收银行的资格，督促银行按规定程序办理开户相关事项。</w:t>
            </w:r>
          </w:p>
        </w:tc>
        <w:tc>
          <w:tcPr>
            <w:tcW w:w="1998" w:type="dxa"/>
            <w:vMerge w:val="continue"/>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625" w:hRule="atLeast"/>
        </w:trPr>
        <w:tc>
          <w:tcPr>
            <w:tcW w:w="469" w:type="dxa"/>
            <w:vMerge w:val="continue"/>
            <w:tcBorders>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auto" w:sz="4" w:space="0"/>
              <w:left w:val="single" w:color="auto"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告知</w:t>
            </w:r>
          </w:p>
        </w:tc>
        <w:tc>
          <w:tcPr>
            <w:tcW w:w="5332" w:type="dxa"/>
            <w:tcBorders>
              <w:top w:val="single" w:color="auto" w:sz="4" w:space="0"/>
              <w:left w:val="single" w:color="000000"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4.告知责任：将确定结果告知代收银行，与代收银行签定《南阳市政府非税收入收缴银行协议书》，并向社会公布。</w:t>
            </w:r>
          </w:p>
        </w:tc>
        <w:tc>
          <w:tcPr>
            <w:tcW w:w="1998" w:type="dxa"/>
            <w:vMerge w:val="continue"/>
            <w:tcBorders>
              <w:left w:val="single" w:color="auto"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625" w:hRule="atLeast"/>
        </w:trPr>
        <w:tc>
          <w:tcPr>
            <w:tcW w:w="469" w:type="dxa"/>
            <w:vMerge w:val="continue"/>
            <w:tcBorders>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auto" w:sz="4" w:space="0"/>
              <w:left w:val="single" w:color="auto"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5332" w:type="dxa"/>
            <w:tcBorders>
              <w:top w:val="single" w:color="auto" w:sz="4" w:space="0"/>
              <w:left w:val="single" w:color="000000"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5.事后监管责任：监督代收银行切实履行代收协议，提高市级政府非税收入收缴业务水平和服务质量，确保市级政府非税收入资金安全、高效运行。</w:t>
            </w:r>
          </w:p>
        </w:tc>
        <w:tc>
          <w:tcPr>
            <w:tcW w:w="1998" w:type="dxa"/>
            <w:vMerge w:val="continue"/>
            <w:tcBorders>
              <w:left w:val="single" w:color="auto"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568" w:hRule="atLeast"/>
        </w:trPr>
        <w:tc>
          <w:tcPr>
            <w:tcW w:w="469" w:type="dxa"/>
            <w:vMerge w:val="continue"/>
            <w:tcBorders>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000000" w:sz="4" w:space="0"/>
              <w:bottom w:val="single" w:color="auto"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auto" w:sz="4" w:space="0"/>
              <w:left w:val="single" w:color="auto"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332" w:type="dxa"/>
            <w:tcBorders>
              <w:top w:val="single" w:color="auto" w:sz="4" w:space="0"/>
              <w:left w:val="single" w:color="000000" w:sz="4" w:space="0"/>
              <w:bottom w:val="single" w:color="auto" w:sz="4" w:space="0"/>
              <w:right w:val="single" w:color="auto"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6.其他法律法规规章文件规定应履行的责任。</w:t>
            </w:r>
          </w:p>
        </w:tc>
        <w:tc>
          <w:tcPr>
            <w:tcW w:w="1998" w:type="dxa"/>
            <w:vMerge w:val="continue"/>
            <w:tcBorders>
              <w:left w:val="single" w:color="auto"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652"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restart"/>
            <w:tcBorders>
              <w:top w:val="single" w:color="auto" w:sz="4" w:space="0"/>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其他职权2、非税收入代收银行取消</w:t>
            </w:r>
          </w:p>
        </w:tc>
        <w:tc>
          <w:tcPr>
            <w:tcW w:w="1230"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5332"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1.受理责任：受理征收单位或缴款义务人在收缴省级政府非税收入过程中的举报等相关事宜，按规定做好登记。</w:t>
            </w:r>
          </w:p>
        </w:tc>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312"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5332"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2、审查责任：主要采取约谈相关方，查阅相关资料，调看监控录相等方式组织对举报人反映的情况进行实地调查，确认。</w:t>
            </w:r>
          </w:p>
        </w:tc>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312"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5332"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召开非税局局务会对调查取证情况进行集中研究。根据《河南省政府非税收入管理条例》、《南阳市政府非税收入银行代收协议书》提出初步处理意见，报局长办公会研究决定后，拟发文件，取消该代收银行代理市级政府非税收入收缴业务资格。</w:t>
            </w:r>
          </w:p>
        </w:tc>
        <w:tc>
          <w:tcPr>
            <w:tcW w:w="199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312" w:hRule="atLeast"/>
        </w:trPr>
        <w:tc>
          <w:tcPr>
            <w:tcW w:w="469" w:type="dxa"/>
            <w:vMerge w:val="continue"/>
            <w:tcBorders>
              <w:left w:val="single" w:color="000000" w:sz="4" w:space="0"/>
              <w:bottom w:val="single" w:color="000000" w:sz="4" w:space="0"/>
              <w:right w:val="single" w:color="000000" w:sz="4" w:space="0"/>
            </w:tcBorders>
            <w:noWrap/>
            <w:vAlign w:val="center"/>
          </w:tcPr>
          <w:p>
            <w:pPr>
              <w:autoSpaceDN w:val="0"/>
              <w:snapToGrid w:val="0"/>
              <w:jc w:val="center"/>
              <w:textAlignment w:val="center"/>
              <w:rPr>
                <w:rFonts w:ascii="仿宋" w:hAnsi="仿宋" w:eastAsia="仿宋" w:cs="仿宋"/>
                <w:color w:val="auto"/>
                <w:szCs w:val="21"/>
              </w:rPr>
            </w:pPr>
          </w:p>
        </w:tc>
        <w:tc>
          <w:tcPr>
            <w:tcW w:w="1046"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933" w:type="dxa"/>
            <w:vMerge w:val="continue"/>
            <w:tcBorders>
              <w:left w:val="single" w:color="000000" w:sz="4" w:space="0"/>
              <w:bottom w:val="single" w:color="000000" w:sz="4" w:space="0"/>
              <w:right w:val="single" w:color="auto" w:sz="4" w:space="0"/>
            </w:tcBorders>
            <w:vAlign w:val="center"/>
          </w:tcPr>
          <w:p>
            <w:pPr>
              <w:autoSpaceDN w:val="0"/>
              <w:snapToGrid w:val="0"/>
              <w:jc w:val="center"/>
              <w:textAlignment w:val="center"/>
              <w:rPr>
                <w:rFonts w:ascii="仿宋" w:hAnsi="仿宋" w:eastAsia="仿宋" w:cs="仿宋"/>
                <w:color w:val="auto"/>
                <w:szCs w:val="21"/>
              </w:rPr>
            </w:pPr>
          </w:p>
        </w:tc>
        <w:tc>
          <w:tcPr>
            <w:tcW w:w="1650" w:type="dxa"/>
            <w:vMerge w:val="continue"/>
            <w:tcBorders>
              <w:left w:val="single" w:color="auto"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230"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5332" w:type="dxa"/>
            <w:tcBorders>
              <w:top w:val="single" w:color="auto" w:sz="4" w:space="0"/>
              <w:left w:val="single" w:color="000000" w:sz="4" w:space="0"/>
              <w:bottom w:val="single" w:color="auto"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4.其他法律法规规章文件规定应履行的责任。</w:t>
            </w:r>
          </w:p>
        </w:tc>
        <w:tc>
          <w:tcPr>
            <w:tcW w:w="1998"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762" w:type="dxa"/>
            <w:vMerge w:val="continue"/>
            <w:tcBorders>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766" w:type="dxa"/>
        <w:jc w:val="center"/>
        <w:tblLayout w:type="fixed"/>
        <w:tblCellMar>
          <w:top w:w="0" w:type="dxa"/>
          <w:left w:w="0" w:type="dxa"/>
          <w:bottom w:w="0" w:type="dxa"/>
          <w:right w:w="0" w:type="dxa"/>
        </w:tblCellMar>
      </w:tblPr>
      <w:tblGrid>
        <w:gridCol w:w="1460"/>
        <w:gridCol w:w="1847"/>
        <w:gridCol w:w="3300"/>
        <w:gridCol w:w="1059"/>
        <w:gridCol w:w="1485"/>
        <w:gridCol w:w="3323"/>
        <w:gridCol w:w="1646"/>
        <w:gridCol w:w="1646"/>
      </w:tblGrid>
      <w:tr>
        <w:tblPrEx>
          <w:tblCellMar>
            <w:top w:w="0" w:type="dxa"/>
            <w:left w:w="0" w:type="dxa"/>
            <w:bottom w:w="0" w:type="dxa"/>
            <w:right w:w="0" w:type="dxa"/>
          </w:tblCellMar>
        </w:tblPrEx>
        <w:trPr>
          <w:trHeight w:val="635" w:hRule="atLeast"/>
          <w:jc w:val="center"/>
        </w:trPr>
        <w:tc>
          <w:tcPr>
            <w:tcW w:w="14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037" w:hRule="atLeast"/>
          <w:jc w:val="center"/>
        </w:trPr>
        <w:tc>
          <w:tcPr>
            <w:tcW w:w="1460"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83</w:t>
            </w: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承担所监管企业国有资产清产核资结果认定</w:t>
            </w: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i w:val="0"/>
                <w:iCs w:val="0"/>
                <w:color w:val="auto"/>
                <w:kern w:val="0"/>
                <w:sz w:val="21"/>
                <w:szCs w:val="21"/>
                <w:u w:val="none"/>
                <w:lang w:val="en-US" w:eastAsia="zh-CN" w:bidi="ar"/>
              </w:rPr>
              <w:t>《国有企业清产核资办法》第六条：“各级国有资产监督管理机构是企业清产核资工作的监督管理部门。”</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485"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323"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1.</w:t>
            </w:r>
            <w:r>
              <w:rPr>
                <w:rFonts w:hint="eastAsia" w:ascii="仿宋" w:hAnsi="仿宋" w:eastAsia="仿宋" w:cs="仿宋"/>
                <w:color w:val="auto"/>
                <w:szCs w:val="21"/>
              </w:rPr>
              <w:t>受理责任：受理企业清产核资申请并下达立项批复；受理企业清产核资结果和中介机构专项审计报告。对其材料的齐全性、内容的完整性进行检验。符合要求的，直接受理，不符合要求的，一次性告原因及所补材料。</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i w:val="0"/>
                <w:iCs w:val="0"/>
                <w:color w:val="auto"/>
                <w:kern w:val="0"/>
                <w:sz w:val="21"/>
                <w:szCs w:val="21"/>
                <w:u w:val="none"/>
                <w:lang w:val="en-US" w:eastAsia="zh-CN" w:bidi="ar"/>
              </w:rPr>
              <w:t>《国有企业清产核资办法》第五十条：国有资产监督管理机构工作人员在对企业清产核资工作结果进行审核过程中徇私舞弊，造成重大工作过失的，应当依法给予行政和纪律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县属功能类公益类企业国有资产监管办公室</w:t>
            </w:r>
          </w:p>
        </w:tc>
      </w:tr>
      <w:tr>
        <w:tblPrEx>
          <w:tblCellMar>
            <w:top w:w="0" w:type="dxa"/>
            <w:left w:w="0" w:type="dxa"/>
            <w:bottom w:w="0" w:type="dxa"/>
            <w:right w:w="0" w:type="dxa"/>
          </w:tblCellMar>
        </w:tblPrEx>
        <w:trPr>
          <w:trHeight w:val="1037" w:hRule="atLeast"/>
          <w:jc w:val="center"/>
        </w:trPr>
        <w:tc>
          <w:tcPr>
            <w:tcW w:w="146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审核</w:t>
            </w:r>
          </w:p>
        </w:tc>
        <w:tc>
          <w:tcPr>
            <w:tcW w:w="3323"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2.</w:t>
            </w:r>
            <w:r>
              <w:rPr>
                <w:rFonts w:hint="eastAsia" w:ascii="仿宋" w:hAnsi="仿宋" w:eastAsia="仿宋" w:cs="仿宋"/>
                <w:color w:val="auto"/>
                <w:szCs w:val="21"/>
              </w:rPr>
              <w:t>组织人员进行审核</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37" w:hRule="atLeast"/>
          <w:jc w:val="center"/>
        </w:trPr>
        <w:tc>
          <w:tcPr>
            <w:tcW w:w="146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3.</w:t>
            </w:r>
            <w:r>
              <w:rPr>
                <w:rFonts w:hint="eastAsia" w:ascii="仿宋" w:hAnsi="仿宋" w:eastAsia="仿宋" w:cs="仿宋"/>
                <w:color w:val="auto"/>
                <w:szCs w:val="21"/>
              </w:rPr>
              <w:t>下达清产核资结果批复</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37" w:hRule="atLeast"/>
          <w:jc w:val="center"/>
        </w:trPr>
        <w:tc>
          <w:tcPr>
            <w:tcW w:w="146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存档</w:t>
            </w:r>
          </w:p>
        </w:tc>
        <w:tc>
          <w:tcPr>
            <w:tcW w:w="3323"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4.</w:t>
            </w:r>
            <w:r>
              <w:rPr>
                <w:rFonts w:hint="eastAsia" w:ascii="仿宋" w:hAnsi="仿宋" w:eastAsia="仿宋" w:cs="仿宋"/>
                <w:color w:val="auto"/>
                <w:szCs w:val="21"/>
              </w:rPr>
              <w:t>清产核资全套资料立卷存档</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37" w:hRule="atLeast"/>
          <w:jc w:val="center"/>
        </w:trPr>
        <w:tc>
          <w:tcPr>
            <w:tcW w:w="146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w:t>
            </w:r>
          </w:p>
        </w:tc>
        <w:tc>
          <w:tcPr>
            <w:tcW w:w="3323"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default" w:ascii="仿宋" w:hAnsi="仿宋" w:eastAsia="仿宋" w:cs="仿宋"/>
                <w:color w:val="auto"/>
                <w:szCs w:val="21"/>
                <w:lang w:val="en-US"/>
              </w:rPr>
              <w:t>5.</w:t>
            </w:r>
            <w:r>
              <w:rPr>
                <w:rFonts w:hint="eastAsia" w:ascii="仿宋" w:hAnsi="仿宋" w:eastAsia="仿宋" w:cs="仿宋"/>
                <w:color w:val="auto"/>
                <w:szCs w:val="21"/>
              </w:rPr>
              <w:t>其他法律法规规定文件规定应履行的责任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7"/>
        <w:tblW w:w="14748"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09"/>
        <w:gridCol w:w="5947"/>
        <w:gridCol w:w="1071"/>
        <w:gridCol w:w="876"/>
        <w:gridCol w:w="2321"/>
        <w:gridCol w:w="17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序号</w:t>
            </w:r>
          </w:p>
        </w:tc>
        <w:tc>
          <w:tcPr>
            <w:tcW w:w="909"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仿宋" w:hAnsi="仿宋" w:eastAsia="仿宋" w:cs="仿宋"/>
                <w:color w:val="auto"/>
                <w:szCs w:val="21"/>
              </w:rPr>
            </w:pPr>
            <w:r>
              <w:rPr>
                <w:rFonts w:hint="eastAsia" w:ascii="黑体" w:hAnsi="黑体" w:eastAsia="黑体" w:cs="黑体"/>
                <w:color w:val="auto"/>
                <w:sz w:val="24"/>
              </w:rPr>
              <w:t>名称</w:t>
            </w:r>
          </w:p>
        </w:tc>
        <w:tc>
          <w:tcPr>
            <w:tcW w:w="5947"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实施依据</w:t>
            </w:r>
          </w:p>
        </w:tc>
        <w:tc>
          <w:tcPr>
            <w:tcW w:w="1071"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职权类别</w:t>
            </w:r>
          </w:p>
        </w:tc>
        <w:tc>
          <w:tcPr>
            <w:tcW w:w="876"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办理环节</w:t>
            </w:r>
          </w:p>
        </w:tc>
        <w:tc>
          <w:tcPr>
            <w:tcW w:w="2321"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责任事项</w:t>
            </w:r>
          </w:p>
        </w:tc>
        <w:tc>
          <w:tcPr>
            <w:tcW w:w="1785"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追责情形</w:t>
            </w:r>
          </w:p>
        </w:tc>
        <w:tc>
          <w:tcPr>
            <w:tcW w:w="1007"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仿宋" w:hAnsi="仿宋" w:eastAsia="仿宋" w:cs="仿宋"/>
                <w:color w:val="auto"/>
                <w:szCs w:val="21"/>
              </w:rPr>
            </w:pPr>
            <w:r>
              <w:rPr>
                <w:rFonts w:hint="eastAsia" w:ascii="黑体" w:hAnsi="黑体" w:eastAsia="黑体" w:cs="黑体"/>
                <w:color w:val="auto"/>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32" w:type="dxa"/>
            <w:vMerge w:val="restart"/>
            <w:vAlign w:val="center"/>
          </w:tcPr>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84</w:t>
            </w:r>
          </w:p>
        </w:tc>
        <w:tc>
          <w:tcPr>
            <w:tcW w:w="909"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按照规定权限承担对监管企业领导人员的考核工作并提出任免建议</w:t>
            </w:r>
          </w:p>
        </w:tc>
        <w:tc>
          <w:tcPr>
            <w:tcW w:w="5947" w:type="dxa"/>
            <w:vMerge w:val="restart"/>
            <w:vAlign w:val="center"/>
          </w:tcPr>
          <w:p>
            <w:pPr>
              <w:autoSpaceDN w:val="0"/>
              <w:snapToGrid w:val="0"/>
              <w:textAlignment w:val="center"/>
              <w:rPr>
                <w:rFonts w:ascii="仿宋" w:hAnsi="仿宋" w:eastAsia="仿宋" w:cs="仿宋"/>
                <w:color w:val="auto"/>
                <w:szCs w:val="21"/>
              </w:rPr>
            </w:pPr>
            <w:r>
              <w:rPr>
                <w:rFonts w:hint="eastAsia" w:ascii="仿宋" w:hAnsi="仿宋" w:eastAsia="仿宋" w:cs="仿宋"/>
                <w:color w:val="auto"/>
                <w:sz w:val="20"/>
                <w:szCs w:val="20"/>
              </w:rPr>
              <w:t>《企业国有资产法》第二十七条：“国家建立国家出资企业管理者经营业绩考核制度。履行出资人职责的机构应当对其任命的企业管理者进行年度和任期考核，并依据考核结果决定对企业管理者的奖惩。履行出资人职责的机内应当按照国家有关规定，确定其任命的国家出资企业管理者的薪酬标准。”《企业国有资产监督管理暂行条例》（国务院令第378号）第十八条：“国有资产监督管理机构应当建立企业负责人经营业绩考核制度，与其任命的企业负责人签订业绩合同，根据业绩合同对企业负责人进行年度考核和任期考核。”《中共河南省委、河南省人民政府关于印发&lt;河南省省管国有企业负责人薪酬制度改革实施意见》的通知》(豫发〔2015〕17号）：“按照干部管理权限，由省委组织部、省政府国资委党委和有关部门党组负责对省管国有企业负责人的综合考核评价工作。省财政厅、省政府国资委和其他有关业务主管部门按照分工，负责省国有企业负责人的经营业绩考核。”《中共河南省委、河南省人民政府关于印发〈河南省省属国有非工业企业改革推进方案&gt;的通知》（豫发〔2017〕5号）：“董事长的任期目标，由出资人管理机构确定。”《中共河南省委办公厅、河南省人民政府办公厅关于印发&lt;关于加强和改进省管企业领导人员管理工作的意见&gt;、&lt;关于进一步完善省管企业负责人薪酬制度的意见&gt;的通知》（豫办〔2017〕6号）：“省委组织部、省政府国资委及其他履行出资人职责的机构要科学设定企业党委会、董事会任期目标。”“对省管企业领导班子和领导人员实行年度考核和任期考核。年度考核由省政府国资委党委或其他履行出资人职责的机构党组(党委）组织实施，省委组织部派人参加，考核结果报省委组织部；任期考核由省委组织部会同省政府国资委或其他履行出资人职责的机构党组（党委）组织实施。”“省财政厅、省政府国资委和其他有关部门负责定省管企业负责人的经营业绩考核和薪酬审核管理办法，并做好企业负责人经营业绩考核和薪酬审核工作。”《金融企业国有资本保值增值结果确认暂行办法》（财政部令第43号）第四条：“县级以上人民政府财政部门（以下简称财政部门）应当依据经会计师事务所审计的金融企业年度财务会计报告，在全面分析年度内国有资增减变动因素的基础上，按照统一政策、分级管理的原则，对本级直接管理的金融企业国有资本保值增值结果进行确认。”</w:t>
            </w:r>
          </w:p>
        </w:tc>
        <w:tc>
          <w:tcPr>
            <w:tcW w:w="1071"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876"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2321"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1.受理责任：明确告知申报单位依法应当提交的材料；一次性告知需补齐材料；依法受理或不予受理（不予受理的需明确告知理由）。</w:t>
            </w:r>
          </w:p>
        </w:tc>
        <w:tc>
          <w:tcPr>
            <w:tcW w:w="1785"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三十八条：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p>
        </w:tc>
        <w:tc>
          <w:tcPr>
            <w:tcW w:w="1007"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县属功能类公益类企业国有资产监管办公室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32" w:type="dxa"/>
            <w:vMerge w:val="continue"/>
            <w:vAlign w:val="center"/>
          </w:tcPr>
          <w:p>
            <w:pPr>
              <w:autoSpaceDN w:val="0"/>
              <w:snapToGrid w:val="0"/>
              <w:jc w:val="center"/>
              <w:textAlignment w:val="center"/>
              <w:rPr>
                <w:rFonts w:ascii="仿宋" w:hAnsi="仿宋" w:eastAsia="仿宋" w:cs="仿宋"/>
                <w:color w:val="auto"/>
                <w:szCs w:val="21"/>
              </w:rPr>
            </w:pPr>
          </w:p>
        </w:tc>
        <w:tc>
          <w:tcPr>
            <w:tcW w:w="909" w:type="dxa"/>
            <w:vMerge w:val="continue"/>
            <w:vAlign w:val="center"/>
          </w:tcPr>
          <w:p>
            <w:pPr>
              <w:autoSpaceDN w:val="0"/>
              <w:snapToGrid w:val="0"/>
              <w:jc w:val="center"/>
              <w:textAlignment w:val="center"/>
              <w:rPr>
                <w:rFonts w:ascii="仿宋" w:hAnsi="仿宋" w:eastAsia="仿宋" w:cs="仿宋"/>
                <w:color w:val="auto"/>
                <w:szCs w:val="21"/>
              </w:rPr>
            </w:pPr>
          </w:p>
        </w:tc>
        <w:tc>
          <w:tcPr>
            <w:tcW w:w="5947" w:type="dxa"/>
            <w:vMerge w:val="continue"/>
            <w:vAlign w:val="center"/>
          </w:tcPr>
          <w:p>
            <w:pPr>
              <w:autoSpaceDN w:val="0"/>
              <w:snapToGrid w:val="0"/>
              <w:jc w:val="center"/>
              <w:textAlignment w:val="center"/>
              <w:rPr>
                <w:rFonts w:ascii="仿宋" w:hAnsi="仿宋" w:eastAsia="仿宋" w:cs="仿宋"/>
                <w:color w:val="auto"/>
                <w:szCs w:val="21"/>
              </w:rPr>
            </w:pPr>
          </w:p>
        </w:tc>
        <w:tc>
          <w:tcPr>
            <w:tcW w:w="1071" w:type="dxa"/>
            <w:vMerge w:val="continue"/>
            <w:vAlign w:val="center"/>
          </w:tcPr>
          <w:p>
            <w:pPr>
              <w:autoSpaceDN w:val="0"/>
              <w:snapToGrid w:val="0"/>
              <w:jc w:val="center"/>
              <w:textAlignment w:val="center"/>
              <w:rPr>
                <w:rFonts w:ascii="仿宋" w:hAnsi="仿宋" w:eastAsia="仿宋" w:cs="仿宋"/>
                <w:color w:val="auto"/>
                <w:szCs w:val="21"/>
              </w:rPr>
            </w:pPr>
          </w:p>
        </w:tc>
        <w:tc>
          <w:tcPr>
            <w:tcW w:w="876"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321"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2.审查责任：按照国家和我省关于监管企业领导人员的考核等相关规定对申报材料进行审查；组织相关人员或科室对材料进行评审论证；提出审核意见，需要报上级有关部门的按程序规定上报。</w:t>
            </w:r>
          </w:p>
        </w:tc>
        <w:tc>
          <w:tcPr>
            <w:tcW w:w="1785" w:type="dxa"/>
            <w:vMerge w:val="continue"/>
            <w:vAlign w:val="center"/>
          </w:tcPr>
          <w:p>
            <w:pPr>
              <w:autoSpaceDN w:val="0"/>
              <w:snapToGrid w:val="0"/>
              <w:jc w:val="center"/>
              <w:textAlignment w:val="center"/>
              <w:rPr>
                <w:rFonts w:ascii="仿宋" w:hAnsi="仿宋" w:eastAsia="仿宋" w:cs="仿宋"/>
                <w:color w:val="auto"/>
                <w:szCs w:val="21"/>
              </w:rPr>
            </w:pPr>
          </w:p>
        </w:tc>
        <w:tc>
          <w:tcPr>
            <w:tcW w:w="1007"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32" w:type="dxa"/>
            <w:vMerge w:val="continue"/>
            <w:vAlign w:val="center"/>
          </w:tcPr>
          <w:p>
            <w:pPr>
              <w:autoSpaceDN w:val="0"/>
              <w:snapToGrid w:val="0"/>
              <w:jc w:val="center"/>
              <w:textAlignment w:val="center"/>
              <w:rPr>
                <w:rFonts w:ascii="仿宋" w:hAnsi="仿宋" w:eastAsia="仿宋" w:cs="仿宋"/>
                <w:color w:val="auto"/>
                <w:szCs w:val="21"/>
              </w:rPr>
            </w:pPr>
          </w:p>
        </w:tc>
        <w:tc>
          <w:tcPr>
            <w:tcW w:w="909" w:type="dxa"/>
            <w:vMerge w:val="continue"/>
            <w:vAlign w:val="center"/>
          </w:tcPr>
          <w:p>
            <w:pPr>
              <w:autoSpaceDN w:val="0"/>
              <w:snapToGrid w:val="0"/>
              <w:jc w:val="center"/>
              <w:textAlignment w:val="center"/>
              <w:rPr>
                <w:rFonts w:ascii="仿宋" w:hAnsi="仿宋" w:eastAsia="仿宋" w:cs="仿宋"/>
                <w:color w:val="auto"/>
                <w:szCs w:val="21"/>
              </w:rPr>
            </w:pPr>
          </w:p>
        </w:tc>
        <w:tc>
          <w:tcPr>
            <w:tcW w:w="5947" w:type="dxa"/>
            <w:vMerge w:val="continue"/>
            <w:vAlign w:val="center"/>
          </w:tcPr>
          <w:p>
            <w:pPr>
              <w:autoSpaceDN w:val="0"/>
              <w:snapToGrid w:val="0"/>
              <w:jc w:val="center"/>
              <w:textAlignment w:val="center"/>
              <w:rPr>
                <w:rFonts w:ascii="仿宋" w:hAnsi="仿宋" w:eastAsia="仿宋" w:cs="仿宋"/>
                <w:color w:val="auto"/>
                <w:szCs w:val="21"/>
              </w:rPr>
            </w:pPr>
          </w:p>
        </w:tc>
        <w:tc>
          <w:tcPr>
            <w:tcW w:w="1071" w:type="dxa"/>
            <w:vMerge w:val="continue"/>
            <w:vAlign w:val="center"/>
          </w:tcPr>
          <w:p>
            <w:pPr>
              <w:autoSpaceDN w:val="0"/>
              <w:snapToGrid w:val="0"/>
              <w:jc w:val="center"/>
              <w:textAlignment w:val="center"/>
              <w:rPr>
                <w:rFonts w:ascii="仿宋" w:hAnsi="仿宋" w:eastAsia="仿宋" w:cs="仿宋"/>
                <w:color w:val="auto"/>
                <w:szCs w:val="21"/>
              </w:rPr>
            </w:pPr>
          </w:p>
        </w:tc>
        <w:tc>
          <w:tcPr>
            <w:tcW w:w="876"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2321"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3.决定责任：做出决定。审核同意的，制作结果认定文件；审核不同意的，以便函形式告知申请单位。</w:t>
            </w:r>
          </w:p>
        </w:tc>
        <w:tc>
          <w:tcPr>
            <w:tcW w:w="1785" w:type="dxa"/>
            <w:vMerge w:val="continue"/>
            <w:vAlign w:val="center"/>
          </w:tcPr>
          <w:p>
            <w:pPr>
              <w:autoSpaceDN w:val="0"/>
              <w:snapToGrid w:val="0"/>
              <w:jc w:val="center"/>
              <w:textAlignment w:val="center"/>
              <w:rPr>
                <w:rFonts w:ascii="仿宋" w:hAnsi="仿宋" w:eastAsia="仿宋" w:cs="仿宋"/>
                <w:color w:val="auto"/>
                <w:szCs w:val="21"/>
              </w:rPr>
            </w:pPr>
          </w:p>
        </w:tc>
        <w:tc>
          <w:tcPr>
            <w:tcW w:w="1007"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832" w:type="dxa"/>
            <w:vMerge w:val="continue"/>
            <w:vAlign w:val="center"/>
          </w:tcPr>
          <w:p>
            <w:pPr>
              <w:autoSpaceDN w:val="0"/>
              <w:snapToGrid w:val="0"/>
              <w:jc w:val="center"/>
              <w:textAlignment w:val="center"/>
              <w:rPr>
                <w:rFonts w:ascii="仿宋" w:hAnsi="仿宋" w:eastAsia="仿宋" w:cs="仿宋"/>
                <w:color w:val="auto"/>
                <w:szCs w:val="21"/>
              </w:rPr>
            </w:pPr>
          </w:p>
        </w:tc>
        <w:tc>
          <w:tcPr>
            <w:tcW w:w="909" w:type="dxa"/>
            <w:vMerge w:val="continue"/>
            <w:vAlign w:val="center"/>
          </w:tcPr>
          <w:p>
            <w:pPr>
              <w:autoSpaceDN w:val="0"/>
              <w:snapToGrid w:val="0"/>
              <w:jc w:val="center"/>
              <w:textAlignment w:val="center"/>
              <w:rPr>
                <w:rFonts w:ascii="仿宋" w:hAnsi="仿宋" w:eastAsia="仿宋" w:cs="仿宋"/>
                <w:color w:val="auto"/>
                <w:szCs w:val="21"/>
              </w:rPr>
            </w:pPr>
          </w:p>
        </w:tc>
        <w:tc>
          <w:tcPr>
            <w:tcW w:w="5947" w:type="dxa"/>
            <w:vMerge w:val="continue"/>
            <w:vAlign w:val="center"/>
          </w:tcPr>
          <w:p>
            <w:pPr>
              <w:autoSpaceDN w:val="0"/>
              <w:snapToGrid w:val="0"/>
              <w:jc w:val="center"/>
              <w:textAlignment w:val="center"/>
              <w:rPr>
                <w:rFonts w:ascii="仿宋" w:hAnsi="仿宋" w:eastAsia="仿宋" w:cs="仿宋"/>
                <w:color w:val="auto"/>
                <w:szCs w:val="21"/>
              </w:rPr>
            </w:pPr>
          </w:p>
        </w:tc>
        <w:tc>
          <w:tcPr>
            <w:tcW w:w="1071" w:type="dxa"/>
            <w:vMerge w:val="continue"/>
            <w:vAlign w:val="center"/>
          </w:tcPr>
          <w:p>
            <w:pPr>
              <w:autoSpaceDN w:val="0"/>
              <w:snapToGrid w:val="0"/>
              <w:jc w:val="center"/>
              <w:textAlignment w:val="center"/>
              <w:rPr>
                <w:rFonts w:ascii="仿宋" w:hAnsi="仿宋" w:eastAsia="仿宋" w:cs="仿宋"/>
                <w:color w:val="auto"/>
                <w:szCs w:val="21"/>
              </w:rPr>
            </w:pPr>
          </w:p>
        </w:tc>
        <w:tc>
          <w:tcPr>
            <w:tcW w:w="876"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事后监管</w:t>
            </w:r>
          </w:p>
        </w:tc>
        <w:tc>
          <w:tcPr>
            <w:tcW w:w="2321"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4.对所监管企业方案落实情况进行检查。</w:t>
            </w:r>
          </w:p>
        </w:tc>
        <w:tc>
          <w:tcPr>
            <w:tcW w:w="1785" w:type="dxa"/>
            <w:vMerge w:val="continue"/>
            <w:vAlign w:val="center"/>
          </w:tcPr>
          <w:p>
            <w:pPr>
              <w:autoSpaceDN w:val="0"/>
              <w:snapToGrid w:val="0"/>
              <w:jc w:val="center"/>
              <w:textAlignment w:val="center"/>
              <w:rPr>
                <w:rFonts w:ascii="仿宋" w:hAnsi="仿宋" w:eastAsia="仿宋" w:cs="仿宋"/>
                <w:color w:val="auto"/>
                <w:szCs w:val="21"/>
              </w:rPr>
            </w:pPr>
          </w:p>
        </w:tc>
        <w:tc>
          <w:tcPr>
            <w:tcW w:w="1007" w:type="dxa"/>
            <w:vMerge w:val="continue"/>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7"/>
        <w:tblW w:w="14759"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123"/>
        <w:gridCol w:w="3945"/>
        <w:gridCol w:w="825"/>
        <w:gridCol w:w="1155"/>
        <w:gridCol w:w="3630"/>
        <w:gridCol w:w="15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1"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序号</w:t>
            </w:r>
          </w:p>
        </w:tc>
        <w:tc>
          <w:tcPr>
            <w:tcW w:w="1123"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仿宋" w:hAnsi="仿宋" w:eastAsia="仿宋" w:cs="仿宋"/>
                <w:color w:val="auto"/>
                <w:szCs w:val="21"/>
              </w:rPr>
            </w:pPr>
            <w:r>
              <w:rPr>
                <w:rFonts w:hint="eastAsia" w:ascii="黑体" w:hAnsi="黑体" w:eastAsia="黑体" w:cs="黑体"/>
                <w:color w:val="auto"/>
                <w:sz w:val="24"/>
              </w:rPr>
              <w:t>名称</w:t>
            </w:r>
          </w:p>
        </w:tc>
        <w:tc>
          <w:tcPr>
            <w:tcW w:w="3945"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实施依据</w:t>
            </w:r>
          </w:p>
        </w:tc>
        <w:tc>
          <w:tcPr>
            <w:tcW w:w="825"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职权类别</w:t>
            </w:r>
          </w:p>
        </w:tc>
        <w:tc>
          <w:tcPr>
            <w:tcW w:w="1155"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办理环节</w:t>
            </w:r>
          </w:p>
        </w:tc>
        <w:tc>
          <w:tcPr>
            <w:tcW w:w="3630"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责任事项</w:t>
            </w:r>
          </w:p>
        </w:tc>
        <w:tc>
          <w:tcPr>
            <w:tcW w:w="1545"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追责情形</w:t>
            </w:r>
          </w:p>
        </w:tc>
        <w:tc>
          <w:tcPr>
            <w:tcW w:w="1215"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仿宋" w:hAnsi="仿宋" w:eastAsia="仿宋" w:cs="仿宋"/>
                <w:color w:val="auto"/>
                <w:szCs w:val="21"/>
              </w:rPr>
            </w:pPr>
            <w:r>
              <w:rPr>
                <w:rFonts w:hint="eastAsia" w:ascii="黑体" w:hAnsi="黑体" w:eastAsia="黑体" w:cs="黑体"/>
                <w:color w:val="auto"/>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321"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85</w:t>
            </w:r>
          </w:p>
        </w:tc>
        <w:tc>
          <w:tcPr>
            <w:tcW w:w="1123"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建立健全国有企业绩效评价指标体系,综合考核所监管企业的经营业绩</w:t>
            </w:r>
          </w:p>
        </w:tc>
        <w:tc>
          <w:tcPr>
            <w:tcW w:w="3945"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olor w:val="auto"/>
                <w:sz w:val="21"/>
                <w:szCs w:val="24"/>
              </w:rPr>
              <w:t>《</w:t>
            </w:r>
            <w:r>
              <w:rPr>
                <w:rFonts w:hint="eastAsia" w:ascii="仿宋" w:hAnsi="仿宋" w:eastAsia="仿宋"/>
                <w:color w:val="auto"/>
                <w:sz w:val="21"/>
                <w:szCs w:val="24"/>
                <w:lang w:eastAsia="zh-CN"/>
              </w:rPr>
              <w:t>内乡县</w:t>
            </w:r>
            <w:r>
              <w:rPr>
                <w:rFonts w:hint="eastAsia" w:ascii="仿宋" w:hAnsi="仿宋" w:eastAsia="仿宋"/>
                <w:color w:val="auto"/>
                <w:sz w:val="21"/>
                <w:szCs w:val="24"/>
              </w:rPr>
              <w:t>财政局职能配置、内设机构和人员编制规定》第五条（</w:t>
            </w:r>
            <w:r>
              <w:rPr>
                <w:rFonts w:hint="eastAsia" w:ascii="仿宋" w:hAnsi="仿宋" w:eastAsia="仿宋"/>
                <w:color w:val="auto"/>
                <w:sz w:val="21"/>
                <w:szCs w:val="24"/>
                <w:lang w:eastAsia="zh-CN"/>
              </w:rPr>
              <w:t>十九</w:t>
            </w:r>
            <w:r>
              <w:rPr>
                <w:rFonts w:hint="eastAsia" w:ascii="仿宋" w:hAnsi="仿宋" w:eastAsia="仿宋"/>
                <w:color w:val="auto"/>
                <w:sz w:val="21"/>
                <w:szCs w:val="24"/>
              </w:rPr>
              <w:t>）：“建立健全国有企业绩效评价指标体系,综合考核所监管企业的经营业绩。”</w:t>
            </w:r>
          </w:p>
        </w:tc>
        <w:tc>
          <w:tcPr>
            <w:tcW w:w="825"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15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630" w:type="dxa"/>
            <w:vAlign w:val="center"/>
          </w:tcPr>
          <w:p>
            <w:pPr>
              <w:spacing w:beforeLines="0" w:afterLines="0"/>
              <w:jc w:val="center"/>
              <w:rPr>
                <w:rFonts w:ascii="仿宋" w:hAnsi="仿宋" w:eastAsia="仿宋" w:cs="仿宋"/>
                <w:color w:val="auto"/>
                <w:szCs w:val="21"/>
              </w:rPr>
            </w:pPr>
            <w:r>
              <w:rPr>
                <w:rFonts w:hint="eastAsia" w:ascii="仿宋" w:hAnsi="仿宋" w:eastAsia="仿宋"/>
                <w:color w:val="auto"/>
                <w:sz w:val="21"/>
                <w:szCs w:val="24"/>
              </w:rPr>
              <w:t>1.受理责任：受理企业负责人上报年度（任期）经营业绩目标值完成情况总结分析报告，对其材料的齐全性、内容的完整性进行查验。符合要求的，直接受理。不符合要求的，一次性告知原因及所补材料。</w:t>
            </w:r>
          </w:p>
        </w:tc>
        <w:tc>
          <w:tcPr>
            <w:tcW w:w="1545"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六十九条：履行出资人职责的机构的工作人员玩忽职守、滥用职权、徇私舞弊，尚不构成犯罪的，依法给予处分；第七十五条：违反本法规定，构成犯罪的，依法追究刑事责任。</w:t>
            </w:r>
          </w:p>
        </w:tc>
        <w:tc>
          <w:tcPr>
            <w:tcW w:w="1215"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资产管理股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321" w:type="dxa"/>
            <w:vMerge w:val="continue"/>
          </w:tcPr>
          <w:p>
            <w:pPr>
              <w:autoSpaceDN w:val="0"/>
              <w:snapToGrid w:val="0"/>
              <w:jc w:val="center"/>
              <w:textAlignment w:val="center"/>
              <w:rPr>
                <w:rFonts w:ascii="仿宋" w:hAnsi="仿宋" w:eastAsia="仿宋" w:cs="仿宋"/>
                <w:color w:val="auto"/>
                <w:szCs w:val="21"/>
              </w:rPr>
            </w:pPr>
          </w:p>
        </w:tc>
        <w:tc>
          <w:tcPr>
            <w:tcW w:w="1123" w:type="dxa"/>
            <w:vMerge w:val="continue"/>
            <w:vAlign w:val="center"/>
          </w:tcPr>
          <w:p>
            <w:pPr>
              <w:autoSpaceDN w:val="0"/>
              <w:snapToGrid w:val="0"/>
              <w:jc w:val="center"/>
              <w:textAlignment w:val="center"/>
              <w:rPr>
                <w:rFonts w:ascii="仿宋" w:hAnsi="仿宋" w:eastAsia="仿宋" w:cs="仿宋"/>
                <w:color w:val="auto"/>
                <w:szCs w:val="21"/>
              </w:rPr>
            </w:pPr>
          </w:p>
        </w:tc>
        <w:tc>
          <w:tcPr>
            <w:tcW w:w="3945" w:type="dxa"/>
            <w:vMerge w:val="continue"/>
            <w:vAlign w:val="center"/>
          </w:tcPr>
          <w:p>
            <w:pPr>
              <w:autoSpaceDN w:val="0"/>
              <w:snapToGrid w:val="0"/>
              <w:jc w:val="center"/>
              <w:textAlignment w:val="center"/>
              <w:rPr>
                <w:rFonts w:ascii="仿宋" w:hAnsi="仿宋" w:eastAsia="仿宋" w:cs="仿宋"/>
                <w:color w:val="auto"/>
                <w:szCs w:val="21"/>
              </w:rPr>
            </w:pPr>
          </w:p>
        </w:tc>
        <w:tc>
          <w:tcPr>
            <w:tcW w:w="825" w:type="dxa"/>
            <w:vMerge w:val="continue"/>
            <w:vAlign w:val="center"/>
          </w:tcPr>
          <w:p>
            <w:pPr>
              <w:autoSpaceDN w:val="0"/>
              <w:snapToGrid w:val="0"/>
              <w:jc w:val="center"/>
              <w:textAlignment w:val="center"/>
              <w:rPr>
                <w:rFonts w:ascii="仿宋" w:hAnsi="仿宋" w:eastAsia="仿宋" w:cs="仿宋"/>
                <w:color w:val="auto"/>
                <w:szCs w:val="21"/>
              </w:rPr>
            </w:pPr>
          </w:p>
        </w:tc>
        <w:tc>
          <w:tcPr>
            <w:tcW w:w="115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审核</w:t>
            </w:r>
          </w:p>
        </w:tc>
        <w:tc>
          <w:tcPr>
            <w:tcW w:w="3630" w:type="dxa"/>
            <w:vAlign w:val="center"/>
          </w:tcPr>
          <w:p>
            <w:pPr>
              <w:spacing w:beforeLines="0" w:afterLines="0"/>
              <w:jc w:val="center"/>
              <w:rPr>
                <w:rFonts w:hint="eastAsia" w:ascii="仿宋" w:hAnsi="仿宋" w:eastAsia="仿宋" w:cs="仿宋"/>
                <w:color w:val="auto"/>
                <w:szCs w:val="21"/>
                <w:lang w:val="en-US" w:eastAsia="zh-CN"/>
              </w:rPr>
            </w:pPr>
            <w:r>
              <w:rPr>
                <w:rFonts w:hint="eastAsia" w:ascii="仿宋" w:hAnsi="仿宋" w:eastAsia="仿宋"/>
                <w:color w:val="auto"/>
                <w:sz w:val="21"/>
                <w:szCs w:val="24"/>
              </w:rPr>
              <w:t>2.审核责任：对报送的年度（任期）经营业绩目标值完成情况总结分析报告和企业财务决算报告进行规范性审核</w:t>
            </w:r>
            <w:r>
              <w:rPr>
                <w:rFonts w:hint="eastAsia" w:ascii="仿宋" w:hAnsi="仿宋" w:eastAsia="仿宋"/>
                <w:color w:val="auto"/>
                <w:sz w:val="21"/>
                <w:szCs w:val="24"/>
                <w:lang w:eastAsia="zh-CN"/>
              </w:rPr>
              <w:t>。</w:t>
            </w:r>
          </w:p>
        </w:tc>
        <w:tc>
          <w:tcPr>
            <w:tcW w:w="1545" w:type="dxa"/>
            <w:vMerge w:val="continue"/>
            <w:vAlign w:val="center"/>
          </w:tcPr>
          <w:p>
            <w:pPr>
              <w:autoSpaceDN w:val="0"/>
              <w:snapToGrid w:val="0"/>
              <w:jc w:val="center"/>
              <w:textAlignment w:val="center"/>
              <w:rPr>
                <w:rFonts w:ascii="仿宋" w:hAnsi="仿宋" w:eastAsia="仿宋" w:cs="仿宋"/>
                <w:color w:val="auto"/>
                <w:szCs w:val="21"/>
              </w:rPr>
            </w:pPr>
          </w:p>
        </w:tc>
        <w:tc>
          <w:tcPr>
            <w:tcW w:w="1215"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321" w:type="dxa"/>
            <w:vMerge w:val="continue"/>
          </w:tcPr>
          <w:p>
            <w:pPr>
              <w:autoSpaceDN w:val="0"/>
              <w:snapToGrid w:val="0"/>
              <w:jc w:val="center"/>
              <w:textAlignment w:val="center"/>
              <w:rPr>
                <w:rFonts w:ascii="仿宋" w:hAnsi="仿宋" w:eastAsia="仿宋" w:cs="仿宋"/>
                <w:color w:val="auto"/>
                <w:szCs w:val="21"/>
              </w:rPr>
            </w:pPr>
          </w:p>
        </w:tc>
        <w:tc>
          <w:tcPr>
            <w:tcW w:w="1123" w:type="dxa"/>
            <w:vMerge w:val="continue"/>
            <w:vAlign w:val="center"/>
          </w:tcPr>
          <w:p>
            <w:pPr>
              <w:autoSpaceDN w:val="0"/>
              <w:snapToGrid w:val="0"/>
              <w:jc w:val="center"/>
              <w:textAlignment w:val="center"/>
              <w:rPr>
                <w:rFonts w:ascii="仿宋" w:hAnsi="仿宋" w:eastAsia="仿宋" w:cs="仿宋"/>
                <w:color w:val="auto"/>
                <w:szCs w:val="21"/>
              </w:rPr>
            </w:pPr>
          </w:p>
        </w:tc>
        <w:tc>
          <w:tcPr>
            <w:tcW w:w="3945" w:type="dxa"/>
            <w:vMerge w:val="continue"/>
            <w:vAlign w:val="center"/>
          </w:tcPr>
          <w:p>
            <w:pPr>
              <w:autoSpaceDN w:val="0"/>
              <w:snapToGrid w:val="0"/>
              <w:jc w:val="center"/>
              <w:textAlignment w:val="center"/>
              <w:rPr>
                <w:rFonts w:ascii="仿宋" w:hAnsi="仿宋" w:eastAsia="仿宋" w:cs="仿宋"/>
                <w:color w:val="auto"/>
                <w:szCs w:val="21"/>
              </w:rPr>
            </w:pPr>
          </w:p>
        </w:tc>
        <w:tc>
          <w:tcPr>
            <w:tcW w:w="825" w:type="dxa"/>
            <w:vMerge w:val="continue"/>
            <w:vAlign w:val="center"/>
          </w:tcPr>
          <w:p>
            <w:pPr>
              <w:autoSpaceDN w:val="0"/>
              <w:snapToGrid w:val="0"/>
              <w:jc w:val="center"/>
              <w:textAlignment w:val="center"/>
              <w:rPr>
                <w:rFonts w:ascii="仿宋" w:hAnsi="仿宋" w:eastAsia="仿宋" w:cs="仿宋"/>
                <w:color w:val="auto"/>
                <w:szCs w:val="21"/>
              </w:rPr>
            </w:pPr>
          </w:p>
        </w:tc>
        <w:tc>
          <w:tcPr>
            <w:tcW w:w="115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630" w:type="dxa"/>
            <w:vAlign w:val="center"/>
          </w:tcPr>
          <w:p>
            <w:pPr>
              <w:spacing w:beforeLines="0" w:afterLines="0"/>
              <w:jc w:val="center"/>
              <w:rPr>
                <w:rFonts w:hint="eastAsia" w:ascii="仿宋" w:hAnsi="仿宋" w:eastAsia="仿宋" w:cs="仿宋"/>
                <w:color w:val="auto"/>
                <w:szCs w:val="21"/>
                <w:lang w:eastAsia="zh-CN"/>
              </w:rPr>
            </w:pPr>
            <w:r>
              <w:rPr>
                <w:rFonts w:hint="eastAsia" w:ascii="仿宋" w:hAnsi="仿宋" w:eastAsia="仿宋"/>
                <w:color w:val="auto"/>
                <w:sz w:val="21"/>
                <w:szCs w:val="24"/>
              </w:rPr>
              <w:t>3.决定责任：形成企业负责人经营业绩考核结果与奖惩意见</w:t>
            </w:r>
            <w:r>
              <w:rPr>
                <w:rFonts w:hint="eastAsia" w:ascii="仿宋" w:hAnsi="仿宋" w:eastAsia="仿宋"/>
                <w:color w:val="auto"/>
                <w:sz w:val="21"/>
                <w:szCs w:val="24"/>
                <w:lang w:eastAsia="zh-CN"/>
              </w:rPr>
              <w:t>。</w:t>
            </w:r>
          </w:p>
        </w:tc>
        <w:tc>
          <w:tcPr>
            <w:tcW w:w="1545" w:type="dxa"/>
            <w:vMerge w:val="continue"/>
            <w:vAlign w:val="center"/>
          </w:tcPr>
          <w:p>
            <w:pPr>
              <w:autoSpaceDN w:val="0"/>
              <w:snapToGrid w:val="0"/>
              <w:jc w:val="center"/>
              <w:textAlignment w:val="center"/>
              <w:rPr>
                <w:rFonts w:ascii="仿宋" w:hAnsi="仿宋" w:eastAsia="仿宋" w:cs="仿宋"/>
                <w:color w:val="auto"/>
                <w:szCs w:val="21"/>
              </w:rPr>
            </w:pPr>
          </w:p>
        </w:tc>
        <w:tc>
          <w:tcPr>
            <w:tcW w:w="1215"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321" w:type="dxa"/>
            <w:vMerge w:val="continue"/>
          </w:tcPr>
          <w:p>
            <w:pPr>
              <w:autoSpaceDN w:val="0"/>
              <w:snapToGrid w:val="0"/>
              <w:jc w:val="center"/>
              <w:textAlignment w:val="center"/>
              <w:rPr>
                <w:rFonts w:ascii="仿宋" w:hAnsi="仿宋" w:eastAsia="仿宋" w:cs="仿宋"/>
                <w:color w:val="auto"/>
                <w:szCs w:val="21"/>
              </w:rPr>
            </w:pPr>
          </w:p>
        </w:tc>
        <w:tc>
          <w:tcPr>
            <w:tcW w:w="1123" w:type="dxa"/>
            <w:vMerge w:val="continue"/>
            <w:vAlign w:val="center"/>
          </w:tcPr>
          <w:p>
            <w:pPr>
              <w:autoSpaceDN w:val="0"/>
              <w:snapToGrid w:val="0"/>
              <w:jc w:val="center"/>
              <w:textAlignment w:val="center"/>
              <w:rPr>
                <w:rFonts w:ascii="仿宋" w:hAnsi="仿宋" w:eastAsia="仿宋" w:cs="仿宋"/>
                <w:color w:val="auto"/>
                <w:szCs w:val="21"/>
              </w:rPr>
            </w:pPr>
          </w:p>
        </w:tc>
        <w:tc>
          <w:tcPr>
            <w:tcW w:w="3945" w:type="dxa"/>
            <w:vMerge w:val="continue"/>
            <w:vAlign w:val="center"/>
          </w:tcPr>
          <w:p>
            <w:pPr>
              <w:autoSpaceDN w:val="0"/>
              <w:snapToGrid w:val="0"/>
              <w:jc w:val="center"/>
              <w:textAlignment w:val="center"/>
              <w:rPr>
                <w:rFonts w:ascii="仿宋" w:hAnsi="仿宋" w:eastAsia="仿宋" w:cs="仿宋"/>
                <w:color w:val="auto"/>
                <w:szCs w:val="21"/>
              </w:rPr>
            </w:pPr>
          </w:p>
        </w:tc>
        <w:tc>
          <w:tcPr>
            <w:tcW w:w="825" w:type="dxa"/>
            <w:vMerge w:val="continue"/>
            <w:vAlign w:val="center"/>
          </w:tcPr>
          <w:p>
            <w:pPr>
              <w:autoSpaceDN w:val="0"/>
              <w:snapToGrid w:val="0"/>
              <w:jc w:val="center"/>
              <w:textAlignment w:val="center"/>
              <w:rPr>
                <w:rFonts w:ascii="仿宋" w:hAnsi="仿宋" w:eastAsia="仿宋" w:cs="仿宋"/>
                <w:color w:val="auto"/>
                <w:szCs w:val="21"/>
              </w:rPr>
            </w:pPr>
          </w:p>
        </w:tc>
        <w:tc>
          <w:tcPr>
            <w:tcW w:w="1155"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w:t>
            </w:r>
          </w:p>
        </w:tc>
        <w:tc>
          <w:tcPr>
            <w:tcW w:w="3630" w:type="dxa"/>
            <w:vAlign w:val="center"/>
          </w:tcPr>
          <w:p>
            <w:pPr>
              <w:spacing w:beforeLines="0" w:afterLines="0"/>
              <w:jc w:val="center"/>
              <w:rPr>
                <w:rFonts w:ascii="仿宋" w:hAnsi="仿宋" w:eastAsia="仿宋" w:cs="仿宋"/>
                <w:color w:val="auto"/>
                <w:szCs w:val="21"/>
              </w:rPr>
            </w:pPr>
            <w:r>
              <w:rPr>
                <w:rFonts w:hint="eastAsia" w:ascii="仿宋" w:hAnsi="仿宋" w:eastAsia="仿宋"/>
                <w:color w:val="auto"/>
                <w:sz w:val="21"/>
                <w:szCs w:val="24"/>
              </w:rPr>
              <w:t>4.其他法律法规规章文件规定应履行的责任。</w:t>
            </w:r>
          </w:p>
        </w:tc>
        <w:tc>
          <w:tcPr>
            <w:tcW w:w="1545" w:type="dxa"/>
            <w:vMerge w:val="continue"/>
            <w:vAlign w:val="center"/>
          </w:tcPr>
          <w:p>
            <w:pPr>
              <w:autoSpaceDN w:val="0"/>
              <w:snapToGrid w:val="0"/>
              <w:jc w:val="center"/>
              <w:textAlignment w:val="center"/>
              <w:rPr>
                <w:rFonts w:ascii="仿宋" w:hAnsi="仿宋" w:eastAsia="仿宋" w:cs="仿宋"/>
                <w:color w:val="auto"/>
                <w:szCs w:val="21"/>
              </w:rPr>
            </w:pPr>
          </w:p>
        </w:tc>
        <w:tc>
          <w:tcPr>
            <w:tcW w:w="1215" w:type="dxa"/>
            <w:vMerge w:val="continue"/>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279"/>
        <w:gridCol w:w="3529"/>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27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5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6123" w:hRule="atLeast"/>
          <w:jc w:val="center"/>
        </w:trPr>
        <w:tc>
          <w:tcPr>
            <w:tcW w:w="114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86</w:t>
            </w:r>
          </w:p>
        </w:tc>
        <w:tc>
          <w:tcPr>
            <w:tcW w:w="184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指导所监管企业建立健全会计和财务管理制度，指导所监管企业总会计师(财务总监)业务工作</w:t>
            </w:r>
          </w:p>
        </w:tc>
        <w:tc>
          <w:tcPr>
            <w:tcW w:w="3300" w:type="dxa"/>
            <w:tcBorders>
              <w:top w:val="single" w:color="auto" w:sz="4" w:space="0"/>
              <w:left w:val="single" w:color="000000" w:sz="4" w:space="0"/>
              <w:bottom w:val="single" w:color="auto"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《内乡县财政局职能配置、内设机构和人员编制规定》第五条（十九）</w:t>
            </w:r>
            <w:r>
              <w:rPr>
                <w:rFonts w:hint="eastAsia" w:ascii="仿宋" w:hAnsi="仿宋" w:eastAsia="仿宋" w:cs="仿宋"/>
                <w:color w:val="auto"/>
                <w:szCs w:val="21"/>
                <w:lang w:eastAsia="zh-CN"/>
              </w:rPr>
              <w:t>：</w:t>
            </w:r>
            <w:r>
              <w:rPr>
                <w:rFonts w:hint="eastAsia" w:ascii="仿宋" w:hAnsi="仿宋" w:eastAsia="仿宋" w:cs="仿宋"/>
                <w:color w:val="auto"/>
                <w:szCs w:val="21"/>
              </w:rPr>
              <w:t>“指导所监管企业建立健全会计和财务管理制度，指导所监管企业总会计师(财务总监)业务工作”</w:t>
            </w:r>
          </w:p>
        </w:tc>
        <w:tc>
          <w:tcPr>
            <w:tcW w:w="105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279"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指导</w:t>
            </w:r>
          </w:p>
        </w:tc>
        <w:tc>
          <w:tcPr>
            <w:tcW w:w="35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kern w:val="0"/>
                <w:szCs w:val="21"/>
              </w:rPr>
              <w:t>指导所监管企业建立健全会计和财务管理制度，指导所监管企业总会计师(财务总监)业务工作</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kern w:val="0"/>
                <w:szCs w:val="21"/>
              </w:rPr>
              <w:t>《中华人民共和国企业国有资产法》第六十九条：履行出资人职责的机构的工作人员玩忽职守、滥用职权、徇私舞弊，尚不构成犯罪的，依法给予处分；第七十五条：违反本法规定，构成犯罪的，依法追究刑事责任。</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 w:val="21"/>
                <w:szCs w:val="21"/>
                <w:lang w:eastAsia="zh-CN"/>
              </w:rPr>
              <w:t>资产股</w:t>
            </w:r>
          </w:p>
        </w:tc>
      </w:tr>
    </w:tbl>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br w:type="page"/>
      </w:r>
    </w:p>
    <w:tbl>
      <w:tblPr>
        <w:tblStyle w:val="7"/>
        <w:tblW w:w="15975" w:type="dxa"/>
        <w:tblInd w:w="-1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71"/>
        <w:gridCol w:w="6679"/>
        <w:gridCol w:w="1205"/>
        <w:gridCol w:w="821"/>
        <w:gridCol w:w="2244"/>
        <w:gridCol w:w="196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序号</w:t>
            </w:r>
          </w:p>
        </w:tc>
        <w:tc>
          <w:tcPr>
            <w:tcW w:w="1171"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项目</w:t>
            </w:r>
          </w:p>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名称</w:t>
            </w:r>
          </w:p>
        </w:tc>
        <w:tc>
          <w:tcPr>
            <w:tcW w:w="6679"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实施依据</w:t>
            </w:r>
          </w:p>
        </w:tc>
        <w:tc>
          <w:tcPr>
            <w:tcW w:w="1205"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职权类别</w:t>
            </w:r>
          </w:p>
        </w:tc>
        <w:tc>
          <w:tcPr>
            <w:tcW w:w="821"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办理环节</w:t>
            </w:r>
          </w:p>
        </w:tc>
        <w:tc>
          <w:tcPr>
            <w:tcW w:w="2244"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责任事项</w:t>
            </w:r>
          </w:p>
        </w:tc>
        <w:tc>
          <w:tcPr>
            <w:tcW w:w="1966"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936" w:type="dxa"/>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责任</w:t>
            </w:r>
          </w:p>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53" w:type="dxa"/>
            <w:vMerge w:val="restart"/>
          </w:tcPr>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87</w:t>
            </w:r>
          </w:p>
        </w:tc>
        <w:tc>
          <w:tcPr>
            <w:tcW w:w="1171"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负责所监管企业国有资产的产权界定、产权登记、资产评估监管、清产核资、资产统计、综合评价等基础管理工作，拟订监管企业资产财务监管制度并组织实施</w:t>
            </w:r>
          </w:p>
        </w:tc>
        <w:tc>
          <w:tcPr>
            <w:tcW w:w="6679"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企业国有资产产权登记管理办法》(国务院令第192号）第三条：“国有企业、国有独资公司、持有国家版权的单位以及以其他形式占有国有资产的企业（以下统称企业），应当依照本办法的规定办理产权登记。”第五条：“县级以上各级人民政府国有资产管理部门，按照产权归属关系办理产权登记。”《企业国有资产监督管理暂行条例》（2019年3月2日《国务院关于修改部分行政法规的决定》）第二十九条：“国有资产监督管理机构依照国家有关规定，负责企业国有资产的产权界定、产权登记、资产评估监管、清产核资、资产统计、综合评价等基础管理工作。”《企业国有资产产权登记管理办法实施细则》(财管字〔2000〕116号）第十五条：“申请取得法人资格的企业应当于申请办理工商注册登记前30日内，向财政（国有资产管理）部门办理产权登记，填写《企业国有资产占有产权登记表》……。”第二十条：“企业发生下列情形之一的，应当申办变动产权登记：企业名称、住所或法定代表人改变的；企业组织形式发生变动的；企业国有资本额发生增减变动的；企业国有资本出资人发生变动的；产权登记机关规定的其他变动情形。”第二十六条：“企业发生下列情形之一的，应当向原产权登记机关申办注销产权登记：……”第三十条：“企业应当于每个公历年度终了后90日内，办理工商年检登记之前，向原产权登记机关申办产权登记年度检查。”第三十三条：“年检合格后，由产权登记机关在企业产权登记证副本和年度检查表上加盖年检合格章。”《地方金融企业财务监督管理办法》（财金〔2010〕56号）第六条：“地方金融企业应在完成工商登记之日起30日内，按财务隶属关系向地方财政部门办理财务登记。地方财政部门应建立登记档案，作为地方金融企业财务监督管理基础资料，以及作为对其实施考核、评价、财政支持政策等的依据。”第七条：“地方金融企业首次申请办理财务登记的，应提交以下资料……”第八条：“地方金融企业下列情况发生变化时，从发生之日起30日内，向地方财政部门办理变更财务登记……”第九条:“地方金融企业发生以下情形，应办理移交登记手续或注销财务登记……。”</w:t>
            </w:r>
          </w:p>
        </w:tc>
        <w:tc>
          <w:tcPr>
            <w:tcW w:w="1205"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821"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2244"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1、受理责任：明确告知申报单位依法应当提交的材料，一次性告知需补齐材料，依法受理或不予受理（不予受理的需明确告知理由）。</w:t>
            </w:r>
          </w:p>
        </w:tc>
        <w:tc>
          <w:tcPr>
            <w:tcW w:w="1966"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《企业国有资产产权登记管理办法》第十五条：国有资产管理部门工作人员在办理产权登记中玩忽职守、徇私舞弊、滥用职权、谋取私利，构成犯罪的，依法追究刑事责任；尚不构成犯罪的，依法给予行政处分。</w:t>
            </w:r>
          </w:p>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行政单位国有资产管理暂行办法》第五十条：财政部门、行政单位及其工作人员违反本办法的规定，擅自占有、使用、处置国有资产的，按照《财政违法行为处罚处分条例》处理。违反国家国有资产管理规定的其他行为，按国家有关法律法规处理。</w:t>
            </w:r>
          </w:p>
        </w:tc>
        <w:tc>
          <w:tcPr>
            <w:tcW w:w="936"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县属功能类公益类企业国有资产监管办公室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 w:type="dxa"/>
            <w:vMerge w:val="continue"/>
          </w:tcPr>
          <w:p>
            <w:pPr>
              <w:autoSpaceDN w:val="0"/>
              <w:snapToGrid w:val="0"/>
              <w:jc w:val="center"/>
              <w:textAlignment w:val="center"/>
              <w:rPr>
                <w:rFonts w:ascii="仿宋" w:hAnsi="仿宋" w:eastAsia="仿宋" w:cs="仿宋"/>
                <w:color w:val="auto"/>
                <w:szCs w:val="21"/>
              </w:rPr>
            </w:pPr>
          </w:p>
        </w:tc>
        <w:tc>
          <w:tcPr>
            <w:tcW w:w="1171" w:type="dxa"/>
            <w:vMerge w:val="continue"/>
            <w:vAlign w:val="center"/>
          </w:tcPr>
          <w:p>
            <w:pPr>
              <w:autoSpaceDN w:val="0"/>
              <w:snapToGrid w:val="0"/>
              <w:jc w:val="center"/>
              <w:textAlignment w:val="center"/>
              <w:rPr>
                <w:rFonts w:ascii="仿宋" w:hAnsi="仿宋" w:eastAsia="仿宋" w:cs="仿宋"/>
                <w:color w:val="auto"/>
                <w:szCs w:val="21"/>
              </w:rPr>
            </w:pPr>
          </w:p>
        </w:tc>
        <w:tc>
          <w:tcPr>
            <w:tcW w:w="6679" w:type="dxa"/>
            <w:vMerge w:val="continue"/>
            <w:vAlign w:val="center"/>
          </w:tcPr>
          <w:p>
            <w:pPr>
              <w:autoSpaceDN w:val="0"/>
              <w:snapToGrid w:val="0"/>
              <w:jc w:val="center"/>
              <w:textAlignment w:val="center"/>
              <w:rPr>
                <w:rFonts w:ascii="仿宋" w:hAnsi="仿宋" w:eastAsia="仿宋" w:cs="仿宋"/>
                <w:color w:val="auto"/>
                <w:szCs w:val="21"/>
              </w:rPr>
            </w:pPr>
          </w:p>
        </w:tc>
        <w:tc>
          <w:tcPr>
            <w:tcW w:w="1205" w:type="dxa"/>
            <w:vMerge w:val="continue"/>
            <w:vAlign w:val="center"/>
          </w:tcPr>
          <w:p>
            <w:pPr>
              <w:autoSpaceDN w:val="0"/>
              <w:snapToGrid w:val="0"/>
              <w:jc w:val="center"/>
              <w:textAlignment w:val="center"/>
              <w:rPr>
                <w:rFonts w:ascii="仿宋" w:hAnsi="仿宋" w:eastAsia="仿宋" w:cs="仿宋"/>
                <w:color w:val="auto"/>
                <w:szCs w:val="21"/>
              </w:rPr>
            </w:pPr>
          </w:p>
        </w:tc>
        <w:tc>
          <w:tcPr>
            <w:tcW w:w="821"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224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2、审查责任：按照国家和我省关于产权登记、清单核资、资产监管等相关规定对申报材料进行审查；组织相关人员或股室对材料进行评审论证，提出审核意见，需要上报有关部门的按程序规定上报。</w:t>
            </w:r>
          </w:p>
        </w:tc>
        <w:tc>
          <w:tcPr>
            <w:tcW w:w="1966" w:type="dxa"/>
            <w:vMerge w:val="continue"/>
            <w:vAlign w:val="center"/>
          </w:tcPr>
          <w:p>
            <w:pPr>
              <w:autoSpaceDN w:val="0"/>
              <w:snapToGrid w:val="0"/>
              <w:jc w:val="center"/>
              <w:textAlignment w:val="center"/>
              <w:rPr>
                <w:rFonts w:ascii="仿宋" w:hAnsi="仿宋" w:eastAsia="仿宋" w:cs="仿宋"/>
                <w:color w:val="auto"/>
                <w:szCs w:val="21"/>
              </w:rPr>
            </w:pPr>
          </w:p>
        </w:tc>
        <w:tc>
          <w:tcPr>
            <w:tcW w:w="936"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 w:type="dxa"/>
            <w:vMerge w:val="continue"/>
          </w:tcPr>
          <w:p>
            <w:pPr>
              <w:autoSpaceDN w:val="0"/>
              <w:snapToGrid w:val="0"/>
              <w:jc w:val="center"/>
              <w:textAlignment w:val="center"/>
              <w:rPr>
                <w:rFonts w:ascii="仿宋" w:hAnsi="仿宋" w:eastAsia="仿宋" w:cs="仿宋"/>
                <w:color w:val="auto"/>
                <w:szCs w:val="21"/>
              </w:rPr>
            </w:pPr>
          </w:p>
        </w:tc>
        <w:tc>
          <w:tcPr>
            <w:tcW w:w="1171" w:type="dxa"/>
            <w:vMerge w:val="continue"/>
            <w:vAlign w:val="center"/>
          </w:tcPr>
          <w:p>
            <w:pPr>
              <w:autoSpaceDN w:val="0"/>
              <w:snapToGrid w:val="0"/>
              <w:jc w:val="center"/>
              <w:textAlignment w:val="center"/>
              <w:rPr>
                <w:rFonts w:ascii="仿宋" w:hAnsi="仿宋" w:eastAsia="仿宋" w:cs="仿宋"/>
                <w:color w:val="auto"/>
                <w:szCs w:val="21"/>
              </w:rPr>
            </w:pPr>
          </w:p>
        </w:tc>
        <w:tc>
          <w:tcPr>
            <w:tcW w:w="6679" w:type="dxa"/>
            <w:vMerge w:val="continue"/>
            <w:vAlign w:val="center"/>
          </w:tcPr>
          <w:p>
            <w:pPr>
              <w:autoSpaceDN w:val="0"/>
              <w:snapToGrid w:val="0"/>
              <w:jc w:val="center"/>
              <w:textAlignment w:val="center"/>
              <w:rPr>
                <w:rFonts w:ascii="仿宋" w:hAnsi="仿宋" w:eastAsia="仿宋" w:cs="仿宋"/>
                <w:color w:val="auto"/>
                <w:szCs w:val="21"/>
              </w:rPr>
            </w:pPr>
          </w:p>
        </w:tc>
        <w:tc>
          <w:tcPr>
            <w:tcW w:w="1205" w:type="dxa"/>
            <w:vMerge w:val="continue"/>
            <w:vAlign w:val="center"/>
          </w:tcPr>
          <w:p>
            <w:pPr>
              <w:autoSpaceDN w:val="0"/>
              <w:snapToGrid w:val="0"/>
              <w:jc w:val="center"/>
              <w:textAlignment w:val="center"/>
              <w:rPr>
                <w:rFonts w:ascii="仿宋" w:hAnsi="仿宋" w:eastAsia="仿宋" w:cs="仿宋"/>
                <w:color w:val="auto"/>
                <w:szCs w:val="21"/>
              </w:rPr>
            </w:pPr>
          </w:p>
        </w:tc>
        <w:tc>
          <w:tcPr>
            <w:tcW w:w="821" w:type="dxa"/>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224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3、决定责任:做出决定。审核同意的，制作结果认定文件，审核不同意的，以便函形式告知申请单位。</w:t>
            </w:r>
          </w:p>
        </w:tc>
        <w:tc>
          <w:tcPr>
            <w:tcW w:w="1966" w:type="dxa"/>
            <w:vMerge w:val="continue"/>
            <w:vAlign w:val="center"/>
          </w:tcPr>
          <w:p>
            <w:pPr>
              <w:autoSpaceDN w:val="0"/>
              <w:snapToGrid w:val="0"/>
              <w:jc w:val="center"/>
              <w:textAlignment w:val="center"/>
              <w:rPr>
                <w:rFonts w:ascii="仿宋" w:hAnsi="仿宋" w:eastAsia="仿宋" w:cs="仿宋"/>
                <w:color w:val="auto"/>
                <w:szCs w:val="21"/>
              </w:rPr>
            </w:pPr>
          </w:p>
        </w:tc>
        <w:tc>
          <w:tcPr>
            <w:tcW w:w="936"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953" w:type="dxa"/>
            <w:vMerge w:val="continue"/>
          </w:tcPr>
          <w:p>
            <w:pPr>
              <w:autoSpaceDN w:val="0"/>
              <w:snapToGrid w:val="0"/>
              <w:jc w:val="center"/>
              <w:textAlignment w:val="center"/>
              <w:rPr>
                <w:rFonts w:ascii="仿宋" w:hAnsi="仿宋" w:eastAsia="仿宋" w:cs="仿宋"/>
                <w:color w:val="auto"/>
                <w:szCs w:val="21"/>
              </w:rPr>
            </w:pPr>
          </w:p>
        </w:tc>
        <w:tc>
          <w:tcPr>
            <w:tcW w:w="1171" w:type="dxa"/>
            <w:vMerge w:val="continue"/>
            <w:vAlign w:val="center"/>
          </w:tcPr>
          <w:p>
            <w:pPr>
              <w:autoSpaceDN w:val="0"/>
              <w:snapToGrid w:val="0"/>
              <w:jc w:val="center"/>
              <w:textAlignment w:val="center"/>
              <w:rPr>
                <w:rFonts w:ascii="仿宋" w:hAnsi="仿宋" w:eastAsia="仿宋" w:cs="仿宋"/>
                <w:color w:val="auto"/>
                <w:szCs w:val="21"/>
              </w:rPr>
            </w:pPr>
          </w:p>
        </w:tc>
        <w:tc>
          <w:tcPr>
            <w:tcW w:w="6679" w:type="dxa"/>
            <w:vMerge w:val="continue"/>
            <w:vAlign w:val="center"/>
          </w:tcPr>
          <w:p>
            <w:pPr>
              <w:autoSpaceDN w:val="0"/>
              <w:snapToGrid w:val="0"/>
              <w:jc w:val="center"/>
              <w:textAlignment w:val="center"/>
              <w:rPr>
                <w:rFonts w:ascii="仿宋" w:hAnsi="仿宋" w:eastAsia="仿宋" w:cs="仿宋"/>
                <w:color w:val="auto"/>
                <w:szCs w:val="21"/>
              </w:rPr>
            </w:pPr>
          </w:p>
        </w:tc>
        <w:tc>
          <w:tcPr>
            <w:tcW w:w="1205" w:type="dxa"/>
            <w:vMerge w:val="continue"/>
            <w:vAlign w:val="center"/>
          </w:tcPr>
          <w:p>
            <w:pPr>
              <w:autoSpaceDN w:val="0"/>
              <w:snapToGrid w:val="0"/>
              <w:jc w:val="center"/>
              <w:textAlignment w:val="center"/>
              <w:rPr>
                <w:rFonts w:ascii="仿宋" w:hAnsi="仿宋" w:eastAsia="仿宋" w:cs="仿宋"/>
                <w:color w:val="auto"/>
                <w:szCs w:val="21"/>
              </w:rPr>
            </w:pPr>
          </w:p>
        </w:tc>
        <w:tc>
          <w:tcPr>
            <w:tcW w:w="821" w:type="dxa"/>
            <w:vAlign w:val="center"/>
          </w:tcPr>
          <w:p>
            <w:pPr>
              <w:autoSpaceDN w:val="0"/>
              <w:snapToGrid w:val="0"/>
              <w:jc w:val="center"/>
              <w:textAlignment w:val="center"/>
              <w:rPr>
                <w:rFonts w:ascii="仿宋" w:hAnsi="仿宋" w:eastAsia="仿宋" w:cs="仿宋"/>
                <w:color w:val="auto"/>
                <w:szCs w:val="21"/>
              </w:rPr>
            </w:pPr>
          </w:p>
        </w:tc>
        <w:tc>
          <w:tcPr>
            <w:tcW w:w="2244"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4、对所监管企业方案落实情况进行检查。</w:t>
            </w:r>
          </w:p>
        </w:tc>
        <w:tc>
          <w:tcPr>
            <w:tcW w:w="1966" w:type="dxa"/>
            <w:vMerge w:val="continue"/>
            <w:vAlign w:val="center"/>
          </w:tcPr>
          <w:p>
            <w:pPr>
              <w:autoSpaceDN w:val="0"/>
              <w:snapToGrid w:val="0"/>
              <w:jc w:val="center"/>
              <w:textAlignment w:val="center"/>
              <w:rPr>
                <w:rFonts w:ascii="仿宋" w:hAnsi="仿宋" w:eastAsia="仿宋" w:cs="仿宋"/>
                <w:color w:val="auto"/>
                <w:szCs w:val="21"/>
              </w:rPr>
            </w:pPr>
          </w:p>
        </w:tc>
        <w:tc>
          <w:tcPr>
            <w:tcW w:w="936" w:type="dxa"/>
            <w:vMerge w:val="continue"/>
            <w:vAlign w:val="center"/>
          </w:tcPr>
          <w:p>
            <w:pPr>
              <w:autoSpaceDN w:val="0"/>
              <w:snapToGrid w:val="0"/>
              <w:jc w:val="center"/>
              <w:textAlignment w:val="center"/>
              <w:rPr>
                <w:rFonts w:ascii="仿宋" w:hAnsi="仿宋" w:eastAsia="仿宋" w:cs="仿宋"/>
                <w:color w:val="auto"/>
                <w:szCs w:val="21"/>
              </w:rPr>
            </w:pPr>
          </w:p>
        </w:tc>
      </w:tr>
    </w:tbl>
    <w:p>
      <w:pPr>
        <w:rPr>
          <w:color w:val="auto"/>
        </w:rPr>
      </w:pPr>
    </w:p>
    <w:p>
      <w:pPr>
        <w:rPr>
          <w:color w:val="auto"/>
        </w:rPr>
      </w:pP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376" w:hRule="atLeast"/>
          <w:jc w:val="center"/>
        </w:trPr>
        <w:tc>
          <w:tcPr>
            <w:tcW w:w="1144"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88</w:t>
            </w:r>
          </w:p>
        </w:tc>
        <w:tc>
          <w:tcPr>
            <w:tcW w:w="1847"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中标成交结果变更备案</w:t>
            </w:r>
          </w:p>
          <w:p>
            <w:pPr>
              <w:autoSpaceDN w:val="0"/>
              <w:snapToGrid w:val="0"/>
              <w:jc w:val="center"/>
              <w:textAlignment w:val="center"/>
              <w:rPr>
                <w:rFonts w:ascii="仿宋" w:hAnsi="仿宋" w:eastAsia="仿宋" w:cs="仿宋"/>
                <w:color w:val="auto"/>
                <w:szCs w:val="21"/>
              </w:rPr>
            </w:pPr>
          </w:p>
        </w:tc>
        <w:tc>
          <w:tcPr>
            <w:tcW w:w="3300"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关于进一步规范政府采购评审工作有关问题的通知》（财库〔2012〕69号）第四部分第四段：“妥善处理评审中的特殊情形：质疑答复导致中标成交结果改变的，采购人或代理机构应当将相关情况报财政部门备案。”</w:t>
            </w:r>
          </w:p>
        </w:tc>
        <w:tc>
          <w:tcPr>
            <w:tcW w:w="105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1.受理责任：受理采购人或代理机构申请资料，一次性告知所需备案材料。</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1011"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2.审查责任：审查采购项目质疑答复情况。</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71"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备案</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3.备案责任：质疑答复合法且导致中标成交结果改变的，同意备案。</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4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监督管理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4.管理责任：监督中标成交结果改变后结果公告等。</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2675"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　</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color w:val="auto"/>
        </w:rPr>
      </w:pPr>
      <w:r>
        <w:rPr>
          <w:rFonts w:ascii="仿宋" w:hAnsi="仿宋" w:eastAsia="仿宋" w:cs="仿宋"/>
          <w:color w:val="auto"/>
          <w:szCs w:val="21"/>
        </w:rPr>
        <w:br w:type="page"/>
      </w:r>
    </w:p>
    <w:tbl>
      <w:tblPr>
        <w:tblStyle w:val="6"/>
        <w:tblW w:w="15450" w:type="dxa"/>
        <w:jc w:val="center"/>
        <w:tblLayout w:type="fixed"/>
        <w:tblCellMar>
          <w:top w:w="0" w:type="dxa"/>
          <w:left w:w="0" w:type="dxa"/>
          <w:bottom w:w="0" w:type="dxa"/>
          <w:right w:w="0" w:type="dxa"/>
        </w:tblCellMar>
      </w:tblPr>
      <w:tblGrid>
        <w:gridCol w:w="1144"/>
        <w:gridCol w:w="1847"/>
        <w:gridCol w:w="3300"/>
        <w:gridCol w:w="1059"/>
        <w:gridCol w:w="1485"/>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8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3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4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204" w:hRule="atLeast"/>
          <w:jc w:val="center"/>
        </w:trPr>
        <w:tc>
          <w:tcPr>
            <w:tcW w:w="1144" w:type="dxa"/>
            <w:vMerge w:val="restart"/>
            <w:tcBorders>
              <w:top w:val="single" w:color="auto" w:sz="4" w:space="0"/>
              <w:left w:val="single" w:color="auto" w:sz="4" w:space="0"/>
              <w:bottom w:val="nil"/>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89</w:t>
            </w:r>
          </w:p>
        </w:tc>
        <w:tc>
          <w:tcPr>
            <w:tcW w:w="1847" w:type="dxa"/>
            <w:vMerge w:val="restart"/>
            <w:tcBorders>
              <w:top w:val="single" w:color="auto"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政府采购方式变更批准</w:t>
            </w:r>
          </w:p>
          <w:p>
            <w:pPr>
              <w:autoSpaceDN w:val="0"/>
              <w:snapToGrid w:val="0"/>
              <w:jc w:val="center"/>
              <w:textAlignment w:val="center"/>
              <w:rPr>
                <w:rFonts w:ascii="仿宋" w:hAnsi="仿宋" w:eastAsia="仿宋" w:cs="仿宋"/>
                <w:color w:val="auto"/>
                <w:szCs w:val="21"/>
              </w:rPr>
            </w:pPr>
          </w:p>
        </w:tc>
        <w:tc>
          <w:tcPr>
            <w:tcW w:w="3300" w:type="dxa"/>
            <w:vMerge w:val="restart"/>
            <w:tcBorders>
              <w:top w:val="single" w:color="auto" w:sz="4" w:space="0"/>
              <w:left w:val="single" w:color="000000" w:sz="4" w:space="0"/>
              <w:bottom w:val="nil"/>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《中华人民共和国政府采购法》第二十七条：“因特殊情况需要采用公开招标以外采购方式的，应该在采购活动开始前获得设区的市、自治州以上人民政府政府采购监督管理部门的批准。” 第三十七条：“废标后，除采购任务取消情形外，应当重新组织招标；需要采取其他方式采购的，应该在采购活动开始前获得设区的市、自治州以上人民政府政府采购监督管理部门或者政府有关部门的批准。”</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    《中华人民共和国政府采购法实施条例》（国务院令658号）第二十三条：“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Pr>
                <w:rFonts w:hint="eastAsia" w:ascii="仿宋" w:hAnsi="仿宋" w:eastAsia="仿宋" w:cs="仿宋"/>
                <w:color w:val="auto"/>
                <w:szCs w:val="21"/>
              </w:rPr>
              <w:br w:type="textWrapping"/>
            </w:r>
            <w:r>
              <w:rPr>
                <w:rFonts w:hint="eastAsia" w:ascii="仿宋" w:hAnsi="仿宋" w:eastAsia="仿宋" w:cs="仿宋"/>
                <w:color w:val="auto"/>
                <w:szCs w:val="21"/>
              </w:rPr>
              <w:t xml:space="preserve">    《政府采购非招标采购方式管理办法》（财政部令第74号）第四条：“达到公开招标数额标准的货物、服务采购项目，拟采用非招标采购方式的，采购人应当在采购活动开始前，报经主管预算单位同意后，向设区的市、自治州以上人民政府财政部门申请批准。”</w:t>
            </w:r>
          </w:p>
        </w:tc>
        <w:tc>
          <w:tcPr>
            <w:tcW w:w="1059" w:type="dxa"/>
            <w:vMerge w:val="restart"/>
            <w:tcBorders>
              <w:top w:val="single" w:color="auto" w:sz="4" w:space="0"/>
              <w:left w:val="single" w:color="000000" w:sz="4" w:space="0"/>
              <w:bottom w:val="nil"/>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485" w:type="dxa"/>
            <w:tcBorders>
              <w:top w:val="single" w:color="auto" w:sz="4" w:space="0"/>
              <w:left w:val="single" w:color="000000"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323" w:type="dxa"/>
            <w:tcBorders>
              <w:top w:val="single" w:color="auto" w:sz="4" w:space="0"/>
              <w:left w:val="single" w:color="auto" w:sz="4" w:space="0"/>
              <w:bottom w:val="nil"/>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1.受理责任：受理采购人或代理机构申请资料，告知申请材料是否齐全。</w:t>
            </w:r>
          </w:p>
        </w:tc>
        <w:tc>
          <w:tcPr>
            <w:tcW w:w="1646"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《中华人民共和国政府采购法》第八十条：政府采购监督管理部门的工作人员在实施监督检查中违反规定滥用职权，玩忽职守，徇私舞弊的，依法给与行政处分；构成犯罪的，依法追究刑事责任。</w:t>
            </w:r>
          </w:p>
        </w:tc>
        <w:tc>
          <w:tcPr>
            <w:tcW w:w="1646" w:type="dxa"/>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政府采购监督管理股</w:t>
            </w:r>
          </w:p>
        </w:tc>
      </w:tr>
      <w:tr>
        <w:tblPrEx>
          <w:tblCellMar>
            <w:top w:w="0" w:type="dxa"/>
            <w:left w:w="0" w:type="dxa"/>
            <w:bottom w:w="0" w:type="dxa"/>
            <w:right w:w="0" w:type="dxa"/>
          </w:tblCellMar>
        </w:tblPrEx>
        <w:trPr>
          <w:trHeight w:val="807" w:hRule="atLeast"/>
          <w:jc w:val="center"/>
        </w:trPr>
        <w:tc>
          <w:tcPr>
            <w:tcW w:w="1144" w:type="dxa"/>
            <w:vMerge w:val="continue"/>
            <w:tcBorders>
              <w:top w:val="nil"/>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top w:val="nil"/>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top w:val="nil"/>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nil"/>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审查</w:t>
            </w:r>
          </w:p>
        </w:tc>
        <w:tc>
          <w:tcPr>
            <w:tcW w:w="33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2.审查责任：依据政府采购法律法规规定的情形审核申请材料。材料不齐全的，通知申请人修改补充。</w:t>
            </w:r>
          </w:p>
        </w:tc>
        <w:tc>
          <w:tcPr>
            <w:tcW w:w="1646" w:type="dxa"/>
            <w:vMerge w:val="continue"/>
            <w:tcBorders>
              <w:top w:val="nil"/>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175"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3.决定责任：符合法律法规规定的情形的，同意变更方式；不符合条件的，告知申请人不予变更的理由。</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93" w:hRule="atLeast"/>
          <w:jc w:val="center"/>
        </w:trPr>
        <w:tc>
          <w:tcPr>
            <w:tcW w:w="1144"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监督管理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4.管理责任：监督采购方式变更后采购活动依法进行。</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393" w:hRule="atLeast"/>
          <w:jc w:val="center"/>
        </w:trPr>
        <w:tc>
          <w:tcPr>
            <w:tcW w:w="1144"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84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300"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5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8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　</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p>
    <w:tbl>
      <w:tblPr>
        <w:tblStyle w:val="6"/>
        <w:tblW w:w="15450" w:type="dxa"/>
        <w:jc w:val="center"/>
        <w:tblLayout w:type="fixed"/>
        <w:tblCellMar>
          <w:top w:w="0" w:type="dxa"/>
          <w:left w:w="0" w:type="dxa"/>
          <w:bottom w:w="0" w:type="dxa"/>
          <w:right w:w="0" w:type="dxa"/>
        </w:tblCellMar>
      </w:tblPr>
      <w:tblGrid>
        <w:gridCol w:w="798"/>
        <w:gridCol w:w="1447"/>
        <w:gridCol w:w="5368"/>
        <w:gridCol w:w="1018"/>
        <w:gridCol w:w="1264"/>
        <w:gridCol w:w="2263"/>
        <w:gridCol w:w="1646"/>
        <w:gridCol w:w="1646"/>
      </w:tblGrid>
      <w:tr>
        <w:tblPrEx>
          <w:tblCellMar>
            <w:top w:w="0" w:type="dxa"/>
            <w:left w:w="0" w:type="dxa"/>
            <w:bottom w:w="0" w:type="dxa"/>
            <w:right w:w="0" w:type="dxa"/>
          </w:tblCellMar>
        </w:tblPrEx>
        <w:trPr>
          <w:trHeight w:val="635"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黑体" w:hAnsi="黑体" w:eastAsia="黑体" w:cs="黑体"/>
                <w:color w:val="auto"/>
                <w:sz w:val="24"/>
              </w:rPr>
            </w:pPr>
            <w:r>
              <w:rPr>
                <w:rFonts w:hint="eastAsia" w:ascii="黑体" w:hAnsi="黑体" w:eastAsia="黑体" w:cs="黑体"/>
                <w:color w:val="auto"/>
                <w:sz w:val="24"/>
              </w:rPr>
              <w:t>名称</w:t>
            </w:r>
          </w:p>
        </w:tc>
        <w:tc>
          <w:tcPr>
            <w:tcW w:w="53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实施依据</w:t>
            </w:r>
          </w:p>
        </w:tc>
        <w:tc>
          <w:tcPr>
            <w:tcW w:w="101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职权类别</w:t>
            </w:r>
          </w:p>
        </w:tc>
        <w:tc>
          <w:tcPr>
            <w:tcW w:w="126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办理环节</w:t>
            </w:r>
          </w:p>
        </w:tc>
        <w:tc>
          <w:tcPr>
            <w:tcW w:w="22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kern w:val="0"/>
                <w:sz w:val="24"/>
              </w:rPr>
            </w:pPr>
            <w:r>
              <w:rPr>
                <w:rFonts w:hint="eastAsia" w:ascii="黑体" w:hAnsi="黑体" w:eastAsia="黑体" w:cs="黑体"/>
                <w:color w:val="auto"/>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黑体" w:hAnsi="黑体" w:eastAsia="黑体" w:cs="黑体"/>
                <w:color w:val="auto"/>
                <w:sz w:val="24"/>
              </w:rPr>
            </w:pPr>
            <w:r>
              <w:rPr>
                <w:rFonts w:hint="eastAsia" w:ascii="黑体" w:hAnsi="黑体" w:eastAsia="黑体" w:cs="黑体"/>
                <w:color w:val="auto"/>
                <w:sz w:val="24"/>
              </w:rPr>
              <w:t>处室</w:t>
            </w:r>
          </w:p>
        </w:tc>
      </w:tr>
      <w:tr>
        <w:tblPrEx>
          <w:tblCellMar>
            <w:top w:w="0" w:type="dxa"/>
            <w:left w:w="0" w:type="dxa"/>
            <w:bottom w:w="0" w:type="dxa"/>
            <w:right w:w="0" w:type="dxa"/>
          </w:tblCellMar>
        </w:tblPrEx>
        <w:trPr>
          <w:trHeight w:val="3912" w:hRule="atLeast"/>
          <w:jc w:val="center"/>
        </w:trPr>
        <w:tc>
          <w:tcPr>
            <w:tcW w:w="79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90</w:t>
            </w:r>
          </w:p>
        </w:tc>
        <w:tc>
          <w:tcPr>
            <w:tcW w:w="144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负责上市公司国有股权管理有关工作</w:t>
            </w:r>
          </w:p>
        </w:tc>
        <w:tc>
          <w:tcPr>
            <w:tcW w:w="5368"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金融企业国有资产转让管理办法》（财政部令第54号）第九条:“财政部门对金融企业国有资产转让履行下列监督管理职责：决定或者批准金融企业国有资产转让事项，审核重大资产转让事项并报本级人民政府批准；负责金融企业国有资产转让情况的监督检查工作等。”</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河南省企业国有产权转让监督管理办法》（河南省人民政府令第103号)第八条：“国有资产监督管理机构决定企业（含子企业）国有产权及重大资产转让。”第九条：“下列转让行为由国有资产监督管理机构报本级人民政府批准：国有企业整体转让的或者转让企业国有产权致使国家不再拥有控股地位的；本级政府及部门出资的其他企业国有产权转让；转让国有净资产评估价值，省属企业在5000方元以上，市属企业在3000万元以上。县（市、区）属企业在500万元以上的。”第三十三条：“政企尚未分开的单位以及其他单位所持有的企业国有产权转让由主管财政部门批准，具体比照本办法执行。”《国务院关于国有企业发展混合所有制经济的意见》（国发〔2015〕54号）:“国有企业实施混合所有制改革前，应依据本意见制定方案，报同级国有资产监管机构批准；重要国有企业改制后国有资本不再控股的，报同级人民政府批准。国有资产监管机构要按照本意见要求，明确国有企业混合所有制改革的操作流程。”</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上市公司国有股权监督管理办法》第六条：“上市公司国有股权变动的监督管理由省级以上国有资产监督管理机构负责。省级国有资产监督管理机构报经省级人民政府同意，可以将地市级以下有关上市公司国有股权变动的监督管理交由地市级国有资产监督管理机构负责。”</w:t>
            </w:r>
          </w:p>
        </w:tc>
        <w:tc>
          <w:tcPr>
            <w:tcW w:w="101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264"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依照相关法律法规实施</w:t>
            </w:r>
          </w:p>
          <w:p>
            <w:pPr>
              <w:autoSpaceDN w:val="0"/>
              <w:snapToGrid w:val="0"/>
              <w:jc w:val="center"/>
              <w:textAlignment w:val="center"/>
              <w:rPr>
                <w:rFonts w:ascii="仿宋" w:hAnsi="仿宋" w:eastAsia="仿宋" w:cs="仿宋"/>
                <w:color w:val="auto"/>
                <w:szCs w:val="21"/>
              </w:rPr>
            </w:pPr>
          </w:p>
        </w:tc>
        <w:tc>
          <w:tcPr>
            <w:tcW w:w="2263" w:type="dxa"/>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负责县级有关上市公司国有股权变动的监管。</w:t>
            </w:r>
          </w:p>
          <w:p>
            <w:pPr>
              <w:autoSpaceDN w:val="0"/>
              <w:snapToGrid w:val="0"/>
              <w:jc w:val="left"/>
              <w:textAlignment w:val="center"/>
              <w:rPr>
                <w:rFonts w:ascii="仿宋" w:hAnsi="仿宋" w:eastAsia="仿宋" w:cs="仿宋"/>
                <w:color w:val="auto"/>
                <w:szCs w:val="21"/>
              </w:rPr>
            </w:pP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上市公司国有股权监督管理办法》第七十三条：国有资产监督管理机构违反有关法律、法规或本办法的规定审核批准上市公司国有股权变动并造成国有资产损失的，对直接负责的主管人员和其他责任人员给予纪律处分；涉嫌犯罪的，依法移送司法机关处理。</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 w:val="21"/>
                <w:szCs w:val="21"/>
                <w:lang w:eastAsia="zh-CN"/>
              </w:rPr>
              <w:t>资产股</w:t>
            </w:r>
          </w:p>
        </w:tc>
      </w:tr>
      <w:tr>
        <w:tblPrEx>
          <w:tblCellMar>
            <w:top w:w="0" w:type="dxa"/>
            <w:left w:w="0" w:type="dxa"/>
            <w:bottom w:w="0" w:type="dxa"/>
            <w:right w:w="0" w:type="dxa"/>
          </w:tblCellMar>
        </w:tblPrEx>
        <w:trPr>
          <w:trHeight w:val="372" w:hRule="atLeast"/>
          <w:jc w:val="center"/>
        </w:trPr>
        <w:tc>
          <w:tcPr>
            <w:tcW w:w="79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47"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36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64"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其他法律法规规章文件规定应履行的责任。</w:t>
            </w:r>
          </w:p>
          <w:p>
            <w:pPr>
              <w:autoSpaceDN w:val="0"/>
              <w:snapToGrid w:val="0"/>
              <w:jc w:val="left"/>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tbl>
      <w:tblPr>
        <w:tblStyle w:val="7"/>
        <w:tblW w:w="14902" w:type="dxa"/>
        <w:tblInd w:w="-8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38"/>
        <w:gridCol w:w="4248"/>
        <w:gridCol w:w="1568"/>
        <w:gridCol w:w="1295"/>
        <w:gridCol w:w="2141"/>
        <w:gridCol w:w="208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序号</w:t>
            </w:r>
          </w:p>
        </w:tc>
        <w:tc>
          <w:tcPr>
            <w:tcW w:w="1438"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名称</w:t>
            </w:r>
          </w:p>
        </w:tc>
        <w:tc>
          <w:tcPr>
            <w:tcW w:w="4248" w:type="dxa"/>
            <w:vAlign w:val="center"/>
          </w:tcPr>
          <w:p>
            <w:pPr>
              <w:spacing w:line="360" w:lineRule="exact"/>
              <w:jc w:val="center"/>
              <w:rPr>
                <w:rFonts w:ascii="仿宋" w:hAnsi="仿宋" w:eastAsia="仿宋" w:cs="仿宋"/>
                <w:color w:val="auto"/>
                <w:szCs w:val="21"/>
              </w:rPr>
            </w:pPr>
            <w:r>
              <w:rPr>
                <w:rFonts w:hint="eastAsia" w:ascii="黑体" w:hAnsi="黑体" w:eastAsia="黑体" w:cs="黑体"/>
                <w:color w:val="auto"/>
                <w:sz w:val="24"/>
              </w:rPr>
              <w:t>实施依据</w:t>
            </w:r>
          </w:p>
        </w:tc>
        <w:tc>
          <w:tcPr>
            <w:tcW w:w="1568" w:type="dxa"/>
            <w:vAlign w:val="center"/>
          </w:tcPr>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职权类别</w:t>
            </w:r>
          </w:p>
        </w:tc>
        <w:tc>
          <w:tcPr>
            <w:tcW w:w="1295"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办理环节</w:t>
            </w:r>
          </w:p>
        </w:tc>
        <w:tc>
          <w:tcPr>
            <w:tcW w:w="2141" w:type="dxa"/>
            <w:vAlign w:val="center"/>
          </w:tcPr>
          <w:p>
            <w:pPr>
              <w:spacing w:line="360" w:lineRule="exact"/>
              <w:jc w:val="center"/>
              <w:rPr>
                <w:rFonts w:ascii="仿宋" w:hAnsi="仿宋" w:eastAsia="仿宋" w:cs="仿宋"/>
                <w:color w:val="auto"/>
                <w:kern w:val="0"/>
                <w:szCs w:val="21"/>
              </w:rPr>
            </w:pPr>
            <w:r>
              <w:rPr>
                <w:rFonts w:hint="eastAsia" w:ascii="黑体" w:hAnsi="黑体" w:eastAsia="黑体" w:cs="黑体"/>
                <w:color w:val="auto"/>
                <w:sz w:val="24"/>
              </w:rPr>
              <w:t>责任事项</w:t>
            </w:r>
          </w:p>
        </w:tc>
        <w:tc>
          <w:tcPr>
            <w:tcW w:w="2088"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追责情形</w:t>
            </w:r>
          </w:p>
        </w:tc>
        <w:tc>
          <w:tcPr>
            <w:tcW w:w="1320" w:type="dxa"/>
            <w:vAlign w:val="center"/>
          </w:tcPr>
          <w:p>
            <w:pPr>
              <w:spacing w:line="360" w:lineRule="exact"/>
              <w:jc w:val="center"/>
              <w:rPr>
                <w:rFonts w:ascii="黑体" w:hAnsi="黑体" w:eastAsia="黑体" w:cs="黑体"/>
                <w:color w:val="auto"/>
                <w:sz w:val="24"/>
              </w:rPr>
            </w:pPr>
            <w:r>
              <w:rPr>
                <w:rFonts w:hint="eastAsia" w:ascii="黑体" w:hAnsi="黑体" w:eastAsia="黑体" w:cs="黑体"/>
                <w:color w:val="auto"/>
                <w:sz w:val="24"/>
              </w:rPr>
              <w:t>责任</w:t>
            </w:r>
          </w:p>
          <w:p>
            <w:pPr>
              <w:spacing w:line="360" w:lineRule="exact"/>
              <w:jc w:val="center"/>
              <w:rPr>
                <w:rFonts w:ascii="仿宋" w:hAnsi="仿宋" w:eastAsia="仿宋" w:cs="仿宋"/>
                <w:color w:val="auto"/>
                <w:szCs w:val="21"/>
                <w:shd w:val="clear" w:color="070000" w:fill="FFFFFF"/>
              </w:rPr>
            </w:pPr>
            <w:r>
              <w:rPr>
                <w:rFonts w:hint="eastAsia" w:ascii="黑体" w:hAnsi="黑体" w:eastAsia="黑体" w:cs="黑体"/>
                <w:color w:val="auto"/>
                <w:sz w:val="24"/>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91</w:t>
            </w:r>
          </w:p>
        </w:tc>
        <w:tc>
          <w:tcPr>
            <w:tcW w:w="1438"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承担所监管企业国有资产产权界定、登记、划转、处置及产权纠纷调处等工作</w:t>
            </w:r>
          </w:p>
        </w:tc>
        <w:tc>
          <w:tcPr>
            <w:tcW w:w="4248" w:type="dxa"/>
            <w:vMerge w:val="restart"/>
            <w:vAlign w:val="center"/>
          </w:tcPr>
          <w:p>
            <w:pPr>
              <w:autoSpaceDN w:val="0"/>
              <w:snapToGrid w:val="0"/>
              <w:jc w:val="center"/>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二十九条：“国有资产监督管理机构依照国家有关规定，负责企业国有资产的产权界定、产权登记、资产评估监管、清产核资、资产统计、综合评价等基础管理工作。国有资产监督管理机构协调其所出资企业之间的企业国有资产产权纠纷。”</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《企业国有资产法》第五十三条 “国有资产转让由履行出资人职责的机构决定。”</w:t>
            </w:r>
          </w:p>
          <w:p>
            <w:pPr>
              <w:autoSpaceDN w:val="0"/>
              <w:snapToGrid w:val="0"/>
              <w:jc w:val="center"/>
              <w:textAlignment w:val="center"/>
              <w:rPr>
                <w:rFonts w:ascii="仿宋" w:hAnsi="仿宋" w:eastAsia="仿宋" w:cs="仿宋"/>
                <w:color w:val="auto"/>
                <w:szCs w:val="21"/>
              </w:rPr>
            </w:pPr>
          </w:p>
        </w:tc>
        <w:tc>
          <w:tcPr>
            <w:tcW w:w="1568"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p>
            <w:pPr>
              <w:autoSpaceDN w:val="0"/>
              <w:snapToGrid w:val="0"/>
              <w:jc w:val="center"/>
              <w:textAlignment w:val="center"/>
              <w:rPr>
                <w:rFonts w:ascii="仿宋" w:hAnsi="仿宋" w:eastAsia="仿宋" w:cs="仿宋"/>
                <w:color w:val="auto"/>
                <w:szCs w:val="21"/>
              </w:rPr>
            </w:pPr>
          </w:p>
        </w:tc>
        <w:tc>
          <w:tcPr>
            <w:tcW w:w="1295"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依照相关法律法规实施</w:t>
            </w:r>
          </w:p>
          <w:p>
            <w:pPr>
              <w:autoSpaceDN w:val="0"/>
              <w:snapToGrid w:val="0"/>
              <w:jc w:val="center"/>
              <w:textAlignment w:val="center"/>
              <w:rPr>
                <w:rFonts w:ascii="仿宋" w:hAnsi="仿宋" w:eastAsia="仿宋" w:cs="仿宋"/>
                <w:color w:val="auto"/>
                <w:szCs w:val="21"/>
              </w:rPr>
            </w:pPr>
          </w:p>
        </w:tc>
        <w:tc>
          <w:tcPr>
            <w:tcW w:w="2141"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负责所监管企业国有资产的产权界定、产权登记、产权划转、产权处置等工作。</w:t>
            </w:r>
          </w:p>
        </w:tc>
        <w:tc>
          <w:tcPr>
            <w:tcW w:w="2088" w:type="dxa"/>
            <w:vMerge w:val="restart"/>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《企业国有资产产权登记管理办法》第十五条：国有资产管理部门工作人员在办理产权登记中玩忽职守、徇私舞弊、滥用职权、谋取私利，构成犯罪的，依法追究刑事责任；尚不构成犯罪的，依法给予行政处分。</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单位国有资产管理暂行办法》第五十条：财政部门、行政单位及其工作人员违反本办法的规定，擅自占有、使用、处置国有资产的，按照《财政违法行为处罚处分条例》处理。违反国家国有资产管理规定的其他行为，按国家有关法律法规处理。</w:t>
            </w:r>
          </w:p>
        </w:tc>
        <w:tc>
          <w:tcPr>
            <w:tcW w:w="1320" w:type="dxa"/>
            <w:vMerge w:val="restart"/>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 w:val="21"/>
                <w:szCs w:val="21"/>
                <w:lang w:eastAsia="zh-CN"/>
              </w:rPr>
              <w:t>资产股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tcPr>
          <w:p>
            <w:pPr>
              <w:autoSpaceDN w:val="0"/>
              <w:snapToGrid w:val="0"/>
              <w:jc w:val="center"/>
              <w:textAlignment w:val="center"/>
              <w:rPr>
                <w:rFonts w:ascii="仿宋" w:hAnsi="仿宋" w:eastAsia="仿宋" w:cs="仿宋"/>
                <w:color w:val="auto"/>
                <w:szCs w:val="21"/>
              </w:rPr>
            </w:pPr>
          </w:p>
        </w:tc>
        <w:tc>
          <w:tcPr>
            <w:tcW w:w="1438" w:type="dxa"/>
            <w:vMerge w:val="continue"/>
          </w:tcPr>
          <w:p>
            <w:pPr>
              <w:autoSpaceDN w:val="0"/>
              <w:snapToGrid w:val="0"/>
              <w:jc w:val="center"/>
              <w:textAlignment w:val="center"/>
              <w:rPr>
                <w:rFonts w:ascii="仿宋" w:hAnsi="仿宋" w:eastAsia="仿宋" w:cs="仿宋"/>
                <w:color w:val="auto"/>
                <w:szCs w:val="21"/>
              </w:rPr>
            </w:pPr>
          </w:p>
        </w:tc>
        <w:tc>
          <w:tcPr>
            <w:tcW w:w="4248" w:type="dxa"/>
            <w:vMerge w:val="continue"/>
          </w:tcPr>
          <w:p>
            <w:pPr>
              <w:autoSpaceDN w:val="0"/>
              <w:snapToGrid w:val="0"/>
              <w:jc w:val="center"/>
              <w:textAlignment w:val="center"/>
              <w:rPr>
                <w:rFonts w:ascii="仿宋" w:hAnsi="仿宋" w:eastAsia="仿宋" w:cs="仿宋"/>
                <w:color w:val="auto"/>
                <w:szCs w:val="21"/>
              </w:rPr>
            </w:pPr>
          </w:p>
        </w:tc>
        <w:tc>
          <w:tcPr>
            <w:tcW w:w="1568" w:type="dxa"/>
            <w:vMerge w:val="continue"/>
          </w:tcPr>
          <w:p>
            <w:pPr>
              <w:autoSpaceDN w:val="0"/>
              <w:snapToGrid w:val="0"/>
              <w:jc w:val="center"/>
              <w:textAlignment w:val="center"/>
              <w:rPr>
                <w:rFonts w:ascii="仿宋" w:hAnsi="仿宋" w:eastAsia="仿宋" w:cs="仿宋"/>
                <w:color w:val="auto"/>
                <w:szCs w:val="21"/>
              </w:rPr>
            </w:pPr>
          </w:p>
        </w:tc>
        <w:tc>
          <w:tcPr>
            <w:tcW w:w="1295" w:type="dxa"/>
            <w:vMerge w:val="continue"/>
          </w:tcPr>
          <w:p>
            <w:pPr>
              <w:autoSpaceDN w:val="0"/>
              <w:snapToGrid w:val="0"/>
              <w:jc w:val="center"/>
              <w:textAlignment w:val="center"/>
              <w:rPr>
                <w:rFonts w:ascii="仿宋" w:hAnsi="仿宋" w:eastAsia="仿宋" w:cs="仿宋"/>
                <w:color w:val="auto"/>
                <w:szCs w:val="21"/>
              </w:rPr>
            </w:pPr>
          </w:p>
        </w:tc>
        <w:tc>
          <w:tcPr>
            <w:tcW w:w="2141"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负责协调其所出资企业之间的国有资产产权纠纷。</w:t>
            </w:r>
          </w:p>
        </w:tc>
        <w:tc>
          <w:tcPr>
            <w:tcW w:w="2088" w:type="dxa"/>
            <w:vMerge w:val="continue"/>
            <w:vAlign w:val="center"/>
          </w:tcPr>
          <w:p>
            <w:pPr>
              <w:autoSpaceDN w:val="0"/>
              <w:snapToGrid w:val="0"/>
              <w:jc w:val="center"/>
              <w:textAlignment w:val="center"/>
              <w:rPr>
                <w:rFonts w:ascii="仿宋" w:hAnsi="仿宋" w:eastAsia="仿宋" w:cs="仿宋"/>
                <w:color w:val="auto"/>
                <w:szCs w:val="21"/>
              </w:rPr>
            </w:pPr>
          </w:p>
        </w:tc>
        <w:tc>
          <w:tcPr>
            <w:tcW w:w="1320" w:type="dxa"/>
            <w:vMerge w:val="continue"/>
            <w:vAlign w:val="center"/>
          </w:tcPr>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trPr>
        <w:tc>
          <w:tcPr>
            <w:tcW w:w="804" w:type="dxa"/>
            <w:vMerge w:val="continue"/>
            <w:vAlign w:val="center"/>
          </w:tcPr>
          <w:p>
            <w:pPr>
              <w:autoSpaceDN w:val="0"/>
              <w:snapToGrid w:val="0"/>
              <w:jc w:val="center"/>
              <w:textAlignment w:val="center"/>
              <w:rPr>
                <w:rFonts w:ascii="仿宋" w:hAnsi="仿宋" w:eastAsia="仿宋" w:cs="仿宋"/>
                <w:color w:val="auto"/>
                <w:szCs w:val="21"/>
              </w:rPr>
            </w:pPr>
          </w:p>
        </w:tc>
        <w:tc>
          <w:tcPr>
            <w:tcW w:w="1438" w:type="dxa"/>
            <w:vMerge w:val="continue"/>
            <w:vAlign w:val="center"/>
          </w:tcPr>
          <w:p>
            <w:pPr>
              <w:autoSpaceDN w:val="0"/>
              <w:snapToGrid w:val="0"/>
              <w:jc w:val="center"/>
              <w:textAlignment w:val="center"/>
              <w:rPr>
                <w:rFonts w:ascii="仿宋" w:hAnsi="仿宋" w:eastAsia="仿宋" w:cs="仿宋"/>
                <w:color w:val="auto"/>
                <w:szCs w:val="21"/>
              </w:rPr>
            </w:pPr>
          </w:p>
        </w:tc>
        <w:tc>
          <w:tcPr>
            <w:tcW w:w="4248" w:type="dxa"/>
            <w:vMerge w:val="continue"/>
            <w:vAlign w:val="center"/>
          </w:tcPr>
          <w:p>
            <w:pPr>
              <w:autoSpaceDN w:val="0"/>
              <w:snapToGrid w:val="0"/>
              <w:jc w:val="center"/>
              <w:textAlignment w:val="center"/>
              <w:rPr>
                <w:rFonts w:ascii="仿宋" w:hAnsi="仿宋" w:eastAsia="仿宋" w:cs="仿宋"/>
                <w:color w:val="auto"/>
                <w:szCs w:val="21"/>
              </w:rPr>
            </w:pPr>
          </w:p>
        </w:tc>
        <w:tc>
          <w:tcPr>
            <w:tcW w:w="1568" w:type="dxa"/>
            <w:vMerge w:val="continue"/>
            <w:vAlign w:val="center"/>
          </w:tcPr>
          <w:p>
            <w:pPr>
              <w:autoSpaceDN w:val="0"/>
              <w:snapToGrid w:val="0"/>
              <w:jc w:val="center"/>
              <w:textAlignment w:val="center"/>
              <w:rPr>
                <w:rFonts w:ascii="仿宋" w:hAnsi="仿宋" w:eastAsia="仿宋" w:cs="仿宋"/>
                <w:color w:val="auto"/>
                <w:szCs w:val="21"/>
              </w:rPr>
            </w:pPr>
          </w:p>
        </w:tc>
        <w:tc>
          <w:tcPr>
            <w:tcW w:w="1295" w:type="dxa"/>
            <w:vMerge w:val="continue"/>
            <w:vAlign w:val="center"/>
          </w:tcPr>
          <w:p>
            <w:pPr>
              <w:autoSpaceDN w:val="0"/>
              <w:snapToGrid w:val="0"/>
              <w:jc w:val="center"/>
              <w:textAlignment w:val="center"/>
              <w:rPr>
                <w:rFonts w:ascii="仿宋" w:hAnsi="仿宋" w:eastAsia="仿宋" w:cs="仿宋"/>
                <w:color w:val="auto"/>
                <w:szCs w:val="21"/>
              </w:rPr>
            </w:pPr>
          </w:p>
        </w:tc>
        <w:tc>
          <w:tcPr>
            <w:tcW w:w="2141" w:type="dxa"/>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其他法律法规规章文件规定应履行的责任。</w:t>
            </w:r>
          </w:p>
        </w:tc>
        <w:tc>
          <w:tcPr>
            <w:tcW w:w="2088" w:type="dxa"/>
            <w:vMerge w:val="continue"/>
            <w:vAlign w:val="center"/>
          </w:tcPr>
          <w:p>
            <w:pPr>
              <w:autoSpaceDN w:val="0"/>
              <w:snapToGrid w:val="0"/>
              <w:jc w:val="center"/>
              <w:textAlignment w:val="center"/>
              <w:rPr>
                <w:rFonts w:ascii="仿宋" w:hAnsi="仿宋" w:eastAsia="仿宋" w:cs="仿宋"/>
                <w:color w:val="auto"/>
                <w:szCs w:val="21"/>
              </w:rPr>
            </w:pPr>
          </w:p>
        </w:tc>
        <w:tc>
          <w:tcPr>
            <w:tcW w:w="1320" w:type="dxa"/>
            <w:vMerge w:val="continue"/>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rPr>
          <w:color w:val="auto"/>
        </w:rPr>
      </w:pPr>
    </w:p>
    <w:p>
      <w:pPr>
        <w:rPr>
          <w:color w:val="auto"/>
        </w:rPr>
      </w:pPr>
    </w:p>
    <w:p>
      <w:pPr>
        <w:rPr>
          <w:color w:val="auto"/>
        </w:rPr>
      </w:pPr>
    </w:p>
    <w:tbl>
      <w:tblPr>
        <w:tblStyle w:val="6"/>
        <w:tblW w:w="14457" w:type="dxa"/>
        <w:jc w:val="center"/>
        <w:tblLayout w:type="fixed"/>
        <w:tblCellMar>
          <w:top w:w="0" w:type="dxa"/>
          <w:left w:w="0" w:type="dxa"/>
          <w:bottom w:w="0" w:type="dxa"/>
          <w:right w:w="0" w:type="dxa"/>
        </w:tblCellMar>
      </w:tblPr>
      <w:tblGrid>
        <w:gridCol w:w="943"/>
        <w:gridCol w:w="1458"/>
        <w:gridCol w:w="4649"/>
        <w:gridCol w:w="547"/>
        <w:gridCol w:w="665"/>
        <w:gridCol w:w="2913"/>
        <w:gridCol w:w="2118"/>
        <w:gridCol w:w="1164"/>
      </w:tblGrid>
      <w:tr>
        <w:tblPrEx>
          <w:tblCellMar>
            <w:top w:w="0" w:type="dxa"/>
            <w:left w:w="0" w:type="dxa"/>
            <w:bottom w:w="0" w:type="dxa"/>
            <w:right w:w="0" w:type="dxa"/>
          </w:tblCellMar>
        </w:tblPrEx>
        <w:trPr>
          <w:trHeight w:val="635" w:hRule="atLeast"/>
          <w:jc w:val="center"/>
        </w:trPr>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职权类别</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2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11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16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9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w:t>
            </w:r>
            <w:r>
              <w:rPr>
                <w:rFonts w:ascii="仿宋" w:hAnsi="仿宋" w:eastAsia="仿宋" w:cs="仿宋"/>
                <w:color w:val="auto"/>
                <w:szCs w:val="21"/>
              </w:rPr>
              <w:t>2</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县级</w:t>
            </w:r>
            <w:r>
              <w:rPr>
                <w:rFonts w:ascii="仿宋" w:hAnsi="仿宋" w:eastAsia="仿宋" w:cs="仿宋"/>
                <w:color w:val="auto"/>
                <w:szCs w:val="21"/>
              </w:rPr>
              <w:t>行政事业单位所属企业国有资产产权登记和转让批准</w:t>
            </w:r>
          </w:p>
        </w:tc>
        <w:tc>
          <w:tcPr>
            <w:tcW w:w="4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企业国有资产产权登记管理办法》（国务院令第192号）第三条：“国有企业、国有独资公司、持有国家股权的单位以及以其他形式占有国有资产的企业（以下统称企业），应当依照本办法的规定办理产权登记。”第五条第一款：“县级以上各级人民政府国有资产管理部门，按照产权归属关系办理产权登记。”</w:t>
            </w:r>
          </w:p>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财政部关于企业国有资产办理无偿划转手续的规定》（财管字〔1999〕301号）第四条：“企业国有资产的无偿划转由各级财政(国有资产管理)部门负责办理。”第七条：“各级财政（国有资产管理）部门在接到完整的资产划转申报材料后，应认真审查，及时作出是否批准资产划转的决定，并发文批复。”</w:t>
            </w:r>
          </w:p>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财政部关于印发&lt;事业单位及事业单位所办企业国有资产产权登记管理办法&gt;的通知》（财教〔2012〕242号）第六条：“事业单位及其所办企业产权登记按照‘统一政策、分级管理’原则由各级财政部门负责组织实施。”</w:t>
            </w:r>
          </w:p>
        </w:tc>
        <w:tc>
          <w:tcPr>
            <w:tcW w:w="5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其他职权</w:t>
            </w: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受理</w:t>
            </w:r>
          </w:p>
        </w:tc>
        <w:tc>
          <w:tcPr>
            <w:tcW w:w="291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1.公示依法应当提交的材料；一次性告知需补齐材料；依法受理或不予受理（不予受理的依法告知理由）。</w:t>
            </w:r>
          </w:p>
        </w:tc>
        <w:tc>
          <w:tcPr>
            <w:tcW w:w="2118"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《企业国有资产产权登记管理办法》第十五条</w:t>
            </w:r>
            <w:r>
              <w:rPr>
                <w:rFonts w:hint="eastAsia" w:ascii="仿宋" w:hAnsi="仿宋" w:eastAsia="仿宋" w:cs="仿宋"/>
                <w:color w:val="auto"/>
                <w:szCs w:val="21"/>
              </w:rPr>
              <w:t>：</w:t>
            </w:r>
            <w:r>
              <w:rPr>
                <w:rFonts w:ascii="仿宋" w:hAnsi="仿宋" w:eastAsia="仿宋" w:cs="仿宋"/>
                <w:color w:val="auto"/>
                <w:szCs w:val="21"/>
              </w:rPr>
              <w:t>国有资产管理部门工作人员在办理产权登记中玩忽职守、徇私舞弊、滥用职权、谋取私利，构成犯罪的，依法追究刑事责任；尚不构成犯罪的，依法给予行政处分。</w:t>
            </w:r>
          </w:p>
        </w:tc>
        <w:tc>
          <w:tcPr>
            <w:tcW w:w="1164"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资产管理股</w:t>
            </w:r>
          </w:p>
        </w:tc>
      </w:tr>
      <w:tr>
        <w:tblPrEx>
          <w:tblCellMar>
            <w:top w:w="0" w:type="dxa"/>
            <w:left w:w="0" w:type="dxa"/>
            <w:bottom w:w="0" w:type="dxa"/>
            <w:right w:w="0" w:type="dxa"/>
          </w:tblCellMar>
        </w:tblPrEx>
        <w:trPr>
          <w:trHeight w:val="1233"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审查</w:t>
            </w:r>
          </w:p>
        </w:tc>
        <w:tc>
          <w:tcPr>
            <w:tcW w:w="291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2.按照国家</w:t>
            </w:r>
            <w:r>
              <w:rPr>
                <w:rFonts w:hint="eastAsia" w:ascii="仿宋" w:hAnsi="仿宋" w:eastAsia="仿宋" w:cs="仿宋"/>
                <w:color w:val="auto"/>
                <w:szCs w:val="21"/>
              </w:rPr>
              <w:t>、</w:t>
            </w:r>
            <w:r>
              <w:rPr>
                <w:rFonts w:ascii="仿宋" w:hAnsi="仿宋" w:eastAsia="仿宋" w:cs="仿宋"/>
                <w:color w:val="auto"/>
                <w:szCs w:val="21"/>
              </w:rPr>
              <w:t>省关于行政事业单位所属企业国有资产产权管理相关规定对申报材料进行审查，提出审核意见。</w:t>
            </w:r>
          </w:p>
        </w:tc>
        <w:tc>
          <w:tcPr>
            <w:tcW w:w="211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64"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227"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决定</w:t>
            </w:r>
          </w:p>
        </w:tc>
        <w:tc>
          <w:tcPr>
            <w:tcW w:w="291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3.做出决定。审核同意的，制作批复文件或者办理相关手续；审核不同意的，以便函形式告知申请单位。</w:t>
            </w:r>
          </w:p>
        </w:tc>
        <w:tc>
          <w:tcPr>
            <w:tcW w:w="211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64"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69"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送达</w:t>
            </w:r>
          </w:p>
        </w:tc>
        <w:tc>
          <w:tcPr>
            <w:tcW w:w="291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4.将文件送主管部门，由主管部门告知申请单位。</w:t>
            </w:r>
          </w:p>
        </w:tc>
        <w:tc>
          <w:tcPr>
            <w:tcW w:w="211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64"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4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事后监管</w:t>
            </w:r>
          </w:p>
        </w:tc>
        <w:tc>
          <w:tcPr>
            <w:tcW w:w="291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5.对产权登记及转让事项落实情况进行检查。</w:t>
            </w:r>
          </w:p>
        </w:tc>
        <w:tc>
          <w:tcPr>
            <w:tcW w:w="211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64"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8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13"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6.其他法律法规规章文件规定应履行的责任。</w:t>
            </w:r>
          </w:p>
        </w:tc>
        <w:tc>
          <w:tcPr>
            <w:tcW w:w="211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64"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4088" w:type="dxa"/>
        <w:jc w:val="center"/>
        <w:tblLayout w:type="fixed"/>
        <w:tblCellMar>
          <w:top w:w="0" w:type="dxa"/>
          <w:left w:w="0" w:type="dxa"/>
          <w:bottom w:w="0" w:type="dxa"/>
          <w:right w:w="0" w:type="dxa"/>
        </w:tblCellMar>
      </w:tblPr>
      <w:tblGrid>
        <w:gridCol w:w="820"/>
        <w:gridCol w:w="1274"/>
        <w:gridCol w:w="4547"/>
        <w:gridCol w:w="547"/>
        <w:gridCol w:w="671"/>
        <w:gridCol w:w="2912"/>
        <w:gridCol w:w="2121"/>
        <w:gridCol w:w="1196"/>
      </w:tblGrid>
      <w:tr>
        <w:tblPrEx>
          <w:tblCellMar>
            <w:top w:w="0" w:type="dxa"/>
            <w:left w:w="0" w:type="dxa"/>
            <w:bottom w:w="0" w:type="dxa"/>
            <w:right w:w="0" w:type="dxa"/>
          </w:tblCellMar>
        </w:tblPrEx>
        <w:trPr>
          <w:trHeight w:val="635" w:hRule="atLeast"/>
          <w:jc w:val="center"/>
        </w:trPr>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职权类别</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2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21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116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w:t>
            </w:r>
            <w:r>
              <w:rPr>
                <w:rFonts w:ascii="仿宋" w:hAnsi="仿宋" w:eastAsia="仿宋" w:cs="仿宋"/>
                <w:color w:val="auto"/>
                <w:szCs w:val="21"/>
              </w:rPr>
              <w:t>3</w:t>
            </w:r>
          </w:p>
        </w:tc>
        <w:tc>
          <w:tcPr>
            <w:tcW w:w="12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县级</w:t>
            </w:r>
            <w:r>
              <w:rPr>
                <w:rFonts w:ascii="仿宋" w:hAnsi="仿宋" w:eastAsia="仿宋" w:cs="仿宋"/>
                <w:color w:val="auto"/>
                <w:szCs w:val="21"/>
              </w:rPr>
              <w:t>行政事业单位所属企业清产核资结果认定</w:t>
            </w:r>
          </w:p>
        </w:tc>
        <w:tc>
          <w:tcPr>
            <w:tcW w:w="45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财政部关于印发&lt;行政事业单位资产清查核实管理办法&gt;的通知》（财办〔2016〕1号）第五十九条：“行政单位附属未脱钩企业，执行企业财务和会计制度的事业单位，以及事业单位所办的全资企业和控股企业，其国有资产的清查核实工作按照企业清产核资的有关规定执行。”</w:t>
            </w:r>
          </w:p>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《财政部关于印发&lt;企业国有资本与财务管理暂行办法&gt;的通知》（财企〔2001〕325号）第十二条：“企业按照国家有关规定进行清产核资时，所持有的国有资本按照经主管财政机关审核的结果调整。”</w:t>
            </w:r>
          </w:p>
        </w:tc>
        <w:tc>
          <w:tcPr>
            <w:tcW w:w="5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其他职权</w:t>
            </w: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受理</w:t>
            </w:r>
          </w:p>
        </w:tc>
        <w:tc>
          <w:tcPr>
            <w:tcW w:w="2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1.公示依法应当提交的材料；一次性告知需补齐材料；依法受理或不予受理（不予受理的依法告知理由）。</w:t>
            </w:r>
          </w:p>
        </w:tc>
        <w:tc>
          <w:tcPr>
            <w:tcW w:w="21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《行政事业单位资产清查核实管理办法》第五十四条</w:t>
            </w:r>
            <w:r>
              <w:rPr>
                <w:rFonts w:hint="eastAsia" w:ascii="仿宋" w:hAnsi="仿宋" w:eastAsia="仿宋" w:cs="仿宋"/>
                <w:color w:val="auto"/>
                <w:szCs w:val="21"/>
              </w:rPr>
              <w:t>：</w:t>
            </w:r>
            <w:r>
              <w:rPr>
                <w:rFonts w:ascii="仿宋" w:hAnsi="仿宋" w:eastAsia="仿宋" w:cs="仿宋"/>
                <w:color w:val="auto"/>
                <w:szCs w:val="21"/>
              </w:rPr>
              <w:t>财政部门和主管部门工作人员在对单位清查核实进行审核过程中徇私舞弊，造成严重后果的，由有关部门依法给予行政处分或纪律处分。</w:t>
            </w:r>
          </w:p>
        </w:tc>
        <w:tc>
          <w:tcPr>
            <w:tcW w:w="119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资产管理股</w:t>
            </w:r>
          </w:p>
        </w:tc>
      </w:tr>
      <w:tr>
        <w:tblPrEx>
          <w:tblCellMar>
            <w:top w:w="0" w:type="dxa"/>
            <w:left w:w="0" w:type="dxa"/>
            <w:bottom w:w="0" w:type="dxa"/>
            <w:right w:w="0" w:type="dxa"/>
          </w:tblCellMar>
        </w:tblPrEx>
        <w:trPr>
          <w:trHeight w:val="1444"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审查</w:t>
            </w:r>
          </w:p>
        </w:tc>
        <w:tc>
          <w:tcPr>
            <w:tcW w:w="2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2.按照国家和我省关于行政事业单位所属企业国有资产清查和清产核资相关规定对申报材料进行审查；组织专家对材料进行评审论证；提出审核意见。</w:t>
            </w:r>
          </w:p>
        </w:tc>
        <w:tc>
          <w:tcPr>
            <w:tcW w:w="21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900"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决定</w:t>
            </w:r>
          </w:p>
        </w:tc>
        <w:tc>
          <w:tcPr>
            <w:tcW w:w="2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3.做出决定。审核同意的，制作结果认定文件；审核不同意的，以便函形式告知申请单位。</w:t>
            </w:r>
          </w:p>
        </w:tc>
        <w:tc>
          <w:tcPr>
            <w:tcW w:w="21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50"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送达</w:t>
            </w:r>
          </w:p>
        </w:tc>
        <w:tc>
          <w:tcPr>
            <w:tcW w:w="2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4.将相关文书送主管部门，由主管部门告知申报单位。</w:t>
            </w:r>
          </w:p>
        </w:tc>
        <w:tc>
          <w:tcPr>
            <w:tcW w:w="21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98"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4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ascii="仿宋" w:hAnsi="仿宋" w:eastAsia="仿宋" w:cs="仿宋"/>
                <w:color w:val="auto"/>
                <w:szCs w:val="21"/>
              </w:rPr>
              <w:t>事后监管</w:t>
            </w:r>
          </w:p>
        </w:tc>
        <w:tc>
          <w:tcPr>
            <w:tcW w:w="2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5.对清产核资认定结果落实情况进行检查。</w:t>
            </w:r>
          </w:p>
        </w:tc>
        <w:tc>
          <w:tcPr>
            <w:tcW w:w="2121"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6"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cantSplit/>
          <w:trHeight w:val="720"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5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6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2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p>
          <w:p>
            <w:pPr>
              <w:autoSpaceDN w:val="0"/>
              <w:snapToGrid w:val="0"/>
              <w:jc w:val="left"/>
              <w:textAlignment w:val="center"/>
              <w:rPr>
                <w:rFonts w:ascii="仿宋" w:hAnsi="仿宋" w:eastAsia="仿宋" w:cs="仿宋"/>
                <w:color w:val="auto"/>
                <w:szCs w:val="21"/>
              </w:rPr>
            </w:pPr>
            <w:r>
              <w:rPr>
                <w:rFonts w:ascii="仿宋" w:hAnsi="仿宋" w:eastAsia="仿宋" w:cs="仿宋"/>
                <w:color w:val="auto"/>
                <w:szCs w:val="21"/>
              </w:rPr>
              <w:t>6</w:t>
            </w:r>
            <w:r>
              <w:rPr>
                <w:rFonts w:hint="eastAsia" w:ascii="仿宋" w:hAnsi="仿宋" w:eastAsia="仿宋" w:cs="仿宋"/>
                <w:color w:val="auto"/>
                <w:szCs w:val="21"/>
              </w:rPr>
              <w:t>.</w:t>
            </w:r>
            <w:r>
              <w:rPr>
                <w:rFonts w:ascii="仿宋" w:hAnsi="仿宋" w:eastAsia="仿宋" w:cs="仿宋"/>
                <w:color w:val="auto"/>
                <w:szCs w:val="21"/>
              </w:rPr>
              <w:t>其他法律法规规章文件规定应履行的责任。</w:t>
            </w:r>
          </w:p>
          <w:p>
            <w:pPr>
              <w:autoSpaceDN w:val="0"/>
              <w:snapToGrid w:val="0"/>
              <w:jc w:val="left"/>
              <w:textAlignment w:val="center"/>
              <w:rPr>
                <w:rFonts w:ascii="仿宋" w:hAnsi="仿宋" w:eastAsia="仿宋" w:cs="仿宋"/>
                <w:color w:val="auto"/>
                <w:szCs w:val="21"/>
              </w:rPr>
            </w:pPr>
          </w:p>
        </w:tc>
        <w:tc>
          <w:tcPr>
            <w:tcW w:w="212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19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rFonts w:ascii="仿宋" w:hAnsi="仿宋" w:eastAsia="仿宋" w:cs="仿宋"/>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4923" w:type="dxa"/>
        <w:tblInd w:w="-478" w:type="dxa"/>
        <w:tblLayout w:type="fixed"/>
        <w:tblCellMar>
          <w:top w:w="0" w:type="dxa"/>
          <w:left w:w="108" w:type="dxa"/>
          <w:bottom w:w="0" w:type="dxa"/>
          <w:right w:w="108" w:type="dxa"/>
        </w:tblCellMar>
      </w:tblPr>
      <w:tblGrid>
        <w:gridCol w:w="934"/>
        <w:gridCol w:w="1797"/>
        <w:gridCol w:w="2426"/>
        <w:gridCol w:w="1639"/>
        <w:gridCol w:w="1080"/>
        <w:gridCol w:w="3855"/>
        <w:gridCol w:w="2205"/>
        <w:gridCol w:w="987"/>
      </w:tblGrid>
      <w:tr>
        <w:tblPrEx>
          <w:tblCellMar>
            <w:top w:w="0" w:type="dxa"/>
            <w:left w:w="108" w:type="dxa"/>
            <w:bottom w:w="0" w:type="dxa"/>
            <w:right w:w="108" w:type="dxa"/>
          </w:tblCellMar>
        </w:tblPrEx>
        <w:trPr>
          <w:trHeight w:val="1002" w:hRule="atLeast"/>
        </w:trPr>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序号</w:t>
            </w:r>
          </w:p>
        </w:tc>
        <w:tc>
          <w:tcPr>
            <w:tcW w:w="1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项目名称</w:t>
            </w:r>
          </w:p>
        </w:tc>
        <w:tc>
          <w:tcPr>
            <w:tcW w:w="2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实施依据</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职权类别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办理环节</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责任事项</w:t>
            </w:r>
          </w:p>
        </w:tc>
        <w:tc>
          <w:tcPr>
            <w:tcW w:w="22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追责情形</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auto"/>
                <w:sz w:val="24"/>
              </w:rPr>
            </w:pPr>
            <w:r>
              <w:rPr>
                <w:rFonts w:hint="eastAsia" w:ascii="黑体" w:hAnsi="宋体" w:eastAsia="黑体" w:cs="黑体"/>
                <w:color w:val="auto"/>
                <w:kern w:val="0"/>
                <w:sz w:val="24"/>
              </w:rPr>
              <w:t>责任科室</w:t>
            </w:r>
          </w:p>
        </w:tc>
      </w:tr>
      <w:tr>
        <w:tblPrEx>
          <w:tblCellMar>
            <w:top w:w="0" w:type="dxa"/>
            <w:left w:w="108" w:type="dxa"/>
            <w:bottom w:w="0" w:type="dxa"/>
            <w:right w:w="108" w:type="dxa"/>
          </w:tblCellMar>
        </w:tblPrEx>
        <w:trPr>
          <w:trHeight w:val="1470" w:hRule="atLeast"/>
        </w:trPr>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94</w:t>
            </w:r>
          </w:p>
        </w:tc>
        <w:tc>
          <w:tcPr>
            <w:tcW w:w="179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监督指导所监管企业财务预决算工作，承担所监管企业经济运行和国有资产统计分析工作</w:t>
            </w:r>
          </w:p>
        </w:tc>
        <w:tc>
          <w:tcPr>
            <w:tcW w:w="242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《内乡县财政局职能配置、内设机构和人员编制规定》第（十六）条“负责所监管企业清产核资、资产统计、综合评价等基础性工作，拟订监管企业资产财务监管制度并组织实施。”</w:t>
            </w:r>
          </w:p>
        </w:tc>
        <w:tc>
          <w:tcPr>
            <w:tcW w:w="163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85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1.受理责任：受理县属企业报送的财务快报和预决算报告，对其材料的齐全性、内容的完整性进行查验。符合要求的，直接受理。不符合要求的，一次性告知原因及所补材料。</w:t>
            </w:r>
          </w:p>
        </w:tc>
        <w:tc>
          <w:tcPr>
            <w:tcW w:w="220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依据《企业国有资产法》第六十九条和第七十五条，履行出资人职责的机构的工作人员玩忽职守、滥用职权、徇私舞弊，尚不构成犯罪的，依法给予处分。构成犯罪的，依法追究刑事责任。</w:t>
            </w:r>
          </w:p>
        </w:tc>
        <w:tc>
          <w:tcPr>
            <w:tcW w:w="98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 w:val="21"/>
                <w:szCs w:val="21"/>
                <w:lang w:eastAsia="zh-CN"/>
              </w:rPr>
              <w:t>资产股</w:t>
            </w:r>
          </w:p>
        </w:tc>
      </w:tr>
      <w:tr>
        <w:tblPrEx>
          <w:tblCellMar>
            <w:top w:w="0" w:type="dxa"/>
            <w:left w:w="108" w:type="dxa"/>
            <w:bottom w:w="0" w:type="dxa"/>
            <w:right w:w="108" w:type="dxa"/>
          </w:tblCellMar>
        </w:tblPrEx>
        <w:trPr>
          <w:trHeight w:val="1002"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4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3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审核</w:t>
            </w:r>
          </w:p>
        </w:tc>
        <w:tc>
          <w:tcPr>
            <w:tcW w:w="385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2.审核责任：对报送的财务快报和预决算报告进行规范性审核。</w:t>
            </w: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1002"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4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3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汇总</w:t>
            </w:r>
          </w:p>
        </w:tc>
        <w:tc>
          <w:tcPr>
            <w:tcW w:w="385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3.汇总责任：对县属企业的财务快报和预决算报告进行汇总、分析。</w:t>
            </w: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1002"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4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3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转报</w:t>
            </w:r>
          </w:p>
        </w:tc>
        <w:tc>
          <w:tcPr>
            <w:tcW w:w="385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4.转报责任：依据规定将汇总结果报送国资委</w:t>
            </w: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r>
        <w:tblPrEx>
          <w:tblCellMar>
            <w:top w:w="0" w:type="dxa"/>
            <w:left w:w="108" w:type="dxa"/>
            <w:bottom w:w="0" w:type="dxa"/>
            <w:right w:w="108" w:type="dxa"/>
          </w:tblCellMar>
        </w:tblPrEx>
        <w:trPr>
          <w:trHeight w:val="1822" w:hRule="atLeast"/>
        </w:trPr>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24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63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w:t>
            </w:r>
          </w:p>
        </w:tc>
        <w:tc>
          <w:tcPr>
            <w:tcW w:w="385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220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仿宋" w:hAnsi="仿宋" w:eastAsia="仿宋" w:cs="仿宋"/>
                <w:color w:val="auto"/>
                <w:szCs w:val="21"/>
              </w:rPr>
            </w:pPr>
          </w:p>
        </w:tc>
      </w:tr>
    </w:tbl>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autoSpaceDN w:val="0"/>
        <w:snapToGrid w:val="0"/>
        <w:jc w:val="center"/>
        <w:textAlignment w:val="center"/>
        <w:rPr>
          <w:rFonts w:ascii="仿宋" w:hAnsi="仿宋" w:eastAsia="仿宋" w:cs="仿宋"/>
          <w:color w:val="auto"/>
          <w:szCs w:val="21"/>
        </w:rPr>
      </w:pPr>
    </w:p>
    <w:p>
      <w:pPr>
        <w:rPr>
          <w:color w:val="auto"/>
        </w:rPr>
      </w:pPr>
    </w:p>
    <w:p>
      <w:pPr>
        <w:rPr>
          <w:color w:val="auto"/>
        </w:rPr>
      </w:pPr>
    </w:p>
    <w:p>
      <w:pPr>
        <w:rPr>
          <w:color w:val="auto"/>
        </w:rPr>
      </w:pPr>
    </w:p>
    <w:tbl>
      <w:tblPr>
        <w:tblStyle w:val="6"/>
        <w:tblW w:w="15450" w:type="dxa"/>
        <w:jc w:val="center"/>
        <w:tblLayout w:type="fixed"/>
        <w:tblCellMar>
          <w:top w:w="0" w:type="dxa"/>
          <w:left w:w="0" w:type="dxa"/>
          <w:bottom w:w="0" w:type="dxa"/>
          <w:right w:w="0" w:type="dxa"/>
        </w:tblCellMar>
      </w:tblPr>
      <w:tblGrid>
        <w:gridCol w:w="1144"/>
        <w:gridCol w:w="1222"/>
        <w:gridCol w:w="4373"/>
        <w:gridCol w:w="1015"/>
        <w:gridCol w:w="1081"/>
        <w:gridCol w:w="3323"/>
        <w:gridCol w:w="1646"/>
        <w:gridCol w:w="1646"/>
      </w:tblGrid>
      <w:tr>
        <w:tblPrEx>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22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437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0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108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3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654" w:hRule="atLeast"/>
          <w:jc w:val="center"/>
        </w:trPr>
        <w:tc>
          <w:tcPr>
            <w:tcW w:w="1144"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95</w:t>
            </w:r>
          </w:p>
        </w:tc>
        <w:tc>
          <w:tcPr>
            <w:tcW w:w="1222"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县直行政事业单位及所属企业国有资产评估项目核准和备案</w:t>
            </w:r>
          </w:p>
        </w:tc>
        <w:tc>
          <w:tcPr>
            <w:tcW w:w="4373"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《行政单位国有资产管理暂行办法》(财政部令第3 5号)第三十七条：“行政单位国有资产评估项目实行核准制和备案制。实行核准制和备案制的项目范围、权限由财政部门另行规定。”</w:t>
            </w:r>
          </w:p>
          <w:p>
            <w:p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《事业单位国有资管理暂行办法》(财政部令第3 6号)第四十一条：“事业单位国有资产评估项目实行核准制和备案制。核准和备案工作按照国家有关国有资产评估项目核准和备案管理的规定执行。”</w:t>
            </w:r>
          </w:p>
          <w:p>
            <w:p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 xml:space="preserve"> 中华人民共和国财政部令第100号第四十二条 事业单位国有资产评估项目实行核准制和备案制。核准和备案工作按照国家有关国有资产评估项目核准和备案管理的规定执行关规定执行。” </w:t>
            </w:r>
          </w:p>
          <w:p>
            <w:pPr>
              <w:autoSpaceDN w:val="0"/>
              <w:snapToGrid w:val="0"/>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国有资产评估管理办法》（国务院令第91号）1991年11月16日，中华人民共和国国务院令第91号发布《国有资产评估管理办法》。第十八条：“国有资产占有单位收到资产评估结果报告书，经主管部门审查同意后，报同级国有资产管理行政主管部门确认资产评估结果。”</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 w:val="20"/>
                <w:szCs w:val="20"/>
              </w:rPr>
              <w:t>《河南省行政事业单位国有资产管理办法》(河南省人民政府令第1 0 8号) 第二十二条：“行政事业单位出售、 出让及置换土地、房屋、 车辆以及大型 (贵重)仪器、设备等, 应当经具有相应资质的评估机构评估并报财政部门核准或者备案后, 采取拍卖、招投标、协议转让等方式公开处置。” 第二十七条：“行政事业单位国有资产评估项目实行核准制和备案制。实行核准制和备案制的项目、范围、权限依据国家财政部有国有资产评估管理办法》(国务院令第9 1号) 第十八条：“国有资产占有单位收到资产评估结果报告书, 经主管部门审查同意后, 报同级国有资产管理行政主管部门确认资产评估结果。”</w:t>
            </w:r>
          </w:p>
        </w:tc>
        <w:tc>
          <w:tcPr>
            <w:tcW w:w="1015"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108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受理</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收到申请文件及材料之日起，县财政资产评估管理办公室3日内决定是否受理</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行政单位国有资产管理暂行办法》第五十条：财政部门、行政单位及其工作人员违反本办法的规定，擅自占有、使用、处置国有资产的，按照《财政违法行为处罚处分条例》处理。违反国家国有资产管理规定的其他行为，按国家有关法律法规处理。</w:t>
            </w:r>
          </w:p>
        </w:tc>
        <w:tc>
          <w:tcPr>
            <w:tcW w:w="164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资产管理股</w:t>
            </w:r>
          </w:p>
        </w:tc>
      </w:tr>
      <w:tr>
        <w:tblPrEx>
          <w:tblCellMar>
            <w:top w:w="0" w:type="dxa"/>
            <w:left w:w="0" w:type="dxa"/>
            <w:bottom w:w="0" w:type="dxa"/>
            <w:right w:w="0" w:type="dxa"/>
          </w:tblCellMar>
        </w:tblPrEx>
        <w:trPr>
          <w:trHeight w:val="654"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73"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5"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1" w:type="dxa"/>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审核</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不属于本机关职权范围内的，不予受理，并通知申请单位。申请材料齐全、符合法定形式，或者申请单位按照要求提交全部补齐申请资料的，予以受理。虽然申请资料不齐全或者不符合规定的，但自接收之日起3个工作日内不告知主管部门的，自收到申请资料之日起即为受理。按照有关规定对申报事项进行审查;对重大事项或者存疑事项组织专家评审论证；20 个工作日内提出审查意</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54"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73"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5"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1"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决定</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对于符合要求的七日内予以核准备案，申请材料不齐全或者不符合有关规定的，应当在3日内一次告知主管部门需要补齐的全部内容。</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654"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73"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5"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1"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送达</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5日内将文件送主管部门，由主管部门告知申请单位。</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566"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4373"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15"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081" w:type="dxa"/>
            <w:tcBorders>
              <w:top w:val="single" w:color="000000"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归档</w:t>
            </w: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核准备案结束后资料归档</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103" w:hRule="atLeast"/>
          <w:jc w:val="center"/>
        </w:trPr>
        <w:tc>
          <w:tcPr>
            <w:tcW w:w="1144"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pStyle w:val="11"/>
              <w:widowControl/>
              <w:spacing w:before="0" w:beforeAutospacing="0" w:after="0" w:afterAutospacing="0"/>
              <w:jc w:val="center"/>
              <w:rPr>
                <w:rFonts w:ascii="仿宋_GB2312" w:hAnsi="仿宋_GB2312" w:eastAsia="仿宋_GB2312" w:cs="仿宋_GB2312"/>
                <w:color w:val="auto"/>
              </w:rPr>
            </w:pPr>
          </w:p>
        </w:tc>
        <w:tc>
          <w:tcPr>
            <w:tcW w:w="122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11"/>
              <w:widowControl/>
              <w:spacing w:before="0" w:beforeAutospacing="0" w:after="0" w:afterAutospacing="0"/>
              <w:jc w:val="center"/>
              <w:rPr>
                <w:rFonts w:ascii="仿宋_GB2312" w:hAnsi="仿宋_GB2312" w:eastAsia="仿宋_GB2312" w:cs="仿宋_GB2312"/>
                <w:color w:val="auto"/>
              </w:rPr>
            </w:pPr>
          </w:p>
        </w:tc>
        <w:tc>
          <w:tcPr>
            <w:tcW w:w="4373"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pacing w:before="0" w:beforeAutospacing="0" w:after="0" w:afterAutospacing="0"/>
              <w:jc w:val="center"/>
              <w:rPr>
                <w:rFonts w:ascii="仿宋_GB2312" w:hAnsi="仿宋_GB2312" w:eastAsia="仿宋_GB2312" w:cs="仿宋_GB2312"/>
                <w:color w:val="auto"/>
              </w:rPr>
            </w:pPr>
          </w:p>
        </w:tc>
        <w:tc>
          <w:tcPr>
            <w:tcW w:w="1015"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pStyle w:val="11"/>
              <w:widowControl/>
              <w:spacing w:before="0" w:beforeAutospacing="0" w:after="0" w:afterAutospacing="0"/>
              <w:jc w:val="center"/>
              <w:rPr>
                <w:rFonts w:ascii="仿宋_GB2312" w:hAnsi="仿宋_GB2312" w:eastAsia="仿宋_GB2312" w:cs="仿宋_GB2312"/>
                <w:color w:val="auto"/>
              </w:rPr>
            </w:pPr>
          </w:p>
        </w:tc>
        <w:tc>
          <w:tcPr>
            <w:tcW w:w="1081"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pStyle w:val="11"/>
              <w:widowControl/>
              <w:spacing w:before="0" w:beforeAutospacing="0" w:after="0" w:afterAutospacing="0"/>
              <w:jc w:val="center"/>
              <w:rPr>
                <w:rFonts w:ascii="仿宋" w:hAnsi="仿宋" w:eastAsia="仿宋" w:cs="仿宋"/>
                <w:color w:val="auto"/>
                <w:kern w:val="2"/>
                <w:sz w:val="21"/>
                <w:szCs w:val="21"/>
              </w:rPr>
            </w:pPr>
          </w:p>
        </w:tc>
        <w:tc>
          <w:tcPr>
            <w:tcW w:w="33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pacing w:before="0" w:beforeAutospacing="0" w:after="0" w:afterAutospacing="0"/>
              <w:rPr>
                <w:rFonts w:ascii="仿宋" w:hAnsi="仿宋" w:eastAsia="仿宋" w:cs="仿宋"/>
                <w:color w:val="auto"/>
                <w:kern w:val="2"/>
                <w:sz w:val="21"/>
                <w:szCs w:val="21"/>
              </w:rPr>
            </w:pPr>
            <w:r>
              <w:rPr>
                <w:rFonts w:hint="eastAsia" w:ascii="仿宋" w:hAnsi="仿宋" w:eastAsia="仿宋" w:cs="仿宋"/>
                <w:color w:val="auto"/>
                <w:kern w:val="2"/>
                <w:sz w:val="21"/>
                <w:szCs w:val="21"/>
              </w:rPr>
              <w:t>其他法律法规文件规定应履行的责任</w:t>
            </w: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pacing w:before="0" w:beforeAutospacing="0" w:after="0" w:afterAutospacing="0"/>
              <w:jc w:val="center"/>
              <w:rPr>
                <w:rFonts w:ascii="仿宋_GB2312" w:hAnsi="仿宋_GB2312" w:eastAsia="仿宋_GB2312" w:cs="仿宋_GB2312"/>
                <w:color w:val="auto"/>
              </w:rPr>
            </w:pPr>
          </w:p>
        </w:tc>
        <w:tc>
          <w:tcPr>
            <w:tcW w:w="16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1"/>
              <w:widowControl/>
              <w:spacing w:before="0" w:beforeAutospacing="0" w:after="0" w:afterAutospacing="0"/>
              <w:jc w:val="center"/>
              <w:rPr>
                <w:rFonts w:ascii="仿宋_GB2312" w:hAnsi="仿宋_GB2312" w:eastAsia="仿宋_GB2312" w:cs="仿宋_GB2312"/>
                <w:color w:val="auto"/>
              </w:rPr>
            </w:pPr>
          </w:p>
        </w:tc>
      </w:tr>
    </w:tbl>
    <w:p>
      <w:pPr>
        <w:rPr>
          <w:color w:val="auto"/>
        </w:rPr>
      </w:pPr>
    </w:p>
    <w:tbl>
      <w:tblPr>
        <w:tblStyle w:val="6"/>
        <w:tblW w:w="15450" w:type="dxa"/>
        <w:jc w:val="center"/>
        <w:tblLayout w:type="fixed"/>
        <w:tblCellMar>
          <w:top w:w="0" w:type="dxa"/>
          <w:left w:w="0" w:type="dxa"/>
          <w:bottom w:w="0" w:type="dxa"/>
          <w:right w:w="0" w:type="dxa"/>
        </w:tblCellMar>
      </w:tblPr>
      <w:tblGrid>
        <w:gridCol w:w="750"/>
        <w:gridCol w:w="1662"/>
        <w:gridCol w:w="3658"/>
        <w:gridCol w:w="1280"/>
        <w:gridCol w:w="831"/>
        <w:gridCol w:w="3977"/>
        <w:gridCol w:w="1646"/>
        <w:gridCol w:w="1646"/>
      </w:tblGrid>
      <w:tr>
        <w:tblPrEx>
          <w:tblCellMar>
            <w:top w:w="0" w:type="dxa"/>
            <w:left w:w="0" w:type="dxa"/>
            <w:bottom w:w="0" w:type="dxa"/>
            <w:right w:w="0" w:type="dxa"/>
          </w:tblCellMar>
        </w:tblPrEx>
        <w:trPr>
          <w:trHeight w:val="635" w:hRule="atLeast"/>
          <w:jc w:val="center"/>
        </w:trPr>
        <w:tc>
          <w:tcPr>
            <w:tcW w:w="7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166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项目名称</w:t>
            </w:r>
          </w:p>
        </w:tc>
        <w:tc>
          <w:tcPr>
            <w:tcW w:w="365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实施依据</w:t>
            </w:r>
          </w:p>
        </w:tc>
        <w:tc>
          <w:tcPr>
            <w:tcW w:w="12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类别</w:t>
            </w:r>
          </w:p>
        </w:tc>
        <w:tc>
          <w:tcPr>
            <w:tcW w:w="83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办理环节</w:t>
            </w:r>
          </w:p>
        </w:tc>
        <w:tc>
          <w:tcPr>
            <w:tcW w:w="39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责任事项</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jc w:val="center"/>
              <w:textAlignment w:val="center"/>
              <w:rPr>
                <w:rFonts w:ascii="黑体" w:hAnsi="黑体" w:eastAsia="黑体" w:cs="黑体"/>
                <w:color w:val="auto"/>
                <w:sz w:val="24"/>
              </w:rPr>
            </w:pPr>
            <w:r>
              <w:rPr>
                <w:rFonts w:hint="eastAsia" w:ascii="黑体" w:hAnsi="黑体" w:eastAsia="黑体" w:cs="黑体"/>
                <w:color w:val="auto"/>
                <w:kern w:val="0"/>
                <w:sz w:val="24"/>
              </w:rPr>
              <w:t>责任科室</w:t>
            </w:r>
          </w:p>
        </w:tc>
      </w:tr>
      <w:tr>
        <w:tblPrEx>
          <w:tblCellMar>
            <w:top w:w="0" w:type="dxa"/>
            <w:left w:w="0" w:type="dxa"/>
            <w:bottom w:w="0" w:type="dxa"/>
            <w:right w:w="0" w:type="dxa"/>
          </w:tblCellMar>
        </w:tblPrEx>
        <w:trPr>
          <w:trHeight w:val="864" w:hRule="atLeast"/>
          <w:jc w:val="center"/>
        </w:trPr>
        <w:tc>
          <w:tcPr>
            <w:tcW w:w="750"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96</w:t>
            </w:r>
          </w:p>
        </w:tc>
        <w:tc>
          <w:tcPr>
            <w:tcW w:w="16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会计管理工作</w:t>
            </w:r>
          </w:p>
        </w:tc>
        <w:tc>
          <w:tcPr>
            <w:tcW w:w="3658" w:type="dxa"/>
            <w:vMerge w:val="restart"/>
            <w:tcBorders>
              <w:top w:val="single" w:color="auto" w:sz="4" w:space="0"/>
              <w:left w:val="single" w:color="000000" w:sz="4" w:space="0"/>
              <w:right w:val="nil"/>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《中华人民共和国会计法》第七条：“县级以上地方各级人民政府财政部门管理本行政区域内的会计工作。”</w:t>
            </w:r>
          </w:p>
        </w:tc>
        <w:tc>
          <w:tcPr>
            <w:tcW w:w="128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831"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依照相关法律法规实施</w:t>
            </w:r>
          </w:p>
        </w:tc>
        <w:tc>
          <w:tcPr>
            <w:tcW w:w="3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1.组织实施国家会计法律、法规、规章、制度。</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lang w:eastAsia="zh-CN"/>
              </w:rPr>
              <w:t>《中华人民共和国会计法》第四十四条：</w:t>
            </w:r>
            <w:r>
              <w:rPr>
                <w:rFonts w:hint="eastAsia" w:ascii="仿宋" w:hAnsi="仿宋" w:eastAsia="仿宋" w:cs="仿宋"/>
                <w:color w:val="auto"/>
                <w:szCs w:val="21"/>
              </w:rPr>
              <w:t>财政部门及有关行政部门的工作人员在实施监督管理中滥用职权、玩忽职守、徇私舞弊或者泄露国家秘密、工作秘密、商业秘密、个人隐私、个人信息的，依法给予处分；构成犯罪的，依法追究刑事责任。</w:t>
            </w:r>
          </w:p>
        </w:tc>
        <w:tc>
          <w:tcPr>
            <w:tcW w:w="164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会计股</w:t>
            </w:r>
          </w:p>
        </w:tc>
      </w:tr>
      <w:tr>
        <w:tblPrEx>
          <w:tblCellMar>
            <w:top w:w="0" w:type="dxa"/>
            <w:left w:w="0" w:type="dxa"/>
            <w:bottom w:w="0" w:type="dxa"/>
            <w:right w:w="0" w:type="dxa"/>
          </w:tblCellMar>
        </w:tblPrEx>
        <w:trPr>
          <w:trHeight w:val="848" w:hRule="atLeast"/>
          <w:jc w:val="center"/>
        </w:trPr>
        <w:tc>
          <w:tcPr>
            <w:tcW w:w="75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65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1" w:type="dxa"/>
            <w:vMerge w:val="continue"/>
            <w:tcBorders>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2.管理全市会计从业资格；按规定承担会计专业技术资格管理工作。</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300" w:hRule="atLeast"/>
          <w:jc w:val="center"/>
        </w:trPr>
        <w:tc>
          <w:tcPr>
            <w:tcW w:w="75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65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1" w:type="dxa"/>
            <w:vMerge w:val="continue"/>
            <w:tcBorders>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3.负责会计师事务所、代理记账机构的日常监督管理工作。</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848" w:hRule="atLeast"/>
          <w:jc w:val="center"/>
        </w:trPr>
        <w:tc>
          <w:tcPr>
            <w:tcW w:w="750" w:type="dxa"/>
            <w:vMerge w:val="continue"/>
            <w:tcBorders>
              <w:left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2"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658" w:type="dxa"/>
            <w:vMerge w:val="continue"/>
            <w:tcBorders>
              <w:left w:val="single" w:color="000000"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0" w:type="dxa"/>
            <w:vMerge w:val="continue"/>
            <w:tcBorders>
              <w:left w:val="single" w:color="000000"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1" w:type="dxa"/>
            <w:vMerge w:val="continue"/>
            <w:tcBorders>
              <w:left w:val="single" w:color="000000"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4.组织实施会计信息化标准，指导全市会计电算化、信息化工作。</w:t>
            </w:r>
          </w:p>
        </w:tc>
        <w:tc>
          <w:tcPr>
            <w:tcW w:w="1646" w:type="dxa"/>
            <w:vMerge w:val="continue"/>
            <w:tcBorders>
              <w:left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r>
        <w:tblPrEx>
          <w:tblCellMar>
            <w:top w:w="0" w:type="dxa"/>
            <w:left w:w="0" w:type="dxa"/>
            <w:bottom w:w="0" w:type="dxa"/>
            <w:right w:w="0" w:type="dxa"/>
          </w:tblCellMar>
        </w:tblPrEx>
        <w:trPr>
          <w:trHeight w:val="728" w:hRule="atLeast"/>
          <w:jc w:val="center"/>
        </w:trPr>
        <w:tc>
          <w:tcPr>
            <w:tcW w:w="75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658" w:type="dxa"/>
            <w:vMerge w:val="continue"/>
            <w:tcBorders>
              <w:left w:val="single" w:color="000000" w:sz="4" w:space="0"/>
              <w:bottom w:val="single" w:color="auto" w:sz="4" w:space="0"/>
              <w:right w:val="nil"/>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1"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5.其他法律法规规章文件规定应履行的责任。</w:t>
            </w: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p>
      <w:pPr>
        <w:autoSpaceDN w:val="0"/>
        <w:snapToGrid w:val="0"/>
        <w:textAlignment w:val="center"/>
        <w:rPr>
          <w:b/>
          <w:bCs/>
          <w:color w:val="auto"/>
        </w:rPr>
      </w:pPr>
    </w:p>
    <w:tbl>
      <w:tblPr>
        <w:tblStyle w:val="6"/>
        <w:tblpPr w:leftFromText="180" w:rightFromText="180" w:vertAnchor="text" w:horzAnchor="page" w:tblpX="704" w:tblpY="18"/>
        <w:tblOverlap w:val="never"/>
        <w:tblW w:w="15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1673"/>
        <w:gridCol w:w="3646"/>
        <w:gridCol w:w="1286"/>
        <w:gridCol w:w="837"/>
        <w:gridCol w:w="3971"/>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745" w:type="dxa"/>
            <w:tcMar>
              <w:top w:w="15" w:type="dxa"/>
              <w:left w:w="15" w:type="dxa"/>
              <w:right w:w="15" w:type="dxa"/>
            </w:tcMar>
            <w:vAlign w:val="center"/>
          </w:tcPr>
          <w:p>
            <w:pPr>
              <w:widowControl/>
              <w:snapToGrid w:val="0"/>
              <w:jc w:val="center"/>
              <w:textAlignment w:val="center"/>
              <w:rPr>
                <w:rFonts w:hint="eastAsia" w:ascii="仿宋" w:hAnsi="仿宋" w:eastAsia="仿宋" w:cs="仿宋"/>
                <w:color w:val="auto"/>
                <w:szCs w:val="21"/>
              </w:rPr>
            </w:pPr>
            <w:r>
              <w:rPr>
                <w:rFonts w:hint="eastAsia" w:ascii="黑体" w:hAnsi="黑体" w:eastAsia="黑体" w:cs="黑体"/>
                <w:color w:val="auto"/>
                <w:kern w:val="0"/>
                <w:sz w:val="24"/>
              </w:rPr>
              <w:t>序号</w:t>
            </w:r>
          </w:p>
        </w:tc>
        <w:tc>
          <w:tcPr>
            <w:tcW w:w="1673" w:type="dxa"/>
            <w:tcMar>
              <w:top w:w="15" w:type="dxa"/>
              <w:left w:w="15" w:type="dxa"/>
              <w:right w:w="15" w:type="dxa"/>
            </w:tcMar>
            <w:vAlign w:val="center"/>
          </w:tcPr>
          <w:p>
            <w:pPr>
              <w:widowControl/>
              <w:snapToGrid w:val="0"/>
              <w:jc w:val="center"/>
              <w:textAlignment w:val="center"/>
              <w:rPr>
                <w:rFonts w:hint="eastAsia" w:ascii="仿宋" w:hAnsi="仿宋" w:eastAsia="仿宋" w:cs="仿宋"/>
                <w:color w:val="auto"/>
                <w:szCs w:val="21"/>
              </w:rPr>
            </w:pPr>
            <w:r>
              <w:rPr>
                <w:rFonts w:hint="eastAsia" w:ascii="黑体" w:hAnsi="黑体" w:eastAsia="黑体" w:cs="黑体"/>
                <w:color w:val="auto"/>
                <w:kern w:val="0"/>
                <w:sz w:val="24"/>
              </w:rPr>
              <w:t>项目名称</w:t>
            </w:r>
          </w:p>
        </w:tc>
        <w:tc>
          <w:tcPr>
            <w:tcW w:w="3646" w:type="dxa"/>
            <w:tcMar>
              <w:top w:w="15" w:type="dxa"/>
              <w:left w:w="15" w:type="dxa"/>
              <w:right w:w="15" w:type="dxa"/>
            </w:tcMar>
            <w:vAlign w:val="center"/>
          </w:tcPr>
          <w:p>
            <w:pPr>
              <w:widowControl/>
              <w:snapToGrid w:val="0"/>
              <w:jc w:val="center"/>
              <w:textAlignment w:val="center"/>
              <w:rPr>
                <w:rFonts w:hint="eastAsia" w:ascii="仿宋" w:hAnsi="仿宋" w:eastAsia="仿宋" w:cs="仿宋"/>
                <w:color w:val="auto"/>
                <w:szCs w:val="21"/>
              </w:rPr>
            </w:pPr>
            <w:r>
              <w:rPr>
                <w:rFonts w:hint="eastAsia" w:ascii="黑体" w:hAnsi="黑体" w:eastAsia="黑体" w:cs="黑体"/>
                <w:color w:val="auto"/>
                <w:kern w:val="0"/>
                <w:sz w:val="24"/>
              </w:rPr>
              <w:t>实施依据</w:t>
            </w:r>
          </w:p>
        </w:tc>
        <w:tc>
          <w:tcPr>
            <w:tcW w:w="1286" w:type="dxa"/>
            <w:tcMar>
              <w:top w:w="15" w:type="dxa"/>
              <w:left w:w="15" w:type="dxa"/>
              <w:right w:w="15" w:type="dxa"/>
            </w:tcMar>
            <w:vAlign w:val="center"/>
          </w:tcPr>
          <w:p>
            <w:pPr>
              <w:widowControl/>
              <w:snapToGrid w:val="0"/>
              <w:jc w:val="center"/>
              <w:textAlignment w:val="center"/>
              <w:rPr>
                <w:rFonts w:ascii="黑体" w:hAnsi="黑体" w:eastAsia="黑体" w:cs="黑体"/>
                <w:color w:val="auto"/>
                <w:kern w:val="0"/>
                <w:sz w:val="24"/>
              </w:rPr>
            </w:pPr>
            <w:r>
              <w:rPr>
                <w:rFonts w:hint="eastAsia" w:ascii="黑体" w:hAnsi="黑体" w:eastAsia="黑体" w:cs="黑体"/>
                <w:color w:val="auto"/>
                <w:kern w:val="0"/>
                <w:sz w:val="24"/>
              </w:rPr>
              <w:t>职权</w:t>
            </w:r>
          </w:p>
          <w:p>
            <w:pPr>
              <w:widowControl/>
              <w:snapToGrid w:val="0"/>
              <w:jc w:val="center"/>
              <w:textAlignment w:val="center"/>
              <w:rPr>
                <w:rFonts w:hint="eastAsia" w:ascii="仿宋" w:hAnsi="仿宋" w:eastAsia="仿宋" w:cs="仿宋"/>
                <w:color w:val="auto"/>
                <w:szCs w:val="21"/>
              </w:rPr>
            </w:pPr>
            <w:r>
              <w:rPr>
                <w:rFonts w:hint="eastAsia" w:ascii="黑体" w:hAnsi="黑体" w:eastAsia="黑体" w:cs="黑体"/>
                <w:color w:val="auto"/>
                <w:kern w:val="0"/>
                <w:sz w:val="24"/>
              </w:rPr>
              <w:t>类别</w:t>
            </w:r>
          </w:p>
        </w:tc>
        <w:tc>
          <w:tcPr>
            <w:tcW w:w="837" w:type="dxa"/>
            <w:tcMar>
              <w:top w:w="15" w:type="dxa"/>
              <w:left w:w="15" w:type="dxa"/>
              <w:right w:w="15" w:type="dxa"/>
            </w:tcMar>
            <w:vAlign w:val="center"/>
          </w:tcPr>
          <w:p>
            <w:pPr>
              <w:widowControl/>
              <w:snapToGrid w:val="0"/>
              <w:jc w:val="center"/>
              <w:textAlignment w:val="center"/>
              <w:rPr>
                <w:rFonts w:hint="eastAsia" w:ascii="仿宋" w:hAnsi="仿宋" w:eastAsia="仿宋" w:cs="仿宋"/>
                <w:color w:val="auto"/>
                <w:szCs w:val="21"/>
              </w:rPr>
            </w:pPr>
            <w:r>
              <w:rPr>
                <w:rFonts w:hint="eastAsia" w:ascii="黑体" w:hAnsi="黑体" w:eastAsia="黑体" w:cs="黑体"/>
                <w:color w:val="auto"/>
                <w:kern w:val="0"/>
                <w:sz w:val="24"/>
              </w:rPr>
              <w:t>办理环节</w:t>
            </w:r>
          </w:p>
        </w:tc>
        <w:tc>
          <w:tcPr>
            <w:tcW w:w="3971" w:type="dxa"/>
            <w:tcMar>
              <w:top w:w="15" w:type="dxa"/>
              <w:left w:w="15" w:type="dxa"/>
              <w:right w:w="15" w:type="dxa"/>
            </w:tcMar>
            <w:vAlign w:val="center"/>
          </w:tcPr>
          <w:p>
            <w:pPr>
              <w:widowControl/>
              <w:snapToGrid w:val="0"/>
              <w:jc w:val="center"/>
              <w:textAlignment w:val="center"/>
              <w:rPr>
                <w:rFonts w:hint="eastAsia" w:ascii="仿宋" w:hAnsi="仿宋" w:eastAsia="仿宋" w:cs="仿宋"/>
                <w:color w:val="auto"/>
                <w:szCs w:val="21"/>
              </w:rPr>
            </w:pPr>
            <w:r>
              <w:rPr>
                <w:rFonts w:hint="eastAsia" w:ascii="黑体" w:hAnsi="黑体" w:eastAsia="黑体" w:cs="黑体"/>
                <w:color w:val="auto"/>
                <w:kern w:val="0"/>
                <w:sz w:val="24"/>
              </w:rPr>
              <w:t>责任事项</w:t>
            </w:r>
          </w:p>
        </w:tc>
        <w:tc>
          <w:tcPr>
            <w:tcW w:w="1646" w:type="dxa"/>
            <w:tcMar>
              <w:top w:w="15" w:type="dxa"/>
              <w:left w:w="15" w:type="dxa"/>
              <w:right w:w="15" w:type="dxa"/>
            </w:tcMar>
            <w:vAlign w:val="center"/>
          </w:tcPr>
          <w:p>
            <w:pPr>
              <w:widowControl/>
              <w:snapToGrid w:val="0"/>
              <w:jc w:val="center"/>
              <w:textAlignment w:val="center"/>
              <w:rPr>
                <w:rFonts w:hint="eastAsia" w:ascii="仿宋" w:hAnsi="仿宋" w:eastAsia="仿宋" w:cs="仿宋"/>
                <w:color w:val="auto"/>
                <w:szCs w:val="21"/>
              </w:rPr>
            </w:pPr>
            <w:r>
              <w:rPr>
                <w:rFonts w:hint="eastAsia" w:ascii="黑体" w:hAnsi="黑体" w:eastAsia="黑体" w:cs="黑体"/>
                <w:color w:val="auto"/>
                <w:kern w:val="0"/>
                <w:sz w:val="24"/>
              </w:rPr>
              <w:t>追责情形</w:t>
            </w:r>
          </w:p>
        </w:tc>
        <w:tc>
          <w:tcPr>
            <w:tcW w:w="1646" w:type="dxa"/>
            <w:tcMar>
              <w:top w:w="15" w:type="dxa"/>
              <w:left w:w="15" w:type="dxa"/>
              <w:right w:w="15" w:type="dxa"/>
            </w:tcMar>
            <w:vAlign w:val="center"/>
          </w:tcPr>
          <w:p>
            <w:pPr>
              <w:widowControl/>
              <w:snapToGrid w:val="0"/>
              <w:jc w:val="center"/>
              <w:textAlignment w:val="center"/>
              <w:rPr>
                <w:rFonts w:ascii="仿宋" w:hAnsi="仿宋" w:eastAsia="仿宋" w:cs="仿宋"/>
                <w:color w:val="auto"/>
                <w:szCs w:val="21"/>
              </w:rPr>
            </w:pPr>
            <w:r>
              <w:rPr>
                <w:rFonts w:hint="eastAsia" w:ascii="黑体" w:hAnsi="黑体" w:eastAsia="黑体" w:cs="黑体"/>
                <w:color w:val="auto"/>
                <w:kern w:val="0"/>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9" w:hRule="atLeast"/>
        </w:trPr>
        <w:tc>
          <w:tcPr>
            <w:tcW w:w="745" w:type="dxa"/>
            <w:vMerge w:val="restart"/>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97</w:t>
            </w:r>
          </w:p>
        </w:tc>
        <w:tc>
          <w:tcPr>
            <w:tcW w:w="1673" w:type="dxa"/>
            <w:vMerge w:val="restart"/>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定向国有控股和参股公司派出股东代表的工作方案</w:t>
            </w:r>
          </w:p>
        </w:tc>
        <w:tc>
          <w:tcPr>
            <w:tcW w:w="3646" w:type="dxa"/>
            <w:vMerge w:val="restart"/>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《企业国有资产监督管理暂行条例》第二十二条 国有资产监督管理机构依照公司法的规定，派出股东代表、董事，参加国有控股公司、国有参股公司的股东会、董事会。</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国有控股公司、国有参股公司的股东会。董事会决定公司的分立、合并、破产、解散、任免企业负责人等重大事项时，国有资产监督管理机构派出的股东代表董事，应当按照国有资产监督管理机构的指示发表意见、行使表决权。</w:t>
            </w:r>
          </w:p>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 xml:space="preserve">  国有资产监督管理机构派出的股东代表、董事，应当将其履行职责的有关情况及时向国有资产监督管理机构报告。 </w:t>
            </w:r>
          </w:p>
        </w:tc>
        <w:tc>
          <w:tcPr>
            <w:tcW w:w="1286" w:type="dxa"/>
            <w:vMerge w:val="restart"/>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其他职权</w:t>
            </w:r>
          </w:p>
        </w:tc>
        <w:tc>
          <w:tcPr>
            <w:tcW w:w="837" w:type="dxa"/>
            <w:vMerge w:val="restart"/>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依照相关法律法规实施具体措施</w:t>
            </w:r>
          </w:p>
        </w:tc>
        <w:tc>
          <w:tcPr>
            <w:tcW w:w="3971" w:type="dxa"/>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1.国有资产监督管理机构依照公司法的规定，派出股东代表、董事，参加国有控股的公司、国有参股的公司的股东会、董事会。</w:t>
            </w:r>
          </w:p>
        </w:tc>
        <w:tc>
          <w:tcPr>
            <w:tcW w:w="1646" w:type="dxa"/>
            <w:vMerge w:val="restart"/>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《中华人民共和国企业国有资产法》第七十条：履行出资人职责的机构委派的股东代表未按照委派机构的指示履行职责，造成国有资产损失的，依法承担赔偿责任；属于国家工作人员的，并依法给予处分。</w:t>
            </w:r>
          </w:p>
        </w:tc>
        <w:tc>
          <w:tcPr>
            <w:tcW w:w="1646" w:type="dxa"/>
            <w:vMerge w:val="restart"/>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r>
              <w:rPr>
                <w:rFonts w:hint="eastAsia" w:ascii="仿宋" w:hAnsi="仿宋" w:eastAsia="仿宋" w:cs="仿宋"/>
                <w:color w:val="auto"/>
                <w:szCs w:val="21"/>
              </w:rPr>
              <w:t>县属功能类公益类企业国有资产监管办公室</w:t>
            </w:r>
          </w:p>
          <w:p>
            <w:pPr>
              <w:autoSpaceDN w:val="0"/>
              <w:snapToGrid w:val="0"/>
              <w:jc w:val="center"/>
              <w:textAlignment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trPr>
        <w:tc>
          <w:tcPr>
            <w:tcW w:w="745"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73"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64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28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837"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3971" w:type="dxa"/>
            <w:tcMar>
              <w:top w:w="15" w:type="dxa"/>
              <w:left w:w="15" w:type="dxa"/>
              <w:right w:w="15" w:type="dxa"/>
            </w:tcMar>
            <w:vAlign w:val="center"/>
          </w:tcPr>
          <w:p>
            <w:pPr>
              <w:autoSpaceDN w:val="0"/>
              <w:snapToGrid w:val="0"/>
              <w:jc w:val="left"/>
              <w:textAlignment w:val="center"/>
              <w:rPr>
                <w:rFonts w:ascii="仿宋" w:hAnsi="仿宋" w:eastAsia="仿宋" w:cs="仿宋"/>
                <w:color w:val="auto"/>
                <w:szCs w:val="21"/>
              </w:rPr>
            </w:pPr>
            <w:r>
              <w:rPr>
                <w:rFonts w:hint="eastAsia" w:ascii="仿宋" w:hAnsi="仿宋" w:eastAsia="仿宋" w:cs="仿宋"/>
                <w:color w:val="auto"/>
                <w:szCs w:val="21"/>
              </w:rPr>
              <w:t>2.其他法律法规规章文件规定应履行的责任。</w:t>
            </w:r>
          </w:p>
        </w:tc>
        <w:tc>
          <w:tcPr>
            <w:tcW w:w="164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c>
          <w:tcPr>
            <w:tcW w:w="1646" w:type="dxa"/>
            <w:vMerge w:val="continue"/>
            <w:tcMar>
              <w:top w:w="15" w:type="dxa"/>
              <w:left w:w="15" w:type="dxa"/>
              <w:right w:w="15" w:type="dxa"/>
            </w:tcMar>
            <w:vAlign w:val="center"/>
          </w:tcPr>
          <w:p>
            <w:pPr>
              <w:autoSpaceDN w:val="0"/>
              <w:snapToGrid w:val="0"/>
              <w:jc w:val="center"/>
              <w:textAlignment w:val="center"/>
              <w:rPr>
                <w:rFonts w:ascii="仿宋" w:hAnsi="仿宋" w:eastAsia="仿宋" w:cs="仿宋"/>
                <w:color w:val="auto"/>
                <w:szCs w:val="21"/>
              </w:rPr>
            </w:pPr>
          </w:p>
        </w:tc>
      </w:tr>
    </w:tbl>
    <w:p>
      <w:pPr>
        <w:autoSpaceDN w:val="0"/>
        <w:snapToGrid w:val="0"/>
        <w:textAlignment w:val="center"/>
        <w:rPr>
          <w:b/>
          <w:bCs/>
          <w:color w:val="auto"/>
        </w:rPr>
      </w:pPr>
    </w:p>
    <w:sectPr>
      <w:footerReference r:id="rId3" w:type="default"/>
      <w:pgSz w:w="16838" w:h="11906" w:orient="landscape"/>
      <w:pgMar w:top="1270" w:right="1800" w:bottom="1270" w:left="1800" w:header="0" w:footer="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179F8D-2A09-4C93-B313-4E1B5C3DB1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18E3620-9C2F-4589-9408-C48C36016F5E}"/>
  </w:font>
  <w:font w:name="方正小标宋_GBK">
    <w:altName w:val="微软雅黑"/>
    <w:panose1 w:val="00000000000000000000"/>
    <w:charset w:val="86"/>
    <w:family w:val="auto"/>
    <w:pitch w:val="default"/>
    <w:sig w:usb0="00000000" w:usb1="00000000" w:usb2="00000000" w:usb3="00000000" w:csb0="00000000" w:csb1="00000000"/>
    <w:embedRegular r:id="rId3" w:fontKey="{48F46C72-5FEC-415C-8141-4960F293DC5B}"/>
  </w:font>
  <w:font w:name="仿宋_GB2312">
    <w:panose1 w:val="02010609030101010101"/>
    <w:charset w:val="86"/>
    <w:family w:val="modern"/>
    <w:pitch w:val="default"/>
    <w:sig w:usb0="00000001" w:usb1="080E0000" w:usb2="00000000" w:usb3="00000000" w:csb0="00040000" w:csb1="00000000"/>
    <w:embedRegular r:id="rId4" w:fontKey="{4329E7FF-6DEE-4D3C-BBFA-E2BD5AAAF16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Fonts w:ascii="仿宋_GB2312" w:eastAsia="仿宋_GB2312"/>
        <w:sz w:val="32"/>
        <w:szCs w:val="32"/>
      </w:rPr>
    </w:pPr>
    <w:r>
      <w:rPr>
        <w:rFonts w:hint="eastAsia" w:ascii="仿宋_GB2312" w:eastAsia="仿宋_GB2312"/>
        <w:sz w:val="32"/>
        <w:szCs w:val="32"/>
      </w:rPr>
      <w:fldChar w:fldCharType="begin"/>
    </w:r>
    <w:r>
      <w:rPr>
        <w:rStyle w:val="10"/>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10"/>
        <w:rFonts w:ascii="仿宋_GB2312" w:eastAsia="仿宋_GB2312"/>
        <w:sz w:val="32"/>
        <w:szCs w:val="32"/>
      </w:rPr>
      <w:t>- 98 -</w:t>
    </w:r>
    <w:r>
      <w:rPr>
        <w:rFonts w:hint="eastAsia" w:ascii="仿宋_GB2312" w:eastAsia="仿宋_GB2312"/>
        <w:sz w:val="32"/>
        <w:szCs w:val="32"/>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9F29D"/>
    <w:multiLevelType w:val="singleLevel"/>
    <w:tmpl w:val="4F99F29D"/>
    <w:lvl w:ilvl="0" w:tentative="0">
      <w:start w:val="1"/>
      <w:numFmt w:val="chineseCounting"/>
      <w:suff w:val="nothing"/>
      <w:lvlText w:val="（%1）"/>
      <w:lvlJc w:val="left"/>
      <w:rPr>
        <w:rFonts w:hint="eastAsia"/>
      </w:rPr>
    </w:lvl>
  </w:abstractNum>
  <w:abstractNum w:abstractNumId="1">
    <w:nsid w:val="60286692"/>
    <w:multiLevelType w:val="singleLevel"/>
    <w:tmpl w:val="60286692"/>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ZiNzUxYzgwNmM1N2U4MjZjZTU4NjQzZGE4ZjBmYjYifQ=="/>
  </w:docVars>
  <w:rsids>
    <w:rsidRoot w:val="603B0C86"/>
    <w:rsid w:val="00802306"/>
    <w:rsid w:val="008568C5"/>
    <w:rsid w:val="00A65D61"/>
    <w:rsid w:val="00AA1748"/>
    <w:rsid w:val="00C12502"/>
    <w:rsid w:val="00D97991"/>
    <w:rsid w:val="00E0120B"/>
    <w:rsid w:val="00F01119"/>
    <w:rsid w:val="00F116A0"/>
    <w:rsid w:val="016E1EF0"/>
    <w:rsid w:val="035E347F"/>
    <w:rsid w:val="04C959D7"/>
    <w:rsid w:val="04D275C0"/>
    <w:rsid w:val="052E47C1"/>
    <w:rsid w:val="056B77C2"/>
    <w:rsid w:val="059C6184"/>
    <w:rsid w:val="05E337FC"/>
    <w:rsid w:val="05E76E48"/>
    <w:rsid w:val="065D535C"/>
    <w:rsid w:val="068F332E"/>
    <w:rsid w:val="06EE4206"/>
    <w:rsid w:val="070C28DE"/>
    <w:rsid w:val="076369A2"/>
    <w:rsid w:val="08002651"/>
    <w:rsid w:val="086568DA"/>
    <w:rsid w:val="08C57884"/>
    <w:rsid w:val="094F63E6"/>
    <w:rsid w:val="096411BD"/>
    <w:rsid w:val="09B33A77"/>
    <w:rsid w:val="0AD16319"/>
    <w:rsid w:val="0C401A2C"/>
    <w:rsid w:val="0C433405"/>
    <w:rsid w:val="0CB70557"/>
    <w:rsid w:val="0D5063DF"/>
    <w:rsid w:val="0D892CEA"/>
    <w:rsid w:val="0DE34399"/>
    <w:rsid w:val="0E462748"/>
    <w:rsid w:val="0FD3668F"/>
    <w:rsid w:val="10036F74"/>
    <w:rsid w:val="108C51BC"/>
    <w:rsid w:val="10B9308A"/>
    <w:rsid w:val="11095373"/>
    <w:rsid w:val="11DD37F5"/>
    <w:rsid w:val="13B81E24"/>
    <w:rsid w:val="1457788F"/>
    <w:rsid w:val="15AF1BFE"/>
    <w:rsid w:val="16922E00"/>
    <w:rsid w:val="17AB2F08"/>
    <w:rsid w:val="185365BF"/>
    <w:rsid w:val="19744A3F"/>
    <w:rsid w:val="1BA62EAA"/>
    <w:rsid w:val="1C0D294B"/>
    <w:rsid w:val="1D1B6AD7"/>
    <w:rsid w:val="1F33156F"/>
    <w:rsid w:val="1F9A5927"/>
    <w:rsid w:val="21393A5D"/>
    <w:rsid w:val="21E85FCA"/>
    <w:rsid w:val="223C70DE"/>
    <w:rsid w:val="23A85A1D"/>
    <w:rsid w:val="252512E3"/>
    <w:rsid w:val="266C3EE1"/>
    <w:rsid w:val="26BC74AC"/>
    <w:rsid w:val="274F43F6"/>
    <w:rsid w:val="27C512CF"/>
    <w:rsid w:val="28463A4A"/>
    <w:rsid w:val="291D5975"/>
    <w:rsid w:val="2B3045F2"/>
    <w:rsid w:val="2B7034BB"/>
    <w:rsid w:val="2B9C6B20"/>
    <w:rsid w:val="2C813499"/>
    <w:rsid w:val="2CC16D48"/>
    <w:rsid w:val="2CE72C46"/>
    <w:rsid w:val="2D1E6D44"/>
    <w:rsid w:val="2DAC25A2"/>
    <w:rsid w:val="2E7B0797"/>
    <w:rsid w:val="305670D3"/>
    <w:rsid w:val="30E97669"/>
    <w:rsid w:val="31786B3E"/>
    <w:rsid w:val="322D12EF"/>
    <w:rsid w:val="3257018C"/>
    <w:rsid w:val="33325647"/>
    <w:rsid w:val="33E80E56"/>
    <w:rsid w:val="357F7ED1"/>
    <w:rsid w:val="38E946AA"/>
    <w:rsid w:val="3A704957"/>
    <w:rsid w:val="3B537D64"/>
    <w:rsid w:val="3B7346FF"/>
    <w:rsid w:val="3BE23632"/>
    <w:rsid w:val="3D736C38"/>
    <w:rsid w:val="3DD159AC"/>
    <w:rsid w:val="3E502681"/>
    <w:rsid w:val="3EED02E5"/>
    <w:rsid w:val="3FE21E53"/>
    <w:rsid w:val="406805AA"/>
    <w:rsid w:val="40F63CDB"/>
    <w:rsid w:val="40FC6F44"/>
    <w:rsid w:val="41DA7286"/>
    <w:rsid w:val="41EA3241"/>
    <w:rsid w:val="43440F2C"/>
    <w:rsid w:val="43645A60"/>
    <w:rsid w:val="4387364A"/>
    <w:rsid w:val="43FD54AD"/>
    <w:rsid w:val="455947E7"/>
    <w:rsid w:val="455B3A96"/>
    <w:rsid w:val="456F4189"/>
    <w:rsid w:val="48022412"/>
    <w:rsid w:val="483864D5"/>
    <w:rsid w:val="49AE1473"/>
    <w:rsid w:val="4A463ED2"/>
    <w:rsid w:val="4ADE3C92"/>
    <w:rsid w:val="4C07259F"/>
    <w:rsid w:val="4C431ECB"/>
    <w:rsid w:val="4C73414A"/>
    <w:rsid w:val="4C842A31"/>
    <w:rsid w:val="4CEE0089"/>
    <w:rsid w:val="4D7D1DD8"/>
    <w:rsid w:val="4E1641ED"/>
    <w:rsid w:val="4E4D258F"/>
    <w:rsid w:val="50AE3143"/>
    <w:rsid w:val="51C63383"/>
    <w:rsid w:val="526E7576"/>
    <w:rsid w:val="54484523"/>
    <w:rsid w:val="54F2448F"/>
    <w:rsid w:val="58E92FC0"/>
    <w:rsid w:val="59AD1935"/>
    <w:rsid w:val="5A5D05FC"/>
    <w:rsid w:val="5A666E23"/>
    <w:rsid w:val="5B6D2AC1"/>
    <w:rsid w:val="5C003935"/>
    <w:rsid w:val="5C076A71"/>
    <w:rsid w:val="5CDD5A24"/>
    <w:rsid w:val="5D402DBE"/>
    <w:rsid w:val="5D8D2FA6"/>
    <w:rsid w:val="5E1F3890"/>
    <w:rsid w:val="5E8D0288"/>
    <w:rsid w:val="5EAB4F7B"/>
    <w:rsid w:val="603B0C86"/>
    <w:rsid w:val="60F35816"/>
    <w:rsid w:val="6114190B"/>
    <w:rsid w:val="625C29CE"/>
    <w:rsid w:val="62D358FF"/>
    <w:rsid w:val="64D140C0"/>
    <w:rsid w:val="65143FAD"/>
    <w:rsid w:val="65371474"/>
    <w:rsid w:val="6565189F"/>
    <w:rsid w:val="6599162C"/>
    <w:rsid w:val="65E250FE"/>
    <w:rsid w:val="66277FA6"/>
    <w:rsid w:val="66835063"/>
    <w:rsid w:val="6716400D"/>
    <w:rsid w:val="671C46C3"/>
    <w:rsid w:val="68012907"/>
    <w:rsid w:val="6852246C"/>
    <w:rsid w:val="6A486BD3"/>
    <w:rsid w:val="6B881251"/>
    <w:rsid w:val="6B917CA4"/>
    <w:rsid w:val="6C783609"/>
    <w:rsid w:val="6CE355F5"/>
    <w:rsid w:val="6CFA7F2C"/>
    <w:rsid w:val="6D4F0278"/>
    <w:rsid w:val="6ED36C87"/>
    <w:rsid w:val="6FF366BF"/>
    <w:rsid w:val="70785438"/>
    <w:rsid w:val="707B1384"/>
    <w:rsid w:val="714D2D21"/>
    <w:rsid w:val="71887C3A"/>
    <w:rsid w:val="72173D04"/>
    <w:rsid w:val="74161BB3"/>
    <w:rsid w:val="74F11C15"/>
    <w:rsid w:val="765E32DA"/>
    <w:rsid w:val="76B4099D"/>
    <w:rsid w:val="776C1A27"/>
    <w:rsid w:val="792D7857"/>
    <w:rsid w:val="7AD90ED4"/>
    <w:rsid w:val="7B7C18B5"/>
    <w:rsid w:val="7C2F0999"/>
    <w:rsid w:val="7DD12452"/>
    <w:rsid w:val="7EA43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普通(网站)1"/>
    <w:basedOn w:val="1"/>
    <w:qFormat/>
    <w:uiPriority w:val="0"/>
    <w:pPr>
      <w:spacing w:before="100" w:beforeAutospacing="1" w:after="100" w:afterAutospacing="1"/>
      <w:jc w:val="left"/>
    </w:pPr>
    <w:rPr>
      <w:kern w:val="0"/>
      <w:sz w:val="24"/>
    </w:rPr>
  </w:style>
  <w:style w:type="paragraph" w:customStyle="1" w:styleId="12">
    <w:name w:val="普通(网站)11"/>
    <w:basedOn w:val="1"/>
    <w:qFormat/>
    <w:uiPriority w:val="0"/>
    <w:pPr>
      <w:spacing w:beforeAutospacing="1" w:afterAutospacing="1"/>
      <w:jc w:val="left"/>
    </w:pPr>
    <w:rPr>
      <w:rFonts w:ascii="Calibri" w:hAnsi="Calibri"/>
      <w:kern w:val="0"/>
      <w:sz w:val="24"/>
      <w:szCs w:val="22"/>
    </w:rPr>
  </w:style>
  <w:style w:type="character" w:customStyle="1" w:styleId="13">
    <w:name w:val="font01"/>
    <w:basedOn w:val="8"/>
    <w:qFormat/>
    <w:uiPriority w:val="0"/>
    <w:rPr>
      <w:rFonts w:hint="eastAsia" w:ascii="仿宋" w:hAnsi="仿宋" w:eastAsia="仿宋" w:cs="仿宋"/>
      <w:color w:val="000000"/>
      <w:sz w:val="21"/>
      <w:szCs w:val="21"/>
      <w:u w:val="none"/>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default" w:ascii="Times New Roman" w:hAnsi="Times New Roman" w:cs="Times New Roman"/>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页眉 Char"/>
    <w:basedOn w:val="8"/>
    <w:link w:val="4"/>
    <w:qFormat/>
    <w:uiPriority w:val="0"/>
    <w:rPr>
      <w:kern w:val="2"/>
      <w:sz w:val="18"/>
      <w:szCs w:val="18"/>
    </w:rPr>
  </w:style>
  <w:style w:type="paragraph" w:customStyle="1" w:styleId="18">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90933</Words>
  <Characters>92238</Characters>
  <Lines>711</Lines>
  <Paragraphs>200</Paragraphs>
  <TotalTime>18</TotalTime>
  <ScaleCrop>false</ScaleCrop>
  <LinksUpToDate>false</LinksUpToDate>
  <CharactersWithSpaces>93285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2023-10-20T07:16:00Z</dcterms:created>
  <dc:creator>茄子</dc:creator>
  <cp:lastModifiedBy>Lenovo</cp:lastModifiedBy>
  <cp:lastPrinted>2023-10-23T07:46:00Z</cp:lastPrinted>
  <dcterms:modified xsi:type="dcterms:W3CDTF">2024-12-17T08:39:05Z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368C93A0E0294F34A902F68205AC71D7_13</vt:lpwstr>
  </property>
</Properties>
</file>