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D2F57">
      <w:pPr>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w:t>
      </w:r>
    </w:p>
    <w:p w14:paraId="75444645">
      <w:pPr>
        <w:jc w:val="center"/>
        <w:rPr>
          <w:rFonts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kern w:val="0"/>
          <w:sz w:val="44"/>
          <w:szCs w:val="44"/>
        </w:rPr>
        <w:t>潢川县殡葬基本服务及重要延伸服务收费项目清单</w:t>
      </w:r>
      <w:bookmarkEnd w:id="0"/>
    </w:p>
    <w:tbl>
      <w:tblPr>
        <w:tblStyle w:val="2"/>
        <w:tblW w:w="13673" w:type="dxa"/>
        <w:tblInd w:w="135" w:type="dxa"/>
        <w:tblLayout w:type="fixed"/>
        <w:tblCellMar>
          <w:top w:w="0" w:type="dxa"/>
          <w:left w:w="108" w:type="dxa"/>
          <w:bottom w:w="0" w:type="dxa"/>
          <w:right w:w="108" w:type="dxa"/>
        </w:tblCellMar>
      </w:tblPr>
      <w:tblGrid>
        <w:gridCol w:w="749"/>
        <w:gridCol w:w="596"/>
        <w:gridCol w:w="1288"/>
        <w:gridCol w:w="2235"/>
        <w:gridCol w:w="1155"/>
        <w:gridCol w:w="3795"/>
        <w:gridCol w:w="3855"/>
      </w:tblGrid>
      <w:tr w14:paraId="746A8699">
        <w:tblPrEx>
          <w:tblCellMar>
            <w:top w:w="0" w:type="dxa"/>
            <w:left w:w="108" w:type="dxa"/>
            <w:bottom w:w="0" w:type="dxa"/>
            <w:right w:w="108" w:type="dxa"/>
          </w:tblCellMar>
        </w:tblPrEx>
        <w:trPr>
          <w:trHeight w:val="801" w:hRule="atLeast"/>
        </w:trPr>
        <w:tc>
          <w:tcPr>
            <w:tcW w:w="749" w:type="dxa"/>
            <w:vMerge w:val="restart"/>
            <w:tcBorders>
              <w:top w:val="single" w:color="000000" w:sz="4" w:space="0"/>
              <w:left w:val="single" w:color="000000" w:sz="4" w:space="0"/>
              <w:bottom w:val="single" w:color="000000" w:sz="4" w:space="0"/>
              <w:right w:val="single" w:color="000000" w:sz="4" w:space="0"/>
            </w:tcBorders>
            <w:noWrap/>
            <w:vAlign w:val="center"/>
          </w:tcPr>
          <w:p w14:paraId="49D387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殡葬基本服务</w:t>
            </w:r>
          </w:p>
        </w:tc>
        <w:tc>
          <w:tcPr>
            <w:tcW w:w="596" w:type="dxa"/>
            <w:tcBorders>
              <w:top w:val="single" w:color="000000" w:sz="4" w:space="0"/>
              <w:left w:val="nil"/>
              <w:bottom w:val="single" w:color="000000" w:sz="4" w:space="0"/>
              <w:right w:val="single" w:color="000000" w:sz="4" w:space="0"/>
            </w:tcBorders>
            <w:noWrap/>
            <w:vAlign w:val="center"/>
          </w:tcPr>
          <w:p w14:paraId="5EA23044">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序号</w:t>
            </w:r>
          </w:p>
        </w:tc>
        <w:tc>
          <w:tcPr>
            <w:tcW w:w="1288" w:type="dxa"/>
            <w:tcBorders>
              <w:top w:val="single" w:color="000000" w:sz="4" w:space="0"/>
              <w:left w:val="nil"/>
              <w:bottom w:val="single" w:color="000000" w:sz="4" w:space="0"/>
              <w:right w:val="single" w:color="000000" w:sz="4" w:space="0"/>
            </w:tcBorders>
            <w:noWrap/>
            <w:vAlign w:val="center"/>
          </w:tcPr>
          <w:p w14:paraId="5B51004A">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服务项目</w:t>
            </w:r>
          </w:p>
        </w:tc>
        <w:tc>
          <w:tcPr>
            <w:tcW w:w="2235" w:type="dxa"/>
            <w:tcBorders>
              <w:top w:val="single" w:color="000000" w:sz="4" w:space="0"/>
              <w:left w:val="nil"/>
              <w:bottom w:val="single" w:color="000000" w:sz="4" w:space="0"/>
              <w:right w:val="single" w:color="000000" w:sz="4" w:space="0"/>
            </w:tcBorders>
            <w:noWrap/>
            <w:vAlign w:val="center"/>
          </w:tcPr>
          <w:p w14:paraId="7EB7932E">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服务内容</w:t>
            </w:r>
          </w:p>
        </w:tc>
        <w:tc>
          <w:tcPr>
            <w:tcW w:w="1155" w:type="dxa"/>
            <w:tcBorders>
              <w:top w:val="single" w:color="000000" w:sz="4" w:space="0"/>
              <w:left w:val="nil"/>
              <w:bottom w:val="single" w:color="000000" w:sz="4" w:space="0"/>
              <w:right w:val="single" w:color="000000" w:sz="4" w:space="0"/>
            </w:tcBorders>
            <w:noWrap/>
            <w:vAlign w:val="center"/>
          </w:tcPr>
          <w:p w14:paraId="0B118BE4">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定价形式</w:t>
            </w:r>
          </w:p>
        </w:tc>
        <w:tc>
          <w:tcPr>
            <w:tcW w:w="3795" w:type="dxa"/>
            <w:tcBorders>
              <w:top w:val="single" w:color="000000" w:sz="4" w:space="0"/>
              <w:left w:val="nil"/>
              <w:bottom w:val="single" w:color="000000" w:sz="4" w:space="0"/>
              <w:right w:val="single" w:color="000000" w:sz="4" w:space="0"/>
            </w:tcBorders>
            <w:noWrap/>
            <w:vAlign w:val="center"/>
          </w:tcPr>
          <w:p w14:paraId="11128CDD">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计量单位</w:t>
            </w:r>
          </w:p>
        </w:tc>
        <w:tc>
          <w:tcPr>
            <w:tcW w:w="3855" w:type="dxa"/>
            <w:tcBorders>
              <w:top w:val="single" w:color="000000" w:sz="4" w:space="0"/>
              <w:left w:val="nil"/>
              <w:bottom w:val="single" w:color="000000" w:sz="4" w:space="0"/>
              <w:right w:val="single" w:color="000000" w:sz="4" w:space="0"/>
            </w:tcBorders>
            <w:noWrap/>
            <w:vAlign w:val="center"/>
          </w:tcPr>
          <w:p w14:paraId="07EDB700">
            <w:pPr>
              <w:widowControl/>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备注</w:t>
            </w:r>
          </w:p>
        </w:tc>
      </w:tr>
      <w:tr w14:paraId="308EC41A">
        <w:tblPrEx>
          <w:tblCellMar>
            <w:top w:w="0" w:type="dxa"/>
            <w:left w:w="108" w:type="dxa"/>
            <w:bottom w:w="0" w:type="dxa"/>
            <w:right w:w="108" w:type="dxa"/>
          </w:tblCellMar>
        </w:tblPrEx>
        <w:trPr>
          <w:trHeight w:val="1288"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756D3D7B">
            <w:pPr>
              <w:jc w:val="center"/>
              <w:rPr>
                <w:rFonts w:ascii="Times New Roman" w:hAnsi="Times New Roman"/>
                <w:sz w:val="20"/>
                <w:szCs w:val="20"/>
              </w:rPr>
            </w:pPr>
          </w:p>
        </w:tc>
        <w:tc>
          <w:tcPr>
            <w:tcW w:w="596" w:type="dxa"/>
            <w:tcBorders>
              <w:top w:val="single" w:color="000000" w:sz="4" w:space="0"/>
              <w:left w:val="nil"/>
              <w:bottom w:val="single" w:color="000000" w:sz="4" w:space="0"/>
              <w:right w:val="single" w:color="000000" w:sz="4" w:space="0"/>
            </w:tcBorders>
            <w:noWrap/>
            <w:vAlign w:val="center"/>
          </w:tcPr>
          <w:p w14:paraId="256E70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88" w:type="dxa"/>
            <w:tcBorders>
              <w:top w:val="single" w:color="000000" w:sz="4" w:space="0"/>
              <w:left w:val="nil"/>
              <w:bottom w:val="single" w:color="000000" w:sz="4" w:space="0"/>
              <w:right w:val="single" w:color="000000" w:sz="4" w:space="0"/>
            </w:tcBorders>
            <w:noWrap/>
            <w:vAlign w:val="center"/>
          </w:tcPr>
          <w:p w14:paraId="3AE811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遗体接运</w:t>
            </w:r>
          </w:p>
        </w:tc>
        <w:tc>
          <w:tcPr>
            <w:tcW w:w="2235" w:type="dxa"/>
            <w:tcBorders>
              <w:top w:val="single" w:color="000000" w:sz="4" w:space="0"/>
              <w:left w:val="nil"/>
              <w:bottom w:val="single" w:color="000000" w:sz="4" w:space="0"/>
              <w:right w:val="single" w:color="000000" w:sz="4" w:space="0"/>
            </w:tcBorders>
            <w:noWrap/>
            <w:vAlign w:val="center"/>
          </w:tcPr>
          <w:p w14:paraId="0A11C164">
            <w:pPr>
              <w:widowControl/>
              <w:jc w:val="center"/>
              <w:textAlignment w:val="center"/>
              <w:rPr>
                <w:rFonts w:ascii="宋体" w:hAnsi="宋体" w:cs="宋体"/>
                <w:color w:val="000000"/>
                <w:sz w:val="22"/>
                <w:szCs w:val="22"/>
              </w:rPr>
            </w:pPr>
            <w:r>
              <w:rPr>
                <w:rFonts w:hint="eastAsia" w:ascii="宋体" w:hAnsi="宋体" w:cs="宋体"/>
                <w:color w:val="000000"/>
                <w:spacing w:val="-6"/>
                <w:kern w:val="0"/>
                <w:sz w:val="22"/>
                <w:szCs w:val="22"/>
              </w:rPr>
              <w:t>到指定地点接运遗体；对正常死亡遗体进行消毒处理后装殓</w:t>
            </w:r>
            <w:r>
              <w:rPr>
                <w:rFonts w:hint="eastAsia" w:ascii="宋体" w:hAnsi="宋体" w:cs="宋体"/>
                <w:color w:val="000000"/>
                <w:kern w:val="0"/>
                <w:sz w:val="22"/>
                <w:szCs w:val="22"/>
              </w:rPr>
              <w:t>。</w:t>
            </w:r>
          </w:p>
        </w:tc>
        <w:tc>
          <w:tcPr>
            <w:tcW w:w="1155" w:type="dxa"/>
            <w:tcBorders>
              <w:top w:val="single" w:color="000000" w:sz="4" w:space="0"/>
              <w:left w:val="nil"/>
              <w:bottom w:val="single" w:color="000000" w:sz="4" w:space="0"/>
              <w:right w:val="single" w:color="000000" w:sz="4" w:space="0"/>
            </w:tcBorders>
            <w:noWrap/>
            <w:vAlign w:val="center"/>
          </w:tcPr>
          <w:p w14:paraId="1046A4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政府定价</w:t>
            </w:r>
          </w:p>
        </w:tc>
        <w:tc>
          <w:tcPr>
            <w:tcW w:w="3795" w:type="dxa"/>
            <w:tcBorders>
              <w:top w:val="single" w:color="000000" w:sz="4" w:space="0"/>
              <w:left w:val="nil"/>
              <w:bottom w:val="single" w:color="000000" w:sz="4" w:space="0"/>
              <w:right w:val="single" w:color="000000" w:sz="4" w:space="0"/>
            </w:tcBorders>
            <w:noWrap/>
            <w:vAlign w:val="center"/>
          </w:tcPr>
          <w:p w14:paraId="019FA0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300元/具</w:t>
            </w:r>
          </w:p>
        </w:tc>
        <w:tc>
          <w:tcPr>
            <w:tcW w:w="3855" w:type="dxa"/>
            <w:tcBorders>
              <w:top w:val="single" w:color="000000" w:sz="4" w:space="0"/>
              <w:left w:val="nil"/>
              <w:bottom w:val="single" w:color="000000" w:sz="4" w:space="0"/>
              <w:right w:val="single" w:color="000000" w:sz="4" w:space="0"/>
            </w:tcBorders>
            <w:noWrap/>
            <w:vAlign w:val="center"/>
          </w:tcPr>
          <w:p w14:paraId="2DB30B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县境内，含消毒、殡仪馆内抬尸。</w:t>
            </w:r>
          </w:p>
        </w:tc>
      </w:tr>
      <w:tr w14:paraId="69CB9337">
        <w:tblPrEx>
          <w:tblCellMar>
            <w:top w:w="0" w:type="dxa"/>
            <w:left w:w="108" w:type="dxa"/>
            <w:bottom w:w="0" w:type="dxa"/>
            <w:right w:w="108" w:type="dxa"/>
          </w:tblCellMar>
        </w:tblPrEx>
        <w:trPr>
          <w:trHeight w:val="1169"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5CA23AC7">
            <w:pPr>
              <w:jc w:val="center"/>
              <w:rPr>
                <w:rFonts w:ascii="Times New Roman" w:hAnsi="Times New Roman"/>
                <w:sz w:val="20"/>
                <w:szCs w:val="20"/>
              </w:rPr>
            </w:pPr>
          </w:p>
        </w:tc>
        <w:tc>
          <w:tcPr>
            <w:tcW w:w="596" w:type="dxa"/>
            <w:tcBorders>
              <w:top w:val="single" w:color="000000" w:sz="4" w:space="0"/>
              <w:left w:val="nil"/>
              <w:bottom w:val="single" w:color="000000" w:sz="4" w:space="0"/>
              <w:right w:val="single" w:color="000000" w:sz="4" w:space="0"/>
            </w:tcBorders>
            <w:noWrap/>
            <w:vAlign w:val="center"/>
          </w:tcPr>
          <w:p w14:paraId="574B8D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88" w:type="dxa"/>
            <w:tcBorders>
              <w:top w:val="single" w:color="000000" w:sz="4" w:space="0"/>
              <w:left w:val="nil"/>
              <w:bottom w:val="single" w:color="000000" w:sz="4" w:space="0"/>
              <w:right w:val="single" w:color="000000" w:sz="4" w:space="0"/>
            </w:tcBorders>
            <w:noWrap/>
            <w:vAlign w:val="center"/>
          </w:tcPr>
          <w:p w14:paraId="25C3A3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遗体存放</w:t>
            </w:r>
          </w:p>
        </w:tc>
        <w:tc>
          <w:tcPr>
            <w:tcW w:w="2235" w:type="dxa"/>
            <w:tcBorders>
              <w:top w:val="single" w:color="000000" w:sz="4" w:space="0"/>
              <w:left w:val="nil"/>
              <w:bottom w:val="single" w:color="000000" w:sz="4" w:space="0"/>
              <w:right w:val="single" w:color="000000" w:sz="4" w:space="0"/>
            </w:tcBorders>
            <w:noWrap/>
            <w:vAlign w:val="center"/>
          </w:tcPr>
          <w:p w14:paraId="450C08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将遗体放入冷藏柜（冷冻柜）内，以低温方式保存遗体。</w:t>
            </w:r>
          </w:p>
        </w:tc>
        <w:tc>
          <w:tcPr>
            <w:tcW w:w="1155" w:type="dxa"/>
            <w:tcBorders>
              <w:top w:val="single" w:color="000000" w:sz="4" w:space="0"/>
              <w:left w:val="nil"/>
              <w:bottom w:val="single" w:color="000000" w:sz="4" w:space="0"/>
              <w:right w:val="single" w:color="000000" w:sz="4" w:space="0"/>
            </w:tcBorders>
            <w:noWrap/>
            <w:vAlign w:val="center"/>
          </w:tcPr>
          <w:p w14:paraId="2167F1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政府定价</w:t>
            </w:r>
          </w:p>
        </w:tc>
        <w:tc>
          <w:tcPr>
            <w:tcW w:w="3795" w:type="dxa"/>
            <w:tcBorders>
              <w:top w:val="single" w:color="000000" w:sz="4" w:space="0"/>
              <w:left w:val="nil"/>
              <w:bottom w:val="single" w:color="000000" w:sz="4" w:space="0"/>
              <w:right w:val="single" w:color="000000" w:sz="4" w:space="0"/>
            </w:tcBorders>
            <w:noWrap/>
            <w:vAlign w:val="center"/>
          </w:tcPr>
          <w:p w14:paraId="38FB4287">
            <w:pPr>
              <w:widowControl/>
              <w:jc w:val="center"/>
              <w:textAlignment w:val="center"/>
              <w:rPr>
                <w:rFonts w:ascii="宋体" w:hAnsi="宋体" w:cs="宋体"/>
                <w:color w:val="000000"/>
                <w:sz w:val="22"/>
                <w:szCs w:val="22"/>
              </w:rPr>
            </w:pPr>
            <w:r>
              <w:rPr>
                <w:rFonts w:hint="eastAsia" w:ascii="宋体" w:hAnsi="宋体" w:cs="宋体"/>
                <w:color w:val="000000"/>
                <w:sz w:val="22"/>
                <w:szCs w:val="22"/>
              </w:rPr>
              <w:t>50元/天</w:t>
            </w:r>
          </w:p>
        </w:tc>
        <w:tc>
          <w:tcPr>
            <w:tcW w:w="3855" w:type="dxa"/>
            <w:tcBorders>
              <w:top w:val="single" w:color="000000" w:sz="4" w:space="0"/>
              <w:left w:val="nil"/>
              <w:bottom w:val="single" w:color="000000" w:sz="4" w:space="0"/>
              <w:right w:val="single" w:color="000000" w:sz="4" w:space="0"/>
            </w:tcBorders>
            <w:noWrap/>
            <w:vAlign w:val="center"/>
          </w:tcPr>
          <w:p w14:paraId="2801426A">
            <w:pPr>
              <w:jc w:val="center"/>
              <w:rPr>
                <w:rFonts w:ascii="宋体" w:hAnsi="宋体" w:cs="宋体"/>
                <w:color w:val="000000"/>
                <w:sz w:val="22"/>
                <w:szCs w:val="22"/>
              </w:rPr>
            </w:pPr>
            <w:r>
              <w:rPr>
                <w:rFonts w:hint="eastAsia" w:ascii="宋体" w:hAnsi="宋体" w:cs="宋体"/>
                <w:color w:val="000000"/>
                <w:kern w:val="0"/>
                <w:sz w:val="22"/>
                <w:szCs w:val="22"/>
              </w:rPr>
              <w:t>含冷藏、冷冻保存。</w:t>
            </w:r>
          </w:p>
        </w:tc>
      </w:tr>
      <w:tr w14:paraId="44E768CE">
        <w:tblPrEx>
          <w:tblCellMar>
            <w:top w:w="0" w:type="dxa"/>
            <w:left w:w="108" w:type="dxa"/>
            <w:bottom w:w="0" w:type="dxa"/>
            <w:right w:w="108" w:type="dxa"/>
          </w:tblCellMar>
        </w:tblPrEx>
        <w:trPr>
          <w:trHeight w:val="9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22BE7DE4">
            <w:pPr>
              <w:jc w:val="center"/>
              <w:rPr>
                <w:rFonts w:ascii="Times New Roman" w:hAnsi="Times New Roman"/>
                <w:sz w:val="20"/>
                <w:szCs w:val="20"/>
              </w:rPr>
            </w:pPr>
          </w:p>
        </w:tc>
        <w:tc>
          <w:tcPr>
            <w:tcW w:w="596" w:type="dxa"/>
            <w:tcBorders>
              <w:top w:val="single" w:color="000000" w:sz="4" w:space="0"/>
              <w:left w:val="nil"/>
              <w:bottom w:val="single" w:color="000000" w:sz="4" w:space="0"/>
              <w:right w:val="single" w:color="000000" w:sz="4" w:space="0"/>
            </w:tcBorders>
            <w:noWrap/>
            <w:vAlign w:val="center"/>
          </w:tcPr>
          <w:p w14:paraId="282AEF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88" w:type="dxa"/>
            <w:tcBorders>
              <w:top w:val="single" w:color="000000" w:sz="4" w:space="0"/>
              <w:left w:val="nil"/>
              <w:bottom w:val="single" w:color="000000" w:sz="4" w:space="0"/>
              <w:right w:val="single" w:color="000000" w:sz="4" w:space="0"/>
            </w:tcBorders>
            <w:noWrap/>
            <w:vAlign w:val="center"/>
          </w:tcPr>
          <w:p w14:paraId="5CF19B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遗体火化</w:t>
            </w:r>
          </w:p>
        </w:tc>
        <w:tc>
          <w:tcPr>
            <w:tcW w:w="2235" w:type="dxa"/>
            <w:tcBorders>
              <w:top w:val="single" w:color="000000" w:sz="4" w:space="0"/>
              <w:left w:val="nil"/>
              <w:bottom w:val="single" w:color="000000" w:sz="4" w:space="0"/>
              <w:right w:val="single" w:color="000000" w:sz="4" w:space="0"/>
            </w:tcBorders>
            <w:noWrap/>
            <w:vAlign w:val="center"/>
          </w:tcPr>
          <w:p w14:paraId="298BA3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用火化设备对遗体、残骸或残肢进行焚化，并对出炉骨灰按程序拾捡粉碎、装盒。</w:t>
            </w:r>
          </w:p>
        </w:tc>
        <w:tc>
          <w:tcPr>
            <w:tcW w:w="1155" w:type="dxa"/>
            <w:tcBorders>
              <w:top w:val="single" w:color="000000" w:sz="4" w:space="0"/>
              <w:left w:val="nil"/>
              <w:bottom w:val="single" w:color="000000" w:sz="4" w:space="0"/>
              <w:right w:val="single" w:color="000000" w:sz="4" w:space="0"/>
            </w:tcBorders>
            <w:noWrap/>
            <w:vAlign w:val="center"/>
          </w:tcPr>
          <w:p w14:paraId="23F78B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政府定价</w:t>
            </w:r>
          </w:p>
        </w:tc>
        <w:tc>
          <w:tcPr>
            <w:tcW w:w="3795" w:type="dxa"/>
            <w:tcBorders>
              <w:top w:val="single" w:color="000000" w:sz="4" w:space="0"/>
              <w:left w:val="nil"/>
              <w:bottom w:val="single" w:color="000000" w:sz="4" w:space="0"/>
              <w:right w:val="single" w:color="000000" w:sz="4" w:space="0"/>
            </w:tcBorders>
            <w:noWrap/>
            <w:vAlign w:val="center"/>
          </w:tcPr>
          <w:p w14:paraId="4BF16227">
            <w:pPr>
              <w:widowControl/>
              <w:jc w:val="center"/>
              <w:textAlignment w:val="center"/>
              <w:rPr>
                <w:rFonts w:ascii="宋体" w:hAnsi="宋体" w:cs="宋体"/>
                <w:color w:val="000000"/>
                <w:sz w:val="22"/>
                <w:szCs w:val="22"/>
              </w:rPr>
            </w:pPr>
            <w:r>
              <w:rPr>
                <w:rFonts w:hint="eastAsia" w:ascii="宋体" w:hAnsi="宋体" w:cs="宋体"/>
                <w:color w:val="000000"/>
                <w:sz w:val="22"/>
                <w:szCs w:val="22"/>
              </w:rPr>
              <w:t>450元/具</w:t>
            </w:r>
          </w:p>
        </w:tc>
        <w:tc>
          <w:tcPr>
            <w:tcW w:w="3855" w:type="dxa"/>
            <w:tcBorders>
              <w:top w:val="single" w:color="000000" w:sz="4" w:space="0"/>
              <w:left w:val="nil"/>
              <w:bottom w:val="single" w:color="000000" w:sz="4" w:space="0"/>
              <w:right w:val="single" w:color="000000" w:sz="4" w:space="0"/>
            </w:tcBorders>
            <w:noWrap/>
            <w:vAlign w:val="center"/>
          </w:tcPr>
          <w:p w14:paraId="1D1BA1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含火化费、装灰服务费、可降解骨灰盒。</w:t>
            </w:r>
          </w:p>
        </w:tc>
      </w:tr>
      <w:tr w14:paraId="369DC44B">
        <w:tblPrEx>
          <w:tblCellMar>
            <w:top w:w="0" w:type="dxa"/>
            <w:left w:w="108" w:type="dxa"/>
            <w:bottom w:w="0" w:type="dxa"/>
            <w:right w:w="108" w:type="dxa"/>
          </w:tblCellMar>
        </w:tblPrEx>
        <w:trPr>
          <w:trHeight w:val="768"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03B6C594">
            <w:pPr>
              <w:jc w:val="center"/>
              <w:rPr>
                <w:rFonts w:ascii="Times New Roman" w:hAnsi="Times New Roman"/>
                <w:sz w:val="20"/>
                <w:szCs w:val="20"/>
              </w:rPr>
            </w:pPr>
          </w:p>
        </w:tc>
        <w:tc>
          <w:tcPr>
            <w:tcW w:w="596" w:type="dxa"/>
            <w:tcBorders>
              <w:top w:val="single" w:color="000000" w:sz="4" w:space="0"/>
              <w:left w:val="nil"/>
              <w:bottom w:val="single" w:color="000000" w:sz="4" w:space="0"/>
              <w:right w:val="single" w:color="000000" w:sz="4" w:space="0"/>
            </w:tcBorders>
            <w:noWrap/>
            <w:vAlign w:val="center"/>
          </w:tcPr>
          <w:p w14:paraId="4968FA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88" w:type="dxa"/>
            <w:tcBorders>
              <w:top w:val="single" w:color="000000" w:sz="4" w:space="0"/>
              <w:left w:val="nil"/>
              <w:bottom w:val="single" w:color="000000" w:sz="4" w:space="0"/>
              <w:right w:val="single" w:color="000000" w:sz="4" w:space="0"/>
            </w:tcBorders>
            <w:noWrap/>
            <w:vAlign w:val="center"/>
          </w:tcPr>
          <w:p w14:paraId="6C2AC1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骨灰寄存</w:t>
            </w:r>
          </w:p>
        </w:tc>
        <w:tc>
          <w:tcPr>
            <w:tcW w:w="2235" w:type="dxa"/>
            <w:tcBorders>
              <w:top w:val="single" w:color="000000" w:sz="4" w:space="0"/>
              <w:left w:val="nil"/>
              <w:bottom w:val="single" w:color="000000" w:sz="4" w:space="0"/>
              <w:right w:val="single" w:color="000000" w:sz="4" w:space="0"/>
            </w:tcBorders>
            <w:noWrap/>
            <w:vAlign w:val="center"/>
          </w:tcPr>
          <w:p w14:paraId="3C2848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约定期限存放骨灰。</w:t>
            </w:r>
          </w:p>
        </w:tc>
        <w:tc>
          <w:tcPr>
            <w:tcW w:w="1155" w:type="dxa"/>
            <w:tcBorders>
              <w:top w:val="single" w:color="000000" w:sz="4" w:space="0"/>
              <w:left w:val="nil"/>
              <w:bottom w:val="single" w:color="000000" w:sz="4" w:space="0"/>
              <w:right w:val="single" w:color="000000" w:sz="4" w:space="0"/>
            </w:tcBorders>
            <w:noWrap/>
            <w:vAlign w:val="center"/>
          </w:tcPr>
          <w:p w14:paraId="01F9B8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政府定价</w:t>
            </w:r>
          </w:p>
        </w:tc>
        <w:tc>
          <w:tcPr>
            <w:tcW w:w="3795" w:type="dxa"/>
            <w:tcBorders>
              <w:top w:val="single" w:color="000000" w:sz="4" w:space="0"/>
              <w:left w:val="nil"/>
              <w:bottom w:val="single" w:color="000000" w:sz="4" w:space="0"/>
              <w:right w:val="single" w:color="000000" w:sz="4" w:space="0"/>
            </w:tcBorders>
            <w:noWrap/>
            <w:vAlign w:val="center"/>
          </w:tcPr>
          <w:p w14:paraId="7F9336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 元/盒/年</w:t>
            </w:r>
          </w:p>
        </w:tc>
        <w:tc>
          <w:tcPr>
            <w:tcW w:w="3855" w:type="dxa"/>
            <w:tcBorders>
              <w:top w:val="single" w:color="000000" w:sz="4" w:space="0"/>
              <w:left w:val="nil"/>
              <w:bottom w:val="single" w:color="000000" w:sz="4" w:space="0"/>
              <w:right w:val="single" w:color="000000" w:sz="4" w:space="0"/>
            </w:tcBorders>
            <w:noWrap/>
            <w:vAlign w:val="center"/>
          </w:tcPr>
          <w:p w14:paraId="0972DBB1">
            <w:pPr>
              <w:jc w:val="center"/>
              <w:rPr>
                <w:rFonts w:ascii="宋体" w:hAnsi="宋体" w:cs="宋体"/>
                <w:color w:val="000000"/>
                <w:sz w:val="22"/>
                <w:szCs w:val="22"/>
              </w:rPr>
            </w:pPr>
            <w:r>
              <w:rPr>
                <w:rFonts w:hint="eastAsia" w:ascii="宋体" w:hAnsi="宋体" w:cs="宋体"/>
                <w:color w:val="000000"/>
                <w:sz w:val="22"/>
                <w:szCs w:val="22"/>
              </w:rPr>
              <w:t>一年内免费，一年后每月10元</w:t>
            </w:r>
          </w:p>
        </w:tc>
      </w:tr>
      <w:tr w14:paraId="35302A01">
        <w:tblPrEx>
          <w:tblCellMar>
            <w:top w:w="0" w:type="dxa"/>
            <w:left w:w="108" w:type="dxa"/>
            <w:bottom w:w="0" w:type="dxa"/>
            <w:right w:w="108" w:type="dxa"/>
          </w:tblCellMar>
        </w:tblPrEx>
        <w:trPr>
          <w:trHeight w:val="768" w:hRule="atLeast"/>
        </w:trPr>
        <w:tc>
          <w:tcPr>
            <w:tcW w:w="13673" w:type="dxa"/>
            <w:gridSpan w:val="7"/>
            <w:tcBorders>
              <w:top w:val="single" w:color="000000" w:sz="4" w:space="0"/>
              <w:left w:val="single" w:color="000000" w:sz="4" w:space="0"/>
              <w:bottom w:val="single" w:color="auto" w:sz="4" w:space="0"/>
              <w:right w:val="single" w:color="000000" w:sz="4" w:space="0"/>
            </w:tcBorders>
            <w:noWrap/>
            <w:vAlign w:val="center"/>
          </w:tcPr>
          <w:p w14:paraId="160E61A8">
            <w:pPr>
              <w:jc w:val="center"/>
              <w:rPr>
                <w:rFonts w:ascii="宋体" w:hAnsi="宋体" w:cs="宋体"/>
                <w:color w:val="000000"/>
                <w:sz w:val="22"/>
                <w:szCs w:val="22"/>
              </w:rPr>
            </w:pPr>
            <w:r>
              <w:rPr>
                <w:rFonts w:hint="eastAsia" w:ascii="宋体" w:hAnsi="宋体" w:cs="宋体"/>
                <w:color w:val="000000"/>
                <w:sz w:val="22"/>
                <w:szCs w:val="22"/>
              </w:rPr>
              <w:t>根据《潢川县人民政府办公室关于落实惠民殡葬免除群众基本丧葬服务费的通知》潢政办明电（2020）94号文件精神，我县城乡居民火化享受惠民殡葬优惠政策，免收基本服务费。</w:t>
            </w:r>
          </w:p>
        </w:tc>
      </w:tr>
    </w:tbl>
    <w:p w14:paraId="1410031E">
      <w:pPr>
        <w:jc w:val="center"/>
      </w:pPr>
    </w:p>
    <w:tbl>
      <w:tblPr>
        <w:tblStyle w:val="2"/>
        <w:tblW w:w="13673" w:type="dxa"/>
        <w:tblInd w:w="135" w:type="dxa"/>
        <w:tblLayout w:type="fixed"/>
        <w:tblCellMar>
          <w:top w:w="0" w:type="dxa"/>
          <w:left w:w="108" w:type="dxa"/>
          <w:bottom w:w="0" w:type="dxa"/>
          <w:right w:w="108" w:type="dxa"/>
        </w:tblCellMar>
      </w:tblPr>
      <w:tblGrid>
        <w:gridCol w:w="749"/>
        <w:gridCol w:w="596"/>
        <w:gridCol w:w="1288"/>
        <w:gridCol w:w="2235"/>
        <w:gridCol w:w="1155"/>
        <w:gridCol w:w="3795"/>
        <w:gridCol w:w="3855"/>
      </w:tblGrid>
      <w:tr w14:paraId="2F949D43">
        <w:tblPrEx>
          <w:tblCellMar>
            <w:top w:w="0" w:type="dxa"/>
            <w:left w:w="108" w:type="dxa"/>
            <w:bottom w:w="0" w:type="dxa"/>
            <w:right w:w="108" w:type="dxa"/>
          </w:tblCellMar>
        </w:tblPrEx>
        <w:trPr>
          <w:trHeight w:val="879" w:hRule="atLeast"/>
        </w:trPr>
        <w:tc>
          <w:tcPr>
            <w:tcW w:w="749" w:type="dxa"/>
            <w:vMerge w:val="restart"/>
            <w:tcBorders>
              <w:top w:val="single" w:color="auto" w:sz="4" w:space="0"/>
              <w:left w:val="single" w:color="auto" w:sz="4" w:space="0"/>
              <w:bottom w:val="single" w:color="auto" w:sz="4" w:space="0"/>
              <w:right w:val="single" w:color="auto" w:sz="4" w:space="0"/>
            </w:tcBorders>
            <w:noWrap/>
            <w:vAlign w:val="center"/>
          </w:tcPr>
          <w:p w14:paraId="01AA4A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重要延伸服务</w:t>
            </w:r>
          </w:p>
        </w:tc>
        <w:tc>
          <w:tcPr>
            <w:tcW w:w="596" w:type="dxa"/>
            <w:vMerge w:val="restart"/>
            <w:tcBorders>
              <w:top w:val="single" w:color="auto" w:sz="4" w:space="0"/>
              <w:left w:val="single" w:color="auto" w:sz="4" w:space="0"/>
              <w:bottom w:val="single" w:color="auto" w:sz="4" w:space="0"/>
              <w:right w:val="single" w:color="auto" w:sz="4" w:space="0"/>
            </w:tcBorders>
            <w:noWrap/>
            <w:vAlign w:val="center"/>
          </w:tcPr>
          <w:p w14:paraId="72D21A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288" w:type="dxa"/>
            <w:vMerge w:val="restart"/>
            <w:tcBorders>
              <w:top w:val="single" w:color="auto" w:sz="4" w:space="0"/>
              <w:left w:val="single" w:color="auto" w:sz="4" w:space="0"/>
              <w:bottom w:val="single" w:color="auto" w:sz="4" w:space="0"/>
              <w:right w:val="single" w:color="auto" w:sz="4" w:space="0"/>
            </w:tcBorders>
            <w:noWrap/>
            <w:vAlign w:val="center"/>
          </w:tcPr>
          <w:p w14:paraId="0F6E0E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遗体整容化妆</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14:paraId="77064F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对遗体容貌进行修饰和美化；洁身指对遗体进行清洁卫生处理；更衣指按程序或客户要求对遗体更换衣物。</w:t>
            </w: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6314C0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政府指导价</w:t>
            </w:r>
          </w:p>
        </w:tc>
        <w:tc>
          <w:tcPr>
            <w:tcW w:w="3795" w:type="dxa"/>
            <w:tcBorders>
              <w:top w:val="single" w:color="auto" w:sz="4" w:space="0"/>
              <w:left w:val="single" w:color="auto" w:sz="4" w:space="0"/>
              <w:bottom w:val="single" w:color="auto" w:sz="4" w:space="0"/>
              <w:right w:val="single" w:color="auto" w:sz="4" w:space="0"/>
            </w:tcBorders>
            <w:noWrap/>
            <w:vAlign w:val="center"/>
          </w:tcPr>
          <w:p w14:paraId="4B304A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更衣洁身   200元/具</w:t>
            </w:r>
          </w:p>
        </w:tc>
        <w:tc>
          <w:tcPr>
            <w:tcW w:w="3855" w:type="dxa"/>
            <w:vMerge w:val="restart"/>
            <w:tcBorders>
              <w:top w:val="single" w:color="auto" w:sz="4" w:space="0"/>
              <w:left w:val="single" w:color="auto" w:sz="4" w:space="0"/>
              <w:bottom w:val="single" w:color="auto" w:sz="4" w:space="0"/>
              <w:right w:val="single" w:color="auto" w:sz="4" w:space="0"/>
            </w:tcBorders>
            <w:noWrap/>
            <w:vAlign w:val="center"/>
          </w:tcPr>
          <w:p w14:paraId="1BB55E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按需求自愿选择，特殊遗体价格面议。</w:t>
            </w:r>
          </w:p>
        </w:tc>
      </w:tr>
      <w:tr w14:paraId="26AC6FE9">
        <w:tblPrEx>
          <w:tblCellMar>
            <w:top w:w="0" w:type="dxa"/>
            <w:left w:w="108" w:type="dxa"/>
            <w:bottom w:w="0" w:type="dxa"/>
            <w:right w:w="108" w:type="dxa"/>
          </w:tblCellMar>
        </w:tblPrEx>
        <w:trPr>
          <w:trHeight w:val="1105" w:hRule="atLeast"/>
        </w:trPr>
        <w:tc>
          <w:tcPr>
            <w:tcW w:w="749" w:type="dxa"/>
            <w:vMerge w:val="continue"/>
            <w:tcBorders>
              <w:top w:val="single" w:color="auto" w:sz="4" w:space="0"/>
              <w:left w:val="single" w:color="auto" w:sz="4" w:space="0"/>
              <w:bottom w:val="single" w:color="000000" w:sz="4" w:space="0"/>
              <w:right w:val="single" w:color="000000" w:sz="4" w:space="0"/>
            </w:tcBorders>
            <w:noWrap/>
            <w:vAlign w:val="center"/>
          </w:tcPr>
          <w:p w14:paraId="4E793278">
            <w:pPr>
              <w:jc w:val="center"/>
              <w:rPr>
                <w:rFonts w:ascii="Times New Roman" w:hAnsi="Times New Roman"/>
                <w:sz w:val="20"/>
                <w:szCs w:val="20"/>
              </w:rPr>
            </w:pPr>
          </w:p>
        </w:tc>
        <w:tc>
          <w:tcPr>
            <w:tcW w:w="596" w:type="dxa"/>
            <w:vMerge w:val="continue"/>
            <w:tcBorders>
              <w:top w:val="single" w:color="auto" w:sz="4" w:space="0"/>
              <w:left w:val="nil"/>
              <w:bottom w:val="single" w:color="000000" w:sz="4" w:space="0"/>
              <w:right w:val="single" w:color="000000" w:sz="4" w:space="0"/>
            </w:tcBorders>
            <w:noWrap/>
            <w:vAlign w:val="center"/>
          </w:tcPr>
          <w:p w14:paraId="5BA534EF">
            <w:pPr>
              <w:jc w:val="center"/>
              <w:rPr>
                <w:rFonts w:ascii="Times New Roman" w:hAnsi="Times New Roman"/>
                <w:sz w:val="20"/>
                <w:szCs w:val="20"/>
              </w:rPr>
            </w:pPr>
          </w:p>
        </w:tc>
        <w:tc>
          <w:tcPr>
            <w:tcW w:w="1288" w:type="dxa"/>
            <w:vMerge w:val="continue"/>
            <w:tcBorders>
              <w:top w:val="single" w:color="auto" w:sz="4" w:space="0"/>
              <w:left w:val="nil"/>
              <w:bottom w:val="single" w:color="000000" w:sz="4" w:space="0"/>
              <w:right w:val="single" w:color="000000" w:sz="4" w:space="0"/>
            </w:tcBorders>
            <w:noWrap/>
            <w:vAlign w:val="center"/>
          </w:tcPr>
          <w:p w14:paraId="2625DF30">
            <w:pPr>
              <w:jc w:val="center"/>
              <w:rPr>
                <w:rFonts w:ascii="Times New Roman" w:hAnsi="Times New Roman"/>
                <w:sz w:val="20"/>
                <w:szCs w:val="20"/>
              </w:rPr>
            </w:pPr>
          </w:p>
        </w:tc>
        <w:tc>
          <w:tcPr>
            <w:tcW w:w="2235" w:type="dxa"/>
            <w:vMerge w:val="continue"/>
            <w:tcBorders>
              <w:top w:val="single" w:color="auto" w:sz="4" w:space="0"/>
              <w:left w:val="nil"/>
              <w:bottom w:val="single" w:color="000000" w:sz="4" w:space="0"/>
              <w:right w:val="single" w:color="000000" w:sz="4" w:space="0"/>
            </w:tcBorders>
            <w:noWrap/>
            <w:vAlign w:val="center"/>
          </w:tcPr>
          <w:p w14:paraId="59B56ED7">
            <w:pPr>
              <w:jc w:val="center"/>
              <w:rPr>
                <w:rFonts w:ascii="Times New Roman" w:hAnsi="Times New Roman"/>
                <w:sz w:val="20"/>
                <w:szCs w:val="20"/>
              </w:rPr>
            </w:pPr>
          </w:p>
        </w:tc>
        <w:tc>
          <w:tcPr>
            <w:tcW w:w="1155" w:type="dxa"/>
            <w:vMerge w:val="continue"/>
            <w:tcBorders>
              <w:top w:val="single" w:color="auto" w:sz="4" w:space="0"/>
              <w:left w:val="nil"/>
              <w:bottom w:val="single" w:color="000000" w:sz="4" w:space="0"/>
              <w:right w:val="single" w:color="000000" w:sz="4" w:space="0"/>
            </w:tcBorders>
            <w:noWrap/>
            <w:vAlign w:val="center"/>
          </w:tcPr>
          <w:p w14:paraId="25753A6D">
            <w:pPr>
              <w:jc w:val="center"/>
              <w:rPr>
                <w:rFonts w:ascii="Times New Roman" w:hAnsi="Times New Roman"/>
                <w:sz w:val="20"/>
                <w:szCs w:val="20"/>
              </w:rPr>
            </w:pPr>
          </w:p>
        </w:tc>
        <w:tc>
          <w:tcPr>
            <w:tcW w:w="3795" w:type="dxa"/>
            <w:tcBorders>
              <w:top w:val="single" w:color="auto" w:sz="4" w:space="0"/>
              <w:left w:val="nil"/>
              <w:bottom w:val="single" w:color="000000" w:sz="4" w:space="0"/>
              <w:right w:val="single" w:color="000000" w:sz="4" w:space="0"/>
            </w:tcBorders>
            <w:noWrap/>
            <w:vAlign w:val="center"/>
          </w:tcPr>
          <w:p w14:paraId="531B27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化妆整容   200元/具</w:t>
            </w:r>
          </w:p>
        </w:tc>
        <w:tc>
          <w:tcPr>
            <w:tcW w:w="3855" w:type="dxa"/>
            <w:vMerge w:val="continue"/>
            <w:tcBorders>
              <w:top w:val="single" w:color="auto" w:sz="4" w:space="0"/>
              <w:left w:val="nil"/>
              <w:bottom w:val="single" w:color="000000" w:sz="4" w:space="0"/>
              <w:right w:val="single" w:color="auto" w:sz="4" w:space="0"/>
            </w:tcBorders>
            <w:noWrap/>
            <w:vAlign w:val="center"/>
          </w:tcPr>
          <w:p w14:paraId="44DB284C">
            <w:pPr>
              <w:jc w:val="center"/>
              <w:rPr>
                <w:rFonts w:ascii="Times New Roman" w:hAnsi="Times New Roman"/>
                <w:sz w:val="20"/>
                <w:szCs w:val="20"/>
              </w:rPr>
            </w:pPr>
          </w:p>
        </w:tc>
      </w:tr>
      <w:tr w14:paraId="6B421539">
        <w:tblPrEx>
          <w:tblCellMar>
            <w:top w:w="0" w:type="dxa"/>
            <w:left w:w="108" w:type="dxa"/>
            <w:bottom w:w="0" w:type="dxa"/>
            <w:right w:w="108" w:type="dxa"/>
          </w:tblCellMar>
        </w:tblPrEx>
        <w:trPr>
          <w:trHeight w:val="2397" w:hRule="atLeast"/>
        </w:trPr>
        <w:tc>
          <w:tcPr>
            <w:tcW w:w="749" w:type="dxa"/>
            <w:vMerge w:val="continue"/>
            <w:tcBorders>
              <w:top w:val="nil"/>
              <w:left w:val="single" w:color="auto" w:sz="4" w:space="0"/>
              <w:bottom w:val="single" w:color="000000" w:sz="4" w:space="0"/>
              <w:right w:val="single" w:color="000000" w:sz="4" w:space="0"/>
            </w:tcBorders>
            <w:noWrap/>
            <w:vAlign w:val="center"/>
          </w:tcPr>
          <w:p w14:paraId="5A9F37B5">
            <w:pPr>
              <w:jc w:val="center"/>
              <w:rPr>
                <w:rFonts w:ascii="Times New Roman" w:hAnsi="Times New Roman"/>
                <w:sz w:val="20"/>
                <w:szCs w:val="20"/>
              </w:rPr>
            </w:pPr>
          </w:p>
        </w:tc>
        <w:tc>
          <w:tcPr>
            <w:tcW w:w="596" w:type="dxa"/>
            <w:tcBorders>
              <w:top w:val="single" w:color="000000" w:sz="4" w:space="0"/>
              <w:left w:val="nil"/>
              <w:bottom w:val="single" w:color="000000" w:sz="4" w:space="0"/>
              <w:right w:val="single" w:color="000000" w:sz="4" w:space="0"/>
            </w:tcBorders>
            <w:noWrap/>
            <w:vAlign w:val="center"/>
          </w:tcPr>
          <w:p w14:paraId="04BC18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288" w:type="dxa"/>
            <w:tcBorders>
              <w:top w:val="single" w:color="000000" w:sz="4" w:space="0"/>
              <w:left w:val="nil"/>
              <w:bottom w:val="single" w:color="000000" w:sz="4" w:space="0"/>
              <w:right w:val="single" w:color="000000" w:sz="4" w:space="0"/>
            </w:tcBorders>
            <w:noWrap/>
            <w:vAlign w:val="center"/>
          </w:tcPr>
          <w:p w14:paraId="0C3254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吊唁设施及设备租赁（含礼厅）</w:t>
            </w:r>
          </w:p>
        </w:tc>
        <w:tc>
          <w:tcPr>
            <w:tcW w:w="2235" w:type="dxa"/>
            <w:tcBorders>
              <w:top w:val="single" w:color="000000" w:sz="4" w:space="0"/>
              <w:left w:val="nil"/>
              <w:bottom w:val="single" w:color="000000" w:sz="4" w:space="0"/>
              <w:right w:val="single" w:color="000000" w:sz="4" w:space="0"/>
            </w:tcBorders>
            <w:noWrap/>
            <w:vAlign w:val="center"/>
          </w:tcPr>
          <w:p w14:paraId="2AA480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提供哀悼、祭奠、追思逝者的吊唁设备及设施租赁（含礼厅及礼厅内固定布置物品，礼厅出租的花圈另计）。</w:t>
            </w:r>
          </w:p>
        </w:tc>
        <w:tc>
          <w:tcPr>
            <w:tcW w:w="1155" w:type="dxa"/>
            <w:tcBorders>
              <w:top w:val="single" w:color="000000" w:sz="4" w:space="0"/>
              <w:left w:val="nil"/>
              <w:bottom w:val="single" w:color="000000" w:sz="4" w:space="0"/>
              <w:right w:val="single" w:color="000000" w:sz="4" w:space="0"/>
            </w:tcBorders>
            <w:noWrap/>
            <w:vAlign w:val="center"/>
          </w:tcPr>
          <w:p w14:paraId="53B0D0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政府指导价</w:t>
            </w:r>
          </w:p>
        </w:tc>
        <w:tc>
          <w:tcPr>
            <w:tcW w:w="3795" w:type="dxa"/>
            <w:tcBorders>
              <w:top w:val="single" w:color="000000" w:sz="4" w:space="0"/>
              <w:left w:val="nil"/>
              <w:bottom w:val="single" w:color="000000" w:sz="4" w:space="0"/>
              <w:right w:val="single" w:color="000000" w:sz="4" w:space="0"/>
            </w:tcBorders>
            <w:noWrap/>
            <w:vAlign w:val="center"/>
          </w:tcPr>
          <w:p w14:paraId="7D6FDB08">
            <w:pPr>
              <w:widowControl/>
              <w:jc w:val="center"/>
              <w:textAlignment w:val="center"/>
              <w:rPr>
                <w:rFonts w:ascii="宋体" w:hAnsi="宋体" w:cs="宋体"/>
                <w:color w:val="000000"/>
                <w:sz w:val="22"/>
                <w:szCs w:val="22"/>
              </w:rPr>
            </w:pPr>
            <w:r>
              <w:rPr>
                <w:rFonts w:hint="eastAsia" w:ascii="宋体" w:hAnsi="宋体" w:cs="宋体"/>
                <w:color w:val="000000"/>
                <w:sz w:val="22"/>
                <w:szCs w:val="22"/>
              </w:rPr>
              <w:t>普通告别厅：200元/场次</w:t>
            </w:r>
          </w:p>
        </w:tc>
        <w:tc>
          <w:tcPr>
            <w:tcW w:w="3855" w:type="dxa"/>
            <w:tcBorders>
              <w:top w:val="single" w:color="000000" w:sz="4" w:space="0"/>
              <w:left w:val="nil"/>
              <w:bottom w:val="single" w:color="000000" w:sz="4" w:space="0"/>
              <w:right w:val="single" w:color="000000" w:sz="4" w:space="0"/>
            </w:tcBorders>
            <w:noWrap/>
            <w:vAlign w:val="center"/>
          </w:tcPr>
          <w:p w14:paraId="5436774F">
            <w:pPr>
              <w:jc w:val="center"/>
              <w:rPr>
                <w:rFonts w:ascii="宋体" w:hAnsi="宋体" w:cs="宋体"/>
                <w:color w:val="000000"/>
                <w:sz w:val="22"/>
                <w:szCs w:val="22"/>
              </w:rPr>
            </w:pPr>
            <w:r>
              <w:rPr>
                <w:rFonts w:hint="eastAsia" w:ascii="宋体" w:hAnsi="宋体" w:cs="宋体"/>
                <w:color w:val="000000"/>
                <w:sz w:val="22"/>
                <w:szCs w:val="22"/>
              </w:rPr>
              <w:t>高档告别厅价格面议。</w:t>
            </w:r>
          </w:p>
        </w:tc>
      </w:tr>
      <w:tr w14:paraId="42F5DD1F">
        <w:tblPrEx>
          <w:tblCellMar>
            <w:top w:w="0" w:type="dxa"/>
            <w:left w:w="108" w:type="dxa"/>
            <w:bottom w:w="0" w:type="dxa"/>
            <w:right w:w="108" w:type="dxa"/>
          </w:tblCellMar>
        </w:tblPrEx>
        <w:trPr>
          <w:trHeight w:val="2102" w:hRule="atLeast"/>
        </w:trPr>
        <w:tc>
          <w:tcPr>
            <w:tcW w:w="749" w:type="dxa"/>
            <w:vMerge w:val="continue"/>
            <w:tcBorders>
              <w:top w:val="nil"/>
              <w:left w:val="single" w:color="auto" w:sz="4" w:space="0"/>
              <w:bottom w:val="single" w:color="auto" w:sz="4" w:space="0"/>
              <w:right w:val="single" w:color="000000" w:sz="4" w:space="0"/>
            </w:tcBorders>
            <w:noWrap/>
            <w:vAlign w:val="center"/>
          </w:tcPr>
          <w:p w14:paraId="28B50397">
            <w:pPr>
              <w:jc w:val="center"/>
              <w:rPr>
                <w:rFonts w:ascii="Times New Roman" w:hAnsi="Times New Roman"/>
                <w:sz w:val="20"/>
                <w:szCs w:val="20"/>
              </w:rPr>
            </w:pPr>
          </w:p>
        </w:tc>
        <w:tc>
          <w:tcPr>
            <w:tcW w:w="596" w:type="dxa"/>
            <w:tcBorders>
              <w:top w:val="single" w:color="000000" w:sz="4" w:space="0"/>
              <w:left w:val="nil"/>
              <w:bottom w:val="single" w:color="auto" w:sz="4" w:space="0"/>
              <w:right w:val="single" w:color="000000" w:sz="4" w:space="0"/>
            </w:tcBorders>
            <w:noWrap/>
            <w:vAlign w:val="center"/>
          </w:tcPr>
          <w:p w14:paraId="1C76C4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288" w:type="dxa"/>
            <w:tcBorders>
              <w:top w:val="single" w:color="000000" w:sz="4" w:space="0"/>
              <w:left w:val="nil"/>
              <w:bottom w:val="single" w:color="auto" w:sz="4" w:space="0"/>
              <w:right w:val="single" w:color="000000" w:sz="4" w:space="0"/>
            </w:tcBorders>
            <w:noWrap/>
            <w:vAlign w:val="center"/>
          </w:tcPr>
          <w:p w14:paraId="1F9CC9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馆外收尸抬尸</w:t>
            </w:r>
          </w:p>
        </w:tc>
        <w:tc>
          <w:tcPr>
            <w:tcW w:w="2235" w:type="dxa"/>
            <w:tcBorders>
              <w:top w:val="single" w:color="000000" w:sz="4" w:space="0"/>
              <w:left w:val="nil"/>
              <w:bottom w:val="single" w:color="auto" w:sz="4" w:space="0"/>
              <w:right w:val="single" w:color="000000" w:sz="4" w:space="0"/>
            </w:tcBorders>
            <w:noWrap/>
            <w:vAlign w:val="center"/>
          </w:tcPr>
          <w:p w14:paraId="6B3923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根据丧属委托和需求提供遗体收殓及搬抬服务。</w:t>
            </w:r>
          </w:p>
        </w:tc>
        <w:tc>
          <w:tcPr>
            <w:tcW w:w="1155" w:type="dxa"/>
            <w:tcBorders>
              <w:top w:val="single" w:color="000000" w:sz="4" w:space="0"/>
              <w:left w:val="nil"/>
              <w:bottom w:val="single" w:color="auto" w:sz="4" w:space="0"/>
              <w:right w:val="single" w:color="000000" w:sz="4" w:space="0"/>
            </w:tcBorders>
            <w:noWrap/>
            <w:vAlign w:val="center"/>
          </w:tcPr>
          <w:p w14:paraId="218544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政府指导价</w:t>
            </w:r>
          </w:p>
        </w:tc>
        <w:tc>
          <w:tcPr>
            <w:tcW w:w="3795" w:type="dxa"/>
            <w:tcBorders>
              <w:top w:val="single" w:color="000000" w:sz="4" w:space="0"/>
              <w:left w:val="nil"/>
              <w:bottom w:val="single" w:color="auto" w:sz="4" w:space="0"/>
              <w:right w:val="single" w:color="000000" w:sz="4" w:space="0"/>
            </w:tcBorders>
            <w:noWrap/>
            <w:vAlign w:val="center"/>
          </w:tcPr>
          <w:p w14:paraId="2A4EB1C7">
            <w:pPr>
              <w:widowControl/>
              <w:jc w:val="center"/>
              <w:textAlignment w:val="center"/>
              <w:rPr>
                <w:rFonts w:ascii="宋体" w:hAnsi="宋体" w:cs="宋体"/>
                <w:color w:val="000000"/>
                <w:sz w:val="22"/>
                <w:szCs w:val="22"/>
              </w:rPr>
            </w:pPr>
            <w:r>
              <w:rPr>
                <w:rFonts w:hint="eastAsia" w:ascii="宋体" w:hAnsi="宋体" w:cs="宋体"/>
                <w:color w:val="000000"/>
                <w:kern w:val="0"/>
                <w:sz w:val="22"/>
              </w:rPr>
              <w:t>馆外收尸抬尸，二楼及以下150元/具，无电梯或有电梯不能正常用于运送遗体的，每上一层楼加收30元；最高不超过500元。</w:t>
            </w:r>
          </w:p>
        </w:tc>
        <w:tc>
          <w:tcPr>
            <w:tcW w:w="3855" w:type="dxa"/>
            <w:tcBorders>
              <w:top w:val="single" w:color="000000" w:sz="4" w:space="0"/>
              <w:left w:val="nil"/>
              <w:bottom w:val="single" w:color="auto" w:sz="4" w:space="0"/>
              <w:right w:val="single" w:color="000000" w:sz="4" w:space="0"/>
            </w:tcBorders>
            <w:noWrap/>
            <w:vAlign w:val="center"/>
          </w:tcPr>
          <w:p w14:paraId="2CC061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特殊遗体收尸抬尸价格面议。</w:t>
            </w:r>
          </w:p>
        </w:tc>
      </w:tr>
      <w:tr w14:paraId="5491323D">
        <w:tblPrEx>
          <w:tblCellMar>
            <w:top w:w="0" w:type="dxa"/>
            <w:left w:w="108" w:type="dxa"/>
            <w:bottom w:w="0" w:type="dxa"/>
            <w:right w:w="108" w:type="dxa"/>
          </w:tblCellMar>
        </w:tblPrEx>
        <w:trPr>
          <w:trHeight w:val="1212" w:hRule="atLeast"/>
        </w:trPr>
        <w:tc>
          <w:tcPr>
            <w:tcW w:w="749" w:type="dxa"/>
            <w:vMerge w:val="continue"/>
            <w:tcBorders>
              <w:top w:val="single" w:color="auto" w:sz="4" w:space="0"/>
              <w:left w:val="single" w:color="auto" w:sz="4" w:space="0"/>
              <w:bottom w:val="single" w:color="auto" w:sz="4" w:space="0"/>
              <w:right w:val="single" w:color="auto" w:sz="4" w:space="0"/>
            </w:tcBorders>
            <w:noWrap/>
            <w:vAlign w:val="center"/>
          </w:tcPr>
          <w:p w14:paraId="6C43C64B">
            <w:pPr>
              <w:jc w:val="center"/>
              <w:rPr>
                <w:rFonts w:ascii="Times New Roman" w:hAnsi="Times New Roman"/>
                <w:sz w:val="20"/>
                <w:szCs w:val="20"/>
              </w:rPr>
            </w:pPr>
          </w:p>
        </w:tc>
        <w:tc>
          <w:tcPr>
            <w:tcW w:w="596" w:type="dxa"/>
            <w:tcBorders>
              <w:top w:val="single" w:color="auto" w:sz="4" w:space="0"/>
              <w:left w:val="single" w:color="auto" w:sz="4" w:space="0"/>
              <w:bottom w:val="single" w:color="auto" w:sz="4" w:space="0"/>
              <w:right w:val="single" w:color="auto" w:sz="4" w:space="0"/>
            </w:tcBorders>
            <w:noWrap/>
            <w:vAlign w:val="center"/>
          </w:tcPr>
          <w:p w14:paraId="47FB1A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288" w:type="dxa"/>
            <w:tcBorders>
              <w:top w:val="single" w:color="auto" w:sz="4" w:space="0"/>
              <w:left w:val="single" w:color="auto" w:sz="4" w:space="0"/>
              <w:bottom w:val="single" w:color="auto" w:sz="4" w:space="0"/>
              <w:right w:val="single" w:color="auto" w:sz="4" w:space="0"/>
            </w:tcBorders>
            <w:noWrap/>
            <w:vAlign w:val="center"/>
          </w:tcPr>
          <w:p w14:paraId="0616AFE3">
            <w:pPr>
              <w:widowControl/>
              <w:jc w:val="center"/>
              <w:textAlignment w:val="center"/>
              <w:rPr>
                <w:rFonts w:ascii="宋体" w:hAnsi="宋体" w:cs="宋体"/>
                <w:color w:val="000000"/>
                <w:sz w:val="22"/>
                <w:szCs w:val="22"/>
              </w:rPr>
            </w:pPr>
            <w:r>
              <w:rPr>
                <w:rFonts w:hint="eastAsia" w:ascii="宋体" w:hAnsi="宋体" w:cs="宋体"/>
                <w:color w:val="000000"/>
                <w:sz w:val="22"/>
                <w:szCs w:val="22"/>
              </w:rPr>
              <w:t>守灵服务</w:t>
            </w:r>
          </w:p>
        </w:tc>
        <w:tc>
          <w:tcPr>
            <w:tcW w:w="2235" w:type="dxa"/>
            <w:tcBorders>
              <w:top w:val="single" w:color="auto" w:sz="4" w:space="0"/>
              <w:left w:val="single" w:color="auto" w:sz="4" w:space="0"/>
              <w:bottom w:val="single" w:color="auto" w:sz="4" w:space="0"/>
              <w:right w:val="single" w:color="auto" w:sz="4" w:space="0"/>
            </w:tcBorders>
            <w:noWrap/>
            <w:vAlign w:val="center"/>
          </w:tcPr>
          <w:p w14:paraId="26CD4133">
            <w:pPr>
              <w:widowControl/>
              <w:jc w:val="center"/>
              <w:textAlignment w:val="center"/>
              <w:rPr>
                <w:rFonts w:ascii="宋体" w:hAnsi="宋体" w:cs="宋体"/>
                <w:color w:val="000000"/>
                <w:sz w:val="22"/>
                <w:szCs w:val="22"/>
              </w:rPr>
            </w:pPr>
            <w:r>
              <w:rPr>
                <w:rFonts w:hint="eastAsia" w:ascii="宋体" w:hAnsi="宋体" w:cs="宋体"/>
                <w:color w:val="000000"/>
                <w:sz w:val="22"/>
                <w:szCs w:val="22"/>
              </w:rPr>
              <w:t>提供专门场所及相关设备供客户守候遗体。</w:t>
            </w:r>
          </w:p>
        </w:tc>
        <w:tc>
          <w:tcPr>
            <w:tcW w:w="1155" w:type="dxa"/>
            <w:tcBorders>
              <w:top w:val="single" w:color="auto" w:sz="4" w:space="0"/>
              <w:left w:val="single" w:color="auto" w:sz="4" w:space="0"/>
              <w:bottom w:val="single" w:color="auto" w:sz="4" w:space="0"/>
              <w:right w:val="single" w:color="auto" w:sz="4" w:space="0"/>
            </w:tcBorders>
            <w:noWrap/>
            <w:vAlign w:val="center"/>
          </w:tcPr>
          <w:p w14:paraId="3A3CF5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政府指导价</w:t>
            </w:r>
          </w:p>
        </w:tc>
        <w:tc>
          <w:tcPr>
            <w:tcW w:w="3795" w:type="dxa"/>
            <w:tcBorders>
              <w:top w:val="single" w:color="auto" w:sz="4" w:space="0"/>
              <w:left w:val="single" w:color="auto" w:sz="4" w:space="0"/>
              <w:bottom w:val="single" w:color="auto" w:sz="4" w:space="0"/>
              <w:right w:val="single" w:color="auto" w:sz="4" w:space="0"/>
            </w:tcBorders>
            <w:noWrap/>
            <w:vAlign w:val="center"/>
          </w:tcPr>
          <w:p w14:paraId="2F4BC3E4">
            <w:pPr>
              <w:widowControl/>
              <w:jc w:val="center"/>
              <w:textAlignment w:val="center"/>
              <w:rPr>
                <w:rFonts w:ascii="宋体" w:hAnsi="宋体" w:cs="宋体"/>
                <w:color w:val="000000"/>
                <w:sz w:val="24"/>
              </w:rPr>
            </w:pPr>
            <w:r>
              <w:rPr>
                <w:rFonts w:hint="eastAsia" w:ascii="宋体" w:hAnsi="宋体" w:cs="宋体"/>
                <w:color w:val="000000"/>
                <w:kern w:val="0"/>
                <w:sz w:val="22"/>
                <w:szCs w:val="22"/>
              </w:rPr>
              <w:t>200元/天（普通厅）</w:t>
            </w:r>
          </w:p>
        </w:tc>
        <w:tc>
          <w:tcPr>
            <w:tcW w:w="3855" w:type="dxa"/>
            <w:tcBorders>
              <w:top w:val="single" w:color="auto" w:sz="4" w:space="0"/>
              <w:left w:val="single" w:color="auto" w:sz="4" w:space="0"/>
              <w:bottom w:val="single" w:color="auto" w:sz="4" w:space="0"/>
              <w:right w:val="single" w:color="auto" w:sz="4" w:space="0"/>
            </w:tcBorders>
            <w:noWrap/>
            <w:vAlign w:val="center"/>
          </w:tcPr>
          <w:p w14:paraId="66840B71">
            <w:pPr>
              <w:jc w:val="center"/>
              <w:rPr>
                <w:rFonts w:ascii="宋体" w:hAnsi="宋体" w:cs="宋体"/>
                <w:color w:val="000000"/>
                <w:sz w:val="22"/>
                <w:szCs w:val="22"/>
              </w:rPr>
            </w:pPr>
            <w:r>
              <w:rPr>
                <w:rFonts w:hint="eastAsia" w:ascii="宋体" w:hAnsi="宋体" w:cs="宋体"/>
                <w:color w:val="000000"/>
                <w:sz w:val="22"/>
                <w:szCs w:val="22"/>
              </w:rPr>
              <w:t>遗体告别前临时停放使用，含沙发、桌椅、风扇、消毒、室内套间等。</w:t>
            </w:r>
            <w:r>
              <w:rPr>
                <w:rFonts w:hint="eastAsia" w:ascii="宋体" w:hAnsi="宋体" w:cs="宋体"/>
                <w:color w:val="000000"/>
                <w:sz w:val="22"/>
              </w:rPr>
              <w:t>其它个性化服务自愿原则，价格面议。</w:t>
            </w:r>
          </w:p>
        </w:tc>
      </w:tr>
      <w:tr w14:paraId="0E58C38C">
        <w:tblPrEx>
          <w:tblCellMar>
            <w:top w:w="0" w:type="dxa"/>
            <w:left w:w="108" w:type="dxa"/>
            <w:bottom w:w="0" w:type="dxa"/>
            <w:right w:w="108" w:type="dxa"/>
          </w:tblCellMar>
        </w:tblPrEx>
        <w:trPr>
          <w:trHeight w:val="1051" w:hRule="atLeast"/>
        </w:trPr>
        <w:tc>
          <w:tcPr>
            <w:tcW w:w="749" w:type="dxa"/>
            <w:vMerge w:val="continue"/>
            <w:tcBorders>
              <w:top w:val="single" w:color="auto" w:sz="4" w:space="0"/>
              <w:left w:val="single" w:color="auto" w:sz="4" w:space="0"/>
              <w:bottom w:val="single" w:color="000000" w:sz="4" w:space="0"/>
              <w:right w:val="single" w:color="000000" w:sz="4" w:space="0"/>
            </w:tcBorders>
            <w:noWrap/>
            <w:vAlign w:val="center"/>
          </w:tcPr>
          <w:p w14:paraId="71DFEFDE">
            <w:pPr>
              <w:jc w:val="center"/>
              <w:rPr>
                <w:rFonts w:ascii="Times New Roman" w:hAnsi="Times New Roman"/>
                <w:sz w:val="20"/>
                <w:szCs w:val="20"/>
              </w:rPr>
            </w:pPr>
          </w:p>
        </w:tc>
        <w:tc>
          <w:tcPr>
            <w:tcW w:w="596" w:type="dxa"/>
            <w:tcBorders>
              <w:top w:val="single" w:color="auto" w:sz="4" w:space="0"/>
              <w:left w:val="nil"/>
              <w:bottom w:val="single" w:color="000000" w:sz="4" w:space="0"/>
              <w:right w:val="single" w:color="000000" w:sz="4" w:space="0"/>
            </w:tcBorders>
            <w:noWrap/>
            <w:vAlign w:val="center"/>
          </w:tcPr>
          <w:p w14:paraId="457C1B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288" w:type="dxa"/>
            <w:tcBorders>
              <w:top w:val="single" w:color="auto" w:sz="4" w:space="0"/>
              <w:left w:val="nil"/>
              <w:bottom w:val="single" w:color="000000" w:sz="4" w:space="0"/>
              <w:right w:val="single" w:color="000000" w:sz="4" w:space="0"/>
            </w:tcBorders>
            <w:noWrap/>
            <w:vAlign w:val="center"/>
          </w:tcPr>
          <w:p w14:paraId="678AF1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回送</w:t>
            </w:r>
          </w:p>
        </w:tc>
        <w:tc>
          <w:tcPr>
            <w:tcW w:w="2235" w:type="dxa"/>
            <w:tcBorders>
              <w:top w:val="single" w:color="auto" w:sz="4" w:space="0"/>
              <w:left w:val="nil"/>
              <w:bottom w:val="single" w:color="000000" w:sz="4" w:space="0"/>
              <w:right w:val="single" w:color="000000" w:sz="4" w:space="0"/>
            </w:tcBorders>
            <w:noWrap/>
            <w:vAlign w:val="center"/>
          </w:tcPr>
          <w:p w14:paraId="56E76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根据丧属需求回送骨灰或人员至指定地方。</w:t>
            </w:r>
          </w:p>
        </w:tc>
        <w:tc>
          <w:tcPr>
            <w:tcW w:w="1155" w:type="dxa"/>
            <w:tcBorders>
              <w:top w:val="single" w:color="auto" w:sz="4" w:space="0"/>
              <w:left w:val="nil"/>
              <w:bottom w:val="single" w:color="000000" w:sz="4" w:space="0"/>
              <w:right w:val="single" w:color="000000" w:sz="4" w:space="0"/>
            </w:tcBorders>
            <w:noWrap/>
            <w:vAlign w:val="center"/>
          </w:tcPr>
          <w:p w14:paraId="65DD7D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政府指导价</w:t>
            </w:r>
          </w:p>
        </w:tc>
        <w:tc>
          <w:tcPr>
            <w:tcW w:w="3795" w:type="dxa"/>
            <w:tcBorders>
              <w:top w:val="single" w:color="auto" w:sz="4" w:space="0"/>
              <w:left w:val="nil"/>
              <w:bottom w:val="single" w:color="000000" w:sz="4" w:space="0"/>
              <w:right w:val="single" w:color="000000" w:sz="4" w:space="0"/>
            </w:tcBorders>
            <w:noWrap/>
            <w:vAlign w:val="center"/>
          </w:tcPr>
          <w:p w14:paraId="7629F76D">
            <w:pPr>
              <w:widowControl/>
              <w:jc w:val="center"/>
              <w:textAlignment w:val="center"/>
              <w:rPr>
                <w:rFonts w:ascii="宋体" w:hAnsi="宋体" w:cs="宋体"/>
                <w:color w:val="000000"/>
                <w:sz w:val="24"/>
              </w:rPr>
            </w:pPr>
            <w:r>
              <w:rPr>
                <w:rFonts w:hint="eastAsia" w:ascii="宋体" w:hAnsi="宋体" w:cs="宋体"/>
                <w:color w:val="000000"/>
                <w:kern w:val="0"/>
                <w:sz w:val="22"/>
                <w:szCs w:val="22"/>
              </w:rPr>
              <w:t>20公里内:200元/次，每超过1公里加收5%（按单程计算）。</w:t>
            </w:r>
          </w:p>
        </w:tc>
        <w:tc>
          <w:tcPr>
            <w:tcW w:w="3855" w:type="dxa"/>
            <w:tcBorders>
              <w:top w:val="single" w:color="auto" w:sz="4" w:space="0"/>
              <w:left w:val="nil"/>
              <w:bottom w:val="single" w:color="000000" w:sz="4" w:space="0"/>
              <w:right w:val="single" w:color="000000" w:sz="4" w:space="0"/>
            </w:tcBorders>
            <w:noWrap/>
            <w:vAlign w:val="center"/>
          </w:tcPr>
          <w:p w14:paraId="53931EB3">
            <w:pPr>
              <w:jc w:val="center"/>
              <w:rPr>
                <w:rFonts w:ascii="宋体" w:hAnsi="宋体" w:cs="宋体"/>
                <w:color w:val="000000"/>
                <w:sz w:val="22"/>
                <w:szCs w:val="22"/>
              </w:rPr>
            </w:pPr>
          </w:p>
        </w:tc>
      </w:tr>
      <w:tr w14:paraId="2F0AC662">
        <w:tblPrEx>
          <w:tblCellMar>
            <w:top w:w="0" w:type="dxa"/>
            <w:left w:w="108" w:type="dxa"/>
            <w:bottom w:w="0" w:type="dxa"/>
            <w:right w:w="108" w:type="dxa"/>
          </w:tblCellMar>
        </w:tblPrEx>
        <w:trPr>
          <w:trHeight w:val="159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B616B43">
            <w:pPr>
              <w:widowControl/>
              <w:jc w:val="center"/>
              <w:textAlignment w:val="center"/>
              <w:rPr>
                <w:rFonts w:ascii="宋体" w:hAnsi="宋体" w:cs="宋体"/>
                <w:color w:val="000000"/>
                <w:sz w:val="22"/>
                <w:szCs w:val="22"/>
              </w:rPr>
            </w:pPr>
          </w:p>
        </w:tc>
        <w:tc>
          <w:tcPr>
            <w:tcW w:w="596" w:type="dxa"/>
            <w:tcBorders>
              <w:top w:val="single" w:color="000000" w:sz="4" w:space="0"/>
              <w:left w:val="nil"/>
              <w:bottom w:val="single" w:color="000000" w:sz="4" w:space="0"/>
              <w:right w:val="single" w:color="000000" w:sz="4" w:space="0"/>
            </w:tcBorders>
            <w:noWrap/>
            <w:vAlign w:val="center"/>
          </w:tcPr>
          <w:p w14:paraId="4ABFF9C5">
            <w:pPr>
              <w:widowControl/>
              <w:jc w:val="center"/>
              <w:textAlignment w:val="center"/>
              <w:rPr>
                <w:rFonts w:ascii="宋体" w:hAnsi="宋体" w:cs="宋体"/>
                <w:color w:val="000000"/>
                <w:sz w:val="22"/>
                <w:szCs w:val="22"/>
              </w:rPr>
            </w:pPr>
            <w:r>
              <w:rPr>
                <w:rFonts w:hint="eastAsia" w:ascii="宋体" w:hAnsi="宋体" w:cs="宋体"/>
                <w:color w:val="000000"/>
                <w:sz w:val="22"/>
                <w:szCs w:val="22"/>
              </w:rPr>
              <w:t>10</w:t>
            </w:r>
          </w:p>
        </w:tc>
        <w:tc>
          <w:tcPr>
            <w:tcW w:w="1288" w:type="dxa"/>
            <w:tcBorders>
              <w:top w:val="single" w:color="000000" w:sz="4" w:space="0"/>
              <w:left w:val="nil"/>
              <w:bottom w:val="single" w:color="000000" w:sz="4" w:space="0"/>
              <w:right w:val="single" w:color="000000" w:sz="4" w:space="0"/>
            </w:tcBorders>
            <w:noWrap/>
            <w:vAlign w:val="center"/>
          </w:tcPr>
          <w:p w14:paraId="08274B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骨灰祭奠</w:t>
            </w:r>
          </w:p>
        </w:tc>
        <w:tc>
          <w:tcPr>
            <w:tcW w:w="2235" w:type="dxa"/>
            <w:tcBorders>
              <w:top w:val="single" w:color="000000" w:sz="4" w:space="0"/>
              <w:left w:val="nil"/>
              <w:bottom w:val="single" w:color="000000" w:sz="4" w:space="0"/>
              <w:right w:val="single" w:color="000000" w:sz="4" w:space="0"/>
            </w:tcBorders>
            <w:noWrap/>
            <w:vAlign w:val="center"/>
          </w:tcPr>
          <w:p w14:paraId="2498AC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为骨灰寄存家属提供祭奠场所及相关服务。（不选择相关服务的不得收费）</w:t>
            </w:r>
          </w:p>
        </w:tc>
        <w:tc>
          <w:tcPr>
            <w:tcW w:w="1155" w:type="dxa"/>
            <w:tcBorders>
              <w:top w:val="single" w:color="000000" w:sz="4" w:space="0"/>
              <w:left w:val="nil"/>
              <w:bottom w:val="single" w:color="000000" w:sz="4" w:space="0"/>
              <w:right w:val="single" w:color="000000" w:sz="4" w:space="0"/>
            </w:tcBorders>
            <w:noWrap/>
            <w:vAlign w:val="center"/>
          </w:tcPr>
          <w:p w14:paraId="25C8CB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政府指导价</w:t>
            </w:r>
          </w:p>
        </w:tc>
        <w:tc>
          <w:tcPr>
            <w:tcW w:w="3795" w:type="dxa"/>
            <w:tcBorders>
              <w:top w:val="single" w:color="000000" w:sz="4" w:space="0"/>
              <w:left w:val="nil"/>
              <w:bottom w:val="single" w:color="000000" w:sz="4" w:space="0"/>
              <w:right w:val="single" w:color="000000" w:sz="4" w:space="0"/>
            </w:tcBorders>
            <w:noWrap/>
            <w:vAlign w:val="center"/>
          </w:tcPr>
          <w:p w14:paraId="157A6F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100元/次</w:t>
            </w:r>
          </w:p>
        </w:tc>
        <w:tc>
          <w:tcPr>
            <w:tcW w:w="3855" w:type="dxa"/>
            <w:tcBorders>
              <w:top w:val="single" w:color="000000" w:sz="4" w:space="0"/>
              <w:left w:val="nil"/>
              <w:bottom w:val="single" w:color="000000" w:sz="4" w:space="0"/>
              <w:right w:val="single" w:color="000000" w:sz="4" w:space="0"/>
            </w:tcBorders>
            <w:noWrap/>
            <w:vAlign w:val="center"/>
          </w:tcPr>
          <w:p w14:paraId="355484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提供茶水、休息室、祭奠场所、祭奠设施等。</w:t>
            </w:r>
          </w:p>
        </w:tc>
      </w:tr>
      <w:tr w14:paraId="0BD89CE3">
        <w:tblPrEx>
          <w:tblCellMar>
            <w:top w:w="0" w:type="dxa"/>
            <w:left w:w="108" w:type="dxa"/>
            <w:bottom w:w="0" w:type="dxa"/>
            <w:right w:w="108" w:type="dxa"/>
          </w:tblCellMar>
        </w:tblPrEx>
        <w:trPr>
          <w:trHeight w:val="1167"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FECF29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丧葬用品</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07E6DB8F">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3F59174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骨灰盒、寿衣、花圈等</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36321ED4">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殡仪馆根据丧属需求销售，不得强制销售、不得捆绑销售。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DF29F4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市场调节价</w:t>
            </w:r>
          </w:p>
        </w:tc>
        <w:tc>
          <w:tcPr>
            <w:tcW w:w="3795" w:type="dxa"/>
            <w:tcBorders>
              <w:top w:val="single" w:color="000000" w:sz="4" w:space="0"/>
              <w:left w:val="single" w:color="000000" w:sz="4" w:space="0"/>
              <w:bottom w:val="single" w:color="000000" w:sz="4" w:space="0"/>
              <w:right w:val="single" w:color="000000" w:sz="4" w:space="0"/>
            </w:tcBorders>
            <w:noWrap/>
            <w:vAlign w:val="center"/>
          </w:tcPr>
          <w:p w14:paraId="393D0C33">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由经营者按照公平合法、诚实信用原则自主制定。</w:t>
            </w:r>
          </w:p>
        </w:tc>
        <w:tc>
          <w:tcPr>
            <w:tcW w:w="3855" w:type="dxa"/>
            <w:tcBorders>
              <w:top w:val="single" w:color="000000" w:sz="4" w:space="0"/>
              <w:left w:val="single" w:color="000000" w:sz="4" w:space="0"/>
              <w:bottom w:val="single" w:color="000000" w:sz="4" w:space="0"/>
              <w:right w:val="single" w:color="000000" w:sz="4" w:space="0"/>
            </w:tcBorders>
            <w:noWrap/>
            <w:vAlign w:val="center"/>
          </w:tcPr>
          <w:p w14:paraId="3E793B6F">
            <w:pPr>
              <w:widowControl/>
              <w:jc w:val="center"/>
              <w:textAlignment w:val="center"/>
              <w:rPr>
                <w:rFonts w:ascii="宋体" w:hAnsi="宋体" w:cs="宋体"/>
                <w:color w:val="000000"/>
                <w:kern w:val="0"/>
                <w:sz w:val="22"/>
                <w:szCs w:val="22"/>
              </w:rPr>
            </w:pPr>
          </w:p>
        </w:tc>
      </w:tr>
      <w:tr w14:paraId="5CFCC9E0">
        <w:tblPrEx>
          <w:tblCellMar>
            <w:top w:w="0" w:type="dxa"/>
            <w:left w:w="108" w:type="dxa"/>
            <w:bottom w:w="0" w:type="dxa"/>
            <w:right w:w="108" w:type="dxa"/>
          </w:tblCellMar>
        </w:tblPrEx>
        <w:trPr>
          <w:trHeight w:val="1874"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1D1165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其他延伸服务</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71537855">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A12C2B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延伸服务项目</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29CBB9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逝者亲属提出的合法合规的个性化殡葬服务延伸项目，比如，遗体整形（含对头颅、面部、躯体进行修复）等。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C021E9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市场调节价</w:t>
            </w:r>
          </w:p>
        </w:tc>
        <w:tc>
          <w:tcPr>
            <w:tcW w:w="3795" w:type="dxa"/>
            <w:tcBorders>
              <w:top w:val="single" w:color="000000" w:sz="4" w:space="0"/>
              <w:left w:val="single" w:color="000000" w:sz="4" w:space="0"/>
              <w:bottom w:val="single" w:color="000000" w:sz="4" w:space="0"/>
              <w:right w:val="single" w:color="000000" w:sz="4" w:space="0"/>
            </w:tcBorders>
            <w:noWrap/>
            <w:vAlign w:val="center"/>
          </w:tcPr>
          <w:p w14:paraId="7D3143C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由经营者按照公平合法、诚实信用原则自主制定。</w:t>
            </w:r>
          </w:p>
        </w:tc>
        <w:tc>
          <w:tcPr>
            <w:tcW w:w="3855" w:type="dxa"/>
            <w:tcBorders>
              <w:top w:val="single" w:color="000000" w:sz="4" w:space="0"/>
              <w:left w:val="single" w:color="000000" w:sz="4" w:space="0"/>
              <w:bottom w:val="single" w:color="000000" w:sz="4" w:space="0"/>
              <w:right w:val="single" w:color="000000" w:sz="4" w:space="0"/>
            </w:tcBorders>
            <w:noWrap/>
            <w:vAlign w:val="center"/>
          </w:tcPr>
          <w:p w14:paraId="7DDFC26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自愿原则，签订合同。</w:t>
            </w:r>
          </w:p>
          <w:p w14:paraId="2E05E285">
            <w:pPr>
              <w:widowControl/>
              <w:jc w:val="center"/>
              <w:textAlignment w:val="center"/>
              <w:rPr>
                <w:rFonts w:ascii="宋体" w:hAnsi="宋体" w:cs="宋体"/>
                <w:color w:val="000000"/>
                <w:kern w:val="0"/>
                <w:sz w:val="22"/>
                <w:szCs w:val="22"/>
              </w:rPr>
            </w:pPr>
          </w:p>
        </w:tc>
      </w:tr>
      <w:tr w14:paraId="1B4A6125">
        <w:tblPrEx>
          <w:tblCellMar>
            <w:top w:w="0" w:type="dxa"/>
            <w:left w:w="108" w:type="dxa"/>
            <w:bottom w:w="0" w:type="dxa"/>
            <w:right w:w="108" w:type="dxa"/>
          </w:tblCellMar>
        </w:tblPrEx>
        <w:trPr>
          <w:trHeight w:val="635" w:hRule="atLeast"/>
        </w:trPr>
        <w:tc>
          <w:tcPr>
            <w:tcW w:w="13673" w:type="dxa"/>
            <w:gridSpan w:val="7"/>
            <w:tcBorders>
              <w:top w:val="single" w:color="000000" w:sz="4" w:space="0"/>
              <w:left w:val="single" w:color="000000" w:sz="4" w:space="0"/>
              <w:bottom w:val="single" w:color="000000" w:sz="4" w:space="0"/>
              <w:right w:val="single" w:color="000000" w:sz="4" w:space="0"/>
            </w:tcBorders>
            <w:noWrap/>
            <w:vAlign w:val="center"/>
          </w:tcPr>
          <w:p w14:paraId="359BC7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说明：实行政府指导价的收费标准为最高限价，下浮不限。</w:t>
            </w:r>
          </w:p>
        </w:tc>
      </w:tr>
    </w:tbl>
    <w:p w14:paraId="4ABED463"/>
    <w:p w14:paraId="3D35675A"/>
    <w:p w14:paraId="1570272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A6171"/>
    <w:rsid w:val="5F1A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2024-12-19T07:03:00Z</dcterms:created>
  <dc:creator>WPS_1714360435</dc:creator>
  <cp:lastModifiedBy>WPS_1714360435</cp:lastModifiedBy>
  <dcterms:modified xsi:type="dcterms:W3CDTF">2024-12-19T07:04:31Z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9371EE4E352946F2A69E0A690EE9D7E8_11</vt:lpwstr>
  </property>
</Properties>
</file>