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ms-word.document.macroEnabled.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0FEB69D">
      <w:pPr>
        <w:rPr>
          <w:rFonts w:ascii="仿宋_GB2312" w:hAnsi="仿宋_GB2312" w:eastAsia="仿宋_GB2312" w:cs="仿宋_GB2312"/>
          <w:sz w:val="36"/>
          <w:szCs w:val="36"/>
          <w:highlight w:val="none"/>
        </w:rPr>
      </w:pPr>
      <w:bookmarkStart w:id="0" w:name="_Hlk57883707"/>
    </w:p>
    <w:p w14:paraId="3F815C80">
      <w:pPr>
        <w:rPr>
          <w:rFonts w:ascii="仿宋_GB2312" w:hAnsi="仿宋_GB2312" w:eastAsia="仿宋_GB2312" w:cs="仿宋_GB2312"/>
          <w:sz w:val="36"/>
          <w:szCs w:val="36"/>
          <w:highlight w:val="none"/>
        </w:rPr>
      </w:pPr>
    </w:p>
    <w:p w14:paraId="0568B5D5">
      <w:pPr>
        <w:rPr>
          <w:rFonts w:ascii="仿宋_GB2312" w:hAnsi="仿宋_GB2312" w:eastAsia="仿宋_GB2312" w:cs="仿宋_GB2312"/>
          <w:sz w:val="36"/>
          <w:szCs w:val="36"/>
          <w:highlight w:val="none"/>
        </w:rPr>
      </w:pPr>
    </w:p>
    <w:p w14:paraId="16B96207">
      <w:pPr>
        <w:rPr>
          <w:rFonts w:ascii="仿宋_GB2312" w:hAnsi="仿宋_GB2312" w:eastAsia="仿宋_GB2312" w:cs="仿宋_GB2312"/>
          <w:sz w:val="36"/>
          <w:szCs w:val="36"/>
          <w:highlight w:val="none"/>
        </w:rPr>
      </w:pPr>
    </w:p>
    <w:bookmarkEnd w:id="0"/>
    <w:p w14:paraId="3A802D74">
      <w:pPr>
        <w:adjustRightInd w:val="0"/>
        <w:snapToGrid w:val="0"/>
        <w:jc w:val="center"/>
        <w:outlineLvl w:val="0"/>
        <w:rPr>
          <w:rFonts w:hint="eastAsia" w:ascii="方正小标宋_GBK" w:eastAsia="方正小标宋_GBK"/>
          <w:bCs/>
          <w:sz w:val="72"/>
          <w:szCs w:val="72"/>
          <w:highlight w:val="none"/>
        </w:rPr>
      </w:pPr>
      <w:bookmarkStart w:id="1" w:name="_Toc16700"/>
      <w:r>
        <w:rPr>
          <w:rFonts w:hint="eastAsia" w:ascii="方正小标宋_GBK" w:eastAsia="方正小标宋_GBK"/>
          <w:bCs/>
          <w:sz w:val="72"/>
          <w:szCs w:val="72"/>
          <w:highlight w:val="none"/>
        </w:rPr>
        <w:t>建设项目环境影响报告表</w:t>
      </w:r>
      <w:bookmarkEnd w:id="1"/>
    </w:p>
    <w:p w14:paraId="756D13B1">
      <w:pPr>
        <w:adjustRightInd w:val="0"/>
        <w:snapToGrid w:val="0"/>
        <w:spacing w:before="192" w:beforeLines="80"/>
        <w:jc w:val="center"/>
        <w:rPr>
          <w:rFonts w:hint="eastAsia" w:ascii="楷体_GB2312" w:eastAsia="楷体_GB2312"/>
          <w:bCs/>
          <w:sz w:val="48"/>
          <w:szCs w:val="48"/>
          <w:highlight w:val="none"/>
        </w:rPr>
      </w:pPr>
      <w:r>
        <w:rPr>
          <w:rFonts w:hint="eastAsia" w:ascii="楷体_GB2312" w:eastAsia="楷体_GB2312"/>
          <w:bCs/>
          <w:sz w:val="48"/>
          <w:szCs w:val="48"/>
          <w:highlight w:val="none"/>
        </w:rPr>
        <w:t>（生态影响类）</w:t>
      </w:r>
    </w:p>
    <w:p w14:paraId="0E1948C1">
      <w:pPr>
        <w:adjustRightInd w:val="0"/>
        <w:snapToGrid w:val="0"/>
        <w:spacing w:line="288" w:lineRule="auto"/>
        <w:jc w:val="center"/>
        <w:outlineLvl w:val="9"/>
        <w:rPr>
          <w:rFonts w:ascii="华文仿宋" w:hAnsi="华文仿宋" w:eastAsia="华文仿宋" w:cs="华文仿宋"/>
          <w:color w:val="000000"/>
          <w:kern w:val="44"/>
          <w:sz w:val="44"/>
          <w:szCs w:val="44"/>
          <w:highlight w:val="none"/>
        </w:rPr>
      </w:pPr>
      <w:bookmarkStart w:id="2" w:name="_Hlk57883728"/>
    </w:p>
    <w:p w14:paraId="6D3A5731">
      <w:pPr>
        <w:jc w:val="center"/>
        <w:rPr>
          <w:rFonts w:eastAsia="仿宋"/>
          <w:sz w:val="52"/>
          <w:szCs w:val="52"/>
          <w:highlight w:val="none"/>
        </w:rPr>
      </w:pPr>
    </w:p>
    <w:p w14:paraId="2BF906F4">
      <w:pPr>
        <w:ind w:firstLine="1040"/>
        <w:rPr>
          <w:rFonts w:eastAsia="仿宋"/>
          <w:sz w:val="44"/>
          <w:szCs w:val="44"/>
          <w:highlight w:val="none"/>
        </w:rPr>
      </w:pPr>
    </w:p>
    <w:p w14:paraId="131514E5">
      <w:pPr>
        <w:ind w:firstLine="1040"/>
        <w:rPr>
          <w:rFonts w:eastAsia="仿宋"/>
          <w:sz w:val="44"/>
          <w:szCs w:val="44"/>
          <w:highlight w:val="none"/>
        </w:rPr>
      </w:pPr>
    </w:p>
    <w:p w14:paraId="2F7C6594">
      <w:pPr>
        <w:ind w:firstLine="1040"/>
        <w:rPr>
          <w:rFonts w:eastAsia="仿宋"/>
          <w:sz w:val="44"/>
          <w:szCs w:val="44"/>
          <w:highlight w:val="none"/>
        </w:rPr>
      </w:pPr>
    </w:p>
    <w:p w14:paraId="49C2792B">
      <w:pPr>
        <w:ind w:firstLine="1040"/>
        <w:rPr>
          <w:rFonts w:eastAsia="仿宋"/>
          <w:sz w:val="44"/>
          <w:szCs w:val="44"/>
          <w:highlight w:val="none"/>
        </w:rPr>
      </w:pPr>
    </w:p>
    <w:bookmarkEnd w:id="2"/>
    <w:tbl>
      <w:tblPr>
        <w:tblStyle w:val="18"/>
        <w:tblW w:w="0" w:type="auto"/>
        <w:tblInd w:w="0" w:type="dxa"/>
        <w:tblLayout w:type="fixed"/>
        <w:tblCellMar>
          <w:top w:w="0" w:type="dxa"/>
          <w:left w:w="108" w:type="dxa"/>
          <w:bottom w:w="0" w:type="dxa"/>
          <w:right w:w="108" w:type="dxa"/>
        </w:tblCellMar>
      </w:tblPr>
      <w:tblGrid>
        <w:gridCol w:w="2008"/>
        <w:gridCol w:w="5897"/>
      </w:tblGrid>
      <w:tr w14:paraId="5899E8A7">
        <w:tblPrEx>
          <w:tblCellMar>
            <w:top w:w="0" w:type="dxa"/>
            <w:left w:w="108" w:type="dxa"/>
            <w:bottom w:w="0" w:type="dxa"/>
            <w:right w:w="108" w:type="dxa"/>
          </w:tblCellMar>
        </w:tblPrEx>
        <w:trPr>
          <w:trHeight w:val="571" w:hRule="atLeast"/>
        </w:trPr>
        <w:tc>
          <w:tcPr>
            <w:tcW w:w="2008" w:type="dxa"/>
            <w:noWrap w:val="0"/>
            <w:vAlign w:val="bottom"/>
          </w:tcPr>
          <w:p w14:paraId="08436C0A">
            <w:pPr>
              <w:spacing w:line="240" w:lineRule="auto"/>
              <w:ind w:firstLine="0" w:firstLineChars="0"/>
              <w:jc w:val="right"/>
              <w:rPr>
                <w:rFonts w:hint="default" w:ascii="Times New Roman" w:hAnsi="Times New Roman" w:eastAsia="宋体" w:cs="Times New Roman"/>
                <w:b w:val="0"/>
                <w:bCs w:val="0"/>
                <w:color w:val="auto"/>
                <w:sz w:val="32"/>
                <w:szCs w:val="36"/>
                <w:highlight w:val="none"/>
                <w:u w:val="none" w:color="auto"/>
              </w:rPr>
            </w:pPr>
            <w:r>
              <w:rPr>
                <w:rFonts w:hint="default" w:ascii="Times New Roman" w:hAnsi="Times New Roman" w:eastAsia="宋体" w:cs="Times New Roman"/>
                <w:b w:val="0"/>
                <w:bCs w:val="0"/>
                <w:color w:val="auto"/>
                <w:sz w:val="32"/>
                <w:szCs w:val="36"/>
                <w:highlight w:val="none"/>
                <w:u w:val="none" w:color="auto"/>
              </w:rPr>
              <w:t>项目名称：</w:t>
            </w:r>
          </w:p>
        </w:tc>
        <w:tc>
          <w:tcPr>
            <w:tcW w:w="5897" w:type="dxa"/>
            <w:tcBorders>
              <w:bottom w:val="single" w:color="auto" w:sz="4" w:space="0"/>
            </w:tcBorders>
            <w:noWrap w:val="0"/>
            <w:vAlign w:val="bottom"/>
          </w:tcPr>
          <w:p w14:paraId="274F1CFF">
            <w:pPr>
              <w:spacing w:line="240" w:lineRule="auto"/>
              <w:ind w:firstLine="0" w:firstLineChars="0"/>
              <w:jc w:val="center"/>
              <w:rPr>
                <w:rFonts w:hint="default" w:ascii="Times New Roman" w:hAnsi="Times New Roman" w:eastAsia="宋体" w:cs="Times New Roman"/>
                <w:b w:val="0"/>
                <w:bCs w:val="0"/>
                <w:color w:val="auto"/>
                <w:sz w:val="32"/>
                <w:szCs w:val="36"/>
                <w:highlight w:val="none"/>
                <w:u w:val="none" w:color="auto"/>
                <w:lang w:eastAsia="zh-CN"/>
              </w:rPr>
            </w:pPr>
            <w:r>
              <w:rPr>
                <w:rFonts w:hint="eastAsia" w:asciiTheme="majorEastAsia" w:hAnsiTheme="majorEastAsia" w:eastAsiaTheme="majorEastAsia" w:cstheme="majorEastAsia"/>
                <w:b w:val="0"/>
                <w:bCs w:val="0"/>
                <w:color w:val="000000"/>
                <w:sz w:val="32"/>
                <w:szCs w:val="32"/>
                <w:highlight w:val="none"/>
              </w:rPr>
              <w:t>安阳市殷都区老万金渠内河向外河排涝通道建设项目</w:t>
            </w:r>
          </w:p>
        </w:tc>
      </w:tr>
      <w:tr w14:paraId="0C6F944F">
        <w:tblPrEx>
          <w:tblCellMar>
            <w:top w:w="0" w:type="dxa"/>
            <w:left w:w="108" w:type="dxa"/>
            <w:bottom w:w="0" w:type="dxa"/>
            <w:right w:w="108" w:type="dxa"/>
          </w:tblCellMar>
        </w:tblPrEx>
        <w:trPr>
          <w:trHeight w:val="537" w:hRule="atLeast"/>
        </w:trPr>
        <w:tc>
          <w:tcPr>
            <w:tcW w:w="2008" w:type="dxa"/>
            <w:noWrap w:val="0"/>
            <w:vAlign w:val="bottom"/>
          </w:tcPr>
          <w:p w14:paraId="2EDBB932">
            <w:pPr>
              <w:spacing w:line="240" w:lineRule="auto"/>
              <w:ind w:firstLine="0" w:firstLineChars="0"/>
              <w:jc w:val="right"/>
              <w:rPr>
                <w:rFonts w:hint="default" w:ascii="Times New Roman" w:hAnsi="Times New Roman" w:eastAsia="宋体" w:cs="Times New Roman"/>
                <w:b w:val="0"/>
                <w:bCs w:val="0"/>
                <w:color w:val="auto"/>
                <w:sz w:val="32"/>
                <w:szCs w:val="36"/>
                <w:highlight w:val="none"/>
                <w:u w:val="none" w:color="auto"/>
              </w:rPr>
            </w:pPr>
            <w:r>
              <w:rPr>
                <w:rFonts w:hint="default" w:ascii="Times New Roman" w:hAnsi="Times New Roman" w:eastAsia="宋体" w:cs="Times New Roman"/>
                <w:b w:val="0"/>
                <w:bCs w:val="0"/>
                <w:color w:val="auto"/>
                <w:sz w:val="32"/>
                <w:szCs w:val="36"/>
                <w:highlight w:val="none"/>
                <w:u w:val="none" w:color="auto"/>
              </w:rPr>
              <w:t>建设单位：</w:t>
            </w:r>
          </w:p>
        </w:tc>
        <w:tc>
          <w:tcPr>
            <w:tcW w:w="5897" w:type="dxa"/>
            <w:tcBorders>
              <w:bottom w:val="single" w:color="auto" w:sz="4" w:space="0"/>
            </w:tcBorders>
            <w:noWrap w:val="0"/>
            <w:vAlign w:val="bottom"/>
          </w:tcPr>
          <w:p w14:paraId="4C22BA02">
            <w:pPr>
              <w:spacing w:line="240" w:lineRule="auto"/>
              <w:ind w:firstLine="0" w:firstLineChars="0"/>
              <w:jc w:val="center"/>
              <w:rPr>
                <w:rFonts w:hint="default" w:ascii="Times New Roman" w:hAnsi="Times New Roman" w:eastAsia="宋体" w:cs="Times New Roman"/>
                <w:b w:val="0"/>
                <w:bCs w:val="0"/>
                <w:color w:val="auto"/>
                <w:sz w:val="32"/>
                <w:szCs w:val="36"/>
                <w:highlight w:val="none"/>
                <w:u w:val="none" w:color="auto"/>
                <w:lang w:val="en-US" w:eastAsia="zh-CN"/>
              </w:rPr>
            </w:pPr>
            <w:r>
              <w:rPr>
                <w:rFonts w:hint="eastAsia" w:asciiTheme="majorEastAsia" w:hAnsiTheme="majorEastAsia" w:eastAsiaTheme="majorEastAsia" w:cstheme="majorEastAsia"/>
                <w:b w:val="0"/>
                <w:bCs w:val="0"/>
                <w:color w:val="000000"/>
                <w:sz w:val="32"/>
                <w:szCs w:val="32"/>
                <w:highlight w:val="none"/>
              </w:rPr>
              <w:t>安阳市殷都区住房和城乡建设局</w:t>
            </w:r>
          </w:p>
        </w:tc>
      </w:tr>
      <w:tr w14:paraId="4F461DA7">
        <w:tblPrEx>
          <w:tblCellMar>
            <w:top w:w="0" w:type="dxa"/>
            <w:left w:w="108" w:type="dxa"/>
            <w:bottom w:w="0" w:type="dxa"/>
            <w:right w:w="108" w:type="dxa"/>
          </w:tblCellMar>
        </w:tblPrEx>
        <w:trPr>
          <w:trHeight w:val="537" w:hRule="atLeast"/>
        </w:trPr>
        <w:tc>
          <w:tcPr>
            <w:tcW w:w="2008" w:type="dxa"/>
            <w:noWrap w:val="0"/>
            <w:vAlign w:val="bottom"/>
          </w:tcPr>
          <w:p w14:paraId="62475119">
            <w:pPr>
              <w:spacing w:line="240" w:lineRule="auto"/>
              <w:ind w:firstLine="0" w:firstLineChars="0"/>
              <w:jc w:val="right"/>
              <w:rPr>
                <w:rFonts w:hint="default" w:ascii="Times New Roman" w:hAnsi="Times New Roman" w:eastAsia="宋体" w:cs="Times New Roman"/>
                <w:b w:val="0"/>
                <w:bCs w:val="0"/>
                <w:color w:val="auto"/>
                <w:sz w:val="32"/>
                <w:szCs w:val="36"/>
                <w:highlight w:val="none"/>
                <w:u w:val="none" w:color="auto"/>
              </w:rPr>
            </w:pPr>
            <w:r>
              <w:rPr>
                <w:rFonts w:hint="default" w:ascii="Times New Roman" w:hAnsi="Times New Roman" w:eastAsia="宋体" w:cs="Times New Roman"/>
                <w:b w:val="0"/>
                <w:bCs w:val="0"/>
                <w:color w:val="auto"/>
                <w:sz w:val="32"/>
                <w:szCs w:val="36"/>
                <w:highlight w:val="none"/>
                <w:u w:val="none" w:color="auto"/>
              </w:rPr>
              <w:t>编制日期：</w:t>
            </w:r>
          </w:p>
        </w:tc>
        <w:tc>
          <w:tcPr>
            <w:tcW w:w="5897" w:type="dxa"/>
            <w:tcBorders>
              <w:bottom w:val="single" w:color="auto" w:sz="4" w:space="0"/>
            </w:tcBorders>
            <w:noWrap w:val="0"/>
            <w:vAlign w:val="bottom"/>
          </w:tcPr>
          <w:p w14:paraId="7F0B5C98">
            <w:pPr>
              <w:spacing w:line="240" w:lineRule="auto"/>
              <w:ind w:firstLine="0" w:firstLineChars="0"/>
              <w:jc w:val="center"/>
              <w:rPr>
                <w:rFonts w:hint="default" w:ascii="Times New Roman" w:hAnsi="Times New Roman" w:eastAsia="宋体" w:cs="Times New Roman"/>
                <w:b w:val="0"/>
                <w:bCs w:val="0"/>
                <w:color w:val="auto"/>
                <w:sz w:val="32"/>
                <w:szCs w:val="36"/>
                <w:highlight w:val="none"/>
                <w:u w:val="none" w:color="auto"/>
                <w:lang w:val="en-US" w:eastAsia="zh-CN"/>
              </w:rPr>
            </w:pPr>
            <w:r>
              <w:rPr>
                <w:rFonts w:hint="default" w:ascii="Times New Roman" w:hAnsi="Times New Roman" w:eastAsia="宋体" w:cs="Times New Roman"/>
                <w:b w:val="0"/>
                <w:bCs w:val="0"/>
                <w:color w:val="auto"/>
                <w:sz w:val="32"/>
                <w:szCs w:val="36"/>
                <w:highlight w:val="none"/>
                <w:u w:val="none" w:color="auto"/>
                <w:lang w:val="en-US" w:eastAsia="zh-CN"/>
              </w:rPr>
              <w:t>20</w:t>
            </w:r>
            <w:r>
              <w:rPr>
                <w:rFonts w:hint="eastAsia" w:ascii="Times New Roman" w:hAnsi="Times New Roman" w:eastAsia="宋体" w:cs="Times New Roman"/>
                <w:b w:val="0"/>
                <w:bCs w:val="0"/>
                <w:color w:val="auto"/>
                <w:sz w:val="32"/>
                <w:szCs w:val="36"/>
                <w:highlight w:val="none"/>
                <w:u w:val="none" w:color="auto"/>
                <w:lang w:val="en-US" w:eastAsia="zh-CN"/>
              </w:rPr>
              <w:t>24</w:t>
            </w:r>
            <w:r>
              <w:rPr>
                <w:rFonts w:hint="default" w:ascii="Times New Roman" w:hAnsi="Times New Roman" w:eastAsia="宋体" w:cs="Times New Roman"/>
                <w:b w:val="0"/>
                <w:bCs w:val="0"/>
                <w:color w:val="auto"/>
                <w:sz w:val="32"/>
                <w:szCs w:val="36"/>
                <w:highlight w:val="none"/>
                <w:u w:val="none" w:color="auto"/>
                <w:lang w:val="en-US" w:eastAsia="zh-CN"/>
              </w:rPr>
              <w:t>年</w:t>
            </w:r>
            <w:r>
              <w:rPr>
                <w:rFonts w:hint="eastAsia" w:cs="Times New Roman"/>
                <w:b w:val="0"/>
                <w:bCs w:val="0"/>
                <w:color w:val="auto"/>
                <w:sz w:val="32"/>
                <w:szCs w:val="36"/>
                <w:highlight w:val="none"/>
                <w:u w:val="none" w:color="auto"/>
                <w:lang w:val="en-US" w:eastAsia="zh-CN"/>
              </w:rPr>
              <w:t>12</w:t>
            </w:r>
            <w:r>
              <w:rPr>
                <w:rFonts w:hint="default" w:ascii="Times New Roman" w:hAnsi="Times New Roman" w:eastAsia="宋体" w:cs="Times New Roman"/>
                <w:b w:val="0"/>
                <w:bCs w:val="0"/>
                <w:color w:val="auto"/>
                <w:sz w:val="32"/>
                <w:szCs w:val="36"/>
                <w:highlight w:val="none"/>
                <w:u w:val="none" w:color="auto"/>
                <w:lang w:val="en-US" w:eastAsia="zh-CN"/>
              </w:rPr>
              <w:t>月</w:t>
            </w:r>
          </w:p>
        </w:tc>
      </w:tr>
    </w:tbl>
    <w:p w14:paraId="539C7298">
      <w:pPr>
        <w:adjustRightInd w:val="0"/>
        <w:snapToGrid w:val="0"/>
        <w:spacing w:line="288" w:lineRule="auto"/>
        <w:ind w:firstLine="1040"/>
        <w:rPr>
          <w:rFonts w:ascii="仿宋_GB2312" w:eastAsia="仿宋_GB2312"/>
          <w:sz w:val="36"/>
          <w:szCs w:val="36"/>
          <w:highlight w:val="none"/>
          <w:u w:val="single"/>
        </w:rPr>
      </w:pPr>
    </w:p>
    <w:p w14:paraId="2BDCC704">
      <w:pPr>
        <w:adjustRightInd w:val="0"/>
        <w:snapToGrid w:val="0"/>
        <w:spacing w:line="288" w:lineRule="auto"/>
        <w:ind w:firstLine="1040"/>
        <w:rPr>
          <w:rFonts w:ascii="仿宋_GB2312" w:eastAsia="仿宋_GB2312"/>
          <w:sz w:val="36"/>
          <w:szCs w:val="36"/>
          <w:highlight w:val="none"/>
        </w:rPr>
      </w:pPr>
    </w:p>
    <w:p w14:paraId="4BC7B278">
      <w:pPr>
        <w:adjustRightInd w:val="0"/>
        <w:snapToGrid w:val="0"/>
        <w:spacing w:line="288" w:lineRule="auto"/>
        <w:ind w:firstLine="1040"/>
        <w:rPr>
          <w:rFonts w:ascii="仿宋_GB2312" w:eastAsia="仿宋_GB2312"/>
          <w:sz w:val="36"/>
          <w:szCs w:val="36"/>
          <w:highlight w:val="none"/>
        </w:rPr>
      </w:pPr>
    </w:p>
    <w:p w14:paraId="461BA10F">
      <w:pPr>
        <w:adjustRightInd w:val="0"/>
        <w:snapToGrid w:val="0"/>
        <w:spacing w:line="288" w:lineRule="auto"/>
        <w:ind w:firstLine="1040"/>
        <w:rPr>
          <w:rFonts w:hint="eastAsia" w:ascii="仿宋_GB2312" w:eastAsia="仿宋_GB2312"/>
          <w:sz w:val="36"/>
          <w:szCs w:val="36"/>
          <w:highlight w:val="none"/>
        </w:rPr>
      </w:pPr>
    </w:p>
    <w:p w14:paraId="4EC58991">
      <w:pPr>
        <w:adjustRightInd w:val="0"/>
        <w:snapToGrid w:val="0"/>
        <w:spacing w:line="288" w:lineRule="auto"/>
        <w:ind w:firstLine="1040"/>
        <w:rPr>
          <w:rFonts w:hint="eastAsia" w:ascii="仿宋_GB2312" w:eastAsia="仿宋_GB2312"/>
          <w:sz w:val="36"/>
          <w:szCs w:val="36"/>
          <w:highlight w:val="none"/>
        </w:rPr>
      </w:pPr>
    </w:p>
    <w:p w14:paraId="51565CE3">
      <w:pPr>
        <w:adjustRightInd w:val="0"/>
        <w:snapToGrid w:val="0"/>
        <w:spacing w:line="288" w:lineRule="auto"/>
        <w:jc w:val="center"/>
        <w:outlineLvl w:val="0"/>
        <w:rPr>
          <w:rFonts w:ascii="楷体_GB2312" w:eastAsia="楷体_GB2312"/>
          <w:sz w:val="36"/>
          <w:szCs w:val="36"/>
          <w:highlight w:val="none"/>
        </w:rPr>
      </w:pPr>
      <w:bookmarkStart w:id="3" w:name="_Toc5793"/>
      <w:r>
        <w:rPr>
          <w:rFonts w:hint="eastAsia" w:ascii="楷体_GB2312" w:eastAsia="楷体_GB2312"/>
          <w:sz w:val="36"/>
          <w:szCs w:val="36"/>
          <w:highlight w:val="none"/>
        </w:rPr>
        <w:t>中华人民共和国生态环境部制</w:t>
      </w:r>
      <w:bookmarkEnd w:id="3"/>
    </w:p>
    <w:p w14:paraId="69C277F5">
      <w:pPr>
        <w:adjustRightInd w:val="0"/>
        <w:snapToGrid w:val="0"/>
        <w:spacing w:line="288" w:lineRule="auto"/>
        <w:ind w:firstLine="1040"/>
        <w:rPr>
          <w:rFonts w:ascii="仿宋_GB2312" w:eastAsia="仿宋_GB2312"/>
          <w:sz w:val="36"/>
          <w:szCs w:val="36"/>
          <w:highlight w:val="none"/>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21"/>
          <w:cols w:space="720" w:num="1"/>
          <w:docGrid w:linePitch="312" w:charSpace="0"/>
        </w:sectPr>
      </w:pPr>
    </w:p>
    <w:p w14:paraId="4AE86EE5">
      <w:pPr>
        <w:adjustRightInd w:val="0"/>
        <w:snapToGrid w:val="0"/>
        <w:spacing w:line="288" w:lineRule="auto"/>
        <w:ind w:firstLine="1040"/>
        <w:rPr>
          <w:rFonts w:ascii="仿宋_GB2312" w:eastAsia="仿宋_GB2312"/>
          <w:sz w:val="36"/>
          <w:szCs w:val="36"/>
          <w:highlight w:val="none"/>
        </w:rPr>
        <w:sectPr>
          <w:pgSz w:w="11906" w:h="16838"/>
          <w:pgMar w:top="1701" w:right="1531" w:bottom="1701" w:left="1531" w:header="851" w:footer="1077" w:gutter="0"/>
          <w:pgBorders>
            <w:top w:val="none" w:sz="0" w:space="0"/>
            <w:left w:val="none" w:sz="0" w:space="0"/>
            <w:bottom w:val="none" w:sz="0" w:space="0"/>
            <w:right w:val="none" w:sz="0" w:space="0"/>
          </w:pgBorders>
          <w:pgNumType w:start="21"/>
          <w:cols w:space="720" w:num="1"/>
          <w:docGrid w:linePitch="312" w:charSpace="0"/>
        </w:sectPr>
      </w:pPr>
      <w:r>
        <w:rPr>
          <w:sz w:val="21"/>
          <w:highlight w:val="none"/>
        </w:rPr>
        <mc:AlternateContent>
          <mc:Choice Requires="wps">
            <w:drawing>
              <wp:anchor distT="0" distB="0" distL="114300" distR="114300" simplePos="0" relativeHeight="251661312" behindDoc="0" locked="0" layoutInCell="1" allowOverlap="1">
                <wp:simplePos x="0" y="0"/>
                <wp:positionH relativeFrom="column">
                  <wp:posOffset>19050</wp:posOffset>
                </wp:positionH>
                <wp:positionV relativeFrom="paragraph">
                  <wp:posOffset>3760470</wp:posOffset>
                </wp:positionV>
                <wp:extent cx="6045835" cy="386080"/>
                <wp:effectExtent l="2830195" t="0" r="0" b="0"/>
                <wp:wrapNone/>
                <wp:docPr id="4" name="文本框 4"/>
                <wp:cNvGraphicFramePr/>
                <a:graphic xmlns:a="http://schemas.openxmlformats.org/drawingml/2006/main">
                  <a:graphicData uri="http://schemas.microsoft.com/office/word/2010/wordprocessingShape">
                    <wps:wsp>
                      <wps:cNvSpPr txBox="1"/>
                      <wps:spPr>
                        <a:xfrm rot="18600000">
                          <a:off x="1229995" y="4224655"/>
                          <a:ext cx="6045835" cy="3860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2384AF">
                            <w:pPr>
                              <w:rPr>
                                <w:rFonts w:hint="eastAsia" w:eastAsia="宋体"/>
                                <w:sz w:val="32"/>
                                <w:szCs w:val="32"/>
                                <w:lang w:eastAsia="zh-CN"/>
                              </w:rPr>
                            </w:pPr>
                            <w:r>
                              <w:rPr>
                                <w:rFonts w:hint="eastAsia"/>
                                <w:color w:val="FF0000"/>
                                <w:sz w:val="32"/>
                                <w:szCs w:val="32"/>
                                <w:lang w:eastAsia="zh-CN"/>
                              </w:rPr>
                              <w:t>仅限于</w:t>
                            </w:r>
                            <w:r>
                              <w:rPr>
                                <w:rFonts w:hint="eastAsia" w:asciiTheme="majorEastAsia" w:hAnsiTheme="majorEastAsia" w:eastAsiaTheme="majorEastAsia" w:cstheme="majorEastAsia"/>
                                <w:b w:val="0"/>
                                <w:bCs w:val="0"/>
                                <w:color w:val="FF0000"/>
                                <w:sz w:val="32"/>
                                <w:szCs w:val="32"/>
                              </w:rPr>
                              <w:t>安阳市殷都区老万金渠内河向外河排涝通道建设项目</w:t>
                            </w:r>
                            <w:r>
                              <w:rPr>
                                <w:rFonts w:hint="eastAsia" w:ascii="宋体" w:hAnsi="宋体" w:eastAsia="宋体" w:cs="宋体"/>
                                <w:color w:val="FF0000"/>
                                <w:sz w:val="32"/>
                                <w:szCs w:val="32"/>
                                <w:u w:val="none"/>
                                <w:lang w:eastAsia="zh-CN"/>
                              </w:rPr>
                              <w:t>使用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pt;margin-top:296.1pt;height:30.4pt;width:476.05pt;rotation:-3276800f;z-index:251661312;mso-width-relative:page;mso-height-relative:page;" filled="f" stroked="f" coordsize="21600,21600" o:gfxdata="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zEWAiNgAAAAJAQAADwAA&#10;AAAAAAABACAAAAAiAAAAZHJzL2Rvd25yZXYueG1sUEsBAhQAFAAAAAgAh07iQFgA77tPAgAAgQQA&#10;AA4AAAAAAAAAAQAgAAAAJwEAAGRycy9lMm9Eb2MueG1sUEsFBgAAAAAGAAYAWQEAAOgFAAAAAA==&#10;">
                <v:fill on="f" focussize="0,0"/>
                <v:stroke on="f" weight="0.5pt"/>
                <v:imagedata o:title=""/>
                <o:lock v:ext="edit" aspectratio="f"/>
                <v:textbox>
                  <w:txbxContent>
                    <w:p w14:paraId="4E2384AF">
                      <w:pPr>
                        <w:rPr>
                          <w:rFonts w:hint="eastAsia" w:eastAsia="宋体"/>
                          <w:sz w:val="32"/>
                          <w:szCs w:val="32"/>
                          <w:lang w:eastAsia="zh-CN"/>
                        </w:rPr>
                      </w:pPr>
                      <w:r>
                        <w:rPr>
                          <w:rFonts w:hint="eastAsia"/>
                          <w:color w:val="FF0000"/>
                          <w:sz w:val="32"/>
                          <w:szCs w:val="32"/>
                          <w:lang w:eastAsia="zh-CN"/>
                        </w:rPr>
                        <w:t>仅限于</w:t>
                      </w:r>
                      <w:r>
                        <w:rPr>
                          <w:rFonts w:hint="eastAsia" w:asciiTheme="majorEastAsia" w:hAnsiTheme="majorEastAsia" w:eastAsiaTheme="majorEastAsia" w:cstheme="majorEastAsia"/>
                          <w:b w:val="0"/>
                          <w:bCs w:val="0"/>
                          <w:color w:val="FF0000"/>
                          <w:sz w:val="32"/>
                          <w:szCs w:val="32"/>
                        </w:rPr>
                        <w:t>安阳市殷都区老万金渠内河向外河排涝通道建设项目</w:t>
                      </w:r>
                      <w:r>
                        <w:rPr>
                          <w:rFonts w:hint="eastAsia" w:ascii="宋体" w:hAnsi="宋体" w:eastAsia="宋体" w:cs="宋体"/>
                          <w:color w:val="FF0000"/>
                          <w:sz w:val="32"/>
                          <w:szCs w:val="32"/>
                          <w:u w:val="none"/>
                          <w:lang w:eastAsia="zh-CN"/>
                        </w:rPr>
                        <w:t>使用</w:t>
                      </w:r>
                    </w:p>
                  </w:txbxContent>
                </v:textbox>
              </v:shape>
            </w:pict>
          </mc:Fallback>
        </mc:AlternateContent>
      </w:r>
      <w:r>
        <w:rPr>
          <w:rFonts w:ascii="Times New Roman" w:hAnsi="Times New Roman" w:cs="Times New Roman"/>
          <w:highlight w:val="none"/>
        </w:rPr>
        <w:drawing>
          <wp:anchor distT="0" distB="0" distL="114300" distR="114300" simplePos="0" relativeHeight="251662336" behindDoc="1" locked="0" layoutInCell="1" allowOverlap="1">
            <wp:simplePos x="0" y="0"/>
            <wp:positionH relativeFrom="column">
              <wp:posOffset>50800</wp:posOffset>
            </wp:positionH>
            <wp:positionV relativeFrom="paragraph">
              <wp:posOffset>295275</wp:posOffset>
            </wp:positionV>
            <wp:extent cx="5483225" cy="7741285"/>
            <wp:effectExtent l="0" t="0" r="3175" b="635"/>
            <wp:wrapNone/>
            <wp:docPr id="8" name="图片 8" descr="G:\刘志朝\公司资料\证书\新营业执照副本.jpg新营业执照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G:\刘志朝\公司资料\证书\新营业执照副本.jpg新营业执照副本"/>
                    <pic:cNvPicPr>
                      <a:picLocks noChangeAspect="1"/>
                    </pic:cNvPicPr>
                  </pic:nvPicPr>
                  <pic:blipFill>
                    <a:blip r:embed="rId8"/>
                    <a:srcRect/>
                    <a:stretch>
                      <a:fillRect/>
                    </a:stretch>
                  </pic:blipFill>
                  <pic:spPr>
                    <a:xfrm>
                      <a:off x="0" y="0"/>
                      <a:ext cx="5483225" cy="7741285"/>
                    </a:xfrm>
                    <a:prstGeom prst="rect">
                      <a:avLst/>
                    </a:prstGeom>
                  </pic:spPr>
                </pic:pic>
              </a:graphicData>
            </a:graphic>
          </wp:anchor>
        </w:drawing>
      </w:r>
    </w:p>
    <w:p w14:paraId="166F43BF">
      <w:pPr>
        <w:adjustRightInd w:val="0"/>
        <w:snapToGrid w:val="0"/>
        <w:spacing w:line="288" w:lineRule="auto"/>
        <w:rPr>
          <w:rFonts w:ascii="仿宋_GB2312" w:eastAsia="仿宋_GB2312"/>
          <w:sz w:val="36"/>
          <w:szCs w:val="36"/>
          <w:highlight w:val="none"/>
        </w:rPr>
        <w:sectPr>
          <w:pgSz w:w="11906" w:h="16838"/>
          <w:pgMar w:top="1701" w:right="1531" w:bottom="1701" w:left="1531" w:header="851" w:footer="1077" w:gutter="0"/>
          <w:pgBorders>
            <w:top w:val="none" w:sz="0" w:space="0"/>
            <w:left w:val="none" w:sz="0" w:space="0"/>
            <w:bottom w:val="none" w:sz="0" w:space="0"/>
            <w:right w:val="none" w:sz="0" w:space="0"/>
          </w:pgBorders>
          <w:pgNumType w:start="21"/>
          <w:cols w:space="720" w:num="1"/>
          <w:docGrid w:linePitch="312" w:charSpace="0"/>
        </w:sectPr>
      </w:pPr>
      <w:r>
        <w:rPr>
          <w:sz w:val="21"/>
          <w:highlight w:val="none"/>
        </w:rPr>
        <mc:AlternateContent>
          <mc:Choice Requires="wps">
            <w:drawing>
              <wp:anchor distT="0" distB="0" distL="114300" distR="114300" simplePos="0" relativeHeight="251663360" behindDoc="0" locked="0" layoutInCell="1" allowOverlap="1">
                <wp:simplePos x="0" y="0"/>
                <wp:positionH relativeFrom="column">
                  <wp:posOffset>132080</wp:posOffset>
                </wp:positionH>
                <wp:positionV relativeFrom="paragraph">
                  <wp:posOffset>4065270</wp:posOffset>
                </wp:positionV>
                <wp:extent cx="5942965" cy="381000"/>
                <wp:effectExtent l="2781300" t="0" r="0" b="0"/>
                <wp:wrapNone/>
                <wp:docPr id="5" name="文本框 5"/>
                <wp:cNvGraphicFramePr/>
                <a:graphic xmlns:a="http://schemas.openxmlformats.org/drawingml/2006/main">
                  <a:graphicData uri="http://schemas.microsoft.com/office/word/2010/wordprocessingShape">
                    <wps:wsp>
                      <wps:cNvSpPr txBox="1"/>
                      <wps:spPr>
                        <a:xfrm rot="17520000">
                          <a:off x="0" y="0"/>
                          <a:ext cx="5942965"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A896A4">
                            <w:pPr>
                              <w:rPr>
                                <w:rFonts w:hint="eastAsia" w:eastAsia="宋体"/>
                                <w:sz w:val="32"/>
                                <w:szCs w:val="32"/>
                                <w:lang w:eastAsia="zh-CN"/>
                              </w:rPr>
                            </w:pPr>
                            <w:r>
                              <w:rPr>
                                <w:rFonts w:hint="eastAsia"/>
                                <w:color w:val="FF0000"/>
                                <w:sz w:val="32"/>
                                <w:szCs w:val="32"/>
                                <w:lang w:eastAsia="zh-CN"/>
                              </w:rPr>
                              <w:t>仅限于</w:t>
                            </w:r>
                            <w:r>
                              <w:rPr>
                                <w:rFonts w:hint="eastAsia" w:asciiTheme="majorEastAsia" w:hAnsiTheme="majorEastAsia" w:eastAsiaTheme="majorEastAsia" w:cstheme="majorEastAsia"/>
                                <w:b w:val="0"/>
                                <w:bCs w:val="0"/>
                                <w:color w:val="FF0000"/>
                                <w:sz w:val="32"/>
                                <w:szCs w:val="32"/>
                              </w:rPr>
                              <w:t>安阳市殷都区老万金渠内河向外河排涝通道建设项目</w:t>
                            </w:r>
                            <w:r>
                              <w:rPr>
                                <w:rFonts w:hint="eastAsia" w:ascii="宋体" w:hAnsi="宋体" w:eastAsia="宋体" w:cs="宋体"/>
                                <w:color w:val="FF0000"/>
                                <w:sz w:val="32"/>
                                <w:szCs w:val="32"/>
                                <w:u w:val="none"/>
                                <w:lang w:eastAsia="zh-CN"/>
                              </w:rPr>
                              <w:t>使用</w:t>
                            </w:r>
                          </w:p>
                          <w:p w14:paraId="282255E0">
                            <w:pPr>
                              <w:rPr>
                                <w:rFonts w:hint="eastAsia"/>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4pt;margin-top:320.1pt;height:30pt;width:467.95pt;rotation:-4456448f;z-index:251663360;mso-width-relative:page;mso-height-relative:page;" filled="f" stroked="f" coordsize="21600,21600" o:gfxdata="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DhJyZtcAAAAKAQAADwAAAAAAAAABACAAAAAi&#10;AAAAZHJzL2Rvd25yZXYueG1sUEsBAhQAFAAAAAgAh07iQF8NK4JEAgAAdQQAAA4AAAAAAAAAAQAg&#10;AAAAJgEAAGRycy9lMm9Eb2MueG1sUEsFBgAAAAAGAAYAWQEAANwFAAAAAA==&#10;">
                <v:fill on="f" focussize="0,0"/>
                <v:stroke on="f" weight="0.5pt"/>
                <v:imagedata o:title=""/>
                <o:lock v:ext="edit" aspectratio="f"/>
                <v:textbox>
                  <w:txbxContent>
                    <w:p w14:paraId="2CA896A4">
                      <w:pPr>
                        <w:rPr>
                          <w:rFonts w:hint="eastAsia" w:eastAsia="宋体"/>
                          <w:sz w:val="32"/>
                          <w:szCs w:val="32"/>
                          <w:lang w:eastAsia="zh-CN"/>
                        </w:rPr>
                      </w:pPr>
                      <w:r>
                        <w:rPr>
                          <w:rFonts w:hint="eastAsia"/>
                          <w:color w:val="FF0000"/>
                          <w:sz w:val="32"/>
                          <w:szCs w:val="32"/>
                          <w:lang w:eastAsia="zh-CN"/>
                        </w:rPr>
                        <w:t>仅限于</w:t>
                      </w:r>
                      <w:r>
                        <w:rPr>
                          <w:rFonts w:hint="eastAsia" w:asciiTheme="majorEastAsia" w:hAnsiTheme="majorEastAsia" w:eastAsiaTheme="majorEastAsia" w:cstheme="majorEastAsia"/>
                          <w:b w:val="0"/>
                          <w:bCs w:val="0"/>
                          <w:color w:val="FF0000"/>
                          <w:sz w:val="32"/>
                          <w:szCs w:val="32"/>
                        </w:rPr>
                        <w:t>安阳市殷都区老万金渠内河向外河排涝通道建设项目</w:t>
                      </w:r>
                      <w:r>
                        <w:rPr>
                          <w:rFonts w:hint="eastAsia" w:ascii="宋体" w:hAnsi="宋体" w:eastAsia="宋体" w:cs="宋体"/>
                          <w:color w:val="FF0000"/>
                          <w:sz w:val="32"/>
                          <w:szCs w:val="32"/>
                          <w:u w:val="none"/>
                          <w:lang w:eastAsia="zh-CN"/>
                        </w:rPr>
                        <w:t>使用</w:t>
                      </w:r>
                    </w:p>
                    <w:p w14:paraId="282255E0">
                      <w:pPr>
                        <w:rPr>
                          <w:rFonts w:hint="eastAsia"/>
                          <w:lang w:eastAsia="zh-CN"/>
                        </w:rPr>
                      </w:pPr>
                    </w:p>
                  </w:txbxContent>
                </v:textbox>
              </v:shape>
            </w:pict>
          </mc:Fallback>
        </mc:AlternateContent>
      </w:r>
      <w:r>
        <w:rPr>
          <w:rFonts w:hint="eastAsia" w:eastAsiaTheme="minorEastAsia"/>
          <w:highlight w:val="none"/>
          <w:lang w:eastAsia="zh-CN"/>
        </w:rPr>
        <w:drawing>
          <wp:inline distT="0" distB="0" distL="114300" distR="114300">
            <wp:extent cx="5584825" cy="4051300"/>
            <wp:effectExtent l="0" t="0" r="8255" b="2540"/>
            <wp:docPr id="31" name="图片 31" descr="明卉资格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明卉资格证1"/>
                    <pic:cNvPicPr>
                      <a:picLocks noChangeAspect="1"/>
                    </pic:cNvPicPr>
                  </pic:nvPicPr>
                  <pic:blipFill>
                    <a:blip r:embed="rId9"/>
                    <a:stretch>
                      <a:fillRect/>
                    </a:stretch>
                  </pic:blipFill>
                  <pic:spPr>
                    <a:xfrm>
                      <a:off x="0" y="0"/>
                      <a:ext cx="5584825" cy="4051300"/>
                    </a:xfrm>
                    <a:prstGeom prst="rect">
                      <a:avLst/>
                    </a:prstGeom>
                  </pic:spPr>
                </pic:pic>
              </a:graphicData>
            </a:graphic>
          </wp:inline>
        </w:drawing>
      </w:r>
      <w:r>
        <w:rPr>
          <w:rFonts w:hint="eastAsia" w:eastAsiaTheme="minorEastAsia"/>
          <w:highlight w:val="none"/>
          <w:lang w:eastAsia="zh-CN"/>
        </w:rPr>
        <w:drawing>
          <wp:inline distT="0" distB="0" distL="114300" distR="114300">
            <wp:extent cx="5617845" cy="3982085"/>
            <wp:effectExtent l="0" t="0" r="5715" b="10795"/>
            <wp:docPr id="30" name="图片 30" descr="明卉资格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明卉资格证2"/>
                    <pic:cNvPicPr>
                      <a:picLocks noChangeAspect="1"/>
                    </pic:cNvPicPr>
                  </pic:nvPicPr>
                  <pic:blipFill>
                    <a:blip r:embed="rId10"/>
                    <a:stretch>
                      <a:fillRect/>
                    </a:stretch>
                  </pic:blipFill>
                  <pic:spPr>
                    <a:xfrm>
                      <a:off x="0" y="0"/>
                      <a:ext cx="5617845" cy="3982085"/>
                    </a:xfrm>
                    <a:prstGeom prst="rect">
                      <a:avLst/>
                    </a:prstGeom>
                  </pic:spPr>
                </pic:pic>
              </a:graphicData>
            </a:graphic>
          </wp:inline>
        </w:drawing>
      </w:r>
    </w:p>
    <w:p w14:paraId="3C8C8D28">
      <w:pPr>
        <w:adjustRightInd w:val="0"/>
        <w:snapToGrid w:val="0"/>
        <w:spacing w:line="288" w:lineRule="auto"/>
        <w:rPr>
          <w:rFonts w:hint="eastAsia" w:ascii="仿宋_GB2312" w:eastAsia="仿宋_GB2312"/>
          <w:sz w:val="36"/>
          <w:szCs w:val="36"/>
          <w:highlight w:val="none"/>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21"/>
          <w:cols w:space="720" w:num="1"/>
          <w:docGrid w:linePitch="312" w:charSpace="0"/>
        </w:sectPr>
      </w:pPr>
      <w:r>
        <w:drawing>
          <wp:anchor distT="0" distB="0" distL="114300" distR="114300" simplePos="0" relativeHeight="251659264" behindDoc="0" locked="0" layoutInCell="1" allowOverlap="1">
            <wp:simplePos x="0" y="0"/>
            <wp:positionH relativeFrom="column">
              <wp:posOffset>-273685</wp:posOffset>
            </wp:positionH>
            <wp:positionV relativeFrom="paragraph">
              <wp:posOffset>-428625</wp:posOffset>
            </wp:positionV>
            <wp:extent cx="6195060" cy="8654415"/>
            <wp:effectExtent l="0" t="0" r="15240" b="13335"/>
            <wp:wrapTopAndBottom/>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11"/>
                    <a:stretch>
                      <a:fillRect/>
                    </a:stretch>
                  </pic:blipFill>
                  <pic:spPr>
                    <a:xfrm>
                      <a:off x="0" y="0"/>
                      <a:ext cx="6195060" cy="8654415"/>
                    </a:xfrm>
                    <a:prstGeom prst="rect">
                      <a:avLst/>
                    </a:prstGeom>
                    <a:noFill/>
                    <a:ln>
                      <a:noFill/>
                    </a:ln>
                  </pic:spPr>
                </pic:pic>
              </a:graphicData>
            </a:graphic>
          </wp:anchor>
        </w:drawing>
      </w:r>
      <w:r>
        <w:rPr>
          <w:sz w:val="21"/>
          <w:highlight w:val="none"/>
        </w:rPr>
        <mc:AlternateContent>
          <mc:Choice Requires="wps">
            <w:drawing>
              <wp:anchor distT="0" distB="0" distL="114300" distR="114300" simplePos="0" relativeHeight="251664384" behindDoc="0" locked="0" layoutInCell="1" allowOverlap="1">
                <wp:simplePos x="0" y="0"/>
                <wp:positionH relativeFrom="column">
                  <wp:posOffset>5715</wp:posOffset>
                </wp:positionH>
                <wp:positionV relativeFrom="paragraph">
                  <wp:posOffset>3246755</wp:posOffset>
                </wp:positionV>
                <wp:extent cx="6014085" cy="386080"/>
                <wp:effectExtent l="2814320" t="0" r="0" b="0"/>
                <wp:wrapNone/>
                <wp:docPr id="7" name="文本框 7"/>
                <wp:cNvGraphicFramePr/>
                <a:graphic xmlns:a="http://schemas.openxmlformats.org/drawingml/2006/main">
                  <a:graphicData uri="http://schemas.microsoft.com/office/word/2010/wordprocessingShape">
                    <wps:wsp>
                      <wps:cNvSpPr txBox="1"/>
                      <wps:spPr>
                        <a:xfrm rot="18600000">
                          <a:off x="0" y="0"/>
                          <a:ext cx="6014085" cy="3860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ACF4AD">
                            <w:pPr>
                              <w:rPr>
                                <w:rFonts w:hint="eastAsia" w:eastAsia="宋体"/>
                                <w:sz w:val="32"/>
                                <w:szCs w:val="32"/>
                                <w:lang w:eastAsia="zh-CN"/>
                              </w:rPr>
                            </w:pPr>
                            <w:r>
                              <w:rPr>
                                <w:rFonts w:hint="eastAsia"/>
                                <w:color w:val="FF0000"/>
                                <w:sz w:val="32"/>
                                <w:szCs w:val="32"/>
                                <w:lang w:eastAsia="zh-CN"/>
                              </w:rPr>
                              <w:t>仅限于</w:t>
                            </w:r>
                            <w:r>
                              <w:rPr>
                                <w:rFonts w:hint="eastAsia" w:asciiTheme="majorEastAsia" w:hAnsiTheme="majorEastAsia" w:eastAsiaTheme="majorEastAsia" w:cstheme="majorEastAsia"/>
                                <w:b w:val="0"/>
                                <w:bCs w:val="0"/>
                                <w:color w:val="FF0000"/>
                                <w:sz w:val="32"/>
                                <w:szCs w:val="32"/>
                              </w:rPr>
                              <w:t>安阳市殷都区老万金渠内河向外河排涝通道建设项目</w:t>
                            </w:r>
                            <w:r>
                              <w:rPr>
                                <w:rFonts w:hint="eastAsia" w:ascii="宋体" w:hAnsi="宋体" w:eastAsia="宋体" w:cs="宋体"/>
                                <w:color w:val="FF0000"/>
                                <w:sz w:val="32"/>
                                <w:szCs w:val="32"/>
                                <w:u w:val="none"/>
                                <w:lang w:eastAsia="zh-CN"/>
                              </w:rPr>
                              <w:t>使用</w:t>
                            </w:r>
                          </w:p>
                          <w:p w14:paraId="63BCF1E1">
                            <w:pPr>
                              <w:rPr>
                                <w:rFonts w:hint="eastAsia"/>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45pt;margin-top:255.65pt;height:30.4pt;width:473.55pt;rotation:-3276800f;z-index:251664384;mso-width-relative:page;mso-height-relative:page;" filled="f" stroked="f" coordsize="21600,21600" o:gfxdata="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AEqyC7YAAAACAEAAA8AAAAAAAAAAQAgAAAA&#10;IgAAAGRycy9kb3ducmV2LnhtbFBLAQIUABQAAAAIAIdO4kCz/PplRAIAAHUEAAAOAAAAAAAAAAEA&#10;IAAAACcBAABkcnMvZTJvRG9jLnhtbFBLBQYAAAAABgAGAFkBAADdBQAAAAA=&#10;">
                <v:fill on="f" focussize="0,0"/>
                <v:stroke on="f" weight="0.5pt"/>
                <v:imagedata o:title=""/>
                <o:lock v:ext="edit" aspectratio="f"/>
                <v:textbox>
                  <w:txbxContent>
                    <w:p w14:paraId="58ACF4AD">
                      <w:pPr>
                        <w:rPr>
                          <w:rFonts w:hint="eastAsia" w:eastAsia="宋体"/>
                          <w:sz w:val="32"/>
                          <w:szCs w:val="32"/>
                          <w:lang w:eastAsia="zh-CN"/>
                        </w:rPr>
                      </w:pPr>
                      <w:r>
                        <w:rPr>
                          <w:rFonts w:hint="eastAsia"/>
                          <w:color w:val="FF0000"/>
                          <w:sz w:val="32"/>
                          <w:szCs w:val="32"/>
                          <w:lang w:eastAsia="zh-CN"/>
                        </w:rPr>
                        <w:t>仅限于</w:t>
                      </w:r>
                      <w:r>
                        <w:rPr>
                          <w:rFonts w:hint="eastAsia" w:asciiTheme="majorEastAsia" w:hAnsiTheme="majorEastAsia" w:eastAsiaTheme="majorEastAsia" w:cstheme="majorEastAsia"/>
                          <w:b w:val="0"/>
                          <w:bCs w:val="0"/>
                          <w:color w:val="FF0000"/>
                          <w:sz w:val="32"/>
                          <w:szCs w:val="32"/>
                        </w:rPr>
                        <w:t>安阳市殷都区老万金渠内河向外河排涝通道建设项目</w:t>
                      </w:r>
                      <w:r>
                        <w:rPr>
                          <w:rFonts w:hint="eastAsia" w:ascii="宋体" w:hAnsi="宋体" w:eastAsia="宋体" w:cs="宋体"/>
                          <w:color w:val="FF0000"/>
                          <w:sz w:val="32"/>
                          <w:szCs w:val="32"/>
                          <w:u w:val="none"/>
                          <w:lang w:eastAsia="zh-CN"/>
                        </w:rPr>
                        <w:t>使用</w:t>
                      </w:r>
                    </w:p>
                    <w:p w14:paraId="63BCF1E1">
                      <w:pPr>
                        <w:rPr>
                          <w:rFonts w:hint="eastAsia"/>
                          <w:lang w:eastAsia="zh-CN"/>
                        </w:rPr>
                      </w:pPr>
                    </w:p>
                  </w:txbxContent>
                </v:textbox>
              </v:shape>
            </w:pict>
          </mc:Fallback>
        </mc:AlternateContent>
      </w:r>
    </w:p>
    <w:sdt>
      <w:sdtPr>
        <w:rPr>
          <w:rFonts w:ascii="宋体" w:hAnsi="宋体" w:eastAsia="宋体" w:cs="Times New Roman"/>
          <w:kern w:val="2"/>
          <w:sz w:val="21"/>
          <w:szCs w:val="24"/>
          <w:highlight w:val="none"/>
          <w:lang w:val="en-US" w:eastAsia="zh-CN" w:bidi="ar-SA"/>
        </w:rPr>
        <w:id w:val="147477172"/>
        <w15:color w:val="DBDBDB"/>
        <w:docPartObj>
          <w:docPartGallery w:val="Table of Contents"/>
          <w:docPartUnique/>
        </w:docPartObj>
      </w:sdtPr>
      <w:sdtEndPr>
        <w:rPr>
          <w:rFonts w:hint="eastAsia" w:ascii="黑体" w:hAnsi="黑体" w:eastAsia="黑体" w:cs="Times New Roman"/>
          <w:snapToGrid w:val="0"/>
          <w:kern w:val="0"/>
          <w:sz w:val="24"/>
          <w:szCs w:val="30"/>
          <w:highlight w:val="none"/>
          <w:lang w:val="en-US" w:eastAsia="zh-CN" w:bidi="ar-SA"/>
        </w:rPr>
      </w:sdtEndPr>
      <w:sdtContent>
        <w:p w14:paraId="4528AD50">
          <w:pPr>
            <w:spacing w:before="0" w:beforeLines="0" w:after="0" w:afterLines="0" w:line="240" w:lineRule="auto"/>
            <w:ind w:left="0" w:leftChars="0" w:right="0" w:rightChars="0" w:firstLine="0" w:firstLineChars="0"/>
            <w:jc w:val="center"/>
            <w:rPr>
              <w:rFonts w:hint="default" w:ascii="Times New Roman" w:hAnsi="Times New Roman" w:cs="Times New Roman"/>
              <w:sz w:val="24"/>
              <w:szCs w:val="24"/>
              <w:highlight w:val="none"/>
            </w:rPr>
          </w:pPr>
          <w:r>
            <w:rPr>
              <w:rFonts w:hint="default" w:ascii="Times New Roman" w:hAnsi="Times New Roman" w:eastAsia="宋体" w:cs="Times New Roman"/>
              <w:sz w:val="24"/>
              <w:szCs w:val="24"/>
              <w:highlight w:val="none"/>
            </w:rPr>
            <w:t>目录</w:t>
          </w:r>
        </w:p>
        <w:p w14:paraId="3ECCBCD4">
          <w:pPr>
            <w:pStyle w:val="44"/>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cs="Times New Roman" w:eastAsiaTheme="minorEastAsia"/>
              <w:sz w:val="24"/>
              <w:szCs w:val="24"/>
              <w:highlight w:val="none"/>
            </w:rPr>
          </w:pPr>
          <w:r>
            <w:rPr>
              <w:rFonts w:hint="default" w:ascii="Times New Roman" w:hAnsi="Times New Roman" w:cs="Times New Roman" w:eastAsiaTheme="minorEastAsia"/>
              <w:snapToGrid w:val="0"/>
              <w:sz w:val="24"/>
              <w:szCs w:val="24"/>
              <w:highlight w:val="none"/>
            </w:rPr>
            <w:fldChar w:fldCharType="begin"/>
          </w:r>
          <w:r>
            <w:rPr>
              <w:rFonts w:hint="default" w:ascii="Times New Roman" w:hAnsi="Times New Roman" w:cs="Times New Roman" w:eastAsiaTheme="minorEastAsia"/>
              <w:snapToGrid w:val="0"/>
              <w:sz w:val="24"/>
              <w:szCs w:val="24"/>
              <w:highlight w:val="none"/>
            </w:rPr>
            <w:instrText xml:space="preserve">TOC \o "1-1" \h \u </w:instrText>
          </w:r>
          <w:r>
            <w:rPr>
              <w:rFonts w:hint="default" w:ascii="Times New Roman" w:hAnsi="Times New Roman" w:cs="Times New Roman" w:eastAsiaTheme="minorEastAsia"/>
              <w:snapToGrid w:val="0"/>
              <w:sz w:val="24"/>
              <w:szCs w:val="24"/>
              <w:highlight w:val="none"/>
            </w:rPr>
            <w:fldChar w:fldCharType="separate"/>
          </w:r>
          <w:r>
            <w:rPr>
              <w:rFonts w:hint="default" w:ascii="Times New Roman" w:hAnsi="Times New Roman" w:cs="Times New Roman" w:eastAsiaTheme="minorEastAsia"/>
              <w:snapToGrid w:val="0"/>
              <w:sz w:val="24"/>
              <w:szCs w:val="24"/>
              <w:highlight w:val="none"/>
            </w:rPr>
            <w:fldChar w:fldCharType="begin"/>
          </w:r>
          <w:r>
            <w:rPr>
              <w:rFonts w:hint="default" w:ascii="Times New Roman" w:hAnsi="Times New Roman" w:cs="Times New Roman" w:eastAsiaTheme="minorEastAsia"/>
              <w:snapToGrid w:val="0"/>
              <w:sz w:val="24"/>
              <w:szCs w:val="24"/>
              <w:highlight w:val="none"/>
            </w:rPr>
            <w:instrText xml:space="preserve"> HYPERLINK \l _Toc5151 </w:instrText>
          </w:r>
          <w:r>
            <w:rPr>
              <w:rFonts w:hint="default" w:ascii="Times New Roman" w:hAnsi="Times New Roman" w:cs="Times New Roman" w:eastAsiaTheme="minorEastAsia"/>
              <w:snapToGrid w:val="0"/>
              <w:sz w:val="24"/>
              <w:szCs w:val="24"/>
              <w:highlight w:val="none"/>
            </w:rPr>
            <w:fldChar w:fldCharType="separate"/>
          </w:r>
          <w:r>
            <w:rPr>
              <w:rFonts w:hint="default" w:ascii="Times New Roman" w:hAnsi="Times New Roman" w:cs="Times New Roman" w:eastAsiaTheme="minorEastAsia"/>
              <w:snapToGrid w:val="0"/>
              <w:sz w:val="24"/>
              <w:szCs w:val="24"/>
              <w:highlight w:val="none"/>
            </w:rPr>
            <w:t>一、建设项目基本情况</w:t>
          </w:r>
          <w:r>
            <w:rPr>
              <w:rFonts w:hint="default" w:ascii="Times New Roman" w:hAnsi="Times New Roman" w:cs="Times New Roman" w:eastAsiaTheme="minorEastAsia"/>
              <w:sz w:val="24"/>
              <w:szCs w:val="24"/>
              <w:highlight w:val="none"/>
            </w:rPr>
            <w:tab/>
          </w: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PAGEREF _Toc5151 \h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rPr>
            <w:t>1</w:t>
          </w:r>
          <w:r>
            <w:rPr>
              <w:rFonts w:hint="default" w:ascii="Times New Roman" w:hAnsi="Times New Roman" w:cs="Times New Roman" w:eastAsiaTheme="minorEastAsia"/>
              <w:sz w:val="24"/>
              <w:szCs w:val="24"/>
              <w:highlight w:val="none"/>
            </w:rPr>
            <w:fldChar w:fldCharType="end"/>
          </w:r>
          <w:r>
            <w:rPr>
              <w:rFonts w:hint="default" w:ascii="Times New Roman" w:hAnsi="Times New Roman" w:cs="Times New Roman" w:eastAsiaTheme="minorEastAsia"/>
              <w:snapToGrid w:val="0"/>
              <w:sz w:val="24"/>
              <w:szCs w:val="24"/>
              <w:highlight w:val="none"/>
            </w:rPr>
            <w:fldChar w:fldCharType="end"/>
          </w:r>
        </w:p>
        <w:p w14:paraId="3B0F3CB7">
          <w:pPr>
            <w:pStyle w:val="44"/>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cs="Times New Roman" w:eastAsiaTheme="minorEastAsia"/>
              <w:sz w:val="24"/>
              <w:szCs w:val="24"/>
              <w:highlight w:val="none"/>
            </w:rPr>
          </w:pPr>
          <w:r>
            <w:rPr>
              <w:rFonts w:hint="default" w:ascii="Times New Roman" w:hAnsi="Times New Roman" w:cs="Times New Roman" w:eastAsiaTheme="minorEastAsia"/>
              <w:snapToGrid w:val="0"/>
              <w:sz w:val="24"/>
              <w:szCs w:val="24"/>
              <w:highlight w:val="none"/>
            </w:rPr>
            <w:fldChar w:fldCharType="begin"/>
          </w:r>
          <w:r>
            <w:rPr>
              <w:rFonts w:hint="default" w:ascii="Times New Roman" w:hAnsi="Times New Roman" w:cs="Times New Roman" w:eastAsiaTheme="minorEastAsia"/>
              <w:snapToGrid w:val="0"/>
              <w:sz w:val="24"/>
              <w:szCs w:val="24"/>
              <w:highlight w:val="none"/>
            </w:rPr>
            <w:instrText xml:space="preserve"> HYPERLINK \l _Toc27856 </w:instrText>
          </w:r>
          <w:r>
            <w:rPr>
              <w:rFonts w:hint="default" w:ascii="Times New Roman" w:hAnsi="Times New Roman" w:cs="Times New Roman" w:eastAsiaTheme="minorEastAsia"/>
              <w:snapToGrid w:val="0"/>
              <w:sz w:val="24"/>
              <w:szCs w:val="24"/>
              <w:highlight w:val="none"/>
            </w:rPr>
            <w:fldChar w:fldCharType="separate"/>
          </w:r>
          <w:r>
            <w:rPr>
              <w:rFonts w:hint="default" w:ascii="Times New Roman" w:hAnsi="Times New Roman" w:cs="Times New Roman" w:eastAsiaTheme="minorEastAsia"/>
              <w:snapToGrid w:val="0"/>
              <w:sz w:val="24"/>
              <w:szCs w:val="24"/>
              <w:highlight w:val="none"/>
            </w:rPr>
            <w:t>二、建设内容</w:t>
          </w:r>
          <w:r>
            <w:rPr>
              <w:rFonts w:hint="default" w:ascii="Times New Roman" w:hAnsi="Times New Roman" w:cs="Times New Roman" w:eastAsiaTheme="minorEastAsia"/>
              <w:sz w:val="24"/>
              <w:szCs w:val="24"/>
              <w:highlight w:val="none"/>
            </w:rPr>
            <w:tab/>
          </w: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PAGEREF _Toc27856 \h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rPr>
            <w:t>18</w:t>
          </w:r>
          <w:r>
            <w:rPr>
              <w:rFonts w:hint="default" w:ascii="Times New Roman" w:hAnsi="Times New Roman" w:cs="Times New Roman" w:eastAsiaTheme="minorEastAsia"/>
              <w:sz w:val="24"/>
              <w:szCs w:val="24"/>
              <w:highlight w:val="none"/>
            </w:rPr>
            <w:fldChar w:fldCharType="end"/>
          </w:r>
          <w:r>
            <w:rPr>
              <w:rFonts w:hint="default" w:ascii="Times New Roman" w:hAnsi="Times New Roman" w:cs="Times New Roman" w:eastAsiaTheme="minorEastAsia"/>
              <w:snapToGrid w:val="0"/>
              <w:sz w:val="24"/>
              <w:szCs w:val="24"/>
              <w:highlight w:val="none"/>
            </w:rPr>
            <w:fldChar w:fldCharType="end"/>
          </w:r>
        </w:p>
        <w:p w14:paraId="400EB659">
          <w:pPr>
            <w:pStyle w:val="44"/>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cs="Times New Roman" w:eastAsiaTheme="minorEastAsia"/>
              <w:sz w:val="24"/>
              <w:szCs w:val="24"/>
              <w:highlight w:val="none"/>
            </w:rPr>
          </w:pPr>
          <w:r>
            <w:rPr>
              <w:rFonts w:hint="default" w:ascii="Times New Roman" w:hAnsi="Times New Roman" w:cs="Times New Roman" w:eastAsiaTheme="minorEastAsia"/>
              <w:snapToGrid w:val="0"/>
              <w:sz w:val="24"/>
              <w:szCs w:val="24"/>
              <w:highlight w:val="none"/>
            </w:rPr>
            <w:fldChar w:fldCharType="begin"/>
          </w:r>
          <w:r>
            <w:rPr>
              <w:rFonts w:hint="default" w:ascii="Times New Roman" w:hAnsi="Times New Roman" w:cs="Times New Roman" w:eastAsiaTheme="minorEastAsia"/>
              <w:snapToGrid w:val="0"/>
              <w:sz w:val="24"/>
              <w:szCs w:val="24"/>
              <w:highlight w:val="none"/>
            </w:rPr>
            <w:instrText xml:space="preserve"> HYPERLINK \l _Toc30436 </w:instrText>
          </w:r>
          <w:r>
            <w:rPr>
              <w:rFonts w:hint="default" w:ascii="Times New Roman" w:hAnsi="Times New Roman" w:cs="Times New Roman" w:eastAsiaTheme="minorEastAsia"/>
              <w:snapToGrid w:val="0"/>
              <w:sz w:val="24"/>
              <w:szCs w:val="24"/>
              <w:highlight w:val="none"/>
            </w:rPr>
            <w:fldChar w:fldCharType="separate"/>
          </w:r>
          <w:r>
            <w:rPr>
              <w:rFonts w:hint="default" w:ascii="Times New Roman" w:hAnsi="Times New Roman" w:cs="Times New Roman" w:eastAsiaTheme="minorEastAsia"/>
              <w:snapToGrid w:val="0"/>
              <w:sz w:val="24"/>
              <w:szCs w:val="24"/>
              <w:highlight w:val="none"/>
            </w:rPr>
            <w:t>三、生态环境现状、保护目标及评价标准</w:t>
          </w:r>
          <w:r>
            <w:rPr>
              <w:rFonts w:hint="default" w:ascii="Times New Roman" w:hAnsi="Times New Roman" w:cs="Times New Roman" w:eastAsiaTheme="minorEastAsia"/>
              <w:sz w:val="24"/>
              <w:szCs w:val="24"/>
              <w:highlight w:val="none"/>
            </w:rPr>
            <w:tab/>
          </w: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PAGEREF _Toc30436 \h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rPr>
            <w:t>31</w:t>
          </w:r>
          <w:r>
            <w:rPr>
              <w:rFonts w:hint="default" w:ascii="Times New Roman" w:hAnsi="Times New Roman" w:cs="Times New Roman" w:eastAsiaTheme="minorEastAsia"/>
              <w:sz w:val="24"/>
              <w:szCs w:val="24"/>
              <w:highlight w:val="none"/>
            </w:rPr>
            <w:fldChar w:fldCharType="end"/>
          </w:r>
          <w:r>
            <w:rPr>
              <w:rFonts w:hint="default" w:ascii="Times New Roman" w:hAnsi="Times New Roman" w:cs="Times New Roman" w:eastAsiaTheme="minorEastAsia"/>
              <w:snapToGrid w:val="0"/>
              <w:sz w:val="24"/>
              <w:szCs w:val="24"/>
              <w:highlight w:val="none"/>
            </w:rPr>
            <w:fldChar w:fldCharType="end"/>
          </w:r>
        </w:p>
        <w:p w14:paraId="2F2B1F72">
          <w:pPr>
            <w:pStyle w:val="44"/>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cs="Times New Roman" w:eastAsiaTheme="minorEastAsia"/>
              <w:sz w:val="24"/>
              <w:szCs w:val="24"/>
              <w:highlight w:val="none"/>
            </w:rPr>
          </w:pPr>
          <w:r>
            <w:rPr>
              <w:rFonts w:hint="default" w:ascii="Times New Roman" w:hAnsi="Times New Roman" w:cs="Times New Roman" w:eastAsiaTheme="minorEastAsia"/>
              <w:snapToGrid w:val="0"/>
              <w:sz w:val="24"/>
              <w:szCs w:val="24"/>
              <w:highlight w:val="none"/>
            </w:rPr>
            <w:fldChar w:fldCharType="begin"/>
          </w:r>
          <w:r>
            <w:rPr>
              <w:rFonts w:hint="default" w:ascii="Times New Roman" w:hAnsi="Times New Roman" w:cs="Times New Roman" w:eastAsiaTheme="minorEastAsia"/>
              <w:snapToGrid w:val="0"/>
              <w:sz w:val="24"/>
              <w:szCs w:val="24"/>
              <w:highlight w:val="none"/>
            </w:rPr>
            <w:instrText xml:space="preserve"> HYPERLINK \l _Toc31672 </w:instrText>
          </w:r>
          <w:r>
            <w:rPr>
              <w:rFonts w:hint="default" w:ascii="Times New Roman" w:hAnsi="Times New Roman" w:cs="Times New Roman" w:eastAsiaTheme="minorEastAsia"/>
              <w:snapToGrid w:val="0"/>
              <w:sz w:val="24"/>
              <w:szCs w:val="24"/>
              <w:highlight w:val="none"/>
            </w:rPr>
            <w:fldChar w:fldCharType="separate"/>
          </w:r>
          <w:r>
            <w:rPr>
              <w:rFonts w:hint="default" w:ascii="Times New Roman" w:hAnsi="Times New Roman" w:cs="Times New Roman" w:eastAsiaTheme="minorEastAsia"/>
              <w:snapToGrid w:val="0"/>
              <w:sz w:val="24"/>
              <w:szCs w:val="24"/>
              <w:highlight w:val="none"/>
            </w:rPr>
            <w:t>四、生态环境影响分析</w:t>
          </w:r>
          <w:r>
            <w:rPr>
              <w:rFonts w:hint="default" w:ascii="Times New Roman" w:hAnsi="Times New Roman" w:cs="Times New Roman" w:eastAsiaTheme="minorEastAsia"/>
              <w:sz w:val="24"/>
              <w:szCs w:val="24"/>
              <w:highlight w:val="none"/>
            </w:rPr>
            <w:tab/>
          </w: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PAGEREF _Toc31672 \h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rPr>
            <w:t>41</w:t>
          </w:r>
          <w:r>
            <w:rPr>
              <w:rFonts w:hint="default" w:ascii="Times New Roman" w:hAnsi="Times New Roman" w:cs="Times New Roman" w:eastAsiaTheme="minorEastAsia"/>
              <w:sz w:val="24"/>
              <w:szCs w:val="24"/>
              <w:highlight w:val="none"/>
            </w:rPr>
            <w:fldChar w:fldCharType="end"/>
          </w:r>
          <w:r>
            <w:rPr>
              <w:rFonts w:hint="default" w:ascii="Times New Roman" w:hAnsi="Times New Roman" w:cs="Times New Roman" w:eastAsiaTheme="minorEastAsia"/>
              <w:snapToGrid w:val="0"/>
              <w:sz w:val="24"/>
              <w:szCs w:val="24"/>
              <w:highlight w:val="none"/>
            </w:rPr>
            <w:fldChar w:fldCharType="end"/>
          </w:r>
        </w:p>
        <w:p w14:paraId="4303FAE2">
          <w:pPr>
            <w:pStyle w:val="44"/>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cs="Times New Roman" w:eastAsiaTheme="minorEastAsia"/>
              <w:sz w:val="24"/>
              <w:szCs w:val="24"/>
              <w:highlight w:val="none"/>
            </w:rPr>
          </w:pPr>
          <w:r>
            <w:rPr>
              <w:rFonts w:hint="default" w:ascii="Times New Roman" w:hAnsi="Times New Roman" w:cs="Times New Roman" w:eastAsiaTheme="minorEastAsia"/>
              <w:snapToGrid w:val="0"/>
              <w:sz w:val="24"/>
              <w:szCs w:val="24"/>
              <w:highlight w:val="none"/>
            </w:rPr>
            <w:fldChar w:fldCharType="begin"/>
          </w:r>
          <w:r>
            <w:rPr>
              <w:rFonts w:hint="default" w:ascii="Times New Roman" w:hAnsi="Times New Roman" w:cs="Times New Roman" w:eastAsiaTheme="minorEastAsia"/>
              <w:snapToGrid w:val="0"/>
              <w:sz w:val="24"/>
              <w:szCs w:val="24"/>
              <w:highlight w:val="none"/>
            </w:rPr>
            <w:instrText xml:space="preserve"> HYPERLINK \l _Toc39 </w:instrText>
          </w:r>
          <w:r>
            <w:rPr>
              <w:rFonts w:hint="default" w:ascii="Times New Roman" w:hAnsi="Times New Roman" w:cs="Times New Roman" w:eastAsiaTheme="minorEastAsia"/>
              <w:snapToGrid w:val="0"/>
              <w:sz w:val="24"/>
              <w:szCs w:val="24"/>
              <w:highlight w:val="none"/>
            </w:rPr>
            <w:fldChar w:fldCharType="separate"/>
          </w:r>
          <w:r>
            <w:rPr>
              <w:rFonts w:hint="default" w:ascii="Times New Roman" w:hAnsi="Times New Roman" w:cs="Times New Roman" w:eastAsiaTheme="minorEastAsia"/>
              <w:snapToGrid w:val="0"/>
              <w:sz w:val="24"/>
              <w:szCs w:val="24"/>
              <w:highlight w:val="none"/>
            </w:rPr>
            <w:t>五、主要生态环境保护措施</w:t>
          </w:r>
          <w:r>
            <w:rPr>
              <w:rFonts w:hint="default" w:ascii="Times New Roman" w:hAnsi="Times New Roman" w:cs="Times New Roman" w:eastAsiaTheme="minorEastAsia"/>
              <w:sz w:val="24"/>
              <w:szCs w:val="24"/>
              <w:highlight w:val="none"/>
            </w:rPr>
            <w:tab/>
          </w: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PAGEREF _Toc39 \h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rPr>
            <w:t>53</w:t>
          </w:r>
          <w:r>
            <w:rPr>
              <w:rFonts w:hint="default" w:ascii="Times New Roman" w:hAnsi="Times New Roman" w:cs="Times New Roman" w:eastAsiaTheme="minorEastAsia"/>
              <w:sz w:val="24"/>
              <w:szCs w:val="24"/>
              <w:highlight w:val="none"/>
            </w:rPr>
            <w:fldChar w:fldCharType="end"/>
          </w:r>
          <w:r>
            <w:rPr>
              <w:rFonts w:hint="default" w:ascii="Times New Roman" w:hAnsi="Times New Roman" w:cs="Times New Roman" w:eastAsiaTheme="minorEastAsia"/>
              <w:snapToGrid w:val="0"/>
              <w:sz w:val="24"/>
              <w:szCs w:val="24"/>
              <w:highlight w:val="none"/>
            </w:rPr>
            <w:fldChar w:fldCharType="end"/>
          </w:r>
        </w:p>
        <w:p w14:paraId="16A85D8F">
          <w:pPr>
            <w:pStyle w:val="44"/>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cs="Times New Roman" w:eastAsiaTheme="minorEastAsia"/>
              <w:sz w:val="24"/>
              <w:szCs w:val="24"/>
              <w:highlight w:val="none"/>
            </w:rPr>
          </w:pPr>
          <w:r>
            <w:rPr>
              <w:rFonts w:hint="default" w:ascii="Times New Roman" w:hAnsi="Times New Roman" w:cs="Times New Roman" w:eastAsiaTheme="minorEastAsia"/>
              <w:snapToGrid w:val="0"/>
              <w:sz w:val="24"/>
              <w:szCs w:val="24"/>
              <w:highlight w:val="none"/>
            </w:rPr>
            <w:fldChar w:fldCharType="begin"/>
          </w:r>
          <w:r>
            <w:rPr>
              <w:rFonts w:hint="default" w:ascii="Times New Roman" w:hAnsi="Times New Roman" w:cs="Times New Roman" w:eastAsiaTheme="minorEastAsia"/>
              <w:snapToGrid w:val="0"/>
              <w:sz w:val="24"/>
              <w:szCs w:val="24"/>
              <w:highlight w:val="none"/>
            </w:rPr>
            <w:instrText xml:space="preserve"> HYPERLINK \l _Toc3721 </w:instrText>
          </w:r>
          <w:r>
            <w:rPr>
              <w:rFonts w:hint="default" w:ascii="Times New Roman" w:hAnsi="Times New Roman" w:cs="Times New Roman" w:eastAsiaTheme="minorEastAsia"/>
              <w:snapToGrid w:val="0"/>
              <w:sz w:val="24"/>
              <w:szCs w:val="24"/>
              <w:highlight w:val="none"/>
            </w:rPr>
            <w:fldChar w:fldCharType="separate"/>
          </w:r>
          <w:r>
            <w:rPr>
              <w:rFonts w:hint="default" w:ascii="Times New Roman" w:hAnsi="Times New Roman" w:cs="Times New Roman" w:eastAsiaTheme="minorEastAsia"/>
              <w:snapToGrid w:val="0"/>
              <w:sz w:val="24"/>
              <w:szCs w:val="24"/>
              <w:highlight w:val="none"/>
            </w:rPr>
            <w:t>六、生态环境保护措施监督检查清单</w:t>
          </w:r>
          <w:r>
            <w:rPr>
              <w:rFonts w:hint="default" w:ascii="Times New Roman" w:hAnsi="Times New Roman" w:cs="Times New Roman" w:eastAsiaTheme="minorEastAsia"/>
              <w:sz w:val="24"/>
              <w:szCs w:val="24"/>
              <w:highlight w:val="none"/>
            </w:rPr>
            <w:tab/>
          </w: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PAGEREF _Toc3721 \h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rPr>
            <w:t>61</w:t>
          </w:r>
          <w:r>
            <w:rPr>
              <w:rFonts w:hint="default" w:ascii="Times New Roman" w:hAnsi="Times New Roman" w:cs="Times New Roman" w:eastAsiaTheme="minorEastAsia"/>
              <w:sz w:val="24"/>
              <w:szCs w:val="24"/>
              <w:highlight w:val="none"/>
            </w:rPr>
            <w:fldChar w:fldCharType="end"/>
          </w:r>
          <w:r>
            <w:rPr>
              <w:rFonts w:hint="default" w:ascii="Times New Roman" w:hAnsi="Times New Roman" w:cs="Times New Roman" w:eastAsiaTheme="minorEastAsia"/>
              <w:snapToGrid w:val="0"/>
              <w:sz w:val="24"/>
              <w:szCs w:val="24"/>
              <w:highlight w:val="none"/>
            </w:rPr>
            <w:fldChar w:fldCharType="end"/>
          </w:r>
        </w:p>
        <w:p w14:paraId="6D4923A4">
          <w:pPr>
            <w:pStyle w:val="44"/>
            <w:keepNext w:val="0"/>
            <w:keepLines w:val="0"/>
            <w:pageBreakBefore w:val="0"/>
            <w:widowControl/>
            <w:tabs>
              <w:tab w:val="right" w:leader="dot" w:pos="8844"/>
            </w:tabs>
            <w:kinsoku/>
            <w:wordWrap/>
            <w:overflowPunct/>
            <w:topLinePunct w:val="0"/>
            <w:autoSpaceDE/>
            <w:autoSpaceDN/>
            <w:bidi w:val="0"/>
            <w:adjustRightInd/>
            <w:snapToGrid/>
            <w:spacing w:line="360" w:lineRule="auto"/>
            <w:textAlignment w:val="auto"/>
            <w:rPr>
              <w:rFonts w:hint="default" w:ascii="Times New Roman" w:hAnsi="Times New Roman" w:cs="Times New Roman" w:eastAsiaTheme="minorEastAsia"/>
              <w:sz w:val="24"/>
              <w:szCs w:val="24"/>
              <w:highlight w:val="none"/>
            </w:rPr>
          </w:pPr>
          <w:r>
            <w:rPr>
              <w:rFonts w:hint="default" w:ascii="Times New Roman" w:hAnsi="Times New Roman" w:cs="Times New Roman" w:eastAsiaTheme="minorEastAsia"/>
              <w:snapToGrid w:val="0"/>
              <w:sz w:val="24"/>
              <w:szCs w:val="24"/>
              <w:highlight w:val="none"/>
            </w:rPr>
            <w:fldChar w:fldCharType="begin"/>
          </w:r>
          <w:r>
            <w:rPr>
              <w:rFonts w:hint="default" w:ascii="Times New Roman" w:hAnsi="Times New Roman" w:cs="Times New Roman" w:eastAsiaTheme="minorEastAsia"/>
              <w:snapToGrid w:val="0"/>
              <w:sz w:val="24"/>
              <w:szCs w:val="24"/>
              <w:highlight w:val="none"/>
            </w:rPr>
            <w:instrText xml:space="preserve"> HYPERLINK \l _Toc23978 </w:instrText>
          </w:r>
          <w:r>
            <w:rPr>
              <w:rFonts w:hint="default" w:ascii="Times New Roman" w:hAnsi="Times New Roman" w:cs="Times New Roman" w:eastAsiaTheme="minorEastAsia"/>
              <w:snapToGrid w:val="0"/>
              <w:sz w:val="24"/>
              <w:szCs w:val="24"/>
              <w:highlight w:val="none"/>
            </w:rPr>
            <w:fldChar w:fldCharType="separate"/>
          </w:r>
          <w:r>
            <w:rPr>
              <w:rFonts w:hint="default" w:ascii="Times New Roman" w:hAnsi="Times New Roman" w:cs="Times New Roman" w:eastAsiaTheme="minorEastAsia"/>
              <w:snapToGrid w:val="0"/>
              <w:sz w:val="24"/>
              <w:szCs w:val="24"/>
              <w:highlight w:val="none"/>
            </w:rPr>
            <w:t>七、结论</w:t>
          </w:r>
          <w:r>
            <w:rPr>
              <w:rFonts w:hint="default" w:ascii="Times New Roman" w:hAnsi="Times New Roman" w:cs="Times New Roman" w:eastAsiaTheme="minorEastAsia"/>
              <w:sz w:val="24"/>
              <w:szCs w:val="24"/>
              <w:highlight w:val="none"/>
            </w:rPr>
            <w:tab/>
          </w:r>
          <w:r>
            <w:rPr>
              <w:rFonts w:hint="default" w:ascii="Times New Roman" w:hAnsi="Times New Roman" w:cs="Times New Roman" w:eastAsiaTheme="minorEastAsia"/>
              <w:sz w:val="24"/>
              <w:szCs w:val="24"/>
              <w:highlight w:val="none"/>
            </w:rPr>
            <w:fldChar w:fldCharType="begin"/>
          </w:r>
          <w:r>
            <w:rPr>
              <w:rFonts w:hint="default" w:ascii="Times New Roman" w:hAnsi="Times New Roman" w:cs="Times New Roman" w:eastAsiaTheme="minorEastAsia"/>
              <w:sz w:val="24"/>
              <w:szCs w:val="24"/>
              <w:highlight w:val="none"/>
            </w:rPr>
            <w:instrText xml:space="preserve"> PAGEREF _Toc23978 \h </w:instrText>
          </w:r>
          <w:r>
            <w:rPr>
              <w:rFonts w:hint="default" w:ascii="Times New Roman" w:hAnsi="Times New Roman" w:cs="Times New Roman" w:eastAsiaTheme="minorEastAsia"/>
              <w:sz w:val="24"/>
              <w:szCs w:val="24"/>
              <w:highlight w:val="none"/>
            </w:rPr>
            <w:fldChar w:fldCharType="separate"/>
          </w:r>
          <w:r>
            <w:rPr>
              <w:rFonts w:hint="default" w:ascii="Times New Roman" w:hAnsi="Times New Roman" w:cs="Times New Roman" w:eastAsiaTheme="minorEastAsia"/>
              <w:sz w:val="24"/>
              <w:szCs w:val="24"/>
              <w:highlight w:val="none"/>
            </w:rPr>
            <w:t>63</w:t>
          </w:r>
          <w:r>
            <w:rPr>
              <w:rFonts w:hint="default" w:ascii="Times New Roman" w:hAnsi="Times New Roman" w:cs="Times New Roman" w:eastAsiaTheme="minorEastAsia"/>
              <w:sz w:val="24"/>
              <w:szCs w:val="24"/>
              <w:highlight w:val="none"/>
            </w:rPr>
            <w:fldChar w:fldCharType="end"/>
          </w:r>
          <w:r>
            <w:rPr>
              <w:rFonts w:hint="default" w:ascii="Times New Roman" w:hAnsi="Times New Roman" w:cs="Times New Roman" w:eastAsiaTheme="minorEastAsia"/>
              <w:snapToGrid w:val="0"/>
              <w:sz w:val="24"/>
              <w:szCs w:val="24"/>
              <w:highlight w:val="none"/>
            </w:rPr>
            <w:fldChar w:fldCharType="end"/>
          </w:r>
        </w:p>
        <w:p w14:paraId="4B4445DB">
          <w:pPr>
            <w:pStyle w:val="15"/>
            <w:jc w:val="center"/>
            <w:outlineLvl w:val="9"/>
            <w:rPr>
              <w:rFonts w:hint="eastAsia" w:ascii="黑体" w:hAnsi="黑体" w:eastAsia="黑体"/>
              <w:snapToGrid w:val="0"/>
              <w:sz w:val="30"/>
              <w:szCs w:val="30"/>
              <w:highlight w:val="none"/>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r>
            <w:rPr>
              <w:rFonts w:hint="default" w:ascii="Times New Roman" w:hAnsi="Times New Roman" w:cs="Times New Roman" w:eastAsiaTheme="minorEastAsia"/>
              <w:snapToGrid w:val="0"/>
              <w:sz w:val="24"/>
              <w:szCs w:val="24"/>
              <w:highlight w:val="none"/>
            </w:rPr>
            <w:fldChar w:fldCharType="end"/>
          </w:r>
        </w:p>
      </w:sdtContent>
    </w:sdt>
    <w:p w14:paraId="14907F78">
      <w:pPr>
        <w:pStyle w:val="15"/>
        <w:jc w:val="center"/>
        <w:outlineLvl w:val="0"/>
        <w:rPr>
          <w:rFonts w:ascii="黑体" w:hAnsi="黑体" w:eastAsia="黑体"/>
          <w:snapToGrid w:val="0"/>
          <w:sz w:val="30"/>
          <w:szCs w:val="30"/>
          <w:highlight w:val="none"/>
        </w:rPr>
      </w:pPr>
      <w:bookmarkStart w:id="4" w:name="_Toc5151"/>
      <w:r>
        <w:rPr>
          <w:rFonts w:hint="eastAsia" w:ascii="黑体" w:hAnsi="黑体" w:eastAsia="黑体"/>
          <w:snapToGrid w:val="0"/>
          <w:sz w:val="30"/>
          <w:szCs w:val="30"/>
          <w:highlight w:val="none"/>
        </w:rPr>
        <w:t>一、建设项目基本情况</w:t>
      </w:r>
      <w:bookmarkEnd w:id="4"/>
    </w:p>
    <w:tbl>
      <w:tblPr>
        <w:tblStyle w:val="18"/>
        <w:tblW w:w="9519" w:type="dxa"/>
        <w:tblInd w:w="-328"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118"/>
        <w:gridCol w:w="3461"/>
        <w:gridCol w:w="2202"/>
        <w:gridCol w:w="10"/>
        <w:gridCol w:w="2728"/>
      </w:tblGrid>
      <w:tr w14:paraId="5F72F3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118" w:type="dxa"/>
            <w:noWrap w:val="0"/>
            <w:tcMar>
              <w:top w:w="16" w:type="dxa"/>
              <w:left w:w="16" w:type="dxa"/>
              <w:right w:w="16" w:type="dxa"/>
            </w:tcMar>
            <w:vAlign w:val="center"/>
          </w:tcPr>
          <w:p w14:paraId="449C9BCC">
            <w:pPr>
              <w:adjustRightInd w:val="0"/>
              <w:snapToGrid w:val="0"/>
              <w:jc w:val="center"/>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建设项目名称</w:t>
            </w:r>
          </w:p>
        </w:tc>
        <w:tc>
          <w:tcPr>
            <w:tcW w:w="8401" w:type="dxa"/>
            <w:gridSpan w:val="4"/>
            <w:noWrap w:val="0"/>
            <w:vAlign w:val="center"/>
          </w:tcPr>
          <w:p w14:paraId="73ACC55B">
            <w:pPr>
              <w:adjustRightInd w:val="0"/>
              <w:snapToGrid w:val="0"/>
              <w:jc w:val="center"/>
              <w:rPr>
                <w:rFonts w:hint="default" w:ascii="Times New Roman" w:hAnsi="Times New Roman" w:eastAsia="宋体" w:cs="Times New Roman"/>
                <w:sz w:val="24"/>
                <w:szCs w:val="24"/>
                <w:highlight w:val="none"/>
                <w:lang w:eastAsia="zh-CN"/>
              </w:rPr>
            </w:pPr>
            <w:r>
              <w:rPr>
                <w:rFonts w:hint="eastAsia" w:asciiTheme="minorEastAsia" w:hAnsiTheme="minorEastAsia" w:eastAsiaTheme="minorEastAsia" w:cstheme="minorEastAsia"/>
                <w:b w:val="0"/>
                <w:bCs w:val="0"/>
                <w:color w:val="000000"/>
                <w:sz w:val="24"/>
                <w:szCs w:val="24"/>
                <w:highlight w:val="none"/>
              </w:rPr>
              <w:t>安阳市殷都区老万金渠内河向外河排涝通道建设项目</w:t>
            </w:r>
          </w:p>
        </w:tc>
      </w:tr>
      <w:tr w14:paraId="432212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118" w:type="dxa"/>
            <w:noWrap w:val="0"/>
            <w:tcMar>
              <w:top w:w="16" w:type="dxa"/>
              <w:left w:w="16" w:type="dxa"/>
              <w:right w:w="16" w:type="dxa"/>
            </w:tcMar>
            <w:vAlign w:val="center"/>
          </w:tcPr>
          <w:p w14:paraId="20CD82B3">
            <w:pPr>
              <w:adjustRightInd w:val="0"/>
              <w:snapToGrid w:val="0"/>
              <w:jc w:val="center"/>
              <w:rPr>
                <w:rFonts w:hint="default" w:ascii="Times New Roman" w:hAnsi="Times New Roman" w:cs="Times New Roman"/>
                <w:sz w:val="24"/>
                <w:szCs w:val="24"/>
                <w:highlight w:val="none"/>
              </w:rPr>
            </w:pPr>
            <w:r>
              <w:rPr>
                <w:rFonts w:hint="default" w:ascii="Times New Roman" w:hAnsi="Times New Roman" w:cs="Times New Roman"/>
                <w:b w:val="0"/>
                <w:bCs w:val="0"/>
                <w:sz w:val="24"/>
                <w:szCs w:val="24"/>
                <w:highlight w:val="none"/>
              </w:rPr>
              <w:t>项目代码</w:t>
            </w:r>
          </w:p>
        </w:tc>
        <w:tc>
          <w:tcPr>
            <w:tcW w:w="8401" w:type="dxa"/>
            <w:gridSpan w:val="4"/>
            <w:noWrap w:val="0"/>
            <w:vAlign w:val="center"/>
          </w:tcPr>
          <w:p w14:paraId="336462CA">
            <w:pPr>
              <w:adjustRightInd w:val="0"/>
              <w:snapToGrid w:val="0"/>
              <w:jc w:val="center"/>
              <w:rPr>
                <w:rFonts w:hint="default" w:ascii="Times New Roman" w:hAnsi="Times New Roman" w:eastAsia="宋体" w:cs="Times New Roman"/>
                <w:sz w:val="24"/>
                <w:szCs w:val="24"/>
                <w:highlight w:val="none"/>
                <w:lang w:val="en-US" w:eastAsia="zh-CN"/>
              </w:rPr>
            </w:pPr>
            <w:r>
              <w:rPr>
                <w:rFonts w:hint="eastAsia" w:cs="Times New Roman"/>
                <w:sz w:val="24"/>
                <w:szCs w:val="24"/>
                <w:highlight w:val="none"/>
                <w:lang w:val="en-US" w:eastAsia="zh-CN"/>
              </w:rPr>
              <w:t>2404-410505-04-05-887758</w:t>
            </w:r>
          </w:p>
        </w:tc>
      </w:tr>
      <w:tr w14:paraId="0CF89D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118" w:type="dxa"/>
            <w:noWrap w:val="0"/>
            <w:tcMar>
              <w:top w:w="16" w:type="dxa"/>
              <w:left w:w="16" w:type="dxa"/>
              <w:right w:w="16" w:type="dxa"/>
            </w:tcMar>
            <w:vAlign w:val="center"/>
          </w:tcPr>
          <w:p w14:paraId="4CC2CED4">
            <w:pPr>
              <w:adjustRightInd w:val="0"/>
              <w:snapToGrid w:val="0"/>
              <w:jc w:val="center"/>
              <w:rPr>
                <w:rFonts w:hint="default" w:ascii="Times New Roman" w:hAnsi="Times New Roman" w:cs="Times New Roman"/>
                <w:sz w:val="24"/>
                <w:szCs w:val="24"/>
                <w:highlight w:val="none"/>
              </w:rPr>
            </w:pPr>
            <w:r>
              <w:rPr>
                <w:rFonts w:hint="default" w:ascii="Times New Roman" w:hAnsi="Times New Roman" w:cs="Times New Roman"/>
                <w:b w:val="0"/>
                <w:bCs w:val="0"/>
                <w:sz w:val="24"/>
                <w:szCs w:val="24"/>
                <w:highlight w:val="none"/>
              </w:rPr>
              <w:t>建设单位联系人</w:t>
            </w:r>
          </w:p>
        </w:tc>
        <w:tc>
          <w:tcPr>
            <w:tcW w:w="3461" w:type="dxa"/>
            <w:noWrap w:val="0"/>
            <w:vAlign w:val="center"/>
          </w:tcPr>
          <w:p w14:paraId="67C035AC">
            <w:pPr>
              <w:adjustRightInd w:val="0"/>
              <w:snapToGrid w:val="0"/>
              <w:jc w:val="center"/>
              <w:rPr>
                <w:rFonts w:hint="eastAsia" w:ascii="Times New Roman" w:hAnsi="Times New Roman" w:eastAsia="宋体" w:cs="Times New Roman"/>
                <w:sz w:val="24"/>
                <w:szCs w:val="24"/>
                <w:highlight w:val="none"/>
                <w:lang w:eastAsia="zh-CN"/>
              </w:rPr>
            </w:pPr>
            <w:r>
              <w:rPr>
                <w:rFonts w:hint="eastAsia" w:cs="Times New Roman"/>
                <w:sz w:val="24"/>
                <w:szCs w:val="24"/>
                <w:highlight w:val="none"/>
                <w:lang w:eastAsia="zh-CN"/>
              </w:rPr>
              <w:t>陈友随</w:t>
            </w:r>
          </w:p>
        </w:tc>
        <w:tc>
          <w:tcPr>
            <w:tcW w:w="2212" w:type="dxa"/>
            <w:gridSpan w:val="2"/>
            <w:noWrap w:val="0"/>
            <w:vAlign w:val="center"/>
          </w:tcPr>
          <w:p w14:paraId="265EC159">
            <w:pPr>
              <w:adjustRightInd w:val="0"/>
              <w:snapToGrid w:val="0"/>
              <w:jc w:val="center"/>
              <w:rPr>
                <w:rFonts w:hint="default" w:ascii="Times New Roman" w:hAnsi="Times New Roman" w:cs="Times New Roman"/>
                <w:sz w:val="24"/>
                <w:szCs w:val="24"/>
                <w:highlight w:val="none"/>
              </w:rPr>
            </w:pPr>
            <w:r>
              <w:rPr>
                <w:rFonts w:hint="default" w:ascii="Times New Roman" w:hAnsi="Times New Roman" w:cs="Times New Roman"/>
                <w:b w:val="0"/>
                <w:bCs w:val="0"/>
                <w:sz w:val="24"/>
                <w:szCs w:val="24"/>
                <w:highlight w:val="none"/>
              </w:rPr>
              <w:t>联系方式</w:t>
            </w:r>
          </w:p>
        </w:tc>
        <w:tc>
          <w:tcPr>
            <w:tcW w:w="2728" w:type="dxa"/>
            <w:noWrap w:val="0"/>
            <w:vAlign w:val="center"/>
          </w:tcPr>
          <w:p w14:paraId="6DAECEE0">
            <w:pPr>
              <w:adjustRightInd w:val="0"/>
              <w:snapToGrid w:val="0"/>
              <w:jc w:val="center"/>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15836353677</w:t>
            </w:r>
          </w:p>
        </w:tc>
      </w:tr>
      <w:tr w14:paraId="019C59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118" w:type="dxa"/>
            <w:noWrap w:val="0"/>
            <w:tcMar>
              <w:top w:w="16" w:type="dxa"/>
              <w:left w:w="16" w:type="dxa"/>
              <w:right w:w="16" w:type="dxa"/>
            </w:tcMar>
            <w:vAlign w:val="center"/>
          </w:tcPr>
          <w:p w14:paraId="342DFA65">
            <w:pPr>
              <w:adjustRightInd w:val="0"/>
              <w:snapToGrid w:val="0"/>
              <w:jc w:val="center"/>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建设地点</w:t>
            </w:r>
          </w:p>
        </w:tc>
        <w:tc>
          <w:tcPr>
            <w:tcW w:w="8401" w:type="dxa"/>
            <w:gridSpan w:val="4"/>
            <w:noWrap w:val="0"/>
            <w:vAlign w:val="center"/>
          </w:tcPr>
          <w:p w14:paraId="5D3FDCCE">
            <w:pPr>
              <w:adjustRightInd w:val="0"/>
              <w:snapToGrid w:val="0"/>
              <w:jc w:val="center"/>
              <w:rPr>
                <w:rFonts w:hint="default" w:ascii="Times New Roman" w:hAnsi="Times New Roman" w:cs="Times New Roman"/>
                <w:sz w:val="24"/>
                <w:szCs w:val="24"/>
                <w:highlight w:val="none"/>
              </w:rPr>
            </w:pPr>
            <w:r>
              <w:rPr>
                <w:rFonts w:hint="eastAsia" w:ascii="宋体" w:hAnsi="宋体" w:eastAsia="宋体" w:cs="宋体"/>
                <w:b w:val="0"/>
                <w:bCs w:val="0"/>
                <w:color w:val="000000"/>
                <w:sz w:val="24"/>
                <w:szCs w:val="24"/>
                <w:highlight w:val="none"/>
              </w:rPr>
              <w:t>安阳市殷都区老万金渠曲沟段、胜利渠武旺段、胜利渠西夏寒段、胜利渠跨金线河段</w:t>
            </w:r>
          </w:p>
        </w:tc>
      </w:tr>
      <w:tr w14:paraId="469EC5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213" w:hRule="atLeast"/>
        </w:trPr>
        <w:tc>
          <w:tcPr>
            <w:tcW w:w="1118" w:type="dxa"/>
            <w:noWrap w:val="0"/>
            <w:tcMar>
              <w:top w:w="16" w:type="dxa"/>
              <w:left w:w="16" w:type="dxa"/>
              <w:right w:w="16" w:type="dxa"/>
            </w:tcMar>
            <w:vAlign w:val="center"/>
          </w:tcPr>
          <w:p w14:paraId="28EB2583">
            <w:pPr>
              <w:adjustRightInd w:val="0"/>
              <w:snapToGrid w:val="0"/>
              <w:jc w:val="center"/>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地理坐标</w:t>
            </w:r>
          </w:p>
        </w:tc>
        <w:tc>
          <w:tcPr>
            <w:tcW w:w="8401" w:type="dxa"/>
            <w:gridSpan w:val="4"/>
            <w:noWrap w:val="0"/>
            <w:vAlign w:val="center"/>
          </w:tcPr>
          <w:p w14:paraId="6DEB6818">
            <w:pPr>
              <w:keepLines w:val="0"/>
              <w:pageBreakBefore w:val="0"/>
              <w:widowControl w:val="0"/>
              <w:kinsoku/>
              <w:wordWrap/>
              <w:topLinePunct w:val="0"/>
              <w:autoSpaceDE/>
              <w:autoSpaceDN/>
              <w:bidi w:val="0"/>
              <w:adjustRightInd w:val="0"/>
              <w:snapToGrid w:val="0"/>
              <w:spacing w:line="240" w:lineRule="auto"/>
              <w:ind w:firstLine="480" w:firstLineChars="200"/>
              <w:jc w:val="both"/>
              <w:textAlignment w:val="auto"/>
              <w:rPr>
                <w:rFonts w:hint="eastAsia" w:ascii="宋体" w:hAnsi="宋体" w:eastAsia="宋体" w:cs="宋体"/>
                <w:b w:val="0"/>
                <w:bCs w:val="0"/>
                <w:color w:val="000000"/>
                <w:sz w:val="24"/>
                <w:szCs w:val="24"/>
                <w:highlight w:val="none"/>
                <w:lang w:eastAsia="zh-CN"/>
              </w:rPr>
            </w:pPr>
            <w:r>
              <w:rPr>
                <w:rFonts w:hint="eastAsia" w:ascii="宋体" w:hAnsi="宋体" w:eastAsia="宋体" w:cs="宋体"/>
                <w:b w:val="0"/>
                <w:bCs w:val="0"/>
                <w:color w:val="000000"/>
                <w:sz w:val="24"/>
                <w:szCs w:val="24"/>
                <w:highlight w:val="none"/>
              </w:rPr>
              <w:t>安阳市殷都区老万金渠曲沟段</w:t>
            </w:r>
            <w:r>
              <w:rPr>
                <w:rFonts w:hint="eastAsia" w:ascii="宋体" w:hAnsi="宋体" w:eastAsia="宋体" w:cs="宋体"/>
                <w:b w:val="0"/>
                <w:bCs w:val="0"/>
                <w:color w:val="000000"/>
                <w:sz w:val="24"/>
                <w:szCs w:val="24"/>
                <w:highlight w:val="none"/>
                <w:lang w:eastAsia="zh-CN"/>
              </w:rPr>
              <w:t>：</w:t>
            </w:r>
          </w:p>
          <w:p w14:paraId="5685EB1E">
            <w:pPr>
              <w:keepLines w:val="0"/>
              <w:pageBreakBefore w:val="0"/>
              <w:widowControl w:val="0"/>
              <w:kinsoku/>
              <w:wordWrap/>
              <w:topLinePunct w:val="0"/>
              <w:autoSpaceDE/>
              <w:autoSpaceDN/>
              <w:bidi w:val="0"/>
              <w:adjustRightInd w:val="0"/>
              <w:snapToGrid w:val="0"/>
              <w:spacing w:line="240" w:lineRule="auto"/>
              <w:jc w:val="center"/>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eastAsia="zh-CN"/>
              </w:rPr>
              <w:t>治理起点：</w:t>
            </w:r>
            <w:r>
              <w:rPr>
                <w:rFonts w:hint="default" w:ascii="Times New Roman" w:hAnsi="Times New Roman" w:cs="Times New Roman"/>
                <w:sz w:val="24"/>
                <w:szCs w:val="24"/>
                <w:highlight w:val="none"/>
                <w:lang w:val="en-US" w:eastAsia="zh-CN"/>
              </w:rPr>
              <w:t>11</w:t>
            </w:r>
            <w:r>
              <w:rPr>
                <w:rFonts w:hint="eastAsia" w:cs="Times New Roman"/>
                <w:sz w:val="24"/>
                <w:szCs w:val="24"/>
                <w:highlight w:val="none"/>
                <w:lang w:val="en-US" w:eastAsia="zh-CN"/>
              </w:rPr>
              <w:t>4</w:t>
            </w:r>
            <w:r>
              <w:rPr>
                <w:rFonts w:hint="default" w:ascii="Times New Roman" w:hAnsi="Times New Roman" w:cs="Times New Roman"/>
                <w:sz w:val="24"/>
                <w:szCs w:val="24"/>
                <w:highlight w:val="none"/>
                <w:lang w:val="en-US" w:eastAsia="zh-CN"/>
              </w:rPr>
              <w:t>°</w:t>
            </w:r>
            <w:r>
              <w:rPr>
                <w:rFonts w:hint="eastAsia" w:cs="Times New Roman"/>
                <w:sz w:val="24"/>
                <w:szCs w:val="24"/>
                <w:highlight w:val="none"/>
                <w:lang w:val="en-US" w:eastAsia="zh-CN"/>
              </w:rPr>
              <w:t>12</w:t>
            </w:r>
            <w:r>
              <w:rPr>
                <w:rFonts w:hint="default" w:ascii="Times New Roman" w:hAnsi="Times New Roman" w:cs="Times New Roman"/>
                <w:sz w:val="24"/>
                <w:szCs w:val="24"/>
                <w:highlight w:val="none"/>
                <w:lang w:val="en-US" w:eastAsia="zh-CN"/>
              </w:rPr>
              <w:t>′</w:t>
            </w:r>
            <w:r>
              <w:rPr>
                <w:rFonts w:hint="eastAsia" w:cs="Times New Roman"/>
                <w:sz w:val="24"/>
                <w:szCs w:val="24"/>
                <w:highlight w:val="none"/>
                <w:lang w:val="en-US" w:eastAsia="zh-CN"/>
              </w:rPr>
              <w:t>21.317</w:t>
            </w:r>
            <w:r>
              <w:rPr>
                <w:rFonts w:hint="default" w:ascii="Times New Roman" w:hAnsi="Times New Roman" w:eastAsia="宋体" w:cs="Times New Roman"/>
                <w:b w:val="0"/>
                <w:bCs w:val="0"/>
                <w:sz w:val="24"/>
                <w:szCs w:val="24"/>
                <w:highlight w:val="none"/>
                <w:lang w:val="en-US" w:eastAsia="zh-CN"/>
              </w:rPr>
              <w:t>″</w:t>
            </w:r>
            <w:r>
              <w:rPr>
                <w:rFonts w:hint="eastAsia" w:cs="Times New Roman"/>
                <w:sz w:val="24"/>
                <w:szCs w:val="24"/>
                <w:highlight w:val="none"/>
                <w:lang w:val="en-US" w:eastAsia="zh-CN"/>
              </w:rPr>
              <w:t>E</w:t>
            </w:r>
            <w:r>
              <w:rPr>
                <w:rFonts w:hint="default" w:ascii="Times New Roman" w:hAnsi="Times New Roman" w:cs="Times New Roman"/>
                <w:sz w:val="24"/>
                <w:szCs w:val="24"/>
                <w:highlight w:val="none"/>
                <w:lang w:val="en-US" w:eastAsia="zh-CN"/>
              </w:rPr>
              <w:t>，36°</w:t>
            </w:r>
            <w:r>
              <w:rPr>
                <w:rFonts w:hint="eastAsia" w:cs="Times New Roman"/>
                <w:sz w:val="24"/>
                <w:szCs w:val="24"/>
                <w:highlight w:val="none"/>
                <w:lang w:val="en-US" w:eastAsia="zh-CN"/>
              </w:rPr>
              <w:t>6</w:t>
            </w:r>
            <w:r>
              <w:rPr>
                <w:rFonts w:hint="default" w:ascii="Times New Roman" w:hAnsi="Times New Roman" w:cs="Times New Roman"/>
                <w:sz w:val="24"/>
                <w:szCs w:val="24"/>
                <w:highlight w:val="none"/>
                <w:lang w:val="en-US" w:eastAsia="zh-CN"/>
              </w:rPr>
              <w:t>′4</w:t>
            </w:r>
            <w:r>
              <w:rPr>
                <w:rFonts w:hint="eastAsia" w:cs="Times New Roman"/>
                <w:sz w:val="24"/>
                <w:szCs w:val="24"/>
                <w:highlight w:val="none"/>
                <w:lang w:val="en-US" w:eastAsia="zh-CN"/>
              </w:rPr>
              <w:t>4.829</w:t>
            </w:r>
            <w:r>
              <w:rPr>
                <w:rFonts w:hint="default" w:ascii="Times New Roman" w:hAnsi="Times New Roman" w:cs="Times New Roman"/>
                <w:sz w:val="24"/>
                <w:szCs w:val="24"/>
                <w:highlight w:val="none"/>
                <w:lang w:val="en-US" w:eastAsia="zh-CN"/>
              </w:rPr>
              <w:t>″</w:t>
            </w:r>
            <w:r>
              <w:rPr>
                <w:rFonts w:hint="eastAsia" w:cs="Times New Roman"/>
                <w:sz w:val="24"/>
                <w:szCs w:val="24"/>
                <w:highlight w:val="none"/>
                <w:lang w:val="en-US" w:eastAsia="zh-CN"/>
              </w:rPr>
              <w:t>N</w:t>
            </w:r>
          </w:p>
          <w:p w14:paraId="54287F74">
            <w:pPr>
              <w:keepLines w:val="0"/>
              <w:pageBreakBefore w:val="0"/>
              <w:widowControl w:val="0"/>
              <w:kinsoku/>
              <w:wordWrap/>
              <w:topLinePunct w:val="0"/>
              <w:autoSpaceDE/>
              <w:autoSpaceDN/>
              <w:bidi w:val="0"/>
              <w:adjustRightInd w:val="0"/>
              <w:snapToGrid w:val="0"/>
              <w:spacing w:line="240" w:lineRule="auto"/>
              <w:jc w:val="center"/>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治理终点：11</w:t>
            </w:r>
            <w:r>
              <w:rPr>
                <w:rFonts w:hint="eastAsia" w:cs="Times New Roman"/>
                <w:sz w:val="24"/>
                <w:szCs w:val="24"/>
                <w:highlight w:val="none"/>
                <w:lang w:val="en-US" w:eastAsia="zh-CN"/>
              </w:rPr>
              <w:t>4</w:t>
            </w:r>
            <w:r>
              <w:rPr>
                <w:rFonts w:hint="default" w:ascii="Times New Roman" w:hAnsi="Times New Roman" w:cs="Times New Roman"/>
                <w:sz w:val="24"/>
                <w:szCs w:val="24"/>
                <w:highlight w:val="none"/>
                <w:lang w:val="en-US" w:eastAsia="zh-CN"/>
              </w:rPr>
              <w:t>°</w:t>
            </w:r>
            <w:r>
              <w:rPr>
                <w:rFonts w:hint="eastAsia" w:cs="Times New Roman"/>
                <w:sz w:val="24"/>
                <w:szCs w:val="24"/>
                <w:highlight w:val="none"/>
                <w:lang w:val="en-US" w:eastAsia="zh-CN"/>
              </w:rPr>
              <w:t>11</w:t>
            </w:r>
            <w:r>
              <w:rPr>
                <w:rFonts w:hint="default" w:ascii="Times New Roman" w:hAnsi="Times New Roman" w:cs="Times New Roman"/>
                <w:sz w:val="24"/>
                <w:szCs w:val="24"/>
                <w:highlight w:val="none"/>
                <w:lang w:val="en-US" w:eastAsia="zh-CN"/>
              </w:rPr>
              <w:t>′</w:t>
            </w:r>
            <w:r>
              <w:rPr>
                <w:rFonts w:hint="eastAsia" w:cs="Times New Roman"/>
                <w:sz w:val="24"/>
                <w:szCs w:val="24"/>
                <w:highlight w:val="none"/>
                <w:lang w:val="en-US" w:eastAsia="zh-CN"/>
              </w:rPr>
              <w:t>28.171</w:t>
            </w:r>
            <w:r>
              <w:rPr>
                <w:rFonts w:hint="default" w:ascii="Times New Roman" w:hAnsi="Times New Roman" w:eastAsia="宋体" w:cs="Times New Roman"/>
                <w:b w:val="0"/>
                <w:bCs w:val="0"/>
                <w:sz w:val="24"/>
                <w:szCs w:val="24"/>
                <w:highlight w:val="none"/>
                <w:lang w:val="en-US" w:eastAsia="zh-CN"/>
              </w:rPr>
              <w:t>″</w:t>
            </w:r>
            <w:r>
              <w:rPr>
                <w:rFonts w:hint="eastAsia" w:cs="Times New Roman"/>
                <w:sz w:val="24"/>
                <w:szCs w:val="24"/>
                <w:highlight w:val="none"/>
                <w:lang w:val="en-US" w:eastAsia="zh-CN"/>
              </w:rPr>
              <w:t>E</w:t>
            </w:r>
            <w:r>
              <w:rPr>
                <w:rFonts w:hint="default" w:ascii="Times New Roman" w:hAnsi="Times New Roman" w:cs="Times New Roman"/>
                <w:sz w:val="24"/>
                <w:szCs w:val="24"/>
                <w:highlight w:val="none"/>
                <w:lang w:val="en-US" w:eastAsia="zh-CN"/>
              </w:rPr>
              <w:t>，36°</w:t>
            </w:r>
            <w:r>
              <w:rPr>
                <w:rFonts w:hint="eastAsia" w:cs="Times New Roman"/>
                <w:sz w:val="24"/>
                <w:szCs w:val="24"/>
                <w:highlight w:val="none"/>
                <w:lang w:val="en-US" w:eastAsia="zh-CN"/>
              </w:rPr>
              <w:t>7</w:t>
            </w:r>
            <w:r>
              <w:rPr>
                <w:rFonts w:hint="default" w:ascii="Times New Roman" w:hAnsi="Times New Roman" w:cs="Times New Roman"/>
                <w:sz w:val="24"/>
                <w:szCs w:val="24"/>
                <w:highlight w:val="none"/>
                <w:lang w:val="en-US" w:eastAsia="zh-CN"/>
              </w:rPr>
              <w:t>′</w:t>
            </w:r>
            <w:r>
              <w:rPr>
                <w:rFonts w:hint="eastAsia" w:cs="Times New Roman"/>
                <w:sz w:val="24"/>
                <w:szCs w:val="24"/>
                <w:highlight w:val="none"/>
                <w:lang w:val="en-US" w:eastAsia="zh-CN"/>
              </w:rPr>
              <w:t>7.540</w:t>
            </w:r>
            <w:r>
              <w:rPr>
                <w:rFonts w:hint="default" w:ascii="Times New Roman" w:hAnsi="Times New Roman" w:cs="Times New Roman"/>
                <w:sz w:val="24"/>
                <w:szCs w:val="24"/>
                <w:highlight w:val="none"/>
                <w:lang w:val="en-US" w:eastAsia="zh-CN"/>
              </w:rPr>
              <w:t>″</w:t>
            </w:r>
            <w:r>
              <w:rPr>
                <w:rFonts w:hint="eastAsia" w:cs="Times New Roman"/>
                <w:sz w:val="24"/>
                <w:szCs w:val="24"/>
                <w:highlight w:val="none"/>
                <w:lang w:val="en-US" w:eastAsia="zh-CN"/>
              </w:rPr>
              <w:t>N</w:t>
            </w:r>
          </w:p>
          <w:p w14:paraId="5511183A">
            <w:pPr>
              <w:keepLines w:val="0"/>
              <w:pageBreakBefore w:val="0"/>
              <w:widowControl w:val="0"/>
              <w:kinsoku/>
              <w:wordWrap/>
              <w:topLinePunct w:val="0"/>
              <w:autoSpaceDE/>
              <w:autoSpaceDN/>
              <w:bidi w:val="0"/>
              <w:adjustRightInd w:val="0"/>
              <w:snapToGrid w:val="0"/>
              <w:spacing w:line="240" w:lineRule="auto"/>
              <w:ind w:firstLine="480" w:firstLineChars="200"/>
              <w:jc w:val="both"/>
              <w:textAlignment w:val="auto"/>
              <w:rPr>
                <w:rFonts w:hint="eastAsia" w:ascii="宋体" w:hAnsi="宋体" w:eastAsia="宋体" w:cs="宋体"/>
                <w:b w:val="0"/>
                <w:bCs w:val="0"/>
                <w:color w:val="000000"/>
                <w:sz w:val="24"/>
                <w:szCs w:val="24"/>
                <w:highlight w:val="none"/>
                <w:lang w:eastAsia="zh-CN"/>
              </w:rPr>
            </w:pPr>
            <w:r>
              <w:rPr>
                <w:rFonts w:hint="eastAsia" w:ascii="宋体" w:hAnsi="宋体" w:eastAsia="宋体" w:cs="宋体"/>
                <w:b w:val="0"/>
                <w:bCs w:val="0"/>
                <w:color w:val="000000"/>
                <w:sz w:val="24"/>
                <w:szCs w:val="24"/>
                <w:highlight w:val="none"/>
              </w:rPr>
              <w:t>胜利渠武旺段</w:t>
            </w:r>
            <w:r>
              <w:rPr>
                <w:rFonts w:hint="eastAsia" w:ascii="宋体" w:hAnsi="宋体" w:eastAsia="宋体" w:cs="宋体"/>
                <w:b w:val="0"/>
                <w:bCs w:val="0"/>
                <w:color w:val="000000"/>
                <w:sz w:val="24"/>
                <w:szCs w:val="24"/>
                <w:highlight w:val="none"/>
                <w:lang w:eastAsia="zh-CN"/>
              </w:rPr>
              <w:t>：</w:t>
            </w:r>
          </w:p>
          <w:p w14:paraId="7E299453">
            <w:pPr>
              <w:keepLines w:val="0"/>
              <w:pageBreakBefore w:val="0"/>
              <w:widowControl w:val="0"/>
              <w:kinsoku/>
              <w:wordWrap/>
              <w:topLinePunct w:val="0"/>
              <w:autoSpaceDE/>
              <w:autoSpaceDN/>
              <w:bidi w:val="0"/>
              <w:adjustRightInd w:val="0"/>
              <w:snapToGrid w:val="0"/>
              <w:spacing w:line="240" w:lineRule="auto"/>
              <w:jc w:val="center"/>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eastAsia="zh-CN"/>
              </w:rPr>
              <w:t>治理起点：</w:t>
            </w:r>
            <w:r>
              <w:rPr>
                <w:rFonts w:hint="default" w:ascii="Times New Roman" w:hAnsi="Times New Roman" w:cs="Times New Roman"/>
                <w:sz w:val="24"/>
                <w:szCs w:val="24"/>
                <w:highlight w:val="none"/>
                <w:lang w:val="en-US" w:eastAsia="zh-CN"/>
              </w:rPr>
              <w:t>11</w:t>
            </w:r>
            <w:r>
              <w:rPr>
                <w:rFonts w:hint="eastAsia" w:ascii="Times New Roman" w:hAnsi="Times New Roman" w:cs="Times New Roman"/>
                <w:sz w:val="24"/>
                <w:szCs w:val="24"/>
                <w:highlight w:val="none"/>
                <w:lang w:val="en-US" w:eastAsia="zh-CN"/>
              </w:rPr>
              <w:t>4</w:t>
            </w:r>
            <w:r>
              <w:rPr>
                <w:rFonts w:hint="default" w:ascii="Times New Roman" w:hAnsi="Times New Roman" w:cs="Times New Roman"/>
                <w:sz w:val="24"/>
                <w:szCs w:val="24"/>
                <w:highlight w:val="none"/>
                <w:lang w:val="en-US" w:eastAsia="zh-CN"/>
              </w:rPr>
              <w:t>°</w:t>
            </w:r>
            <w:r>
              <w:rPr>
                <w:rFonts w:hint="eastAsia" w:ascii="Times New Roman" w:hAnsi="Times New Roman" w:cs="Times New Roman"/>
                <w:sz w:val="24"/>
                <w:szCs w:val="24"/>
                <w:highlight w:val="none"/>
                <w:lang w:val="en-US" w:eastAsia="zh-CN"/>
              </w:rPr>
              <w:t>11</w:t>
            </w:r>
            <w:r>
              <w:rPr>
                <w:rFonts w:hint="default" w:ascii="Times New Roman" w:hAnsi="Times New Roman" w:cs="Times New Roman"/>
                <w:sz w:val="24"/>
                <w:szCs w:val="24"/>
                <w:highlight w:val="none"/>
                <w:lang w:val="en-US" w:eastAsia="zh-CN"/>
              </w:rPr>
              <w:t>′</w:t>
            </w:r>
            <w:r>
              <w:rPr>
                <w:rFonts w:hint="eastAsia" w:ascii="Times New Roman" w:hAnsi="Times New Roman" w:cs="Times New Roman"/>
                <w:sz w:val="24"/>
                <w:szCs w:val="24"/>
                <w:highlight w:val="none"/>
                <w:lang w:val="en-US" w:eastAsia="zh-CN"/>
              </w:rPr>
              <w:t>16.159</w:t>
            </w:r>
            <w:r>
              <w:rPr>
                <w:rFonts w:hint="default" w:ascii="Times New Roman" w:hAnsi="Times New Roman" w:eastAsia="宋体" w:cs="Times New Roman"/>
                <w:b w:val="0"/>
                <w:bCs w:val="0"/>
                <w:sz w:val="24"/>
                <w:szCs w:val="24"/>
                <w:highlight w:val="none"/>
                <w:lang w:val="en-US" w:eastAsia="zh-CN"/>
              </w:rPr>
              <w:t>″</w:t>
            </w:r>
            <w:r>
              <w:rPr>
                <w:rFonts w:hint="eastAsia" w:ascii="Times New Roman" w:hAnsi="Times New Roman" w:cs="Times New Roman"/>
                <w:sz w:val="24"/>
                <w:szCs w:val="24"/>
                <w:highlight w:val="none"/>
                <w:lang w:val="en-US" w:eastAsia="zh-CN"/>
              </w:rPr>
              <w:t>E</w:t>
            </w:r>
            <w:r>
              <w:rPr>
                <w:rFonts w:hint="default" w:ascii="Times New Roman" w:hAnsi="Times New Roman" w:cs="Times New Roman"/>
                <w:sz w:val="24"/>
                <w:szCs w:val="24"/>
                <w:highlight w:val="none"/>
                <w:lang w:val="en-US" w:eastAsia="zh-CN"/>
              </w:rPr>
              <w:t>，36°8′</w:t>
            </w:r>
            <w:r>
              <w:rPr>
                <w:rFonts w:hint="eastAsia" w:ascii="Times New Roman" w:hAnsi="Times New Roman" w:cs="Times New Roman"/>
                <w:sz w:val="24"/>
                <w:szCs w:val="24"/>
                <w:highlight w:val="none"/>
                <w:lang w:val="en-US" w:eastAsia="zh-CN"/>
              </w:rPr>
              <w:t>2</w:t>
            </w:r>
            <w:r>
              <w:rPr>
                <w:rFonts w:hint="default" w:ascii="Times New Roman" w:hAnsi="Times New Roman" w:cs="Times New Roman"/>
                <w:sz w:val="24"/>
                <w:szCs w:val="24"/>
                <w:highlight w:val="none"/>
                <w:lang w:val="en-US" w:eastAsia="zh-CN"/>
              </w:rPr>
              <w:t>2.</w:t>
            </w:r>
            <w:r>
              <w:rPr>
                <w:rFonts w:hint="eastAsia" w:ascii="Times New Roman" w:hAnsi="Times New Roman" w:cs="Times New Roman"/>
                <w:sz w:val="24"/>
                <w:szCs w:val="24"/>
                <w:highlight w:val="none"/>
                <w:lang w:val="en-US" w:eastAsia="zh-CN"/>
              </w:rPr>
              <w:t>19</w:t>
            </w:r>
            <w:r>
              <w:rPr>
                <w:rFonts w:hint="default" w:ascii="Times New Roman" w:hAnsi="Times New Roman" w:cs="Times New Roman"/>
                <w:sz w:val="24"/>
                <w:szCs w:val="24"/>
                <w:highlight w:val="none"/>
                <w:lang w:val="en-US" w:eastAsia="zh-CN"/>
              </w:rPr>
              <w:t>9″</w:t>
            </w:r>
            <w:r>
              <w:rPr>
                <w:rFonts w:hint="eastAsia" w:ascii="Times New Roman" w:hAnsi="Times New Roman" w:cs="Times New Roman"/>
                <w:sz w:val="24"/>
                <w:szCs w:val="24"/>
                <w:highlight w:val="none"/>
                <w:lang w:val="en-US" w:eastAsia="zh-CN"/>
              </w:rPr>
              <w:t>N</w:t>
            </w:r>
          </w:p>
          <w:p w14:paraId="2DCA9323">
            <w:pPr>
              <w:keepLines w:val="0"/>
              <w:pageBreakBefore w:val="0"/>
              <w:widowControl w:val="0"/>
              <w:kinsoku/>
              <w:wordWrap/>
              <w:topLinePunct w:val="0"/>
              <w:autoSpaceDE/>
              <w:autoSpaceDN/>
              <w:bidi w:val="0"/>
              <w:adjustRightInd w:val="0"/>
              <w:snapToGrid w:val="0"/>
              <w:spacing w:line="240" w:lineRule="auto"/>
              <w:jc w:val="center"/>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治理终点：11</w:t>
            </w:r>
            <w:r>
              <w:rPr>
                <w:rFonts w:hint="eastAsia" w:ascii="Times New Roman" w:hAnsi="Times New Roman" w:cs="Times New Roman"/>
                <w:sz w:val="24"/>
                <w:szCs w:val="24"/>
                <w:highlight w:val="none"/>
                <w:lang w:val="en-US" w:eastAsia="zh-CN"/>
              </w:rPr>
              <w:t>4</w:t>
            </w:r>
            <w:r>
              <w:rPr>
                <w:rFonts w:hint="default" w:ascii="Times New Roman" w:hAnsi="Times New Roman" w:cs="Times New Roman"/>
                <w:sz w:val="24"/>
                <w:szCs w:val="24"/>
                <w:highlight w:val="none"/>
                <w:lang w:val="en-US" w:eastAsia="zh-CN"/>
              </w:rPr>
              <w:t>°</w:t>
            </w:r>
            <w:r>
              <w:rPr>
                <w:rFonts w:hint="eastAsia" w:ascii="Times New Roman" w:hAnsi="Times New Roman" w:cs="Times New Roman"/>
                <w:sz w:val="24"/>
                <w:szCs w:val="24"/>
                <w:highlight w:val="none"/>
                <w:lang w:val="en-US" w:eastAsia="zh-CN"/>
              </w:rPr>
              <w:t>11</w:t>
            </w:r>
            <w:r>
              <w:rPr>
                <w:rFonts w:hint="default" w:ascii="Times New Roman" w:hAnsi="Times New Roman" w:cs="Times New Roman"/>
                <w:sz w:val="24"/>
                <w:szCs w:val="24"/>
                <w:highlight w:val="none"/>
                <w:lang w:val="en-US" w:eastAsia="zh-CN"/>
              </w:rPr>
              <w:t>′</w:t>
            </w:r>
            <w:r>
              <w:rPr>
                <w:rFonts w:hint="eastAsia" w:ascii="Times New Roman" w:hAnsi="Times New Roman" w:cs="Times New Roman"/>
                <w:sz w:val="24"/>
                <w:szCs w:val="24"/>
                <w:highlight w:val="none"/>
                <w:lang w:val="en-US" w:eastAsia="zh-CN"/>
              </w:rPr>
              <w:t>52.272</w:t>
            </w:r>
            <w:r>
              <w:rPr>
                <w:rFonts w:hint="default" w:ascii="Times New Roman" w:hAnsi="Times New Roman" w:eastAsia="宋体" w:cs="Times New Roman"/>
                <w:b w:val="0"/>
                <w:bCs w:val="0"/>
                <w:sz w:val="24"/>
                <w:szCs w:val="24"/>
                <w:highlight w:val="none"/>
                <w:lang w:val="en-US" w:eastAsia="zh-CN"/>
              </w:rPr>
              <w:t>″</w:t>
            </w:r>
            <w:r>
              <w:rPr>
                <w:rFonts w:hint="eastAsia" w:ascii="Times New Roman" w:hAnsi="Times New Roman" w:cs="Times New Roman"/>
                <w:sz w:val="24"/>
                <w:szCs w:val="24"/>
                <w:highlight w:val="none"/>
                <w:lang w:val="en-US" w:eastAsia="zh-CN"/>
              </w:rPr>
              <w:t>E</w:t>
            </w:r>
            <w:r>
              <w:rPr>
                <w:rFonts w:hint="default" w:ascii="Times New Roman" w:hAnsi="Times New Roman" w:cs="Times New Roman"/>
                <w:sz w:val="24"/>
                <w:szCs w:val="24"/>
                <w:highlight w:val="none"/>
                <w:lang w:val="en-US" w:eastAsia="zh-CN"/>
              </w:rPr>
              <w:t>，36°</w:t>
            </w:r>
            <w:r>
              <w:rPr>
                <w:rFonts w:hint="eastAsia" w:ascii="Times New Roman" w:hAnsi="Times New Roman" w:cs="Times New Roman"/>
                <w:sz w:val="24"/>
                <w:szCs w:val="24"/>
                <w:highlight w:val="none"/>
                <w:lang w:val="en-US" w:eastAsia="zh-CN"/>
              </w:rPr>
              <w:t>8</w:t>
            </w:r>
            <w:r>
              <w:rPr>
                <w:rFonts w:hint="default" w:ascii="Times New Roman" w:hAnsi="Times New Roman" w:cs="Times New Roman"/>
                <w:sz w:val="24"/>
                <w:szCs w:val="24"/>
                <w:highlight w:val="none"/>
                <w:lang w:val="en-US" w:eastAsia="zh-CN"/>
              </w:rPr>
              <w:t>′</w:t>
            </w:r>
            <w:r>
              <w:rPr>
                <w:rFonts w:hint="eastAsia" w:ascii="Times New Roman" w:hAnsi="Times New Roman" w:cs="Times New Roman"/>
                <w:sz w:val="24"/>
                <w:szCs w:val="24"/>
                <w:highlight w:val="none"/>
                <w:lang w:val="en-US" w:eastAsia="zh-CN"/>
              </w:rPr>
              <w:t>23.435</w:t>
            </w:r>
            <w:r>
              <w:rPr>
                <w:rFonts w:hint="default" w:ascii="Times New Roman" w:hAnsi="Times New Roman" w:cs="Times New Roman"/>
                <w:sz w:val="24"/>
                <w:szCs w:val="24"/>
                <w:highlight w:val="none"/>
                <w:lang w:val="en-US" w:eastAsia="zh-CN"/>
              </w:rPr>
              <w:t>″</w:t>
            </w:r>
            <w:r>
              <w:rPr>
                <w:rFonts w:hint="eastAsia" w:ascii="Times New Roman" w:hAnsi="Times New Roman" w:cs="Times New Roman"/>
                <w:sz w:val="24"/>
                <w:szCs w:val="24"/>
                <w:highlight w:val="none"/>
                <w:lang w:val="en-US" w:eastAsia="zh-CN"/>
              </w:rPr>
              <w:t>N</w:t>
            </w:r>
          </w:p>
          <w:p w14:paraId="7DF56440">
            <w:pPr>
              <w:keepLines w:val="0"/>
              <w:pageBreakBefore w:val="0"/>
              <w:widowControl w:val="0"/>
              <w:kinsoku/>
              <w:wordWrap/>
              <w:topLinePunct w:val="0"/>
              <w:autoSpaceDE/>
              <w:autoSpaceDN/>
              <w:bidi w:val="0"/>
              <w:adjustRightInd w:val="0"/>
              <w:snapToGrid w:val="0"/>
              <w:spacing w:line="240" w:lineRule="auto"/>
              <w:ind w:firstLine="480" w:firstLineChars="200"/>
              <w:jc w:val="both"/>
              <w:textAlignment w:val="auto"/>
              <w:rPr>
                <w:rFonts w:hint="eastAsia" w:ascii="宋体" w:hAnsi="宋体" w:eastAsia="宋体" w:cs="宋体"/>
                <w:b w:val="0"/>
                <w:bCs w:val="0"/>
                <w:color w:val="000000"/>
                <w:sz w:val="24"/>
                <w:szCs w:val="24"/>
                <w:highlight w:val="none"/>
                <w:lang w:eastAsia="zh-CN"/>
              </w:rPr>
            </w:pPr>
            <w:r>
              <w:rPr>
                <w:rFonts w:hint="eastAsia" w:ascii="宋体" w:hAnsi="宋体" w:eastAsia="宋体" w:cs="宋体"/>
                <w:b w:val="0"/>
                <w:bCs w:val="0"/>
                <w:color w:val="000000"/>
                <w:sz w:val="24"/>
                <w:szCs w:val="24"/>
                <w:highlight w:val="none"/>
              </w:rPr>
              <w:t>胜利渠西夏寒段</w:t>
            </w:r>
            <w:r>
              <w:rPr>
                <w:rFonts w:hint="eastAsia" w:ascii="宋体" w:hAnsi="宋体" w:eastAsia="宋体" w:cs="宋体"/>
                <w:b w:val="0"/>
                <w:bCs w:val="0"/>
                <w:color w:val="000000"/>
                <w:sz w:val="24"/>
                <w:szCs w:val="24"/>
                <w:highlight w:val="none"/>
                <w:lang w:eastAsia="zh-CN"/>
              </w:rPr>
              <w:t>：</w:t>
            </w:r>
          </w:p>
          <w:p w14:paraId="14087A73">
            <w:pPr>
              <w:keepLines w:val="0"/>
              <w:pageBreakBefore w:val="0"/>
              <w:widowControl w:val="0"/>
              <w:kinsoku/>
              <w:wordWrap/>
              <w:topLinePunct w:val="0"/>
              <w:autoSpaceDE/>
              <w:autoSpaceDN/>
              <w:bidi w:val="0"/>
              <w:adjustRightInd w:val="0"/>
              <w:snapToGrid w:val="0"/>
              <w:spacing w:line="240" w:lineRule="auto"/>
              <w:jc w:val="center"/>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eastAsia="zh-CN"/>
              </w:rPr>
              <w:t>治理起点：</w:t>
            </w:r>
            <w:r>
              <w:rPr>
                <w:rFonts w:hint="default" w:ascii="Times New Roman" w:hAnsi="Times New Roman" w:cs="Times New Roman"/>
                <w:sz w:val="24"/>
                <w:szCs w:val="24"/>
                <w:highlight w:val="none"/>
                <w:lang w:val="en-US" w:eastAsia="zh-CN"/>
              </w:rPr>
              <w:t>11</w:t>
            </w:r>
            <w:r>
              <w:rPr>
                <w:rFonts w:hint="eastAsia" w:ascii="Times New Roman" w:hAnsi="Times New Roman" w:cs="Times New Roman"/>
                <w:sz w:val="24"/>
                <w:szCs w:val="24"/>
                <w:highlight w:val="none"/>
                <w:lang w:val="en-US" w:eastAsia="zh-CN"/>
              </w:rPr>
              <w:t>4</w:t>
            </w:r>
            <w:r>
              <w:rPr>
                <w:rFonts w:hint="default" w:ascii="Times New Roman" w:hAnsi="Times New Roman" w:cs="Times New Roman"/>
                <w:sz w:val="24"/>
                <w:szCs w:val="24"/>
                <w:highlight w:val="none"/>
                <w:lang w:val="en-US" w:eastAsia="zh-CN"/>
              </w:rPr>
              <w:t>°</w:t>
            </w:r>
            <w:r>
              <w:rPr>
                <w:rFonts w:hint="eastAsia" w:ascii="Times New Roman" w:hAnsi="Times New Roman" w:cs="Times New Roman"/>
                <w:sz w:val="24"/>
                <w:szCs w:val="24"/>
                <w:highlight w:val="none"/>
                <w:lang w:val="en-US" w:eastAsia="zh-CN"/>
              </w:rPr>
              <w:t>11</w:t>
            </w:r>
            <w:r>
              <w:rPr>
                <w:rFonts w:hint="default" w:ascii="Times New Roman" w:hAnsi="Times New Roman" w:cs="Times New Roman"/>
                <w:sz w:val="24"/>
                <w:szCs w:val="24"/>
                <w:highlight w:val="none"/>
                <w:lang w:val="en-US" w:eastAsia="zh-CN"/>
              </w:rPr>
              <w:t>′</w:t>
            </w:r>
            <w:r>
              <w:rPr>
                <w:rFonts w:hint="eastAsia" w:ascii="Times New Roman" w:hAnsi="Times New Roman" w:cs="Times New Roman"/>
                <w:sz w:val="24"/>
                <w:szCs w:val="24"/>
                <w:highlight w:val="none"/>
                <w:lang w:val="en-US" w:eastAsia="zh-CN"/>
              </w:rPr>
              <w:t>35.780</w:t>
            </w:r>
            <w:r>
              <w:rPr>
                <w:rFonts w:hint="default" w:ascii="Times New Roman" w:hAnsi="Times New Roman" w:eastAsia="宋体" w:cs="Times New Roman"/>
                <w:b w:val="0"/>
                <w:bCs w:val="0"/>
                <w:sz w:val="24"/>
                <w:szCs w:val="24"/>
                <w:highlight w:val="none"/>
                <w:lang w:val="en-US" w:eastAsia="zh-CN"/>
              </w:rPr>
              <w:t>″</w:t>
            </w:r>
            <w:r>
              <w:rPr>
                <w:rFonts w:hint="eastAsia" w:ascii="Times New Roman" w:hAnsi="Times New Roman" w:cs="Times New Roman"/>
                <w:sz w:val="24"/>
                <w:szCs w:val="24"/>
                <w:highlight w:val="none"/>
                <w:lang w:val="en-US" w:eastAsia="zh-CN"/>
              </w:rPr>
              <w:t>E</w:t>
            </w:r>
            <w:r>
              <w:rPr>
                <w:rFonts w:hint="default" w:ascii="Times New Roman" w:hAnsi="Times New Roman" w:cs="Times New Roman"/>
                <w:sz w:val="24"/>
                <w:szCs w:val="24"/>
                <w:highlight w:val="none"/>
                <w:lang w:val="en-US" w:eastAsia="zh-CN"/>
              </w:rPr>
              <w:t>，36°8′42.</w:t>
            </w:r>
            <w:r>
              <w:rPr>
                <w:rFonts w:hint="eastAsia" w:ascii="Times New Roman" w:hAnsi="Times New Roman" w:cs="Times New Roman"/>
                <w:sz w:val="24"/>
                <w:szCs w:val="24"/>
                <w:highlight w:val="none"/>
                <w:lang w:val="en-US" w:eastAsia="zh-CN"/>
              </w:rPr>
              <w:t>516</w:t>
            </w:r>
            <w:r>
              <w:rPr>
                <w:rFonts w:hint="default" w:ascii="Times New Roman" w:hAnsi="Times New Roman" w:cs="Times New Roman"/>
                <w:sz w:val="24"/>
                <w:szCs w:val="24"/>
                <w:highlight w:val="none"/>
                <w:lang w:val="en-US" w:eastAsia="zh-CN"/>
              </w:rPr>
              <w:t>″</w:t>
            </w:r>
            <w:r>
              <w:rPr>
                <w:rFonts w:hint="eastAsia" w:ascii="Times New Roman" w:hAnsi="Times New Roman" w:cs="Times New Roman"/>
                <w:sz w:val="24"/>
                <w:szCs w:val="24"/>
                <w:highlight w:val="none"/>
                <w:lang w:val="en-US" w:eastAsia="zh-CN"/>
              </w:rPr>
              <w:t>N</w:t>
            </w:r>
          </w:p>
          <w:p w14:paraId="258B9471">
            <w:pPr>
              <w:keepLines w:val="0"/>
              <w:pageBreakBefore w:val="0"/>
              <w:widowControl w:val="0"/>
              <w:kinsoku/>
              <w:wordWrap/>
              <w:topLinePunct w:val="0"/>
              <w:autoSpaceDE/>
              <w:autoSpaceDN/>
              <w:bidi w:val="0"/>
              <w:adjustRightInd w:val="0"/>
              <w:snapToGrid w:val="0"/>
              <w:spacing w:line="240" w:lineRule="auto"/>
              <w:jc w:val="center"/>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治理终点：11</w:t>
            </w:r>
            <w:r>
              <w:rPr>
                <w:rFonts w:hint="eastAsia" w:ascii="Times New Roman" w:hAnsi="Times New Roman" w:cs="Times New Roman"/>
                <w:sz w:val="24"/>
                <w:szCs w:val="24"/>
                <w:highlight w:val="none"/>
                <w:lang w:val="en-US" w:eastAsia="zh-CN"/>
              </w:rPr>
              <w:t>4</w:t>
            </w:r>
            <w:r>
              <w:rPr>
                <w:rFonts w:hint="default" w:ascii="Times New Roman" w:hAnsi="Times New Roman" w:cs="Times New Roman"/>
                <w:sz w:val="24"/>
                <w:szCs w:val="24"/>
                <w:highlight w:val="none"/>
                <w:lang w:val="en-US" w:eastAsia="zh-CN"/>
              </w:rPr>
              <w:t>°</w:t>
            </w:r>
            <w:r>
              <w:rPr>
                <w:rFonts w:hint="eastAsia" w:ascii="Times New Roman" w:hAnsi="Times New Roman" w:cs="Times New Roman"/>
                <w:sz w:val="24"/>
                <w:szCs w:val="24"/>
                <w:highlight w:val="none"/>
                <w:lang w:val="en-US" w:eastAsia="zh-CN"/>
              </w:rPr>
              <w:t>11</w:t>
            </w:r>
            <w:r>
              <w:rPr>
                <w:rFonts w:hint="default" w:ascii="Times New Roman" w:hAnsi="Times New Roman" w:cs="Times New Roman"/>
                <w:sz w:val="24"/>
                <w:szCs w:val="24"/>
                <w:highlight w:val="none"/>
                <w:lang w:val="en-US" w:eastAsia="zh-CN"/>
              </w:rPr>
              <w:t>′4</w:t>
            </w:r>
            <w:r>
              <w:rPr>
                <w:rFonts w:hint="eastAsia" w:ascii="Times New Roman" w:hAnsi="Times New Roman" w:cs="Times New Roman"/>
                <w:sz w:val="24"/>
                <w:szCs w:val="24"/>
                <w:highlight w:val="none"/>
                <w:lang w:val="en-US" w:eastAsia="zh-CN"/>
              </w:rPr>
              <w:t>0.453</w:t>
            </w:r>
            <w:r>
              <w:rPr>
                <w:rFonts w:hint="default" w:ascii="Times New Roman" w:hAnsi="Times New Roman" w:cs="Times New Roman"/>
                <w:sz w:val="24"/>
                <w:szCs w:val="24"/>
                <w:highlight w:val="none"/>
                <w:lang w:val="en-US" w:eastAsia="zh-CN"/>
              </w:rPr>
              <w:t>″</w:t>
            </w:r>
            <w:r>
              <w:rPr>
                <w:rFonts w:hint="eastAsia" w:ascii="Times New Roman" w:hAnsi="Times New Roman" w:cs="Times New Roman"/>
                <w:sz w:val="24"/>
                <w:szCs w:val="24"/>
                <w:highlight w:val="none"/>
                <w:lang w:val="en-US" w:eastAsia="zh-CN"/>
              </w:rPr>
              <w:t>E</w:t>
            </w:r>
            <w:r>
              <w:rPr>
                <w:rFonts w:hint="default" w:ascii="Times New Roman" w:hAnsi="Times New Roman" w:cs="Times New Roman"/>
                <w:sz w:val="24"/>
                <w:szCs w:val="24"/>
                <w:highlight w:val="none"/>
                <w:lang w:val="en-US" w:eastAsia="zh-CN"/>
              </w:rPr>
              <w:t>，36°9′</w:t>
            </w:r>
            <w:r>
              <w:rPr>
                <w:rFonts w:hint="eastAsia" w:ascii="Times New Roman" w:hAnsi="Times New Roman" w:cs="Times New Roman"/>
                <w:sz w:val="24"/>
                <w:szCs w:val="24"/>
                <w:highlight w:val="none"/>
                <w:lang w:val="en-US" w:eastAsia="zh-CN"/>
              </w:rPr>
              <w:t>21</w:t>
            </w:r>
            <w:r>
              <w:rPr>
                <w:rFonts w:hint="default" w:ascii="Times New Roman" w:hAnsi="Times New Roman" w:cs="Times New Roman"/>
                <w:sz w:val="24"/>
                <w:szCs w:val="24"/>
                <w:highlight w:val="none"/>
                <w:lang w:val="en-US" w:eastAsia="zh-CN"/>
              </w:rPr>
              <w:t>.</w:t>
            </w:r>
            <w:r>
              <w:rPr>
                <w:rFonts w:hint="eastAsia" w:ascii="Times New Roman" w:hAnsi="Times New Roman" w:cs="Times New Roman"/>
                <w:sz w:val="24"/>
                <w:szCs w:val="24"/>
                <w:highlight w:val="none"/>
                <w:lang w:val="en-US" w:eastAsia="zh-CN"/>
              </w:rPr>
              <w:t>951</w:t>
            </w:r>
            <w:r>
              <w:rPr>
                <w:rFonts w:hint="default" w:ascii="Times New Roman" w:hAnsi="Times New Roman" w:cs="Times New Roman"/>
                <w:sz w:val="24"/>
                <w:szCs w:val="24"/>
                <w:highlight w:val="none"/>
                <w:lang w:val="en-US" w:eastAsia="zh-CN"/>
              </w:rPr>
              <w:t>″</w:t>
            </w:r>
            <w:r>
              <w:rPr>
                <w:rFonts w:hint="eastAsia" w:ascii="Times New Roman" w:hAnsi="Times New Roman" w:cs="Times New Roman"/>
                <w:sz w:val="24"/>
                <w:szCs w:val="24"/>
                <w:highlight w:val="none"/>
                <w:lang w:val="en-US" w:eastAsia="zh-CN"/>
              </w:rPr>
              <w:t>N</w:t>
            </w:r>
          </w:p>
          <w:p w14:paraId="64C86555">
            <w:pPr>
              <w:keepLines w:val="0"/>
              <w:pageBreakBefore w:val="0"/>
              <w:widowControl w:val="0"/>
              <w:kinsoku/>
              <w:wordWrap/>
              <w:topLinePunct w:val="0"/>
              <w:autoSpaceDE/>
              <w:autoSpaceDN/>
              <w:bidi w:val="0"/>
              <w:adjustRightInd w:val="0"/>
              <w:snapToGrid w:val="0"/>
              <w:spacing w:line="240" w:lineRule="auto"/>
              <w:ind w:firstLine="480" w:firstLineChars="200"/>
              <w:jc w:val="both"/>
              <w:textAlignment w:val="auto"/>
              <w:rPr>
                <w:rFonts w:hint="default" w:ascii="Times New Roman" w:hAnsi="Times New Roman" w:eastAsia="宋体" w:cs="Times New Roman"/>
                <w:b w:val="0"/>
                <w:bCs w:val="0"/>
                <w:color w:val="000000"/>
                <w:sz w:val="24"/>
                <w:szCs w:val="24"/>
                <w:highlight w:val="none"/>
                <w:lang w:eastAsia="zh-CN"/>
              </w:rPr>
            </w:pPr>
            <w:r>
              <w:rPr>
                <w:rFonts w:hint="default" w:ascii="Times New Roman" w:hAnsi="Times New Roman" w:eastAsia="宋体" w:cs="Times New Roman"/>
                <w:b w:val="0"/>
                <w:bCs w:val="0"/>
                <w:color w:val="000000"/>
                <w:sz w:val="24"/>
                <w:szCs w:val="24"/>
                <w:highlight w:val="none"/>
              </w:rPr>
              <w:t>胜利渠跨金线河段</w:t>
            </w:r>
            <w:r>
              <w:rPr>
                <w:rFonts w:hint="default" w:ascii="Times New Roman" w:hAnsi="Times New Roman" w:eastAsia="宋体" w:cs="Times New Roman"/>
                <w:b w:val="0"/>
                <w:bCs w:val="0"/>
                <w:color w:val="000000"/>
                <w:sz w:val="24"/>
                <w:szCs w:val="24"/>
                <w:highlight w:val="none"/>
                <w:lang w:eastAsia="zh-CN"/>
              </w:rPr>
              <w:t>：</w:t>
            </w:r>
          </w:p>
          <w:p w14:paraId="1134D1C8">
            <w:pPr>
              <w:pStyle w:val="2"/>
              <w:keepNext/>
              <w:keepLines w:val="0"/>
              <w:pageBreakBefore w:val="0"/>
              <w:widowControl w:val="0"/>
              <w:kinsoku/>
              <w:wordWrap/>
              <w:overflowPunct w:val="0"/>
              <w:topLinePunct w:val="0"/>
              <w:autoSpaceDE/>
              <w:autoSpaceDN/>
              <w:bidi w:val="0"/>
              <w:adjustRightInd/>
              <w:snapToGrid w:val="0"/>
              <w:spacing w:before="0" w:after="0" w:line="240" w:lineRule="auto"/>
              <w:jc w:val="center"/>
              <w:textAlignment w:val="auto"/>
              <w:rPr>
                <w:rFonts w:hint="default" w:ascii="Times New Roman" w:hAnsi="Times New Roman" w:eastAsia="宋体" w:cs="Times New Roman"/>
                <w:b w:val="0"/>
                <w:bCs w:val="0"/>
                <w:sz w:val="24"/>
                <w:szCs w:val="24"/>
                <w:highlight w:val="none"/>
                <w:lang w:val="en-US" w:eastAsia="zh-CN"/>
              </w:rPr>
            </w:pPr>
            <w:r>
              <w:rPr>
                <w:rFonts w:hint="default" w:ascii="Times New Roman" w:hAnsi="Times New Roman" w:eastAsia="宋体" w:cs="Times New Roman"/>
                <w:b w:val="0"/>
                <w:bCs w:val="0"/>
                <w:sz w:val="24"/>
                <w:szCs w:val="24"/>
                <w:highlight w:val="none"/>
                <w:lang w:val="en-US" w:eastAsia="zh-CN"/>
              </w:rPr>
              <w:t>治理起点：114°11′56.347″E，36°8′37.871″N</w:t>
            </w:r>
          </w:p>
          <w:p w14:paraId="4D1EC916">
            <w:pPr>
              <w:pStyle w:val="2"/>
              <w:keepNext/>
              <w:keepLines w:val="0"/>
              <w:pageBreakBefore w:val="0"/>
              <w:widowControl w:val="0"/>
              <w:kinsoku/>
              <w:wordWrap/>
              <w:overflowPunct w:val="0"/>
              <w:topLinePunct w:val="0"/>
              <w:autoSpaceDE/>
              <w:autoSpaceDN/>
              <w:bidi w:val="0"/>
              <w:adjustRightInd/>
              <w:snapToGrid w:val="0"/>
              <w:spacing w:before="0" w:after="0" w:line="240" w:lineRule="auto"/>
              <w:jc w:val="center"/>
              <w:textAlignment w:val="auto"/>
              <w:rPr>
                <w:rFonts w:hint="eastAsia" w:ascii="宋体" w:hAnsi="宋体" w:eastAsia="宋体" w:cs="宋体"/>
                <w:b w:val="0"/>
                <w:bCs w:val="0"/>
                <w:sz w:val="24"/>
                <w:szCs w:val="24"/>
                <w:highlight w:val="none"/>
                <w:lang w:val="en-US" w:eastAsia="zh-CN"/>
              </w:rPr>
            </w:pPr>
            <w:r>
              <w:rPr>
                <w:rFonts w:hint="default" w:ascii="Times New Roman" w:hAnsi="Times New Roman" w:eastAsia="宋体" w:cs="Times New Roman"/>
                <w:b w:val="0"/>
                <w:bCs w:val="0"/>
                <w:sz w:val="24"/>
                <w:szCs w:val="24"/>
                <w:highlight w:val="none"/>
                <w:lang w:val="en-US" w:eastAsia="zh-CN"/>
              </w:rPr>
              <w:t>治理终点：114°11′57.979″E，36°8′37.775″N</w:t>
            </w:r>
          </w:p>
        </w:tc>
      </w:tr>
      <w:tr w14:paraId="0E6C8B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1118" w:type="dxa"/>
            <w:noWrap w:val="0"/>
            <w:tcMar>
              <w:top w:w="16" w:type="dxa"/>
              <w:left w:w="16" w:type="dxa"/>
              <w:right w:w="16" w:type="dxa"/>
            </w:tcMar>
            <w:vAlign w:val="center"/>
          </w:tcPr>
          <w:p w14:paraId="342B6367">
            <w:pPr>
              <w:adjustRightInd w:val="0"/>
              <w:snapToGrid w:val="0"/>
              <w:jc w:val="center"/>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建设项目</w:t>
            </w:r>
          </w:p>
          <w:p w14:paraId="3AE69F65">
            <w:pPr>
              <w:adjustRightInd w:val="0"/>
              <w:snapToGrid w:val="0"/>
              <w:jc w:val="center"/>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行业类别</w:t>
            </w:r>
          </w:p>
        </w:tc>
        <w:tc>
          <w:tcPr>
            <w:tcW w:w="3461" w:type="dxa"/>
            <w:noWrap w:val="0"/>
            <w:vAlign w:val="center"/>
          </w:tcPr>
          <w:p w14:paraId="2C724C77">
            <w:pPr>
              <w:adjustRightInd w:val="0"/>
              <w:snapToGrid w:val="0"/>
              <w:jc w:val="both"/>
              <w:rPr>
                <w:rFonts w:hint="default" w:ascii="Times New Roman" w:hAnsi="Times New Roman" w:eastAsia="宋体" w:cs="Times New Roman"/>
                <w:sz w:val="24"/>
                <w:szCs w:val="24"/>
                <w:highlight w:val="none"/>
                <w:lang w:eastAsia="zh-CN"/>
              </w:rPr>
            </w:pPr>
            <w:r>
              <w:rPr>
                <w:rFonts w:hint="default" w:ascii="Times New Roman" w:hAnsi="Times New Roman" w:cs="Times New Roman"/>
                <w:color w:val="auto"/>
                <w:sz w:val="24"/>
                <w:szCs w:val="24"/>
                <w:highlight w:val="none"/>
                <w:lang w:eastAsia="zh-CN"/>
              </w:rPr>
              <w:t>五十一、水利</w:t>
            </w:r>
            <w:r>
              <w:rPr>
                <w:rFonts w:hint="default" w:ascii="Times New Roman" w:hAnsi="Times New Roman" w:cs="Times New Roman"/>
                <w:color w:val="auto"/>
                <w:sz w:val="24"/>
                <w:szCs w:val="24"/>
                <w:highlight w:val="none"/>
                <w:lang w:val="en-US" w:eastAsia="zh-CN"/>
              </w:rPr>
              <w:t>127防洪除涝工程</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其他（小型沟渠的护坡除外；城镇排涝河流水闸、排涝泵站除外）</w:t>
            </w:r>
          </w:p>
        </w:tc>
        <w:tc>
          <w:tcPr>
            <w:tcW w:w="2202" w:type="dxa"/>
            <w:noWrap w:val="0"/>
            <w:vAlign w:val="center"/>
          </w:tcPr>
          <w:p w14:paraId="4C6DC2EF">
            <w:pPr>
              <w:adjustRightInd w:val="0"/>
              <w:snapToGrid w:val="0"/>
              <w:jc w:val="center"/>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用地（用海）面积（m</w:t>
            </w:r>
            <w:r>
              <w:rPr>
                <w:rFonts w:hint="default" w:ascii="Times New Roman" w:hAnsi="Times New Roman" w:cs="Times New Roman"/>
                <w:sz w:val="24"/>
                <w:szCs w:val="24"/>
                <w:highlight w:val="none"/>
                <w:vertAlign w:val="superscript"/>
              </w:rPr>
              <w:t>2</w:t>
            </w:r>
            <w:r>
              <w:rPr>
                <w:rFonts w:hint="default" w:ascii="Times New Roman" w:hAnsi="Times New Roman" w:cs="Times New Roman"/>
                <w:sz w:val="24"/>
                <w:szCs w:val="24"/>
                <w:highlight w:val="none"/>
              </w:rPr>
              <w:t>）/长度（km）</w:t>
            </w:r>
          </w:p>
        </w:tc>
        <w:tc>
          <w:tcPr>
            <w:tcW w:w="2738" w:type="dxa"/>
            <w:gridSpan w:val="2"/>
            <w:noWrap w:val="0"/>
            <w:vAlign w:val="center"/>
          </w:tcPr>
          <w:p w14:paraId="690D77B8">
            <w:pPr>
              <w:keepNext w:val="0"/>
              <w:keepLines w:val="0"/>
              <w:pageBreakBefore w:val="0"/>
              <w:widowControl w:val="0"/>
              <w:kinsoku/>
              <w:wordWrap w:val="0"/>
              <w:overflowPunct/>
              <w:topLinePunct w:val="0"/>
              <w:autoSpaceDE/>
              <w:autoSpaceDN/>
              <w:bidi w:val="0"/>
              <w:adjustRightInd w:val="0"/>
              <w:snapToGrid w:val="0"/>
              <w:jc w:val="both"/>
              <w:textAlignment w:val="auto"/>
              <w:rPr>
                <w:rFonts w:hint="eastAsia" w:cs="Times New Roman"/>
                <w:sz w:val="24"/>
                <w:szCs w:val="24"/>
                <w:highlight w:val="none"/>
                <w:lang w:val="en-US" w:eastAsia="zh-CN"/>
              </w:rPr>
            </w:pPr>
            <w:r>
              <w:rPr>
                <w:rFonts w:hint="eastAsia" w:cs="Times New Roman"/>
                <w:sz w:val="24"/>
                <w:szCs w:val="24"/>
                <w:highlight w:val="none"/>
                <w:lang w:val="en-US" w:eastAsia="zh-CN"/>
              </w:rPr>
              <w:t>老万金渠曲沟段：</w:t>
            </w:r>
          </w:p>
          <w:p w14:paraId="244729F1">
            <w:pPr>
              <w:keepNext w:val="0"/>
              <w:keepLines w:val="0"/>
              <w:pageBreakBefore w:val="0"/>
              <w:widowControl w:val="0"/>
              <w:kinsoku/>
              <w:wordWrap w:val="0"/>
              <w:overflowPunct/>
              <w:topLinePunct w:val="0"/>
              <w:autoSpaceDE/>
              <w:autoSpaceDN/>
              <w:bidi w:val="0"/>
              <w:adjustRightInd w:val="0"/>
              <w:snapToGrid w:val="0"/>
              <w:jc w:val="both"/>
              <w:textAlignment w:val="auto"/>
              <w:rPr>
                <w:rFonts w:hint="eastAsia" w:ascii="Times New Roman" w:hAnsi="Times New Roman" w:eastAsia="宋体" w:cs="Times New Roman"/>
                <w:sz w:val="24"/>
                <w:szCs w:val="24"/>
                <w:highlight w:val="none"/>
                <w:lang w:val="en-US" w:eastAsia="zh-CN"/>
              </w:rPr>
            </w:pPr>
            <w:r>
              <w:rPr>
                <w:rFonts w:ascii="宋体" w:hAnsi="宋体" w:eastAsia="宋体" w:cs="宋体"/>
                <w:b w:val="0"/>
                <w:bCs w:val="0"/>
                <w:color w:val="3B3B3B"/>
                <w:sz w:val="24"/>
                <w:szCs w:val="24"/>
                <w:highlight w:val="none"/>
              </w:rPr>
              <w:t>万金花园西南侧以及新城御景北侧</w:t>
            </w:r>
            <w:r>
              <w:rPr>
                <w:rFonts w:hint="eastAsia" w:ascii="宋体" w:hAnsi="宋体" w:eastAsia="宋体" w:cs="宋体"/>
                <w:b w:val="0"/>
                <w:bCs w:val="0"/>
                <w:color w:val="3B3B3B"/>
                <w:sz w:val="24"/>
                <w:szCs w:val="24"/>
                <w:highlight w:val="none"/>
                <w:lang w:eastAsia="zh-CN"/>
              </w:rPr>
              <w:t>段</w:t>
            </w:r>
            <w:r>
              <w:rPr>
                <w:rFonts w:ascii="宋体" w:hAnsi="宋体" w:eastAsia="宋体" w:cs="宋体"/>
                <w:b w:val="0"/>
                <w:bCs w:val="0"/>
                <w:color w:val="3B3B3B"/>
                <w:sz w:val="24"/>
                <w:szCs w:val="24"/>
                <w:highlight w:val="none"/>
              </w:rPr>
              <w:t>进行疏浚，修建生态堤坝护坡，硬化河底，长度约</w:t>
            </w:r>
            <w:r>
              <w:rPr>
                <w:rFonts w:ascii="TimesNewRomanPSMT" w:hAnsi="TimesNewRomanPSMT" w:eastAsia="TimesNewRomanPSMT" w:cs="TimesNewRomanPSMT"/>
                <w:b w:val="0"/>
                <w:bCs w:val="0"/>
                <w:color w:val="3B3B3B"/>
                <w:sz w:val="24"/>
                <w:szCs w:val="24"/>
                <w:highlight w:val="none"/>
              </w:rPr>
              <w:t>605</w:t>
            </w:r>
            <w:r>
              <w:rPr>
                <w:rFonts w:ascii="宋体" w:hAnsi="宋体" w:eastAsia="宋体" w:cs="宋体"/>
                <w:b w:val="0"/>
                <w:bCs w:val="0"/>
                <w:color w:val="3B3B3B"/>
                <w:sz w:val="24"/>
                <w:szCs w:val="24"/>
                <w:highlight w:val="none"/>
              </w:rPr>
              <w:t>米</w:t>
            </w:r>
            <w:r>
              <w:rPr>
                <w:rFonts w:hint="eastAsia" w:ascii="宋体" w:hAnsi="宋体" w:eastAsia="宋体" w:cs="宋体"/>
                <w:b w:val="0"/>
                <w:bCs w:val="0"/>
                <w:color w:val="3B3B3B"/>
                <w:sz w:val="24"/>
                <w:szCs w:val="24"/>
                <w:highlight w:val="none"/>
                <w:lang w:eastAsia="zh-CN"/>
              </w:rPr>
              <w:t>；</w:t>
            </w:r>
            <w:r>
              <w:rPr>
                <w:rFonts w:ascii="宋体" w:hAnsi="宋体" w:eastAsia="宋体" w:cs="宋体"/>
                <w:b w:val="0"/>
                <w:bCs w:val="0"/>
                <w:color w:val="3B3B3B"/>
                <w:sz w:val="24"/>
                <w:szCs w:val="24"/>
                <w:highlight w:val="none"/>
              </w:rPr>
              <w:t>金线河</w:t>
            </w:r>
            <w:r>
              <w:rPr>
                <w:rFonts w:ascii="TimesNewRomanPSMT" w:hAnsi="TimesNewRomanPSMT" w:eastAsia="TimesNewRomanPSMT" w:cs="TimesNewRomanPSMT"/>
                <w:b w:val="0"/>
                <w:bCs w:val="0"/>
                <w:color w:val="3B3B3B"/>
                <w:sz w:val="24"/>
                <w:szCs w:val="24"/>
                <w:highlight w:val="none"/>
              </w:rPr>
              <w:t>-</w:t>
            </w:r>
            <w:r>
              <w:rPr>
                <w:rFonts w:ascii="宋体" w:hAnsi="宋体" w:eastAsia="宋体" w:cs="宋体"/>
                <w:b w:val="0"/>
                <w:bCs w:val="0"/>
                <w:color w:val="3B3B3B"/>
                <w:sz w:val="24"/>
                <w:szCs w:val="24"/>
                <w:highlight w:val="none"/>
              </w:rPr>
              <w:t>漳南灌渠段河底清淤、河底硬化防护、两岸筑堤以及两岸生态防护</w:t>
            </w:r>
            <w:r>
              <w:rPr>
                <w:rFonts w:hint="eastAsia" w:ascii="宋体" w:hAnsi="宋体" w:eastAsia="宋体" w:cs="宋体"/>
                <w:b w:val="0"/>
                <w:bCs w:val="0"/>
                <w:color w:val="3B3B3B"/>
                <w:sz w:val="24"/>
                <w:szCs w:val="24"/>
                <w:highlight w:val="none"/>
                <w:lang w:eastAsia="zh-CN"/>
              </w:rPr>
              <w:t>，</w:t>
            </w:r>
            <w:r>
              <w:rPr>
                <w:rFonts w:ascii="宋体" w:hAnsi="宋体" w:eastAsia="宋体" w:cs="宋体"/>
                <w:b w:val="0"/>
                <w:bCs w:val="0"/>
                <w:color w:val="3B3B3B"/>
                <w:sz w:val="24"/>
                <w:szCs w:val="24"/>
                <w:highlight w:val="none"/>
              </w:rPr>
              <w:t>长度约</w:t>
            </w:r>
            <w:r>
              <w:rPr>
                <w:rFonts w:ascii="TimesNewRomanPSMT" w:hAnsi="TimesNewRomanPSMT" w:eastAsia="TimesNewRomanPSMT" w:cs="TimesNewRomanPSMT"/>
                <w:b w:val="0"/>
                <w:bCs w:val="0"/>
                <w:color w:val="3B3B3B"/>
                <w:sz w:val="24"/>
                <w:szCs w:val="24"/>
                <w:highlight w:val="none"/>
              </w:rPr>
              <w:t>999m</w:t>
            </w:r>
            <w:r>
              <w:rPr>
                <w:rFonts w:hint="eastAsia" w:ascii="TimesNewRomanPSMT" w:hAnsi="TimesNewRomanPSMT" w:eastAsia="宋体" w:cs="TimesNewRomanPSMT"/>
                <w:b w:val="0"/>
                <w:bCs w:val="0"/>
                <w:color w:val="3B3B3B"/>
                <w:sz w:val="24"/>
                <w:szCs w:val="24"/>
                <w:highlight w:val="none"/>
                <w:lang w:eastAsia="zh-CN"/>
              </w:rPr>
              <w:t>；</w:t>
            </w:r>
          </w:p>
          <w:p w14:paraId="2ED80C69">
            <w:pPr>
              <w:keepNext w:val="0"/>
              <w:keepLines w:val="0"/>
              <w:pageBreakBefore w:val="0"/>
              <w:widowControl w:val="0"/>
              <w:kinsoku/>
              <w:wordWrap w:val="0"/>
              <w:overflowPunct/>
              <w:topLinePunct w:val="0"/>
              <w:autoSpaceDE/>
              <w:autoSpaceDN/>
              <w:bidi w:val="0"/>
              <w:adjustRightInd w:val="0"/>
              <w:snapToGrid w:val="0"/>
              <w:jc w:val="both"/>
              <w:textAlignment w:val="auto"/>
              <w:rPr>
                <w:rFonts w:hint="eastAsia" w:cs="Times New Roman"/>
                <w:sz w:val="24"/>
                <w:szCs w:val="24"/>
                <w:highlight w:val="none"/>
                <w:lang w:val="en-US" w:eastAsia="zh-CN"/>
              </w:rPr>
            </w:pPr>
            <w:r>
              <w:rPr>
                <w:rFonts w:hint="eastAsia" w:cs="Times New Roman"/>
                <w:sz w:val="24"/>
                <w:szCs w:val="24"/>
                <w:highlight w:val="none"/>
                <w:lang w:val="en-US" w:eastAsia="zh-CN"/>
              </w:rPr>
              <w:t>胜利渠武旺段：新建1007m混凝土排水管道；</w:t>
            </w:r>
          </w:p>
          <w:p w14:paraId="63C83376">
            <w:pPr>
              <w:keepNext w:val="0"/>
              <w:keepLines w:val="0"/>
              <w:pageBreakBefore w:val="0"/>
              <w:widowControl w:val="0"/>
              <w:kinsoku/>
              <w:wordWrap w:val="0"/>
              <w:overflowPunct/>
              <w:topLinePunct w:val="0"/>
              <w:autoSpaceDE/>
              <w:autoSpaceDN/>
              <w:bidi w:val="0"/>
              <w:adjustRightInd w:val="0"/>
              <w:snapToGrid w:val="0"/>
              <w:jc w:val="both"/>
              <w:textAlignment w:val="auto"/>
              <w:rPr>
                <w:rFonts w:hint="eastAsia" w:cs="Times New Roman"/>
                <w:sz w:val="24"/>
                <w:szCs w:val="24"/>
                <w:highlight w:val="none"/>
                <w:lang w:val="en-US" w:eastAsia="zh-CN"/>
              </w:rPr>
            </w:pPr>
            <w:r>
              <w:rPr>
                <w:rFonts w:hint="eastAsia" w:cs="Times New Roman"/>
                <w:sz w:val="24"/>
                <w:szCs w:val="24"/>
                <w:highlight w:val="none"/>
                <w:lang w:val="en-US" w:eastAsia="zh-CN"/>
              </w:rPr>
              <w:t>胜利渠西夏寒段：新建1319m排水暗涵及混凝土排水管道；</w:t>
            </w:r>
          </w:p>
          <w:p w14:paraId="228F1A5B">
            <w:pPr>
              <w:keepNext w:val="0"/>
              <w:keepLines w:val="0"/>
              <w:pageBreakBefore w:val="0"/>
              <w:widowControl w:val="0"/>
              <w:kinsoku/>
              <w:wordWrap w:val="0"/>
              <w:overflowPunct/>
              <w:topLinePunct w:val="0"/>
              <w:autoSpaceDE/>
              <w:autoSpaceDN/>
              <w:bidi w:val="0"/>
              <w:adjustRightInd w:val="0"/>
              <w:snapToGrid w:val="0"/>
              <w:jc w:val="both"/>
              <w:textAlignment w:val="auto"/>
              <w:rPr>
                <w:rFonts w:hint="default" w:cs="Times New Roman"/>
                <w:sz w:val="24"/>
                <w:szCs w:val="24"/>
                <w:highlight w:val="none"/>
                <w:lang w:val="en-US" w:eastAsia="zh-CN"/>
              </w:rPr>
            </w:pPr>
            <w:r>
              <w:rPr>
                <w:rFonts w:hint="eastAsia" w:cs="Times New Roman"/>
                <w:sz w:val="24"/>
                <w:szCs w:val="24"/>
                <w:highlight w:val="none"/>
                <w:lang w:val="en-US" w:eastAsia="zh-CN"/>
              </w:rPr>
              <w:t>胜利渠跨金线河段：将30m明渠改为地下暗渠。</w:t>
            </w:r>
          </w:p>
        </w:tc>
      </w:tr>
      <w:tr w14:paraId="04FC03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1118" w:type="dxa"/>
            <w:noWrap w:val="0"/>
            <w:tcMar>
              <w:top w:w="16" w:type="dxa"/>
              <w:left w:w="16" w:type="dxa"/>
              <w:right w:w="16" w:type="dxa"/>
            </w:tcMar>
            <w:vAlign w:val="center"/>
          </w:tcPr>
          <w:p w14:paraId="053790E3">
            <w:pPr>
              <w:adjustRightInd w:val="0"/>
              <w:snapToGrid w:val="0"/>
              <w:jc w:val="center"/>
              <w:rPr>
                <w:rFonts w:ascii="宋体" w:hAnsi="宋体" w:cs="宋体"/>
                <w:sz w:val="24"/>
                <w:szCs w:val="24"/>
                <w:highlight w:val="none"/>
              </w:rPr>
            </w:pPr>
            <w:r>
              <w:rPr>
                <w:rFonts w:hint="eastAsia" w:ascii="宋体" w:hAnsi="宋体" w:cs="宋体"/>
                <w:sz w:val="24"/>
                <w:szCs w:val="24"/>
                <w:highlight w:val="none"/>
              </w:rPr>
              <w:t>建设性质</w:t>
            </w:r>
          </w:p>
        </w:tc>
        <w:tc>
          <w:tcPr>
            <w:tcW w:w="3461" w:type="dxa"/>
            <w:noWrap w:val="0"/>
            <w:vAlign w:val="center"/>
          </w:tcPr>
          <w:p w14:paraId="68AB6D1F">
            <w:pPr>
              <w:adjustRightInd w:val="0"/>
              <w:snapToGrid w:val="0"/>
              <w:jc w:val="left"/>
              <w:rPr>
                <w:rFonts w:ascii="宋体" w:hAnsi="宋体" w:cs="宋体"/>
                <w:sz w:val="24"/>
                <w:szCs w:val="24"/>
                <w:highlight w:val="none"/>
              </w:rPr>
            </w:pPr>
            <w:r>
              <w:rPr>
                <w:rFonts w:hint="eastAsia" w:ascii="宋体" w:hAnsi="宋体" w:cs="宋体"/>
                <w:sz w:val="24"/>
                <w:szCs w:val="24"/>
                <w:highlight w:val="none"/>
              </w:rPr>
              <w:t>□新建（迁建）</w:t>
            </w:r>
          </w:p>
          <w:p w14:paraId="7D3DB795">
            <w:pPr>
              <w:adjustRightInd w:val="0"/>
              <w:snapToGrid w:val="0"/>
              <w:jc w:val="left"/>
              <w:rPr>
                <w:rFonts w:ascii="宋体" w:hAnsi="宋体" w:cs="宋体"/>
                <w:sz w:val="24"/>
                <w:szCs w:val="24"/>
                <w:highlight w:val="none"/>
              </w:rPr>
            </w:pPr>
            <w:r>
              <w:rPr>
                <w:rFonts w:hint="eastAsia" w:ascii="宋体" w:hAnsi="宋体" w:cs="宋体"/>
                <w:sz w:val="24"/>
                <w:szCs w:val="24"/>
                <w:highlight w:val="none"/>
                <w:lang w:eastAsia="zh-CN"/>
              </w:rPr>
              <w:t>☑</w:t>
            </w:r>
            <w:r>
              <w:rPr>
                <w:rFonts w:hint="eastAsia" w:ascii="宋体" w:hAnsi="宋体" w:cs="宋体"/>
                <w:sz w:val="24"/>
                <w:szCs w:val="24"/>
                <w:highlight w:val="none"/>
              </w:rPr>
              <w:t>改建</w:t>
            </w:r>
          </w:p>
          <w:p w14:paraId="2BC592CD">
            <w:pPr>
              <w:adjustRightInd w:val="0"/>
              <w:snapToGrid w:val="0"/>
              <w:jc w:val="left"/>
              <w:rPr>
                <w:rFonts w:ascii="宋体" w:hAnsi="宋体" w:cs="宋体"/>
                <w:sz w:val="24"/>
                <w:szCs w:val="24"/>
                <w:highlight w:val="none"/>
              </w:rPr>
            </w:pPr>
            <w:r>
              <w:rPr>
                <w:rFonts w:hint="eastAsia" w:ascii="宋体" w:hAnsi="宋体" w:cs="宋体"/>
                <w:sz w:val="24"/>
                <w:szCs w:val="24"/>
                <w:highlight w:val="none"/>
              </w:rPr>
              <w:t>□扩建</w:t>
            </w:r>
          </w:p>
          <w:p w14:paraId="55F54AA8">
            <w:pPr>
              <w:adjustRightInd w:val="0"/>
              <w:snapToGrid w:val="0"/>
              <w:jc w:val="left"/>
              <w:rPr>
                <w:rFonts w:ascii="宋体" w:hAnsi="宋体" w:cs="宋体"/>
                <w:sz w:val="24"/>
                <w:szCs w:val="24"/>
                <w:highlight w:val="none"/>
              </w:rPr>
            </w:pPr>
            <w:r>
              <w:rPr>
                <w:rFonts w:hint="eastAsia" w:ascii="宋体" w:hAnsi="宋体" w:cs="宋体"/>
                <w:sz w:val="24"/>
                <w:szCs w:val="24"/>
                <w:highlight w:val="none"/>
              </w:rPr>
              <w:t>□技术改造</w:t>
            </w:r>
          </w:p>
        </w:tc>
        <w:tc>
          <w:tcPr>
            <w:tcW w:w="2202" w:type="dxa"/>
            <w:noWrap w:val="0"/>
            <w:vAlign w:val="center"/>
          </w:tcPr>
          <w:p w14:paraId="1BB98375">
            <w:pPr>
              <w:adjustRightInd w:val="0"/>
              <w:snapToGrid w:val="0"/>
              <w:jc w:val="center"/>
              <w:rPr>
                <w:rFonts w:ascii="宋体" w:hAnsi="宋体" w:cs="宋体"/>
                <w:sz w:val="24"/>
                <w:szCs w:val="24"/>
                <w:highlight w:val="none"/>
              </w:rPr>
            </w:pPr>
            <w:r>
              <w:rPr>
                <w:rFonts w:hint="eastAsia" w:ascii="宋体" w:hAnsi="宋体" w:cs="宋体"/>
                <w:sz w:val="24"/>
                <w:szCs w:val="24"/>
                <w:highlight w:val="none"/>
              </w:rPr>
              <w:t>建设项目</w:t>
            </w:r>
          </w:p>
          <w:p w14:paraId="40E5C03E">
            <w:pPr>
              <w:adjustRightInd w:val="0"/>
              <w:snapToGrid w:val="0"/>
              <w:jc w:val="center"/>
              <w:rPr>
                <w:rFonts w:ascii="宋体" w:hAnsi="宋体" w:cs="宋体"/>
                <w:sz w:val="24"/>
                <w:szCs w:val="24"/>
                <w:highlight w:val="none"/>
              </w:rPr>
            </w:pPr>
            <w:r>
              <w:rPr>
                <w:rFonts w:hint="eastAsia" w:ascii="宋体" w:hAnsi="宋体" w:cs="宋体"/>
                <w:sz w:val="24"/>
                <w:szCs w:val="24"/>
                <w:highlight w:val="none"/>
              </w:rPr>
              <w:t>申报情形</w:t>
            </w:r>
          </w:p>
        </w:tc>
        <w:tc>
          <w:tcPr>
            <w:tcW w:w="2738" w:type="dxa"/>
            <w:gridSpan w:val="2"/>
            <w:noWrap w:val="0"/>
            <w:vAlign w:val="center"/>
          </w:tcPr>
          <w:p w14:paraId="6D81308F">
            <w:pPr>
              <w:adjustRightInd w:val="0"/>
              <w:snapToGrid w:val="0"/>
              <w:jc w:val="left"/>
              <w:rPr>
                <w:rFonts w:ascii="宋体" w:hAnsi="宋体" w:cs="宋体"/>
                <w:sz w:val="24"/>
                <w:szCs w:val="24"/>
                <w:highlight w:val="none"/>
              </w:rPr>
            </w:pPr>
            <w:r>
              <w:rPr>
                <w:rFonts w:hint="eastAsia" w:ascii="宋体" w:hAnsi="宋体" w:cs="宋体"/>
                <w:sz w:val="24"/>
                <w:szCs w:val="24"/>
                <w:highlight w:val="none"/>
                <w:lang w:eastAsia="zh-CN"/>
              </w:rPr>
              <w:t>☑</w:t>
            </w:r>
            <w:r>
              <w:rPr>
                <w:rFonts w:hint="eastAsia" w:ascii="宋体" w:hAnsi="宋体" w:cs="宋体"/>
                <w:sz w:val="24"/>
                <w:szCs w:val="24"/>
                <w:highlight w:val="none"/>
              </w:rPr>
              <w:t>首次申报项目</w:t>
            </w:r>
          </w:p>
          <w:p w14:paraId="4C4D5051">
            <w:pPr>
              <w:adjustRightInd w:val="0"/>
              <w:snapToGrid w:val="0"/>
              <w:jc w:val="left"/>
              <w:rPr>
                <w:rFonts w:ascii="宋体" w:hAnsi="宋体" w:cs="宋体"/>
                <w:sz w:val="24"/>
                <w:szCs w:val="24"/>
                <w:highlight w:val="none"/>
              </w:rPr>
            </w:pPr>
            <w:r>
              <w:rPr>
                <w:rFonts w:hint="eastAsia" w:ascii="宋体" w:hAnsi="宋体" w:cs="宋体"/>
                <w:sz w:val="24"/>
                <w:szCs w:val="24"/>
                <w:highlight w:val="none"/>
              </w:rPr>
              <w:t>□不予批准后再次申报项目</w:t>
            </w:r>
          </w:p>
          <w:p w14:paraId="523115A9">
            <w:pPr>
              <w:adjustRightInd w:val="0"/>
              <w:snapToGrid w:val="0"/>
              <w:jc w:val="left"/>
              <w:rPr>
                <w:rFonts w:ascii="宋体" w:hAnsi="宋体" w:cs="宋体"/>
                <w:sz w:val="24"/>
                <w:szCs w:val="24"/>
                <w:highlight w:val="none"/>
              </w:rPr>
            </w:pPr>
            <w:r>
              <w:rPr>
                <w:rFonts w:hint="eastAsia" w:ascii="宋体" w:hAnsi="宋体" w:cs="宋体"/>
                <w:sz w:val="24"/>
                <w:szCs w:val="24"/>
                <w:highlight w:val="none"/>
              </w:rPr>
              <w:t>□超五年重新审核项目</w:t>
            </w:r>
          </w:p>
          <w:p w14:paraId="3063080E">
            <w:pPr>
              <w:adjustRightInd w:val="0"/>
              <w:snapToGrid w:val="0"/>
              <w:rPr>
                <w:rFonts w:ascii="宋体" w:hAnsi="宋体" w:cs="宋体"/>
                <w:sz w:val="24"/>
                <w:szCs w:val="24"/>
                <w:highlight w:val="none"/>
              </w:rPr>
            </w:pPr>
            <w:r>
              <w:rPr>
                <w:rFonts w:hint="eastAsia" w:ascii="宋体" w:hAnsi="宋体" w:cs="宋体"/>
                <w:sz w:val="24"/>
                <w:szCs w:val="24"/>
                <w:highlight w:val="none"/>
              </w:rPr>
              <w:t>□重大变动重新报批项目</w:t>
            </w:r>
          </w:p>
        </w:tc>
      </w:tr>
      <w:tr w14:paraId="36E1ED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1118" w:type="dxa"/>
            <w:noWrap w:val="0"/>
            <w:tcMar>
              <w:top w:w="16" w:type="dxa"/>
              <w:left w:w="16" w:type="dxa"/>
              <w:right w:w="16" w:type="dxa"/>
            </w:tcMar>
            <w:vAlign w:val="center"/>
          </w:tcPr>
          <w:p w14:paraId="5CBFCD4D">
            <w:pPr>
              <w:adjustRightInd w:val="0"/>
              <w:snapToGrid w:val="0"/>
              <w:jc w:val="center"/>
              <w:rPr>
                <w:rFonts w:ascii="宋体" w:hAnsi="宋体" w:cs="宋体"/>
                <w:sz w:val="24"/>
                <w:szCs w:val="24"/>
                <w:highlight w:val="none"/>
              </w:rPr>
            </w:pPr>
            <w:r>
              <w:rPr>
                <w:rFonts w:hint="eastAsia" w:ascii="宋体" w:hAnsi="宋体" w:cs="宋体"/>
                <w:sz w:val="24"/>
                <w:szCs w:val="24"/>
                <w:highlight w:val="none"/>
              </w:rPr>
              <w:t>项目审批（核准</w:t>
            </w:r>
            <w:r>
              <w:rPr>
                <w:rFonts w:ascii="宋体" w:hAnsi="宋体" w:cs="宋体"/>
                <w:sz w:val="24"/>
                <w:szCs w:val="24"/>
                <w:highlight w:val="none"/>
              </w:rPr>
              <w:t>/</w:t>
            </w:r>
          </w:p>
          <w:p w14:paraId="0693FB2E">
            <w:pPr>
              <w:adjustRightInd w:val="0"/>
              <w:snapToGrid w:val="0"/>
              <w:jc w:val="center"/>
              <w:rPr>
                <w:rFonts w:ascii="宋体" w:hAnsi="宋体" w:cs="宋体"/>
                <w:sz w:val="24"/>
                <w:szCs w:val="24"/>
                <w:highlight w:val="none"/>
              </w:rPr>
            </w:pPr>
            <w:r>
              <w:rPr>
                <w:rFonts w:hint="eastAsia" w:ascii="宋体" w:hAnsi="宋体" w:cs="宋体"/>
                <w:sz w:val="24"/>
                <w:szCs w:val="24"/>
                <w:highlight w:val="none"/>
              </w:rPr>
              <w:t>备案）部门（选填）</w:t>
            </w:r>
          </w:p>
        </w:tc>
        <w:tc>
          <w:tcPr>
            <w:tcW w:w="3461" w:type="dxa"/>
            <w:noWrap w:val="0"/>
            <w:vAlign w:val="center"/>
          </w:tcPr>
          <w:p w14:paraId="2B8B650E">
            <w:pPr>
              <w:adjustRightInd w:val="0"/>
              <w:snapToGrid w:val="0"/>
              <w:jc w:val="center"/>
              <w:rPr>
                <w:rFonts w:hint="eastAsia" w:ascii="宋体" w:hAnsi="宋体" w:eastAsia="宋体" w:cs="宋体"/>
                <w:sz w:val="24"/>
                <w:szCs w:val="24"/>
                <w:highlight w:val="none"/>
                <w:lang w:eastAsia="zh-CN"/>
              </w:rPr>
            </w:pPr>
            <w:r>
              <w:rPr>
                <w:rFonts w:hint="eastAsia" w:ascii="宋体" w:hAnsi="宋体" w:cs="宋体"/>
                <w:sz w:val="24"/>
                <w:szCs w:val="24"/>
                <w:highlight w:val="none"/>
                <w:lang w:eastAsia="zh-CN"/>
              </w:rPr>
              <w:t>安阳市殷都区发展和改革委员会</w:t>
            </w:r>
          </w:p>
        </w:tc>
        <w:tc>
          <w:tcPr>
            <w:tcW w:w="2202" w:type="dxa"/>
            <w:noWrap w:val="0"/>
            <w:vAlign w:val="center"/>
          </w:tcPr>
          <w:p w14:paraId="4EC41337">
            <w:pPr>
              <w:adjustRightInd w:val="0"/>
              <w:snapToGrid w:val="0"/>
              <w:jc w:val="center"/>
              <w:rPr>
                <w:rFonts w:ascii="宋体" w:hAnsi="宋体" w:cs="宋体"/>
                <w:sz w:val="24"/>
                <w:szCs w:val="24"/>
                <w:highlight w:val="none"/>
              </w:rPr>
            </w:pPr>
            <w:r>
              <w:rPr>
                <w:rFonts w:hint="eastAsia" w:ascii="宋体" w:hAnsi="宋体" w:cs="宋体"/>
                <w:sz w:val="24"/>
                <w:szCs w:val="24"/>
                <w:highlight w:val="none"/>
              </w:rPr>
              <w:t>项目审批（核准</w:t>
            </w:r>
            <w:r>
              <w:rPr>
                <w:rFonts w:ascii="宋体" w:hAnsi="宋体" w:cs="宋体"/>
                <w:sz w:val="24"/>
                <w:szCs w:val="24"/>
                <w:highlight w:val="none"/>
              </w:rPr>
              <w:t>/</w:t>
            </w:r>
          </w:p>
          <w:p w14:paraId="3FBBD2E5">
            <w:pPr>
              <w:adjustRightInd w:val="0"/>
              <w:snapToGrid w:val="0"/>
              <w:jc w:val="center"/>
              <w:rPr>
                <w:rFonts w:ascii="宋体" w:hAnsi="宋体" w:cs="宋体"/>
                <w:sz w:val="24"/>
                <w:szCs w:val="24"/>
                <w:highlight w:val="none"/>
              </w:rPr>
            </w:pPr>
            <w:r>
              <w:rPr>
                <w:rFonts w:hint="eastAsia" w:ascii="宋体" w:hAnsi="宋体" w:cs="宋体"/>
                <w:sz w:val="24"/>
                <w:szCs w:val="24"/>
                <w:highlight w:val="none"/>
              </w:rPr>
              <w:t>备案）文号（选填）</w:t>
            </w:r>
          </w:p>
        </w:tc>
        <w:tc>
          <w:tcPr>
            <w:tcW w:w="2738" w:type="dxa"/>
            <w:gridSpan w:val="2"/>
            <w:noWrap w:val="0"/>
            <w:vAlign w:val="center"/>
          </w:tcPr>
          <w:p w14:paraId="2CCC5DB0">
            <w:pPr>
              <w:adjustRightInd w:val="0"/>
              <w:snapToGrid w:val="0"/>
              <w:jc w:val="center"/>
              <w:rPr>
                <w:rFonts w:hint="default" w:ascii="宋体" w:hAnsi="宋体" w:eastAsia="宋体" w:cs="宋体"/>
                <w:sz w:val="24"/>
                <w:szCs w:val="24"/>
                <w:highlight w:val="none"/>
                <w:lang w:val="en-US" w:eastAsia="zh-CN"/>
              </w:rPr>
            </w:pPr>
            <w:r>
              <w:rPr>
                <w:rFonts w:hint="eastAsia" w:cs="Times New Roman"/>
                <w:sz w:val="24"/>
                <w:szCs w:val="24"/>
                <w:highlight w:val="none"/>
                <w:lang w:val="en-US" w:eastAsia="zh-CN"/>
              </w:rPr>
              <w:t>2404-410505-04-05-887758</w:t>
            </w:r>
          </w:p>
        </w:tc>
      </w:tr>
      <w:tr w14:paraId="1F5F80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118" w:type="dxa"/>
            <w:noWrap w:val="0"/>
            <w:tcMar>
              <w:top w:w="16" w:type="dxa"/>
              <w:left w:w="16" w:type="dxa"/>
              <w:right w:w="16" w:type="dxa"/>
            </w:tcMar>
            <w:vAlign w:val="center"/>
          </w:tcPr>
          <w:p w14:paraId="5F8FCDB5">
            <w:pPr>
              <w:adjustRightInd w:val="0"/>
              <w:snapToGrid w:val="0"/>
              <w:jc w:val="center"/>
              <w:rPr>
                <w:rFonts w:ascii="宋体" w:hAnsi="宋体" w:cs="宋体"/>
                <w:sz w:val="24"/>
                <w:szCs w:val="24"/>
                <w:highlight w:val="none"/>
              </w:rPr>
            </w:pPr>
            <w:r>
              <w:rPr>
                <w:rFonts w:hint="eastAsia" w:ascii="宋体" w:hAnsi="宋体" w:cs="宋体"/>
                <w:sz w:val="24"/>
                <w:szCs w:val="24"/>
                <w:highlight w:val="none"/>
              </w:rPr>
              <w:t>总投资（万元）</w:t>
            </w:r>
          </w:p>
        </w:tc>
        <w:tc>
          <w:tcPr>
            <w:tcW w:w="3461" w:type="dxa"/>
            <w:noWrap w:val="0"/>
            <w:vAlign w:val="center"/>
          </w:tcPr>
          <w:p w14:paraId="2DA67B92">
            <w:pPr>
              <w:adjustRightInd w:val="0"/>
              <w:snapToGrid w:val="0"/>
              <w:jc w:val="center"/>
              <w:rPr>
                <w:rFonts w:hint="default" w:ascii="Times New Roman" w:hAnsi="Times New Roman" w:eastAsia="宋体" w:cs="Times New Roman"/>
                <w:sz w:val="24"/>
                <w:szCs w:val="24"/>
                <w:highlight w:val="none"/>
                <w:lang w:val="en-US" w:eastAsia="zh-CN"/>
              </w:rPr>
            </w:pPr>
            <w:r>
              <w:rPr>
                <w:rFonts w:hint="eastAsia" w:cs="Times New Roman"/>
                <w:sz w:val="24"/>
                <w:szCs w:val="24"/>
                <w:highlight w:val="none"/>
                <w:lang w:val="en-US" w:eastAsia="zh-CN"/>
              </w:rPr>
              <w:t>3179.41</w:t>
            </w:r>
          </w:p>
        </w:tc>
        <w:tc>
          <w:tcPr>
            <w:tcW w:w="2202" w:type="dxa"/>
            <w:noWrap w:val="0"/>
            <w:tcMar>
              <w:top w:w="16" w:type="dxa"/>
              <w:left w:w="16" w:type="dxa"/>
              <w:right w:w="16" w:type="dxa"/>
            </w:tcMar>
            <w:vAlign w:val="center"/>
          </w:tcPr>
          <w:p w14:paraId="66CB0439">
            <w:pPr>
              <w:adjustRightInd w:val="0"/>
              <w:snapToGrid w:val="0"/>
              <w:jc w:val="center"/>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环保投资（万元）</w:t>
            </w:r>
          </w:p>
        </w:tc>
        <w:tc>
          <w:tcPr>
            <w:tcW w:w="2738" w:type="dxa"/>
            <w:gridSpan w:val="2"/>
            <w:noWrap w:val="0"/>
            <w:vAlign w:val="center"/>
          </w:tcPr>
          <w:p w14:paraId="46F9E393">
            <w:pPr>
              <w:adjustRightInd w:val="0"/>
              <w:snapToGrid w:val="0"/>
              <w:jc w:val="center"/>
              <w:rPr>
                <w:rFonts w:hint="default" w:ascii="Times New Roman" w:hAnsi="Times New Roman" w:eastAsia="宋体" w:cs="Times New Roman"/>
                <w:sz w:val="24"/>
                <w:szCs w:val="24"/>
                <w:highlight w:val="none"/>
                <w:lang w:val="en-US" w:eastAsia="zh-CN"/>
              </w:rPr>
            </w:pPr>
            <w:r>
              <w:rPr>
                <w:rFonts w:hint="eastAsia" w:cs="Times New Roman"/>
                <w:sz w:val="24"/>
                <w:szCs w:val="24"/>
                <w:highlight w:val="none"/>
                <w:lang w:val="en-US" w:eastAsia="zh-CN"/>
              </w:rPr>
              <w:t>14.05</w:t>
            </w:r>
          </w:p>
        </w:tc>
      </w:tr>
      <w:tr w14:paraId="0A5E8C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1118" w:type="dxa"/>
            <w:noWrap w:val="0"/>
            <w:tcMar>
              <w:top w:w="16" w:type="dxa"/>
              <w:left w:w="16" w:type="dxa"/>
              <w:right w:w="16" w:type="dxa"/>
            </w:tcMar>
            <w:vAlign w:val="center"/>
          </w:tcPr>
          <w:p w14:paraId="3D207208">
            <w:pPr>
              <w:adjustRightInd w:val="0"/>
              <w:snapToGrid w:val="0"/>
              <w:jc w:val="center"/>
              <w:rPr>
                <w:rFonts w:ascii="宋体" w:hAnsi="宋体" w:cs="宋体"/>
                <w:sz w:val="24"/>
                <w:szCs w:val="24"/>
                <w:highlight w:val="none"/>
              </w:rPr>
            </w:pPr>
            <w:r>
              <w:rPr>
                <w:rFonts w:hint="eastAsia" w:ascii="宋体" w:hAnsi="宋体" w:cs="宋体"/>
                <w:sz w:val="24"/>
                <w:szCs w:val="24"/>
                <w:highlight w:val="none"/>
              </w:rPr>
              <w:t>环保投资占比（</w:t>
            </w:r>
            <w:r>
              <w:rPr>
                <w:rFonts w:ascii="宋体" w:hAnsi="宋体" w:cs="宋体"/>
                <w:sz w:val="24"/>
                <w:szCs w:val="24"/>
                <w:highlight w:val="none"/>
              </w:rPr>
              <w:t>%</w:t>
            </w:r>
            <w:r>
              <w:rPr>
                <w:rFonts w:hint="eastAsia" w:ascii="宋体" w:hAnsi="宋体" w:cs="宋体"/>
                <w:sz w:val="24"/>
                <w:szCs w:val="24"/>
                <w:highlight w:val="none"/>
              </w:rPr>
              <w:t>）</w:t>
            </w:r>
          </w:p>
        </w:tc>
        <w:tc>
          <w:tcPr>
            <w:tcW w:w="3461" w:type="dxa"/>
            <w:noWrap w:val="0"/>
            <w:vAlign w:val="center"/>
          </w:tcPr>
          <w:p w14:paraId="0AFDBC69">
            <w:pPr>
              <w:adjustRightInd w:val="0"/>
              <w:snapToGrid w:val="0"/>
              <w:jc w:val="center"/>
              <w:rPr>
                <w:rFonts w:hint="default" w:ascii="Times New Roman" w:hAnsi="Times New Roman" w:eastAsia="宋体" w:cs="Times New Roman"/>
                <w:sz w:val="24"/>
                <w:szCs w:val="24"/>
                <w:highlight w:val="none"/>
                <w:lang w:val="en-US" w:eastAsia="zh-CN"/>
              </w:rPr>
            </w:pPr>
            <w:r>
              <w:rPr>
                <w:rFonts w:hint="eastAsia" w:cs="Times New Roman"/>
                <w:sz w:val="24"/>
                <w:szCs w:val="24"/>
                <w:highlight w:val="none"/>
                <w:lang w:val="en-US" w:eastAsia="zh-CN"/>
              </w:rPr>
              <w:t>0.44</w:t>
            </w:r>
          </w:p>
        </w:tc>
        <w:tc>
          <w:tcPr>
            <w:tcW w:w="2202" w:type="dxa"/>
            <w:noWrap w:val="0"/>
            <w:tcMar>
              <w:top w:w="16" w:type="dxa"/>
              <w:left w:w="16" w:type="dxa"/>
              <w:right w:w="16" w:type="dxa"/>
            </w:tcMar>
            <w:vAlign w:val="center"/>
          </w:tcPr>
          <w:p w14:paraId="5811D47A">
            <w:pPr>
              <w:adjustRightInd w:val="0"/>
              <w:snapToGrid w:val="0"/>
              <w:jc w:val="center"/>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施工工期</w:t>
            </w:r>
          </w:p>
        </w:tc>
        <w:tc>
          <w:tcPr>
            <w:tcW w:w="2738" w:type="dxa"/>
            <w:gridSpan w:val="2"/>
            <w:noWrap w:val="0"/>
            <w:vAlign w:val="center"/>
          </w:tcPr>
          <w:p w14:paraId="350D97BD">
            <w:pPr>
              <w:adjustRightInd w:val="0"/>
              <w:snapToGrid w:val="0"/>
              <w:jc w:val="center"/>
              <w:rPr>
                <w:rFonts w:hint="default" w:ascii="Times New Roman" w:hAnsi="Times New Roman" w:eastAsia="宋体" w:cs="Times New Roman"/>
                <w:sz w:val="24"/>
                <w:szCs w:val="24"/>
                <w:highlight w:val="none"/>
                <w:lang w:val="en-US" w:eastAsia="zh-CN"/>
              </w:rPr>
            </w:pPr>
            <w:r>
              <w:rPr>
                <w:rFonts w:hint="default" w:ascii="Times New Roman" w:hAnsi="Times New Roman" w:cs="Times New Roman"/>
                <w:sz w:val="24"/>
                <w:szCs w:val="24"/>
                <w:highlight w:val="none"/>
                <w:lang w:val="en-US" w:eastAsia="zh-CN"/>
              </w:rPr>
              <w:t>1</w:t>
            </w:r>
            <w:r>
              <w:rPr>
                <w:rFonts w:hint="eastAsia" w:cs="Times New Roman"/>
                <w:sz w:val="24"/>
                <w:szCs w:val="24"/>
                <w:highlight w:val="none"/>
                <w:lang w:val="en-US" w:eastAsia="zh-CN"/>
              </w:rPr>
              <w:t>2</w:t>
            </w:r>
            <w:r>
              <w:rPr>
                <w:rFonts w:hint="default" w:ascii="Times New Roman" w:hAnsi="Times New Roman" w:cs="Times New Roman"/>
                <w:sz w:val="24"/>
                <w:szCs w:val="24"/>
                <w:highlight w:val="none"/>
                <w:lang w:val="en-US" w:eastAsia="zh-CN"/>
              </w:rPr>
              <w:t>个月</w:t>
            </w:r>
          </w:p>
        </w:tc>
      </w:tr>
      <w:tr w14:paraId="070A67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118" w:type="dxa"/>
            <w:noWrap w:val="0"/>
            <w:tcMar>
              <w:top w:w="16" w:type="dxa"/>
              <w:left w:w="16" w:type="dxa"/>
              <w:right w:w="16" w:type="dxa"/>
            </w:tcMar>
            <w:vAlign w:val="center"/>
          </w:tcPr>
          <w:p w14:paraId="2EEA2E2E">
            <w:pPr>
              <w:adjustRightInd w:val="0"/>
              <w:snapToGrid w:val="0"/>
              <w:jc w:val="center"/>
              <w:rPr>
                <w:rFonts w:ascii="宋体" w:hAnsi="宋体" w:cs="宋体"/>
                <w:sz w:val="24"/>
                <w:szCs w:val="24"/>
                <w:highlight w:val="none"/>
              </w:rPr>
            </w:pPr>
            <w:r>
              <w:rPr>
                <w:rFonts w:hint="eastAsia" w:ascii="宋体" w:hAnsi="宋体" w:cs="宋体"/>
                <w:sz w:val="24"/>
                <w:szCs w:val="24"/>
                <w:highlight w:val="none"/>
              </w:rPr>
              <w:t>是否开工建设</w:t>
            </w:r>
          </w:p>
        </w:tc>
        <w:tc>
          <w:tcPr>
            <w:tcW w:w="8401" w:type="dxa"/>
            <w:gridSpan w:val="4"/>
            <w:noWrap w:val="0"/>
            <w:vAlign w:val="center"/>
          </w:tcPr>
          <w:p w14:paraId="21DB62F1">
            <w:pPr>
              <w:adjustRightInd w:val="0"/>
              <w:snapToGrid w:val="0"/>
              <w:ind w:firstLine="105"/>
              <w:jc w:val="left"/>
              <w:rPr>
                <w:rFonts w:ascii="宋体" w:hAnsi="宋体" w:cs="宋体"/>
                <w:sz w:val="24"/>
                <w:szCs w:val="24"/>
                <w:highlight w:val="none"/>
              </w:rPr>
            </w:pPr>
            <w:r>
              <w:rPr>
                <w:rFonts w:hint="eastAsia" w:ascii="宋体" w:hAnsi="宋体" w:cs="宋体"/>
                <w:sz w:val="24"/>
                <w:szCs w:val="24"/>
                <w:highlight w:val="none"/>
                <w:lang w:eastAsia="zh-CN"/>
              </w:rPr>
              <w:t>☑</w:t>
            </w:r>
            <w:r>
              <w:rPr>
                <w:rFonts w:hint="eastAsia" w:ascii="宋体" w:hAnsi="宋体" w:cs="宋体"/>
                <w:sz w:val="24"/>
                <w:szCs w:val="24"/>
                <w:highlight w:val="none"/>
              </w:rPr>
              <w:t>否</w:t>
            </w:r>
          </w:p>
          <w:p w14:paraId="15D95547">
            <w:pPr>
              <w:adjustRightInd w:val="0"/>
              <w:snapToGrid w:val="0"/>
              <w:ind w:firstLine="92"/>
              <w:jc w:val="left"/>
              <w:rPr>
                <w:rFonts w:ascii="宋体" w:hAnsi="宋体" w:cs="宋体"/>
                <w:sz w:val="24"/>
                <w:szCs w:val="24"/>
                <w:highlight w:val="none"/>
              </w:rPr>
            </w:pPr>
            <w:r>
              <w:rPr>
                <w:rFonts w:hint="eastAsia" w:ascii="宋体" w:hAnsi="宋体" w:cs="宋体"/>
                <w:sz w:val="24"/>
                <w:szCs w:val="24"/>
                <w:highlight w:val="none"/>
              </w:rPr>
              <w:t>□是：</w:t>
            </w:r>
            <w:r>
              <w:rPr>
                <w:rFonts w:ascii="宋体" w:hAnsi="宋体" w:cs="宋体"/>
                <w:sz w:val="24"/>
                <w:szCs w:val="24"/>
                <w:highlight w:val="none"/>
                <w:u w:val="single"/>
              </w:rPr>
              <w:t xml:space="preserve"> </w:t>
            </w:r>
            <w:r>
              <w:rPr>
                <w:rFonts w:hint="eastAsia" w:ascii="宋体" w:hAnsi="宋体" w:cs="宋体"/>
                <w:sz w:val="24"/>
                <w:szCs w:val="24"/>
                <w:highlight w:val="none"/>
                <w:u w:val="single"/>
              </w:rPr>
              <w:t xml:space="preserve">                     </w:t>
            </w:r>
            <w:r>
              <w:rPr>
                <w:rFonts w:ascii="宋体" w:hAnsi="宋体" w:cs="宋体"/>
                <w:sz w:val="24"/>
                <w:szCs w:val="24"/>
                <w:highlight w:val="none"/>
                <w:u w:val="single"/>
              </w:rPr>
              <w:t xml:space="preserve">       </w:t>
            </w:r>
          </w:p>
        </w:tc>
      </w:tr>
      <w:tr w14:paraId="7356D2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118" w:type="dxa"/>
            <w:noWrap w:val="0"/>
            <w:tcMar>
              <w:top w:w="16" w:type="dxa"/>
              <w:left w:w="16" w:type="dxa"/>
              <w:right w:w="16" w:type="dxa"/>
            </w:tcMar>
            <w:vAlign w:val="center"/>
          </w:tcPr>
          <w:p w14:paraId="5804295B">
            <w:pPr>
              <w:autoSpaceDE w:val="0"/>
              <w:autoSpaceDN w:val="0"/>
              <w:adjustRightInd w:val="0"/>
              <w:snapToGrid w:val="0"/>
              <w:jc w:val="center"/>
              <w:rPr>
                <w:rFonts w:ascii="宋体" w:hAnsi="宋体" w:cs="宋体"/>
                <w:kern w:val="0"/>
                <w:sz w:val="24"/>
                <w:szCs w:val="24"/>
                <w:highlight w:val="none"/>
              </w:rPr>
            </w:pPr>
            <w:r>
              <w:rPr>
                <w:rFonts w:hint="eastAsia" w:ascii="宋体" w:hAnsi="宋体" w:cs="宋体"/>
                <w:kern w:val="0"/>
                <w:sz w:val="24"/>
                <w:szCs w:val="24"/>
                <w:highlight w:val="none"/>
              </w:rPr>
              <w:t>专项评价设置情况</w:t>
            </w:r>
          </w:p>
        </w:tc>
        <w:tc>
          <w:tcPr>
            <w:tcW w:w="8401" w:type="dxa"/>
            <w:gridSpan w:val="4"/>
            <w:noWrap w:val="0"/>
            <w:tcMar>
              <w:top w:w="16" w:type="dxa"/>
              <w:left w:w="16" w:type="dxa"/>
              <w:right w:w="16" w:type="dxa"/>
            </w:tcMar>
            <w:vAlign w:val="center"/>
          </w:tcPr>
          <w:p w14:paraId="441A944F">
            <w:pPr>
              <w:autoSpaceDE w:val="0"/>
              <w:autoSpaceDN w:val="0"/>
              <w:adjustRightInd w:val="0"/>
              <w:snapToGrid w:val="0"/>
              <w:jc w:val="center"/>
              <w:rPr>
                <w:rFonts w:hint="eastAsia" w:ascii="宋体" w:hAnsi="宋体" w:eastAsia="宋体" w:cs="宋体"/>
                <w:kern w:val="0"/>
                <w:sz w:val="24"/>
                <w:szCs w:val="24"/>
                <w:highlight w:val="none"/>
                <w:lang w:eastAsia="zh-CN"/>
              </w:rPr>
            </w:pPr>
            <w:r>
              <w:rPr>
                <w:rFonts w:hint="eastAsia" w:ascii="宋体" w:hAnsi="宋体" w:cs="宋体"/>
                <w:kern w:val="0"/>
                <w:sz w:val="24"/>
                <w:szCs w:val="24"/>
                <w:highlight w:val="none"/>
                <w:lang w:eastAsia="zh-CN"/>
              </w:rPr>
              <w:t>无</w:t>
            </w:r>
          </w:p>
        </w:tc>
      </w:tr>
      <w:tr w14:paraId="187737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7" w:hRule="atLeast"/>
        </w:trPr>
        <w:tc>
          <w:tcPr>
            <w:tcW w:w="1118" w:type="dxa"/>
            <w:noWrap w:val="0"/>
            <w:tcMar>
              <w:top w:w="16" w:type="dxa"/>
              <w:left w:w="16" w:type="dxa"/>
              <w:right w:w="16" w:type="dxa"/>
            </w:tcMar>
            <w:vAlign w:val="center"/>
          </w:tcPr>
          <w:p w14:paraId="2DCAE58A">
            <w:pPr>
              <w:autoSpaceDE w:val="0"/>
              <w:autoSpaceDN w:val="0"/>
              <w:adjustRightInd w:val="0"/>
              <w:snapToGrid w:val="0"/>
              <w:jc w:val="center"/>
              <w:rPr>
                <w:rFonts w:ascii="宋体" w:hAnsi="宋体" w:cs="宋体"/>
                <w:kern w:val="0"/>
                <w:sz w:val="24"/>
                <w:szCs w:val="24"/>
                <w:highlight w:val="none"/>
              </w:rPr>
            </w:pPr>
            <w:r>
              <w:rPr>
                <w:rFonts w:hint="eastAsia" w:ascii="宋体" w:hAnsi="宋体" w:cs="宋体"/>
                <w:sz w:val="24"/>
                <w:szCs w:val="24"/>
                <w:highlight w:val="none"/>
              </w:rPr>
              <w:t>规划情况</w:t>
            </w:r>
          </w:p>
        </w:tc>
        <w:tc>
          <w:tcPr>
            <w:tcW w:w="8401" w:type="dxa"/>
            <w:gridSpan w:val="4"/>
            <w:noWrap w:val="0"/>
            <w:tcMar>
              <w:top w:w="16" w:type="dxa"/>
              <w:left w:w="16" w:type="dxa"/>
              <w:right w:w="16" w:type="dxa"/>
            </w:tcMar>
            <w:vAlign w:val="center"/>
          </w:tcPr>
          <w:p w14:paraId="40996459">
            <w:pPr>
              <w:spacing w:line="240" w:lineRule="auto"/>
              <w:jc w:val="center"/>
              <w:rPr>
                <w:rFonts w:hint="eastAsia"/>
                <w:color w:val="auto"/>
                <w:sz w:val="24"/>
                <w:szCs w:val="24"/>
                <w:highlight w:val="none"/>
                <w:lang w:eastAsia="zh-CN"/>
              </w:rPr>
            </w:pPr>
            <w:r>
              <w:rPr>
                <w:rFonts w:hint="eastAsia"/>
                <w:color w:val="auto"/>
                <w:sz w:val="24"/>
                <w:szCs w:val="24"/>
                <w:highlight w:val="none"/>
                <w:lang w:eastAsia="zh-CN"/>
              </w:rPr>
              <w:t>《安阳市“十四五”水安全保障和水生态环境保护规划》（安政〔2022〕18号）</w:t>
            </w:r>
          </w:p>
          <w:p w14:paraId="1766D6B0">
            <w:pPr>
              <w:autoSpaceDE w:val="0"/>
              <w:autoSpaceDN w:val="0"/>
              <w:adjustRightInd w:val="0"/>
              <w:snapToGrid w:val="0"/>
              <w:jc w:val="center"/>
              <w:rPr>
                <w:rFonts w:hint="eastAsia" w:ascii="宋体" w:hAnsi="宋体" w:eastAsia="宋体" w:cs="宋体"/>
                <w:kern w:val="0"/>
                <w:sz w:val="24"/>
                <w:szCs w:val="24"/>
                <w:highlight w:val="none"/>
                <w:lang w:eastAsia="zh-CN"/>
              </w:rPr>
            </w:pPr>
            <w:r>
              <w:rPr>
                <w:rFonts w:hint="eastAsia"/>
                <w:color w:val="auto"/>
                <w:sz w:val="24"/>
                <w:szCs w:val="24"/>
                <w:highlight w:val="none"/>
                <w:lang w:eastAsia="zh-CN"/>
              </w:rPr>
              <w:t>《安阳市四水同治规划》（安政办〔2022〕44号）</w:t>
            </w:r>
          </w:p>
        </w:tc>
      </w:tr>
      <w:tr w14:paraId="0754AB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118" w:type="dxa"/>
            <w:noWrap w:val="0"/>
            <w:tcMar>
              <w:top w:w="16" w:type="dxa"/>
              <w:left w:w="16" w:type="dxa"/>
              <w:right w:w="16" w:type="dxa"/>
            </w:tcMar>
            <w:vAlign w:val="center"/>
          </w:tcPr>
          <w:p w14:paraId="2CD44400">
            <w:pPr>
              <w:autoSpaceDE w:val="0"/>
              <w:autoSpaceDN w:val="0"/>
              <w:adjustRightInd w:val="0"/>
              <w:snapToGrid w:val="0"/>
              <w:jc w:val="center"/>
              <w:rPr>
                <w:rFonts w:ascii="宋体" w:hAnsi="宋体" w:cs="宋体"/>
                <w:kern w:val="0"/>
                <w:sz w:val="24"/>
                <w:szCs w:val="24"/>
                <w:highlight w:val="none"/>
              </w:rPr>
            </w:pPr>
            <w:r>
              <w:rPr>
                <w:rFonts w:hint="eastAsia" w:ascii="宋体" w:hAnsi="宋体" w:cs="宋体"/>
                <w:sz w:val="24"/>
                <w:szCs w:val="24"/>
                <w:highlight w:val="none"/>
              </w:rPr>
              <w:t>规划环境影响评价情况</w:t>
            </w:r>
          </w:p>
        </w:tc>
        <w:tc>
          <w:tcPr>
            <w:tcW w:w="8401" w:type="dxa"/>
            <w:gridSpan w:val="4"/>
            <w:noWrap w:val="0"/>
            <w:tcMar>
              <w:top w:w="16" w:type="dxa"/>
              <w:left w:w="16" w:type="dxa"/>
              <w:right w:w="16" w:type="dxa"/>
            </w:tcMar>
            <w:vAlign w:val="center"/>
          </w:tcPr>
          <w:p w14:paraId="67A783D5">
            <w:pPr>
              <w:adjustRightInd w:val="0"/>
              <w:snapToGrid w:val="0"/>
              <w:jc w:val="center"/>
              <w:rPr>
                <w:rFonts w:hint="eastAsia" w:ascii="宋体" w:hAnsi="宋体" w:eastAsia="宋体" w:cs="宋体"/>
                <w:kern w:val="0"/>
                <w:sz w:val="24"/>
                <w:szCs w:val="24"/>
                <w:highlight w:val="none"/>
                <w:lang w:eastAsia="zh-CN"/>
              </w:rPr>
            </w:pPr>
            <w:r>
              <w:rPr>
                <w:rFonts w:hint="eastAsia" w:ascii="宋体" w:hAnsi="宋体" w:cs="宋体"/>
                <w:kern w:val="0"/>
                <w:sz w:val="24"/>
                <w:szCs w:val="24"/>
                <w:highlight w:val="none"/>
                <w:lang w:eastAsia="zh-CN"/>
              </w:rPr>
              <w:t>无</w:t>
            </w:r>
          </w:p>
        </w:tc>
      </w:tr>
      <w:tr w14:paraId="4F99D5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54" w:hRule="atLeast"/>
        </w:trPr>
        <w:tc>
          <w:tcPr>
            <w:tcW w:w="1118" w:type="dxa"/>
            <w:noWrap w:val="0"/>
            <w:tcMar>
              <w:top w:w="16" w:type="dxa"/>
              <w:left w:w="16" w:type="dxa"/>
              <w:right w:w="16" w:type="dxa"/>
            </w:tcMar>
            <w:vAlign w:val="center"/>
          </w:tcPr>
          <w:p w14:paraId="75F36337">
            <w:pPr>
              <w:autoSpaceDE w:val="0"/>
              <w:autoSpaceDN w:val="0"/>
              <w:adjustRightInd w:val="0"/>
              <w:snapToGrid w:val="0"/>
              <w:jc w:val="center"/>
              <w:rPr>
                <w:rFonts w:ascii="宋体" w:hAnsi="宋体" w:cs="宋体"/>
                <w:kern w:val="0"/>
                <w:sz w:val="24"/>
                <w:szCs w:val="24"/>
                <w:highlight w:val="none"/>
              </w:rPr>
            </w:pPr>
            <w:r>
              <w:rPr>
                <w:rFonts w:hint="eastAsia" w:ascii="宋体" w:hAnsi="宋体" w:cs="宋体"/>
                <w:kern w:val="0"/>
                <w:sz w:val="24"/>
                <w:szCs w:val="24"/>
                <w:highlight w:val="none"/>
              </w:rPr>
              <w:t>规划及</w:t>
            </w:r>
            <w:r>
              <w:rPr>
                <w:rFonts w:hint="eastAsia" w:ascii="宋体" w:hAnsi="宋体" w:cs="宋体"/>
                <w:sz w:val="24"/>
                <w:szCs w:val="24"/>
                <w:highlight w:val="none"/>
              </w:rPr>
              <w:t>规划环境影响评价</w:t>
            </w:r>
            <w:r>
              <w:rPr>
                <w:rFonts w:hint="eastAsia" w:ascii="宋体" w:hAnsi="宋体" w:cs="宋体"/>
                <w:kern w:val="0"/>
                <w:sz w:val="24"/>
                <w:szCs w:val="24"/>
                <w:highlight w:val="none"/>
              </w:rPr>
              <w:t>符合性分析</w:t>
            </w:r>
          </w:p>
        </w:tc>
        <w:tc>
          <w:tcPr>
            <w:tcW w:w="8401" w:type="dxa"/>
            <w:gridSpan w:val="4"/>
            <w:noWrap w:val="0"/>
            <w:tcMar>
              <w:top w:w="16" w:type="dxa"/>
              <w:left w:w="16" w:type="dxa"/>
              <w:right w:w="16" w:type="dxa"/>
            </w:tcMar>
            <w:vAlign w:val="center"/>
          </w:tcPr>
          <w:p w14:paraId="18C956AD">
            <w:pPr>
              <w:pStyle w:val="5"/>
              <w:spacing w:line="360" w:lineRule="auto"/>
              <w:rPr>
                <w:rFonts w:hint="eastAsia"/>
                <w:b/>
                <w:bCs/>
                <w:color w:val="auto"/>
                <w:sz w:val="24"/>
                <w:szCs w:val="24"/>
                <w:highlight w:val="none"/>
                <w:lang w:val="en-US" w:eastAsia="zh-CN"/>
              </w:rPr>
            </w:pPr>
            <w:r>
              <w:rPr>
                <w:rFonts w:hint="eastAsia"/>
                <w:b/>
                <w:bCs/>
                <w:color w:val="auto"/>
                <w:sz w:val="24"/>
                <w:szCs w:val="24"/>
                <w:highlight w:val="none"/>
                <w:lang w:val="en-US" w:eastAsia="zh-CN"/>
              </w:rPr>
              <w:t>1.与</w:t>
            </w:r>
            <w:r>
              <w:rPr>
                <w:rFonts w:hint="eastAsia"/>
                <w:b/>
                <w:bCs/>
                <w:color w:val="auto"/>
                <w:sz w:val="24"/>
                <w:szCs w:val="24"/>
                <w:highlight w:val="none"/>
                <w:lang w:eastAsia="zh-CN"/>
              </w:rPr>
              <w:t>《安阳市“十四五”水安全保障和水生态环境保护规划》（</w:t>
            </w:r>
            <w:r>
              <w:rPr>
                <w:rFonts w:hint="eastAsia"/>
                <w:b/>
                <w:bCs/>
                <w:sz w:val="24"/>
                <w:szCs w:val="24"/>
                <w:highlight w:val="none"/>
              </w:rPr>
              <w:t>安政〔2022〕18号</w:t>
            </w:r>
            <w:r>
              <w:rPr>
                <w:rFonts w:hint="eastAsia"/>
                <w:b/>
                <w:bCs/>
                <w:sz w:val="24"/>
                <w:szCs w:val="24"/>
                <w:highlight w:val="none"/>
                <w:lang w:eastAsia="zh-CN"/>
              </w:rPr>
              <w:t>）</w:t>
            </w:r>
            <w:r>
              <w:rPr>
                <w:rFonts w:hint="eastAsia"/>
                <w:b/>
                <w:bCs/>
                <w:color w:val="auto"/>
                <w:sz w:val="24"/>
                <w:szCs w:val="24"/>
                <w:highlight w:val="none"/>
                <w:lang w:val="en-US" w:eastAsia="zh-CN"/>
              </w:rPr>
              <w:t>相符性分析</w:t>
            </w:r>
          </w:p>
          <w:p w14:paraId="255B39A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olor w:val="auto"/>
                <w:sz w:val="24"/>
                <w:szCs w:val="24"/>
                <w:highlight w:val="none"/>
                <w:lang w:val="en-US" w:eastAsia="zh-CN"/>
              </w:rPr>
            </w:pPr>
            <w:r>
              <w:rPr>
                <w:rFonts w:hint="eastAsia"/>
                <w:color w:val="auto"/>
                <w:sz w:val="24"/>
                <w:szCs w:val="24"/>
                <w:highlight w:val="none"/>
                <w:lang w:val="en-US" w:eastAsia="zh-CN"/>
              </w:rPr>
              <w:t>根据</w:t>
            </w:r>
            <w:r>
              <w:rPr>
                <w:rFonts w:hint="eastAsia"/>
                <w:color w:val="auto"/>
                <w:sz w:val="24"/>
                <w:szCs w:val="24"/>
                <w:highlight w:val="none"/>
                <w:lang w:eastAsia="zh-CN"/>
              </w:rPr>
              <w:t>《安阳市“十四五”水安全保障和水生态环境保护规划》</w:t>
            </w:r>
            <w:r>
              <w:rPr>
                <w:rFonts w:hint="eastAsia"/>
                <w:color w:val="auto"/>
                <w:sz w:val="24"/>
                <w:szCs w:val="24"/>
                <w:highlight w:val="none"/>
                <w:lang w:val="en-US" w:eastAsia="zh-CN"/>
              </w:rPr>
              <w:t>（安政〔2022〕18号），与本项目相关内容如下：</w:t>
            </w:r>
          </w:p>
          <w:p w14:paraId="1F170DE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olor w:val="auto"/>
                <w:sz w:val="24"/>
                <w:szCs w:val="24"/>
                <w:highlight w:val="none"/>
                <w:lang w:val="en-US" w:eastAsia="zh-CN"/>
              </w:rPr>
            </w:pPr>
            <w:r>
              <w:rPr>
                <w:rFonts w:hint="eastAsia"/>
                <w:color w:val="auto"/>
                <w:sz w:val="24"/>
                <w:szCs w:val="24"/>
                <w:highlight w:val="none"/>
                <w:lang w:val="en-US" w:eastAsia="zh-CN"/>
              </w:rPr>
              <w:t>第一节 防洪安全保障</w:t>
            </w:r>
          </w:p>
          <w:p w14:paraId="3B9E730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olor w:val="auto"/>
                <w:sz w:val="24"/>
                <w:szCs w:val="24"/>
                <w:highlight w:val="none"/>
                <w:lang w:val="en-US" w:eastAsia="zh-CN"/>
              </w:rPr>
            </w:pPr>
            <w:r>
              <w:rPr>
                <w:rFonts w:hint="eastAsia"/>
                <w:color w:val="auto"/>
                <w:sz w:val="24"/>
                <w:szCs w:val="24"/>
                <w:highlight w:val="none"/>
                <w:lang w:val="en-US" w:eastAsia="zh-CN"/>
              </w:rPr>
              <w:t>贯彻“两个坚持、三个转变”的防灾减灾新理念，按照“补短板、除隐患”的思路，坚持防治结合、以防为主，加快中小河流治理、蓄滞洪区建设、病险水库水闸除险加固、山洪灾害防治、城市防洪能力建设，提升综合防灾减灾能力，保障防洪安全。</w:t>
            </w:r>
          </w:p>
          <w:p w14:paraId="1D5A613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olor w:val="auto"/>
                <w:sz w:val="24"/>
                <w:szCs w:val="24"/>
                <w:highlight w:val="none"/>
                <w:lang w:val="en-US" w:eastAsia="zh-CN"/>
              </w:rPr>
            </w:pPr>
            <w:r>
              <w:rPr>
                <w:rFonts w:hint="eastAsia"/>
                <w:color w:val="auto"/>
                <w:sz w:val="24"/>
                <w:szCs w:val="24"/>
                <w:highlight w:val="none"/>
                <w:lang w:val="en-US" w:eastAsia="zh-CN"/>
              </w:rPr>
              <w:t>一、河道治理</w:t>
            </w:r>
          </w:p>
          <w:p w14:paraId="5496045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olor w:val="auto"/>
                <w:sz w:val="24"/>
                <w:szCs w:val="24"/>
                <w:highlight w:val="none"/>
                <w:lang w:val="en-US" w:eastAsia="zh-CN"/>
              </w:rPr>
            </w:pPr>
            <w:r>
              <w:rPr>
                <w:rFonts w:hint="eastAsia"/>
                <w:color w:val="auto"/>
                <w:sz w:val="24"/>
                <w:szCs w:val="24"/>
                <w:highlight w:val="none"/>
                <w:lang w:val="en-US" w:eastAsia="zh-CN"/>
              </w:rPr>
              <w:t>以堤防达标建设和重点河段河势控制为重点，对防洪不达标、河势不稳定、行洪不顺畅的重点河段进行治理。</w:t>
            </w:r>
          </w:p>
          <w:p w14:paraId="6E8745B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olor w:val="auto"/>
                <w:sz w:val="24"/>
                <w:szCs w:val="24"/>
                <w:highlight w:val="none"/>
                <w:lang w:val="en-US" w:eastAsia="zh-CN"/>
              </w:rPr>
            </w:pPr>
            <w:r>
              <w:rPr>
                <w:rFonts w:hint="eastAsia"/>
                <w:color w:val="auto"/>
                <w:sz w:val="24"/>
                <w:szCs w:val="24"/>
                <w:highlight w:val="none"/>
                <w:lang w:val="en-US" w:eastAsia="zh-CN"/>
              </w:rPr>
              <w:t>配合流域管理机构实施卫河、金堤河治理工程。继续推进中小河流治理，对重点河段加强综合治理，力争实现治理一条见效一条。实施洹河、洪河、羑河、硝河、淇河等一批中小河流治理，优先实施沿岸有城镇、乡村和基本农田集中连片的重点河段。</w:t>
            </w:r>
          </w:p>
          <w:p w14:paraId="310016E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olor w:val="auto"/>
                <w:sz w:val="24"/>
                <w:szCs w:val="24"/>
                <w:highlight w:val="none"/>
                <w:lang w:val="en-US" w:eastAsia="zh-CN"/>
              </w:rPr>
            </w:pPr>
            <w:r>
              <w:rPr>
                <w:rFonts w:hint="eastAsia"/>
                <w:color w:val="auto"/>
                <w:sz w:val="24"/>
                <w:szCs w:val="24"/>
                <w:highlight w:val="none"/>
                <w:lang w:val="en-US" w:eastAsia="zh-CN"/>
              </w:rPr>
              <w:t>加快推进淤泥河、金线河等重要支流治理工程，解决沿线群众防洪安全问题，推进重要支流防洪达标。</w:t>
            </w:r>
          </w:p>
          <w:p w14:paraId="358C9E4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olor w:val="auto"/>
                <w:sz w:val="24"/>
                <w:szCs w:val="24"/>
                <w:highlight w:val="none"/>
                <w:lang w:val="en-US" w:eastAsia="zh-CN"/>
              </w:rPr>
            </w:pPr>
            <w:r>
              <w:rPr>
                <w:rFonts w:hint="eastAsia"/>
                <w:color w:val="auto"/>
                <w:sz w:val="24"/>
                <w:szCs w:val="24"/>
                <w:highlight w:val="none"/>
                <w:lang w:val="en-US" w:eastAsia="zh-CN"/>
              </w:rPr>
              <w:t>按照全省统一部署，完善南水北调中线总干渠安阳段防洪体系，保障南水北调中线总干渠安全运行。</w:t>
            </w:r>
          </w:p>
          <w:p w14:paraId="3CE286F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olor w:val="auto"/>
                <w:sz w:val="24"/>
                <w:szCs w:val="24"/>
                <w:highlight w:val="none"/>
                <w:lang w:val="en-US" w:eastAsia="zh-CN"/>
              </w:rPr>
            </w:pPr>
            <w:r>
              <w:rPr>
                <w:rFonts w:hint="eastAsia"/>
                <w:color w:val="auto"/>
                <w:sz w:val="24"/>
                <w:szCs w:val="24"/>
                <w:highlight w:val="none"/>
                <w:lang w:val="en-US" w:eastAsia="zh-CN"/>
              </w:rPr>
              <w:t>统筹协调排涝与防洪、灌溉的关系，实施农村排涝沟渠治理，解决排泄能力不足问题，推动社会经济可持续发展，提高人民生活水平。</w:t>
            </w:r>
          </w:p>
          <w:p w14:paraId="5D614337">
            <w:pPr>
              <w:pStyle w:val="5"/>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五、城市防洪排涝能力建设</w:t>
            </w:r>
          </w:p>
          <w:p w14:paraId="6B18C4CB">
            <w:pPr>
              <w:pStyle w:val="5"/>
              <w:spacing w:line="360" w:lineRule="auto"/>
              <w:rPr>
                <w:rFonts w:hint="eastAsia" w:ascii="宋体" w:hAnsi="宋体" w:eastAsia="宋体" w:cs="宋体"/>
                <w:sz w:val="24"/>
                <w:szCs w:val="24"/>
                <w:highlight w:val="none"/>
              </w:rPr>
            </w:pPr>
            <w:r>
              <w:rPr>
                <w:rFonts w:hint="eastAsia" w:ascii="宋体" w:hAnsi="宋体" w:eastAsia="宋体" w:cs="宋体"/>
                <w:sz w:val="24"/>
                <w:szCs w:val="24"/>
                <w:highlight w:val="none"/>
              </w:rPr>
              <w:t>　　根据我市城市总体规划和防洪规划，依托流域、区域防洪工程体系，统筹区域经济社会发展、环境整治、生态保护与修复的需要，完善城市防洪排涝体系，全面提高防御灾害和抵御风险能力。</w:t>
            </w:r>
          </w:p>
          <w:p w14:paraId="178EB5C8">
            <w:pPr>
              <w:pStyle w:val="5"/>
              <w:spacing w:line="360" w:lineRule="auto"/>
              <w:rPr>
                <w:rFonts w:hint="eastAsia"/>
                <w:highlight w:val="none"/>
                <w:lang w:val="en-US" w:eastAsia="zh-CN"/>
              </w:rPr>
            </w:pPr>
            <w:r>
              <w:rPr>
                <w:rFonts w:hint="eastAsia" w:ascii="宋体" w:hAnsi="宋体" w:eastAsia="宋体" w:cs="宋体"/>
                <w:sz w:val="24"/>
                <w:szCs w:val="24"/>
                <w:highlight w:val="none"/>
              </w:rPr>
              <w:t>　　实施城市防洪减灾能力提升工程建设，稳步推进洹河分洪道前期论证、安阳桥改建等工作，逐步提升洹河市区段防洪标准。推进安阳市西区截流渠工程开工建设，加快茶店河、胡官屯南北沟、瓦亭沟、漳涧沟、铁西排洪沟、纱厂沟等城市沟渠治理进度，增强城市涝水外排能力。开展市区洹河—万金渠—洪河等沟渠连通前期规划工作，科学分流市区涝水，加快市区排涝速度。在保证防洪安全的前提下，加强河道断面生态化设计，促进城市河道健康、可持续发展。因地制宜建设河湖湿地，提高调蓄能力，有效利用洪水资源。</w:t>
            </w:r>
          </w:p>
          <w:p w14:paraId="1587C2B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olor w:val="auto"/>
                <w:sz w:val="24"/>
                <w:szCs w:val="24"/>
                <w:highlight w:val="none"/>
                <w:lang w:eastAsia="zh-CN"/>
              </w:rPr>
            </w:pPr>
            <w:r>
              <w:rPr>
                <w:rFonts w:hint="eastAsia"/>
                <w:color w:val="auto"/>
                <w:sz w:val="24"/>
                <w:szCs w:val="24"/>
                <w:highlight w:val="none"/>
                <w:lang w:val="en-US" w:eastAsia="zh-CN"/>
              </w:rPr>
              <w:t>本项目为</w:t>
            </w:r>
            <w:r>
              <w:rPr>
                <w:rFonts w:hint="eastAsia" w:asciiTheme="minorEastAsia" w:hAnsiTheme="minorEastAsia" w:eastAsiaTheme="minorEastAsia" w:cstheme="minorEastAsia"/>
                <w:b w:val="0"/>
                <w:bCs w:val="0"/>
                <w:color w:val="000000"/>
                <w:sz w:val="24"/>
                <w:szCs w:val="24"/>
                <w:highlight w:val="none"/>
              </w:rPr>
              <w:t>安阳市殷都区老万金渠内河向外河排涝通道建设项目</w:t>
            </w:r>
            <w:r>
              <w:rPr>
                <w:rFonts w:hint="eastAsia"/>
                <w:color w:val="auto"/>
                <w:sz w:val="24"/>
                <w:szCs w:val="24"/>
                <w:highlight w:val="none"/>
                <w:lang w:val="en-US" w:eastAsia="zh-CN"/>
              </w:rPr>
              <w:t>，老万金渠为洹河的一条支流，项目的实施增加区域的防洪能力，解决排泄能力不足问题，推动社会经济可持续发展，提高人民生活水平。因此项目符合</w:t>
            </w:r>
            <w:r>
              <w:rPr>
                <w:rFonts w:hint="eastAsia"/>
                <w:color w:val="auto"/>
                <w:sz w:val="24"/>
                <w:szCs w:val="24"/>
                <w:highlight w:val="none"/>
                <w:lang w:eastAsia="zh-CN"/>
              </w:rPr>
              <w:t>《安阳市“十四五”水安全保障和水生态环境保护规划》。</w:t>
            </w:r>
          </w:p>
          <w:p w14:paraId="0AE46B49">
            <w:pPr>
              <w:pStyle w:val="5"/>
              <w:spacing w:line="360" w:lineRule="auto"/>
              <w:rPr>
                <w:rFonts w:hint="eastAsia"/>
                <w:b/>
                <w:bCs/>
                <w:color w:val="auto"/>
                <w:sz w:val="24"/>
                <w:szCs w:val="24"/>
                <w:highlight w:val="none"/>
                <w:lang w:val="en-US" w:eastAsia="zh-CN"/>
              </w:rPr>
            </w:pPr>
            <w:r>
              <w:rPr>
                <w:rFonts w:hint="eastAsia"/>
                <w:b/>
                <w:bCs/>
                <w:color w:val="auto"/>
                <w:sz w:val="24"/>
                <w:szCs w:val="24"/>
                <w:highlight w:val="none"/>
                <w:lang w:val="en-US" w:eastAsia="zh-CN"/>
              </w:rPr>
              <w:t>2.与</w:t>
            </w:r>
            <w:r>
              <w:rPr>
                <w:rFonts w:hint="eastAsia"/>
                <w:b/>
                <w:bCs/>
                <w:color w:val="auto"/>
                <w:sz w:val="24"/>
                <w:szCs w:val="24"/>
                <w:highlight w:val="none"/>
                <w:lang w:eastAsia="zh-CN"/>
              </w:rPr>
              <w:t>《安阳市四水同治规划（</w:t>
            </w:r>
            <w:r>
              <w:rPr>
                <w:rFonts w:hint="eastAsia"/>
                <w:b/>
                <w:bCs/>
                <w:color w:val="auto"/>
                <w:sz w:val="24"/>
                <w:szCs w:val="24"/>
                <w:highlight w:val="none"/>
                <w:lang w:val="en-US" w:eastAsia="zh-CN"/>
              </w:rPr>
              <w:t>2021-2035</w:t>
            </w:r>
            <w:r>
              <w:rPr>
                <w:rFonts w:hint="eastAsia"/>
                <w:b/>
                <w:bCs/>
                <w:color w:val="auto"/>
                <w:sz w:val="24"/>
                <w:szCs w:val="24"/>
                <w:highlight w:val="none"/>
                <w:lang w:eastAsia="zh-CN"/>
              </w:rPr>
              <w:t>）》（安政办〔2022〕44号）</w:t>
            </w:r>
            <w:r>
              <w:rPr>
                <w:rFonts w:hint="eastAsia"/>
                <w:b/>
                <w:bCs/>
                <w:color w:val="auto"/>
                <w:sz w:val="24"/>
                <w:szCs w:val="24"/>
                <w:highlight w:val="none"/>
                <w:lang w:val="en-US" w:eastAsia="zh-CN"/>
              </w:rPr>
              <w:t>相符性分析</w:t>
            </w:r>
          </w:p>
          <w:p w14:paraId="478EF40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color w:val="auto"/>
                <w:sz w:val="24"/>
                <w:szCs w:val="24"/>
                <w:highlight w:val="none"/>
                <w:lang w:val="en-US" w:eastAsia="zh-CN"/>
              </w:rPr>
            </w:pPr>
            <w:r>
              <w:rPr>
                <w:rFonts w:hint="eastAsia"/>
                <w:color w:val="auto"/>
                <w:sz w:val="24"/>
                <w:szCs w:val="24"/>
                <w:highlight w:val="none"/>
                <w:lang w:val="en-US" w:eastAsia="zh-CN"/>
              </w:rPr>
              <w:t>根据</w:t>
            </w:r>
            <w:r>
              <w:rPr>
                <w:rFonts w:hint="eastAsia"/>
                <w:color w:val="auto"/>
                <w:sz w:val="24"/>
                <w:szCs w:val="24"/>
                <w:highlight w:val="none"/>
                <w:lang w:eastAsia="zh-CN"/>
              </w:rPr>
              <w:t>《安阳市四水同治规划（</w:t>
            </w:r>
            <w:r>
              <w:rPr>
                <w:rFonts w:hint="eastAsia"/>
                <w:color w:val="auto"/>
                <w:sz w:val="24"/>
                <w:szCs w:val="24"/>
                <w:highlight w:val="none"/>
                <w:lang w:val="en-US" w:eastAsia="zh-CN"/>
              </w:rPr>
              <w:t>2021-2035</w:t>
            </w:r>
            <w:r>
              <w:rPr>
                <w:rFonts w:hint="eastAsia"/>
                <w:color w:val="auto"/>
                <w:sz w:val="24"/>
                <w:szCs w:val="24"/>
                <w:highlight w:val="none"/>
                <w:lang w:eastAsia="zh-CN"/>
              </w:rPr>
              <w:t>）》（安政办〔2022〕44号）</w:t>
            </w:r>
            <w:r>
              <w:rPr>
                <w:rFonts w:hint="eastAsia"/>
                <w:color w:val="auto"/>
                <w:sz w:val="24"/>
                <w:szCs w:val="24"/>
                <w:highlight w:val="none"/>
                <w:lang w:val="en-US" w:eastAsia="zh-CN"/>
              </w:rPr>
              <w:t>，与本项目相关内容如下：</w:t>
            </w:r>
          </w:p>
          <w:p w14:paraId="1013F4E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第四章 水灾害防治</w:t>
            </w:r>
          </w:p>
          <w:p w14:paraId="3371812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立足我市水灾害防治现状，结合规划总体布局，加快推进病险水库水闸除险加固、中小河流治理、蓄滞洪区建设及山洪灾害防治工程建设，完善防洪排涝工程体系，保障南水北调中线工程安阳段及沿线区域防洪安全；实施应急水源工程，提升城乡供水的可靠性和安全性；强化水工程功能管理、应急调度和水灾害风险控制，提升防洪保安能力和抗旱应急能力。</w:t>
            </w:r>
          </w:p>
          <w:p w14:paraId="044E89B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color w:val="auto"/>
                <w:sz w:val="24"/>
                <w:szCs w:val="24"/>
                <w:highlight w:val="none"/>
                <w:lang w:val="en-US" w:eastAsia="zh-CN"/>
              </w:rPr>
            </w:pPr>
            <w:r>
              <w:rPr>
                <w:rFonts w:hint="eastAsia"/>
                <w:color w:val="auto"/>
                <w:sz w:val="24"/>
                <w:szCs w:val="24"/>
                <w:highlight w:val="none"/>
                <w:lang w:val="en-US" w:eastAsia="zh-CN"/>
              </w:rPr>
              <w:t>第二节 防洪除涝工程建设</w:t>
            </w:r>
          </w:p>
          <w:p w14:paraId="6721EEE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color w:val="auto"/>
                <w:sz w:val="24"/>
                <w:szCs w:val="24"/>
                <w:highlight w:val="none"/>
                <w:lang w:val="en-US" w:eastAsia="zh-CN"/>
              </w:rPr>
            </w:pPr>
            <w:r>
              <w:rPr>
                <w:rFonts w:hint="eastAsia"/>
                <w:color w:val="auto"/>
                <w:sz w:val="24"/>
                <w:szCs w:val="24"/>
                <w:highlight w:val="none"/>
                <w:lang w:val="en-US" w:eastAsia="zh-CN"/>
              </w:rPr>
              <w:t>结合洪涝灾害特点及流域防洪规划，通过新建水库、河道治理、蓄滞洪区建设和病险水库（水闸）除险加固等措施，实施南水北调防洪影响处理，完善防洪工程体系建设，增强城乡防洪除涝能力，全面保障人民群众生命财产安全和社会长治久安。</w:t>
            </w:r>
          </w:p>
          <w:p w14:paraId="639D6B6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color w:val="auto"/>
                <w:sz w:val="24"/>
                <w:szCs w:val="24"/>
                <w:highlight w:val="none"/>
                <w:lang w:val="en-US" w:eastAsia="zh-CN"/>
              </w:rPr>
            </w:pPr>
            <w:r>
              <w:rPr>
                <w:rFonts w:hint="eastAsia"/>
                <w:color w:val="auto"/>
                <w:sz w:val="24"/>
                <w:szCs w:val="24"/>
                <w:highlight w:val="none"/>
                <w:lang w:val="en-US" w:eastAsia="zh-CN"/>
              </w:rPr>
              <w:t>一、完善防洪工程体系</w:t>
            </w:r>
          </w:p>
          <w:p w14:paraId="0A5511C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color w:val="auto"/>
                <w:sz w:val="24"/>
                <w:szCs w:val="24"/>
                <w:highlight w:val="none"/>
                <w:lang w:val="en-US" w:eastAsia="zh-CN"/>
              </w:rPr>
            </w:pPr>
            <w:r>
              <w:rPr>
                <w:rFonts w:hint="eastAsia"/>
                <w:color w:val="auto"/>
                <w:sz w:val="24"/>
                <w:szCs w:val="24"/>
                <w:highlight w:val="none"/>
                <w:lang w:val="en-US" w:eastAsia="zh-CN"/>
              </w:rPr>
              <w:t>——河道治理。结合流域防洪规划要求和沿河城乡发展实际情况，开展防洪能力复核，以堤防达标建设和河道整治为重点，对防洪不达标、河势不稳定、行洪不顺畅的重点河段和重点山洪沟分期分批进行治理，推进河道防洪治理与水资源调配、水生态环境治理保护相结合，提升河道综合防洪能力。</w:t>
            </w:r>
          </w:p>
          <w:p w14:paraId="297E1BE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color w:val="auto"/>
                <w:sz w:val="24"/>
                <w:szCs w:val="24"/>
                <w:highlight w:val="none"/>
                <w:lang w:val="en-US" w:eastAsia="zh-CN"/>
              </w:rPr>
            </w:pPr>
            <w:r>
              <w:rPr>
                <w:rFonts w:hint="eastAsia"/>
                <w:color w:val="auto"/>
                <w:sz w:val="24"/>
                <w:szCs w:val="24"/>
                <w:highlight w:val="none"/>
                <w:lang w:val="en-US" w:eastAsia="zh-CN"/>
              </w:rPr>
              <w:t>流域面积200平方公里以上河流治理。继续实施漳河、卫河、金堤河、洹河、洪河、汤永河、羑河、淇河、淅河、露水河、粉红江、硝河、沙河、浚内河、长虹渠等河道治理。重点实施洹河、洪河、汤永河系统治理工程。</w:t>
            </w:r>
          </w:p>
          <w:p w14:paraId="566D543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eastAsia"/>
                <w:color w:val="auto"/>
                <w:sz w:val="24"/>
                <w:szCs w:val="24"/>
                <w:highlight w:val="none"/>
                <w:lang w:val="en-US" w:eastAsia="zh-CN"/>
              </w:rPr>
            </w:pPr>
            <w:r>
              <w:rPr>
                <w:rFonts w:hint="eastAsia"/>
                <w:color w:val="auto"/>
                <w:sz w:val="24"/>
                <w:szCs w:val="24"/>
                <w:highlight w:val="none"/>
                <w:lang w:val="en-US" w:eastAsia="zh-CN"/>
              </w:rPr>
              <w:t>流域面积200平方公里以下河流治理。有序推进金线河、淤泥河、桃园河、虹霓河、茶店坡沟等河道的治理工程，通过疏浚开挖、修筑堤防等措施，解决沿线群众防洪安全问题。</w:t>
            </w:r>
          </w:p>
          <w:p w14:paraId="5A8B1B35">
            <w:pPr>
              <w:pStyle w:val="5"/>
              <w:spacing w:line="360" w:lineRule="auto"/>
              <w:ind w:firstLine="480" w:firstLineChars="200"/>
              <w:rPr>
                <w:rFonts w:hint="eastAsia"/>
                <w:color w:val="auto"/>
                <w:sz w:val="24"/>
                <w:szCs w:val="24"/>
                <w:highlight w:val="none"/>
                <w:lang w:val="en-US" w:eastAsia="zh-CN"/>
              </w:rPr>
            </w:pPr>
            <w:r>
              <w:rPr>
                <w:rFonts w:hint="eastAsia"/>
                <w:color w:val="auto"/>
                <w:sz w:val="24"/>
                <w:szCs w:val="24"/>
                <w:highlight w:val="none"/>
                <w:lang w:val="en-US" w:eastAsia="zh-CN"/>
              </w:rPr>
              <w:t>山洪沟治理。结合乡村振兴战略部署以及农村水系综合整治，持续加强山洪灾害防治，对林州市、汤阴县、殷都区、龙安区亟需治理的山洪沟有序实施治理工程。规划实施牛村沟、宝山沟、交口沟、白杨沟等重要山洪沟治理工程，重点解决防洪不达标、洪涝灾害频发、河堤损毁严重等问题，有效保护人员安全，减少财产损失。</w:t>
            </w:r>
          </w:p>
          <w:p w14:paraId="49A68D5A">
            <w:pPr>
              <w:pStyle w:val="5"/>
              <w:spacing w:line="360" w:lineRule="auto"/>
              <w:ind w:firstLine="480" w:firstLineChars="200"/>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二、增强城乡防洪除涝能力</w:t>
            </w:r>
          </w:p>
          <w:p w14:paraId="41042D21">
            <w:pPr>
              <w:pStyle w:val="5"/>
              <w:spacing w:line="360" w:lineRule="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　　依托城乡所在流域和区域的防洪排涝体系，统筹区域经济社会发展、环境整治、生态保护与修复的需要，完善城乡防洪排涝体系，全面提高防御灾害和抵御风险能力。</w:t>
            </w:r>
          </w:p>
          <w:p w14:paraId="3F4151EF">
            <w:pPr>
              <w:pStyle w:val="5"/>
              <w:spacing w:line="360" w:lineRule="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　　（二）城市排涝</w:t>
            </w:r>
          </w:p>
          <w:p w14:paraId="0E816623">
            <w:pPr>
              <w:pStyle w:val="5"/>
              <w:spacing w:line="360" w:lineRule="auto"/>
              <w:ind w:firstLine="360"/>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按照“统一规划，分区控制，因地制宜，保障畅通”的原则，针对城市内涝的成因和特点，按照海绵城市建设要求，加强河道系统治理、严禁填河造地、河道硬化等破坏生态环境的建设行为，合理布设雨水管网系统和泵站，增强城市涝水外排能力，因地制宜建设河湖湿地，通过渗、滞、净、用、排等措施，增强内部调蓄、扩宽自排通道、提高抽排能力，完善城市排水体系。重点建设市区雨水管网改造工程，河湖坑塘治理，茶店坡沟、瓦亭沟等沟渠治理工程。规划实施西区截流渠、万金干渠还水渠泄水工程、洹河—万金渠—洪河连通工程。各县（市）要加快城市排涝工程设施建设步伐，完善城市排涝应急预案体系，提升城市的排涝能力，确保城市排涝通畅和度汛安全。</w:t>
            </w:r>
          </w:p>
          <w:p w14:paraId="2588FA0C">
            <w:pPr>
              <w:pStyle w:val="5"/>
              <w:numPr>
                <w:ilvl w:val="0"/>
                <w:numId w:val="1"/>
              </w:numPr>
              <w:spacing w:line="360" w:lineRule="auto"/>
              <w:ind w:firstLine="480" w:firstLineChars="200"/>
              <w:rPr>
                <w:rFonts w:ascii="Arial" w:hAnsi="Arial" w:eastAsia="宋体" w:cs="Arial"/>
                <w:i w:val="0"/>
                <w:iCs w:val="0"/>
                <w:caps w:val="0"/>
                <w:color w:val="000000"/>
                <w:spacing w:val="0"/>
                <w:sz w:val="24"/>
                <w:szCs w:val="24"/>
                <w:highlight w:val="none"/>
                <w:shd w:val="clear" w:fill="FFFFFF"/>
              </w:rPr>
            </w:pPr>
            <w:r>
              <w:rPr>
                <w:rFonts w:ascii="Arial" w:hAnsi="Arial" w:eastAsia="宋体" w:cs="Arial"/>
                <w:i w:val="0"/>
                <w:iCs w:val="0"/>
                <w:caps w:val="0"/>
                <w:color w:val="000000"/>
                <w:spacing w:val="0"/>
                <w:sz w:val="24"/>
                <w:szCs w:val="24"/>
                <w:highlight w:val="none"/>
                <w:shd w:val="clear" w:fill="FFFFFF"/>
              </w:rPr>
              <w:t>水生态保护与修复</w:t>
            </w:r>
          </w:p>
          <w:p w14:paraId="35BE45CE">
            <w:pPr>
              <w:pStyle w:val="5"/>
              <w:numPr>
                <w:ilvl w:val="0"/>
                <w:numId w:val="0"/>
              </w:numPr>
              <w:spacing w:line="360" w:lineRule="auto"/>
              <w:ind w:firstLine="480" w:firstLineChars="200"/>
              <w:rPr>
                <w:rFonts w:ascii="Arial" w:hAnsi="Arial" w:eastAsia="宋体" w:cs="Arial"/>
                <w:i w:val="0"/>
                <w:iCs w:val="0"/>
                <w:caps w:val="0"/>
                <w:color w:val="000000"/>
                <w:spacing w:val="0"/>
                <w:sz w:val="24"/>
                <w:szCs w:val="24"/>
                <w:highlight w:val="none"/>
                <w:shd w:val="clear" w:fill="FFFFFF"/>
              </w:rPr>
            </w:pPr>
            <w:r>
              <w:rPr>
                <w:rFonts w:ascii="Arial" w:hAnsi="Arial" w:eastAsia="宋体" w:cs="Arial"/>
                <w:i w:val="0"/>
                <w:iCs w:val="0"/>
                <w:caps w:val="0"/>
                <w:color w:val="000000"/>
                <w:spacing w:val="0"/>
                <w:sz w:val="24"/>
                <w:szCs w:val="24"/>
                <w:highlight w:val="none"/>
                <w:shd w:val="clear" w:fill="FFFFFF"/>
              </w:rPr>
              <w:t>在水环境改善的基础上，加强生态网络建设，坚持保护优先、绿色发展、系统修复的原则，贯彻“山水林田湖草生命共同体”的理念，进一步增强生态保护治理的系统性、整体性、协同性，建立水生态保护与修复的系统化治理体系，推进卫河、金堤河、主要河流生态走廊和南水北调中线生态保护带建设，保障重点河湖生态流量，持续加强水源涵养与水土流失预防和治理，稳步推进地下水综合治理和保护，通过湿地保护与建设、河湖生境维护修复、河流生态带建设等措施，保护与修复河湖水域空间，保障全市水生态功能总体提高，有力支撑区域中心强市建设。</w:t>
            </w:r>
          </w:p>
          <w:p w14:paraId="56FAB435">
            <w:pPr>
              <w:pStyle w:val="5"/>
              <w:numPr>
                <w:ilvl w:val="0"/>
                <w:numId w:val="0"/>
              </w:numPr>
              <w:spacing w:line="360" w:lineRule="auto"/>
              <w:ind w:firstLine="480" w:firstLineChars="200"/>
              <w:rPr>
                <w:rFonts w:ascii="Arial" w:hAnsi="Arial" w:eastAsia="宋体" w:cs="Arial"/>
                <w:i w:val="0"/>
                <w:iCs w:val="0"/>
                <w:caps w:val="0"/>
                <w:color w:val="000000"/>
                <w:spacing w:val="0"/>
                <w:sz w:val="24"/>
                <w:szCs w:val="24"/>
                <w:highlight w:val="none"/>
                <w:shd w:val="clear" w:fill="FFFFFF"/>
              </w:rPr>
            </w:pPr>
            <w:r>
              <w:rPr>
                <w:rFonts w:hint="eastAsia" w:ascii="Arial" w:hAnsi="Arial" w:eastAsia="宋体" w:cs="Arial"/>
                <w:i w:val="0"/>
                <w:iCs w:val="0"/>
                <w:caps w:val="0"/>
                <w:color w:val="000000"/>
                <w:spacing w:val="0"/>
                <w:kern w:val="0"/>
                <w:sz w:val="24"/>
                <w:szCs w:val="24"/>
                <w:highlight w:val="none"/>
                <w:shd w:val="clear" w:fill="FFFFFF"/>
                <w:lang w:val="en-US" w:eastAsia="zh-CN" w:bidi="ar-SA"/>
              </w:rPr>
              <w:t xml:space="preserve">第一节 </w:t>
            </w:r>
            <w:r>
              <w:rPr>
                <w:rFonts w:ascii="Arial" w:hAnsi="Arial" w:eastAsia="宋体" w:cs="Arial"/>
                <w:i w:val="0"/>
                <w:iCs w:val="0"/>
                <w:caps w:val="0"/>
                <w:color w:val="000000"/>
                <w:spacing w:val="0"/>
                <w:sz w:val="24"/>
                <w:szCs w:val="24"/>
                <w:highlight w:val="none"/>
                <w:shd w:val="clear" w:fill="FFFFFF"/>
              </w:rPr>
              <w:t>重点河湖生态流量保障</w:t>
            </w:r>
          </w:p>
          <w:p w14:paraId="35FA3562">
            <w:pPr>
              <w:pStyle w:val="5"/>
              <w:numPr>
                <w:ilvl w:val="0"/>
                <w:numId w:val="0"/>
              </w:numPr>
              <w:spacing w:line="360" w:lineRule="auto"/>
              <w:ind w:firstLine="480" w:firstLineChars="200"/>
              <w:rPr>
                <w:rFonts w:ascii="Arial" w:hAnsi="Arial" w:eastAsia="宋体" w:cs="Arial"/>
                <w:i w:val="0"/>
                <w:iCs w:val="0"/>
                <w:caps w:val="0"/>
                <w:color w:val="000000"/>
                <w:spacing w:val="0"/>
                <w:sz w:val="24"/>
                <w:szCs w:val="24"/>
                <w:highlight w:val="none"/>
                <w:shd w:val="clear" w:fill="FFFFFF"/>
              </w:rPr>
            </w:pPr>
            <w:r>
              <w:rPr>
                <w:rFonts w:ascii="Arial" w:hAnsi="Arial" w:eastAsia="宋体" w:cs="Arial"/>
                <w:i w:val="0"/>
                <w:iCs w:val="0"/>
                <w:caps w:val="0"/>
                <w:color w:val="000000"/>
                <w:spacing w:val="0"/>
                <w:sz w:val="24"/>
                <w:szCs w:val="24"/>
                <w:highlight w:val="none"/>
                <w:shd w:val="clear" w:fill="FFFFFF"/>
              </w:rPr>
              <w:t>结合水文站点分布、流域区域水资源、取用水总量控制情况和已有工作，科学确定重点河流生态流量，通过加强水资源管理、实施闸坝联合调度等措施，保障河湖生态用水，维护河湖生态系统功能。</w:t>
            </w:r>
          </w:p>
          <w:p w14:paraId="145039D3">
            <w:pPr>
              <w:pStyle w:val="5"/>
              <w:numPr>
                <w:ilvl w:val="0"/>
                <w:numId w:val="0"/>
              </w:numPr>
              <w:spacing w:line="360" w:lineRule="auto"/>
              <w:ind w:firstLine="480" w:firstLineChars="200"/>
              <w:rPr>
                <w:rFonts w:ascii="Arial" w:hAnsi="Arial" w:eastAsia="宋体" w:cs="Arial"/>
                <w:i w:val="0"/>
                <w:iCs w:val="0"/>
                <w:caps w:val="0"/>
                <w:color w:val="000000"/>
                <w:spacing w:val="0"/>
                <w:sz w:val="24"/>
                <w:szCs w:val="24"/>
                <w:highlight w:val="none"/>
                <w:shd w:val="clear" w:fill="FFFFFF"/>
              </w:rPr>
            </w:pPr>
            <w:r>
              <w:rPr>
                <w:rFonts w:hint="eastAsia" w:ascii="Arial" w:hAnsi="Arial" w:eastAsia="宋体" w:cs="Arial"/>
                <w:i w:val="0"/>
                <w:iCs w:val="0"/>
                <w:caps w:val="0"/>
                <w:color w:val="000000"/>
                <w:spacing w:val="0"/>
                <w:kern w:val="0"/>
                <w:sz w:val="24"/>
                <w:szCs w:val="24"/>
                <w:highlight w:val="none"/>
                <w:shd w:val="clear" w:fill="FFFFFF"/>
                <w:lang w:val="en-US" w:eastAsia="zh-CN" w:bidi="ar-SA"/>
              </w:rPr>
              <w:t>二、</w:t>
            </w:r>
            <w:r>
              <w:rPr>
                <w:rFonts w:ascii="Arial" w:hAnsi="Arial" w:eastAsia="宋体" w:cs="Arial"/>
                <w:i w:val="0"/>
                <w:iCs w:val="0"/>
                <w:caps w:val="0"/>
                <w:color w:val="000000"/>
                <w:spacing w:val="0"/>
                <w:sz w:val="24"/>
                <w:szCs w:val="24"/>
                <w:highlight w:val="none"/>
                <w:shd w:val="clear" w:fill="FFFFFF"/>
              </w:rPr>
              <w:t>生态流量保障措施</w:t>
            </w:r>
          </w:p>
          <w:p w14:paraId="4A0D754B">
            <w:pPr>
              <w:pStyle w:val="5"/>
              <w:numPr>
                <w:ilvl w:val="0"/>
                <w:numId w:val="0"/>
              </w:numPr>
              <w:spacing w:line="360" w:lineRule="auto"/>
              <w:ind w:firstLine="480" w:firstLineChars="200"/>
              <w:rPr>
                <w:rFonts w:hint="eastAsia" w:ascii="Arial" w:hAnsi="Arial" w:eastAsia="宋体" w:cs="Arial"/>
                <w:i w:val="0"/>
                <w:iCs w:val="0"/>
                <w:caps w:val="0"/>
                <w:color w:val="000000"/>
                <w:spacing w:val="0"/>
                <w:sz w:val="24"/>
                <w:szCs w:val="24"/>
                <w:highlight w:val="none"/>
                <w:shd w:val="clear" w:fill="FFFFFF"/>
                <w:lang w:val="en-US" w:eastAsia="zh-CN"/>
              </w:rPr>
            </w:pPr>
            <w:r>
              <w:rPr>
                <w:rFonts w:ascii="Arial" w:hAnsi="Arial" w:eastAsia="宋体" w:cs="Arial"/>
                <w:i w:val="0"/>
                <w:iCs w:val="0"/>
                <w:caps w:val="0"/>
                <w:color w:val="000000"/>
                <w:spacing w:val="0"/>
                <w:sz w:val="24"/>
                <w:szCs w:val="24"/>
                <w:highlight w:val="none"/>
                <w:shd w:val="clear" w:fill="FFFFFF"/>
              </w:rPr>
              <w:t>——实施闸坝联合调度。制定我市闸坝联合生态调水工作方案，对全市闸坝联合调度实施统一管理，实施洹河、汤永河等河流水库、闸坝联合调度，合理安排重要断面下泄流量和泄水过程，提高河流纵向连通性。完善水库泄流机制，对无生态流量泄放设施的已建水库、水电站及拦河闸坝，逐一研究合理设置断面、确定流量目标、增设生态流量泄放设施，保障水库、闸坝等按生态流量目标进行泄放，改善下游河道生态需水现状。在小南海水库、彰武水库等现有水库兴利库容中划出一定的库容作为生态库容，以保证生态用水调度的可调水量。充分利用现有的南水北调中线、红旗渠、跃进渠、漳南渠、万金渠、大功总干渠、引淇入琵等水利工程，通过调节南水北调中线退水闸、夏寒渡槽分水闸、小后河闸等闸坝，相机对洹河、汤永河、金堤河、硝河进行生态补水，保障河流生态流量。</w:t>
            </w:r>
          </w:p>
          <w:p w14:paraId="0372434D">
            <w:pPr>
              <w:autoSpaceDE w:val="0"/>
              <w:autoSpaceDN w:val="0"/>
              <w:adjustRightInd w:val="0"/>
              <w:snapToGrid w:val="0"/>
              <w:spacing w:line="360" w:lineRule="auto"/>
              <w:ind w:firstLine="480" w:firstLineChars="200"/>
              <w:jc w:val="both"/>
              <w:rPr>
                <w:rFonts w:hint="eastAsia" w:ascii="宋体" w:hAnsi="宋体" w:eastAsia="宋体" w:cs="宋体"/>
                <w:kern w:val="0"/>
                <w:sz w:val="24"/>
                <w:szCs w:val="24"/>
                <w:highlight w:val="none"/>
                <w:lang w:eastAsia="zh-CN"/>
              </w:rPr>
            </w:pPr>
            <w:r>
              <w:rPr>
                <w:rFonts w:hint="eastAsia"/>
                <w:color w:val="auto"/>
                <w:sz w:val="24"/>
                <w:szCs w:val="24"/>
                <w:highlight w:val="none"/>
                <w:lang w:val="en-US" w:eastAsia="zh-CN"/>
              </w:rPr>
              <w:t>本项目为</w:t>
            </w:r>
            <w:r>
              <w:rPr>
                <w:rFonts w:hint="eastAsia" w:ascii="Times New Roman" w:hAnsi="Times New Roman" w:eastAsia="宋体" w:cs="Times New Roman"/>
                <w:color w:val="auto"/>
                <w:sz w:val="24"/>
                <w:szCs w:val="24"/>
                <w:highlight w:val="none"/>
                <w:lang w:val="en-US" w:eastAsia="zh-CN"/>
              </w:rPr>
              <w:t>安阳市殷都区老万金渠内河向外河排涝通道建设项目</w:t>
            </w:r>
            <w:r>
              <w:rPr>
                <w:rFonts w:hint="eastAsia"/>
                <w:color w:val="auto"/>
                <w:sz w:val="24"/>
                <w:szCs w:val="24"/>
                <w:highlight w:val="none"/>
                <w:lang w:val="en-US" w:eastAsia="zh-CN"/>
              </w:rPr>
              <w:t>，老万金渠为洹河的一条支流，项目的实施增加区域的防洪能力，解决排泄能力不足问题，推动社会经济可持续发展，提高人民生活水平。因此项目符合</w:t>
            </w:r>
            <w:r>
              <w:rPr>
                <w:rFonts w:hint="eastAsia"/>
                <w:color w:val="auto"/>
                <w:sz w:val="24"/>
                <w:szCs w:val="24"/>
                <w:highlight w:val="none"/>
                <w:lang w:eastAsia="zh-CN"/>
              </w:rPr>
              <w:t>《安阳市四水同治规划（</w:t>
            </w:r>
            <w:r>
              <w:rPr>
                <w:rFonts w:hint="eastAsia"/>
                <w:color w:val="auto"/>
                <w:sz w:val="24"/>
                <w:szCs w:val="24"/>
                <w:highlight w:val="none"/>
                <w:lang w:val="en-US" w:eastAsia="zh-CN"/>
              </w:rPr>
              <w:t>2021-2035</w:t>
            </w:r>
            <w:r>
              <w:rPr>
                <w:rFonts w:hint="eastAsia"/>
                <w:color w:val="auto"/>
                <w:sz w:val="24"/>
                <w:szCs w:val="24"/>
                <w:highlight w:val="none"/>
                <w:lang w:eastAsia="zh-CN"/>
              </w:rPr>
              <w:t>）》。</w:t>
            </w:r>
          </w:p>
        </w:tc>
      </w:tr>
      <w:tr w14:paraId="0B08E8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31" w:hRule="atLeast"/>
        </w:trPr>
        <w:tc>
          <w:tcPr>
            <w:tcW w:w="1118" w:type="dxa"/>
            <w:noWrap w:val="0"/>
            <w:tcMar>
              <w:top w:w="16" w:type="dxa"/>
              <w:left w:w="16" w:type="dxa"/>
              <w:right w:w="16" w:type="dxa"/>
            </w:tcMar>
            <w:vAlign w:val="center"/>
          </w:tcPr>
          <w:p w14:paraId="7CA80251">
            <w:pPr>
              <w:autoSpaceDE w:val="0"/>
              <w:autoSpaceDN w:val="0"/>
              <w:adjustRightInd w:val="0"/>
              <w:snapToGrid w:val="0"/>
              <w:jc w:val="center"/>
              <w:rPr>
                <w:rFonts w:ascii="宋体" w:hAnsi="宋体" w:cs="宋体"/>
                <w:kern w:val="0"/>
                <w:szCs w:val="21"/>
                <w:highlight w:val="none"/>
              </w:rPr>
            </w:pPr>
            <w:bookmarkStart w:id="5" w:name="_Hlk56690880"/>
            <w:r>
              <w:rPr>
                <w:rFonts w:hint="eastAsia" w:ascii="宋体" w:hAnsi="宋体" w:cs="宋体"/>
                <w:kern w:val="0"/>
                <w:sz w:val="24"/>
                <w:szCs w:val="24"/>
                <w:highlight w:val="none"/>
              </w:rPr>
              <w:t>其他符合性分析</w:t>
            </w:r>
            <w:bookmarkEnd w:id="5"/>
          </w:p>
        </w:tc>
        <w:tc>
          <w:tcPr>
            <w:tcW w:w="8401" w:type="dxa"/>
            <w:gridSpan w:val="4"/>
            <w:noWrap w:val="0"/>
            <w:tcMar>
              <w:top w:w="16" w:type="dxa"/>
              <w:left w:w="16" w:type="dxa"/>
              <w:right w:w="16" w:type="dxa"/>
            </w:tcMar>
            <w:vAlign w:val="center"/>
          </w:tcPr>
          <w:p w14:paraId="30FA054A">
            <w:pPr>
              <w:numPr>
                <w:ilvl w:val="0"/>
                <w:numId w:val="0"/>
              </w:numPr>
              <w:autoSpaceDE w:val="0"/>
              <w:autoSpaceDN w:val="0"/>
              <w:adjustRightInd w:val="0"/>
              <w:snapToGrid w:val="0"/>
              <w:spacing w:line="360" w:lineRule="auto"/>
              <w:rPr>
                <w:rFonts w:hint="eastAsia" w:ascii="宋体" w:hAnsi="宋体" w:cs="宋体"/>
                <w:b/>
                <w:bCs/>
                <w:kern w:val="0"/>
                <w:sz w:val="24"/>
                <w:szCs w:val="24"/>
                <w:highlight w:val="none"/>
                <w:lang w:val="en-US" w:eastAsia="zh-CN"/>
              </w:rPr>
            </w:pPr>
            <w:r>
              <w:rPr>
                <w:rFonts w:hint="default" w:ascii="Times New Roman" w:hAnsi="Times New Roman" w:eastAsia="宋体" w:cs="Times New Roman"/>
                <w:b/>
                <w:bCs/>
                <w:kern w:val="0"/>
                <w:sz w:val="24"/>
                <w:szCs w:val="24"/>
                <w:highlight w:val="none"/>
                <w:lang w:val="en-US" w:eastAsia="zh-CN" w:bidi="ar-SA"/>
              </w:rPr>
              <w:t>1</w:t>
            </w:r>
            <w:r>
              <w:rPr>
                <w:rFonts w:hint="eastAsia" w:ascii="宋体" w:hAnsi="宋体" w:cs="宋体"/>
                <w:b/>
                <w:bCs/>
                <w:kern w:val="0"/>
                <w:sz w:val="24"/>
                <w:szCs w:val="24"/>
                <w:highlight w:val="none"/>
                <w:lang w:val="en-US" w:eastAsia="zh-CN" w:bidi="ar-SA"/>
              </w:rPr>
              <w:t>.</w:t>
            </w:r>
            <w:r>
              <w:rPr>
                <w:rFonts w:hint="eastAsia" w:ascii="宋体" w:hAnsi="宋体" w:cs="宋体"/>
                <w:b/>
                <w:bCs/>
                <w:kern w:val="0"/>
                <w:sz w:val="24"/>
                <w:szCs w:val="24"/>
                <w:highlight w:val="none"/>
                <w:lang w:val="en-US" w:eastAsia="zh-CN"/>
              </w:rPr>
              <w:t>产业政策相符性分析</w:t>
            </w:r>
          </w:p>
          <w:p w14:paraId="3075FE4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000000" w:themeColor="text1"/>
                <w:sz w:val="24"/>
                <w:szCs w:val="24"/>
                <w:highlight w:val="none"/>
                <w:u w:val="none" w:color="auto"/>
                <w:lang w:val="en-US" w:eastAsia="zh-CN"/>
                <w14:textFill>
                  <w14:solidFill>
                    <w14:schemeClr w14:val="tx1"/>
                  </w14:solidFill>
                </w14:textFill>
              </w:rPr>
            </w:pP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根据《产业结构调整指导目录（2024年本）》（中华人民共和国国家发展和改革委员会令第7号）</w:t>
            </w:r>
            <w:r>
              <w:rPr>
                <w:rFonts w:hint="default" w:ascii="Times New Roman" w:hAnsi="Times New Roman" w:eastAsia="宋体" w:cs="Times New Roman"/>
                <w:b w:val="0"/>
                <w:bCs w:val="0"/>
                <w:color w:val="000000" w:themeColor="text1"/>
                <w:sz w:val="24"/>
                <w:szCs w:val="24"/>
                <w:highlight w:val="none"/>
                <w:u w:val="none" w:color="auto"/>
                <w:lang w:val="en-US" w:eastAsia="zh-CN"/>
                <w14:textFill>
                  <w14:solidFill>
                    <w14:schemeClr w14:val="tx1"/>
                  </w14:solidFill>
                </w14:textFill>
              </w:rPr>
              <w:t>的规定，本项目属于第一类鼓励类中的第二条水利第</w:t>
            </w:r>
            <w:r>
              <w:rPr>
                <w:rFonts w:hint="default" w:ascii="Times New Roman" w:hAnsi="Times New Roman" w:cs="Times New Roman"/>
                <w:b w:val="0"/>
                <w:bCs w:val="0"/>
                <w:color w:val="000000" w:themeColor="text1"/>
                <w:sz w:val="24"/>
                <w:szCs w:val="24"/>
                <w:highlight w:val="none"/>
                <w:u w:val="none" w:color="auto"/>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highlight w:val="none"/>
                <w:u w:val="none" w:color="auto"/>
                <w:lang w:val="en-US" w:eastAsia="zh-CN"/>
                <w14:textFill>
                  <w14:solidFill>
                    <w14:schemeClr w14:val="tx1"/>
                  </w14:solidFill>
                </w14:textFill>
              </w:rPr>
              <w:t>款</w:t>
            </w:r>
            <w:r>
              <w:rPr>
                <w:rFonts w:hint="eastAsia" w:cs="Times New Roman"/>
                <w:b w:val="0"/>
                <w:bCs w:val="0"/>
                <w:color w:val="000000" w:themeColor="text1"/>
                <w:sz w:val="24"/>
                <w:szCs w:val="24"/>
                <w:highlight w:val="none"/>
                <w:u w:val="none" w:color="auto"/>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highlight w:val="none"/>
                <w:u w:val="none" w:color="auto"/>
                <w:lang w:val="en-US" w:eastAsia="zh-CN"/>
                <w14:textFill>
                  <w14:solidFill>
                    <w14:schemeClr w14:val="tx1"/>
                  </w14:solidFill>
                </w14:textFill>
              </w:rPr>
              <w:t>防洪提升工程</w:t>
            </w:r>
            <w:r>
              <w:rPr>
                <w:rFonts w:hint="eastAsia" w:cs="Times New Roman"/>
                <w:b w:val="0"/>
                <w:bCs w:val="0"/>
                <w:color w:val="000000" w:themeColor="text1"/>
                <w:sz w:val="24"/>
                <w:szCs w:val="24"/>
                <w:highlight w:val="none"/>
                <w:u w:val="none" w:color="auto"/>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highlight w:val="none"/>
                <w:u w:val="none" w:color="auto"/>
                <w:lang w:val="en-US" w:eastAsia="zh-CN"/>
                <w14:textFill>
                  <w14:solidFill>
                    <w14:schemeClr w14:val="tx1"/>
                  </w14:solidFill>
                </w14:textFill>
              </w:rPr>
              <w:t>，符合当前国家产业政策要求。</w:t>
            </w:r>
            <w:r>
              <w:rPr>
                <w:rFonts w:hint="eastAsia" w:cs="Times New Roman"/>
                <w:b w:val="0"/>
                <w:bCs w:val="0"/>
                <w:color w:val="000000" w:themeColor="text1"/>
                <w:sz w:val="24"/>
                <w:szCs w:val="24"/>
                <w:highlight w:val="none"/>
                <w:u w:val="none" w:color="auto"/>
                <w:lang w:val="en-US" w:eastAsia="zh-CN"/>
                <w14:textFill>
                  <w14:solidFill>
                    <w14:schemeClr w14:val="tx1"/>
                  </w14:solidFill>
                </w14:textFill>
              </w:rPr>
              <w:t>安阳市殷都区发展和改革委员会已经对本项目可行性研究报告进行批复（见附件二），批复文号：安殷发改审批</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202</w:t>
            </w:r>
            <w:r>
              <w:rPr>
                <w:rFonts w:hint="eastAsia" w:ascii="Times New Roman" w:hAnsi="Times New Roman" w:eastAsia="宋体" w:cs="Times New Roman"/>
                <w:color w:val="auto"/>
                <w:sz w:val="24"/>
                <w:szCs w:val="24"/>
                <w:highlight w:val="none"/>
                <w:lang w:val="en-US" w:eastAsia="zh-CN"/>
              </w:rPr>
              <w:t>4</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val="en-US" w:eastAsia="zh-CN"/>
              </w:rPr>
              <w:t>号</w:t>
            </w:r>
            <w:r>
              <w:rPr>
                <w:rFonts w:hint="eastAsia" w:ascii="Times New Roman" w:hAnsi="Times New Roman" w:eastAsia="宋体" w:cs="Times New Roman"/>
                <w:color w:val="auto"/>
                <w:sz w:val="24"/>
                <w:szCs w:val="24"/>
                <w:highlight w:val="none"/>
                <w:lang w:val="en-US" w:eastAsia="zh-CN"/>
              </w:rPr>
              <w:t>。</w:t>
            </w:r>
          </w:p>
          <w:p w14:paraId="22E671EB">
            <w:pPr>
              <w:numPr>
                <w:ilvl w:val="0"/>
                <w:numId w:val="0"/>
              </w:numPr>
              <w:spacing w:line="360" w:lineRule="auto"/>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eastAsiaTheme="minorEastAsia"/>
                <w:b/>
                <w:bCs/>
                <w:color w:val="000000" w:themeColor="text1"/>
                <w:sz w:val="24"/>
                <w:szCs w:val="24"/>
                <w:highlight w:val="none"/>
                <w:u w:val="none" w:color="auto"/>
                <w:lang w:val="en-US" w:eastAsia="zh-CN"/>
                <w14:textFill>
                  <w14:solidFill>
                    <w14:schemeClr w14:val="tx1"/>
                  </w14:solidFill>
                </w14:textFill>
              </w:rPr>
              <w:t>2.</w:t>
            </w:r>
            <w:r>
              <w:rPr>
                <w:rFonts w:hint="default" w:ascii="Times New Roman" w:hAnsi="Times New Roman" w:eastAsia="宋体" w:cs="Times New Roman"/>
                <w:b/>
                <w:bCs/>
                <w:color w:val="auto"/>
                <w:sz w:val="24"/>
                <w:highlight w:val="none"/>
                <w:lang w:val="en-US" w:eastAsia="zh-CN"/>
              </w:rPr>
              <w:t>土地、规划相符性分析</w:t>
            </w:r>
          </w:p>
          <w:p w14:paraId="0FE7C2D6">
            <w:pPr>
              <w:autoSpaceDE w:val="0"/>
              <w:autoSpaceDN w:val="0"/>
              <w:spacing w:line="360" w:lineRule="auto"/>
              <w:ind w:firstLine="480" w:firstLineChars="200"/>
              <w:rPr>
                <w:rFonts w:hint="default" w:ascii="Times New Roman" w:hAnsi="Times New Roman" w:eastAsia="宋体" w:cs="Times New Roman"/>
                <w:b w:val="0"/>
                <w:bCs w:val="0"/>
                <w:color w:val="auto"/>
                <w:sz w:val="24"/>
                <w:szCs w:val="24"/>
                <w:highlight w:val="none"/>
                <w:u w:val="none" w:color="auto"/>
                <w:lang w:val="en-US" w:eastAsia="zh-CN"/>
              </w:rPr>
            </w:pPr>
            <w:r>
              <w:rPr>
                <w:rFonts w:hint="eastAsia" w:asciiTheme="minorEastAsia" w:hAnsiTheme="minorEastAsia" w:eastAsiaTheme="minorEastAsia" w:cstheme="minorEastAsia"/>
                <w:b w:val="0"/>
                <w:bCs w:val="0"/>
                <w:color w:val="000000"/>
                <w:sz w:val="24"/>
                <w:szCs w:val="24"/>
                <w:highlight w:val="none"/>
                <w:lang w:eastAsia="zh-CN"/>
              </w:rPr>
              <w:t>根据《殷都区自然环境局关于安阳市殷都区老万金渠内河向外河排涝通道建设项目规划和用地情况的复函》（见附件三）：项目位于殷都区老万金渠曲沟段、胜利渠武旺段、胜利渠西夏寒段、胜利渠跨金线河段。项目建设内容为对老万金渠曲沟段(自万金花园南侧，向西至金线河)进行疏浚，清理淤泥，修建生态堤坝护坡，硬化河底；胜利渠武旺段流向金线河、胜利渠西夏寒段流向安阳河(从西夏寒村北广场，向北沿道路一侧至安阳河)新建排水暗涵，增设流量监测设备；胜利渠跨金线河段，由地上明渠改为地下暗渠。该</w:t>
            </w:r>
            <w:r>
              <w:rPr>
                <w:rFonts w:hint="eastAsia" w:asciiTheme="minorEastAsia" w:hAnsiTheme="minorEastAsia" w:eastAsiaTheme="minorEastAsia" w:cstheme="minorEastAsia"/>
                <w:b w:val="0"/>
                <w:bCs w:val="0"/>
                <w:color w:val="000000"/>
                <w:sz w:val="24"/>
                <w:szCs w:val="24"/>
                <w:highlight w:val="none"/>
              </w:rPr>
              <w:t>项目</w:t>
            </w:r>
            <w:r>
              <w:rPr>
                <w:rFonts w:hint="eastAsia" w:asciiTheme="minorEastAsia" w:hAnsiTheme="minorEastAsia" w:eastAsiaTheme="minorEastAsia" w:cstheme="minorEastAsia"/>
                <w:b w:val="0"/>
                <w:bCs w:val="0"/>
                <w:color w:val="000000"/>
                <w:sz w:val="24"/>
                <w:szCs w:val="24"/>
                <w:highlight w:val="none"/>
                <w:lang w:eastAsia="zh-CN"/>
              </w:rPr>
              <w:t>在原址上提升改造，不涉及新增用地；</w:t>
            </w:r>
            <w:r>
              <w:rPr>
                <w:rFonts w:hint="eastAsia" w:ascii="Times New Roman" w:hAnsi="Times New Roman" w:eastAsia="宋体" w:cs="Times New Roman"/>
                <w:b w:val="0"/>
                <w:bCs w:val="0"/>
                <w:color w:val="auto"/>
                <w:sz w:val="24"/>
                <w:szCs w:val="24"/>
                <w:highlight w:val="none"/>
                <w:u w:val="none" w:color="auto"/>
                <w:lang w:val="en-US" w:eastAsia="zh-CN"/>
              </w:rPr>
              <w:t>该项目属于河道治理，</w:t>
            </w:r>
            <w:r>
              <w:rPr>
                <w:rFonts w:hint="eastAsia" w:cs="Times New Roman"/>
                <w:b w:val="0"/>
                <w:bCs w:val="0"/>
                <w:color w:val="auto"/>
                <w:sz w:val="24"/>
                <w:szCs w:val="24"/>
                <w:highlight w:val="none"/>
                <w:u w:val="none" w:color="auto"/>
                <w:lang w:val="en-US" w:eastAsia="zh-CN"/>
              </w:rPr>
              <w:t>安全度汛</w:t>
            </w:r>
            <w:r>
              <w:rPr>
                <w:rFonts w:hint="eastAsia" w:ascii="Times New Roman" w:hAnsi="Times New Roman" w:eastAsia="宋体" w:cs="Times New Roman"/>
                <w:b w:val="0"/>
                <w:bCs w:val="0"/>
                <w:color w:val="auto"/>
                <w:sz w:val="24"/>
                <w:szCs w:val="24"/>
                <w:highlight w:val="none"/>
                <w:u w:val="none" w:color="auto"/>
                <w:lang w:val="en-US" w:eastAsia="zh-CN"/>
              </w:rPr>
              <w:t>工程</w:t>
            </w:r>
            <w:r>
              <w:rPr>
                <w:rFonts w:hint="eastAsia" w:cs="Times New Roman"/>
                <w:b w:val="0"/>
                <w:bCs w:val="0"/>
                <w:color w:val="auto"/>
                <w:sz w:val="24"/>
                <w:szCs w:val="24"/>
                <w:highlight w:val="none"/>
                <w:u w:val="none" w:color="auto"/>
                <w:lang w:val="en-US" w:eastAsia="zh-CN"/>
              </w:rPr>
              <w:t>。</w:t>
            </w:r>
            <w:r>
              <w:rPr>
                <w:rFonts w:hint="eastAsia" w:ascii="Times New Roman" w:hAnsi="Times New Roman" w:eastAsia="宋体" w:cs="Times New Roman"/>
                <w:b w:val="0"/>
                <w:bCs w:val="0"/>
                <w:color w:val="auto"/>
                <w:sz w:val="24"/>
                <w:szCs w:val="24"/>
                <w:highlight w:val="none"/>
                <w:u w:val="none" w:color="auto"/>
                <w:lang w:val="en-US" w:eastAsia="zh-CN"/>
              </w:rPr>
              <w:t>不涉及新建、改建、扩建建</w:t>
            </w:r>
            <w:r>
              <w:rPr>
                <w:rFonts w:hint="eastAsia" w:cs="Times New Roman"/>
                <w:b w:val="0"/>
                <w:bCs w:val="0"/>
                <w:color w:val="auto"/>
                <w:sz w:val="24"/>
                <w:szCs w:val="24"/>
                <w:highlight w:val="none"/>
                <w:u w:val="none" w:color="auto"/>
                <w:lang w:val="en-US" w:eastAsia="zh-CN"/>
              </w:rPr>
              <w:t>（构）</w:t>
            </w:r>
            <w:r>
              <w:rPr>
                <w:rFonts w:hint="eastAsia" w:ascii="Times New Roman" w:hAnsi="Times New Roman" w:eastAsia="宋体" w:cs="Times New Roman"/>
                <w:b w:val="0"/>
                <w:bCs w:val="0"/>
                <w:color w:val="auto"/>
                <w:sz w:val="24"/>
                <w:szCs w:val="24"/>
                <w:highlight w:val="none"/>
                <w:u w:val="none" w:color="auto"/>
                <w:lang w:val="en-US" w:eastAsia="zh-CN"/>
              </w:rPr>
              <w:t>筑物，不影响城乡规划的布局</w:t>
            </w:r>
            <w:r>
              <w:rPr>
                <w:rFonts w:hint="eastAsia" w:cs="Times New Roman"/>
                <w:b w:val="0"/>
                <w:bCs w:val="0"/>
                <w:color w:val="auto"/>
                <w:sz w:val="24"/>
                <w:szCs w:val="24"/>
                <w:highlight w:val="none"/>
                <w:u w:val="none" w:color="auto"/>
                <w:lang w:val="en-US" w:eastAsia="zh-CN"/>
              </w:rPr>
              <w:t>，但需纳入正在编制的国土空间规划中，为项目的规划建设提供条件</w:t>
            </w:r>
            <w:r>
              <w:rPr>
                <w:rFonts w:hint="eastAsia" w:ascii="Times New Roman" w:hAnsi="Times New Roman" w:eastAsia="宋体" w:cs="Times New Roman"/>
                <w:b w:val="0"/>
                <w:bCs w:val="0"/>
                <w:color w:val="auto"/>
                <w:sz w:val="24"/>
                <w:szCs w:val="24"/>
                <w:highlight w:val="none"/>
                <w:u w:val="none" w:color="auto"/>
                <w:lang w:val="en-US" w:eastAsia="zh-CN"/>
              </w:rPr>
              <w:t>。</w:t>
            </w:r>
            <w:r>
              <w:rPr>
                <w:rFonts w:hint="eastAsia" w:cs="Times New Roman"/>
                <w:b w:val="0"/>
                <w:bCs w:val="0"/>
                <w:color w:val="auto"/>
                <w:sz w:val="24"/>
                <w:szCs w:val="24"/>
                <w:highlight w:val="none"/>
                <w:u w:val="none" w:color="auto"/>
                <w:lang w:val="en-US" w:eastAsia="zh-CN"/>
              </w:rPr>
              <w:t xml:space="preserve"> </w:t>
            </w:r>
          </w:p>
          <w:p w14:paraId="5E599D1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textAlignment w:val="auto"/>
              <w:rPr>
                <w:rFonts w:hint="eastAsia" w:ascii="Times New Roman" w:hAnsi="Times New Roman" w:eastAsia="宋体" w:cs="Times New Roman"/>
                <w:b/>
                <w:bCs/>
                <w:color w:val="000000" w:themeColor="text1"/>
                <w:sz w:val="24"/>
                <w:szCs w:val="24"/>
                <w:highlight w:val="none"/>
                <w:u w:val="none" w:color="auto"/>
                <w:lang w:val="en-US" w:eastAsia="zh-CN"/>
                <w14:textFill>
                  <w14:solidFill>
                    <w14:schemeClr w14:val="tx1"/>
                  </w14:solidFill>
                </w14:textFill>
              </w:rPr>
            </w:pPr>
            <w:r>
              <w:rPr>
                <w:rFonts w:hint="eastAsia" w:cs="Times New Roman"/>
                <w:b/>
                <w:bCs/>
                <w:color w:val="000000" w:themeColor="text1"/>
                <w:kern w:val="2"/>
                <w:sz w:val="24"/>
                <w:szCs w:val="24"/>
                <w:highlight w:val="none"/>
                <w:u w:color="auto"/>
                <w:lang w:val="en-US" w:eastAsia="zh-CN" w:bidi="ar-SA"/>
                <w14:textFill>
                  <w14:solidFill>
                    <w14:schemeClr w14:val="tx1"/>
                  </w14:solidFill>
                </w14:textFill>
              </w:rPr>
              <w:t>3</w:t>
            </w:r>
            <w:r>
              <w:rPr>
                <w:rFonts w:hint="eastAsia" w:ascii="Times New Roman" w:hAnsi="Times New Roman" w:eastAsia="宋体" w:cs="Times New Roman"/>
                <w:b/>
                <w:bCs/>
                <w:color w:val="000000" w:themeColor="text1"/>
                <w:kern w:val="2"/>
                <w:sz w:val="24"/>
                <w:szCs w:val="24"/>
                <w:highlight w:val="none"/>
                <w:u w:color="auto"/>
                <w:lang w:val="en-US" w:eastAsia="zh-CN" w:bidi="ar-SA"/>
                <w14:textFill>
                  <w14:solidFill>
                    <w14:schemeClr w14:val="tx1"/>
                  </w14:solidFill>
                </w14:textFill>
              </w:rPr>
              <w:t>.</w:t>
            </w:r>
            <w:r>
              <w:rPr>
                <w:rFonts w:hint="eastAsia" w:cs="Times New Roman"/>
                <w:b/>
                <w:bCs/>
                <w:color w:val="000000" w:themeColor="text1"/>
                <w:sz w:val="24"/>
                <w:szCs w:val="24"/>
                <w:highlight w:val="none"/>
                <w:u w:val="none" w:color="auto"/>
                <w:lang w:val="en-US" w:eastAsia="zh-CN"/>
                <w14:textFill>
                  <w14:solidFill>
                    <w14:schemeClr w14:val="tx1"/>
                  </w14:solidFill>
                </w14:textFill>
              </w:rPr>
              <w:t>“</w:t>
            </w:r>
            <w:r>
              <w:rPr>
                <w:rFonts w:hint="eastAsia" w:ascii="Times New Roman" w:hAnsi="Times New Roman" w:eastAsia="宋体" w:cs="Times New Roman"/>
                <w:b/>
                <w:bCs/>
                <w:color w:val="000000" w:themeColor="text1"/>
                <w:sz w:val="24"/>
                <w:szCs w:val="24"/>
                <w:highlight w:val="none"/>
                <w:u w:val="none" w:color="auto"/>
                <w:lang w:val="en-US" w:eastAsia="zh-CN"/>
                <w14:textFill>
                  <w14:solidFill>
                    <w14:schemeClr w14:val="tx1"/>
                  </w14:solidFill>
                </w14:textFill>
              </w:rPr>
              <w:t>三线一单</w:t>
            </w:r>
            <w:r>
              <w:rPr>
                <w:rFonts w:hint="eastAsia" w:cs="Times New Roman"/>
                <w:b/>
                <w:bCs/>
                <w:color w:val="000000" w:themeColor="text1"/>
                <w:sz w:val="24"/>
                <w:szCs w:val="24"/>
                <w:highlight w:val="none"/>
                <w:u w:val="none" w:color="auto"/>
                <w:lang w:val="en-US" w:eastAsia="zh-CN"/>
                <w14:textFill>
                  <w14:solidFill>
                    <w14:schemeClr w14:val="tx1"/>
                  </w14:solidFill>
                </w14:textFill>
              </w:rPr>
              <w:t>”</w:t>
            </w:r>
            <w:r>
              <w:rPr>
                <w:rFonts w:hint="eastAsia" w:ascii="Times New Roman" w:hAnsi="Times New Roman" w:eastAsia="宋体" w:cs="Times New Roman"/>
                <w:b/>
                <w:bCs/>
                <w:color w:val="000000" w:themeColor="text1"/>
                <w:sz w:val="24"/>
                <w:szCs w:val="24"/>
                <w:highlight w:val="none"/>
                <w:u w:val="none" w:color="auto"/>
                <w:lang w:val="en-US" w:eastAsia="zh-CN"/>
                <w14:textFill>
                  <w14:solidFill>
                    <w14:schemeClr w14:val="tx1"/>
                  </w14:solidFill>
                </w14:textFill>
              </w:rPr>
              <w:t>环保管理符合性分析</w:t>
            </w:r>
          </w:p>
          <w:p w14:paraId="55163264">
            <w:pPr>
              <w:numPr>
                <w:ilvl w:val="0"/>
                <w:numId w:val="0"/>
              </w:numPr>
              <w:autoSpaceDE w:val="0"/>
              <w:autoSpaceDN w:val="0"/>
              <w:spacing w:line="360" w:lineRule="auto"/>
              <w:ind w:firstLine="480" w:firstLineChars="200"/>
              <w:rPr>
                <w:rFonts w:hint="default" w:ascii="Times New Roman" w:hAnsi="Times New Roman" w:eastAsia="宋体" w:cs="Times New Roman"/>
                <w:b w:val="0"/>
                <w:bCs w:val="0"/>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lang w:val="en-US" w:eastAsia="zh-CN"/>
              </w:rPr>
              <w:t>根据《河南省人民政府关于实施</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三线一单</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生态环境分区管控的意见》（豫政</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2020</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37号），全省划定为优先保护单元、重点管控单元和一般管控单元三类生态环境管控单元，并实施分类管控。为贯彻落实《河南省人民政府关于实施</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三线一单</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生态环境分区管控的意见》</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豫政</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2020</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37号</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，进一步细化完善相关成果，根据河南省生态</w:t>
            </w:r>
            <w:r>
              <w:rPr>
                <w:rFonts w:hint="eastAsia" w:ascii="Times New Roman" w:hAnsi="Times New Roman" w:eastAsia="宋体" w:cs="Times New Roman"/>
                <w:color w:val="auto"/>
                <w:sz w:val="24"/>
                <w:szCs w:val="24"/>
                <w:highlight w:val="none"/>
                <w:lang w:val="en-US" w:eastAsia="zh-CN"/>
              </w:rPr>
              <w:t>环境厅</w:t>
            </w:r>
            <w:r>
              <w:rPr>
                <w:rFonts w:hint="default" w:ascii="Times New Roman" w:hAnsi="Times New Roman" w:eastAsia="宋体" w:cs="Times New Roman"/>
                <w:color w:val="auto"/>
                <w:sz w:val="24"/>
                <w:szCs w:val="24"/>
                <w:highlight w:val="none"/>
                <w:lang w:val="en-US" w:eastAsia="zh-CN"/>
              </w:rPr>
              <w:t>关于《贯彻落实</w:t>
            </w:r>
            <w:r>
              <w:rPr>
                <w:rFonts w:hint="eastAsia" w:cs="Times New Roman"/>
                <w:color w:val="auto"/>
                <w:sz w:val="24"/>
                <w:szCs w:val="24"/>
                <w:highlight w:val="none"/>
                <w:lang w:val="en-US" w:eastAsia="zh-CN"/>
              </w:rPr>
              <w:t>&lt;</w:t>
            </w:r>
            <w:r>
              <w:rPr>
                <w:rFonts w:hint="default" w:ascii="Times New Roman" w:hAnsi="Times New Roman" w:eastAsia="宋体" w:cs="Times New Roman"/>
                <w:color w:val="auto"/>
                <w:sz w:val="24"/>
                <w:szCs w:val="24"/>
                <w:highlight w:val="none"/>
                <w:lang w:val="en-US" w:eastAsia="zh-CN"/>
              </w:rPr>
              <w:t>河南省人民政府关于实施</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三线一单</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生态环境分区管控的意见&gt;实施方案》（豫环办</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2021</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17号）有关规定，安阳市生态环境局关于发布《安阳市生态环境局关于调整《安阳市</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三线一单</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生态环境分区管控准入清单（2023年版）》的函》（安环函〔2023〕60号），具体分析如下：</w:t>
            </w:r>
          </w:p>
          <w:p w14:paraId="0C725CD3">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b w:val="0"/>
                <w:bCs w:val="0"/>
                <w:color w:val="000000" w:themeColor="text1"/>
                <w:sz w:val="24"/>
                <w:szCs w:val="24"/>
                <w:highlight w:val="none"/>
                <w:u w:val="none" w:color="auto"/>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u w:val="none" w:color="auto"/>
                <w:lang w:val="en-US" w:eastAsia="zh-CN"/>
                <w14:textFill>
                  <w14:solidFill>
                    <w14:schemeClr w14:val="tx1"/>
                  </w14:solidFill>
                </w14:textFill>
              </w:rPr>
              <w:t>（1）生态红线</w:t>
            </w:r>
          </w:p>
          <w:p w14:paraId="33E184DA">
            <w:pPr>
              <w:adjustRightInd w:val="0"/>
              <w:snapToGrid w:val="0"/>
              <w:spacing w:line="360" w:lineRule="auto"/>
              <w:ind w:firstLine="480" w:firstLineChars="200"/>
              <w:rPr>
                <w:rFonts w:hint="default" w:ascii="Times New Roman" w:hAnsi="Times New Roman" w:eastAsia="宋体" w:cs="Times New Roman"/>
                <w:b w:val="0"/>
                <w:bCs w:val="0"/>
                <w:color w:val="auto"/>
                <w:sz w:val="24"/>
                <w:szCs w:val="24"/>
                <w:highlight w:val="none"/>
                <w:u w:val="none" w:color="auto"/>
                <w:lang w:eastAsia="zh-CN"/>
              </w:rPr>
            </w:pPr>
            <w:r>
              <w:rPr>
                <w:rFonts w:hint="default" w:ascii="Times New Roman" w:hAnsi="Times New Roman" w:eastAsia="宋体" w:cs="Times New Roman"/>
                <w:b w:val="0"/>
                <w:bCs w:val="0"/>
                <w:color w:val="auto"/>
                <w:sz w:val="24"/>
                <w:szCs w:val="24"/>
                <w:highlight w:val="none"/>
                <w:u w:val="none" w:color="auto"/>
                <w:lang w:val="en-US" w:eastAsia="zh-CN"/>
              </w:rPr>
              <w:t>根据安阳市环境污染防治攻坚战指挥部办公室关于制定发布</w:t>
            </w:r>
            <w:r>
              <w:rPr>
                <w:rFonts w:hint="default" w:ascii="Times New Roman" w:hAnsi="Times New Roman" w:eastAsia="宋体" w:cs="Times New Roman"/>
                <w:color w:val="auto"/>
                <w:sz w:val="24"/>
                <w:szCs w:val="24"/>
                <w:highlight w:val="none"/>
                <w:lang w:val="en-US" w:eastAsia="zh-CN"/>
              </w:rPr>
              <w:t>《安阳市生态环境局关于调整《安阳市</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三线一单</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生态环境分区管控准入清单（2023年版）》的函》（安环函〔2023〕60号）</w:t>
            </w:r>
            <w:r>
              <w:rPr>
                <w:rFonts w:hint="default" w:ascii="Times New Roman" w:hAnsi="Times New Roman" w:eastAsia="宋体" w:cs="Times New Roman"/>
                <w:b w:val="0"/>
                <w:bCs w:val="0"/>
                <w:color w:val="auto"/>
                <w:sz w:val="24"/>
                <w:szCs w:val="24"/>
                <w:highlight w:val="none"/>
                <w:u w:val="none" w:color="auto"/>
                <w:lang w:val="en-US" w:eastAsia="zh-CN"/>
              </w:rPr>
              <w:t>的通知附件：各县（市、区）环境管控单元生态环境准入清单中安阳市</w:t>
            </w:r>
            <w:r>
              <w:rPr>
                <w:rFonts w:hint="eastAsia" w:cs="Times New Roman"/>
                <w:b w:val="0"/>
                <w:bCs w:val="0"/>
                <w:color w:val="auto"/>
                <w:sz w:val="24"/>
                <w:szCs w:val="24"/>
                <w:highlight w:val="none"/>
                <w:u w:val="none" w:color="auto"/>
                <w:lang w:val="en-US" w:eastAsia="zh-CN"/>
              </w:rPr>
              <w:t>殷都区</w:t>
            </w:r>
            <w:r>
              <w:rPr>
                <w:rFonts w:hint="default" w:ascii="Times New Roman" w:hAnsi="Times New Roman" w:eastAsia="宋体" w:cs="Times New Roman"/>
                <w:b w:val="0"/>
                <w:bCs w:val="0"/>
                <w:color w:val="auto"/>
                <w:sz w:val="24"/>
                <w:szCs w:val="24"/>
                <w:highlight w:val="none"/>
                <w:u w:val="none" w:color="auto"/>
                <w:lang w:val="en-US" w:eastAsia="zh-CN"/>
              </w:rPr>
              <w:t>环境管控单元生态环境准入清单，本项目位于</w:t>
            </w:r>
            <w:r>
              <w:rPr>
                <w:rFonts w:hint="eastAsia" w:ascii="宋体" w:hAnsi="宋体" w:eastAsia="宋体" w:cs="宋体"/>
                <w:b w:val="0"/>
                <w:bCs w:val="0"/>
                <w:color w:val="000000"/>
                <w:sz w:val="24"/>
                <w:szCs w:val="24"/>
                <w:highlight w:val="none"/>
              </w:rPr>
              <w:t>安阳市殷都区老万金渠曲沟段、胜利渠武旺段、胜利渠西夏寒段、胜利渠跨金线河段</w:t>
            </w:r>
            <w:r>
              <w:rPr>
                <w:rFonts w:hint="default" w:ascii="Times New Roman" w:hAnsi="Times New Roman" w:eastAsia="宋体" w:cs="Times New Roman"/>
                <w:b w:val="0"/>
                <w:bCs w:val="0"/>
                <w:color w:val="auto"/>
                <w:sz w:val="24"/>
                <w:szCs w:val="24"/>
                <w:highlight w:val="none"/>
                <w:u w:val="none" w:color="auto"/>
                <w:lang w:eastAsia="zh-CN"/>
              </w:rPr>
              <w:t>，不在生态红线保护范围内。</w:t>
            </w:r>
          </w:p>
          <w:p w14:paraId="7CA0DC0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b w:val="0"/>
                <w:bCs w:val="0"/>
                <w:color w:val="000000" w:themeColor="text1"/>
                <w:sz w:val="24"/>
                <w:szCs w:val="24"/>
                <w:highlight w:val="none"/>
                <w:u w:val="none" w:color="auto"/>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2"/>
                <w:sz w:val="24"/>
                <w:szCs w:val="24"/>
                <w:highlight w:val="none"/>
                <w:u w:color="auto"/>
                <w:lang w:val="en-US" w:eastAsia="zh-CN" w:bidi="ar-SA"/>
                <w14:textFill>
                  <w14:solidFill>
                    <w14:schemeClr w14:val="tx1"/>
                  </w14:solidFill>
                </w14:textFill>
              </w:rPr>
              <w:t>（2）</w:t>
            </w:r>
            <w:r>
              <w:rPr>
                <w:rFonts w:hint="eastAsia" w:cs="Times New Roman"/>
                <w:b w:val="0"/>
                <w:bCs w:val="0"/>
                <w:color w:val="000000" w:themeColor="text1"/>
                <w:kern w:val="2"/>
                <w:sz w:val="24"/>
                <w:szCs w:val="24"/>
                <w:highlight w:val="none"/>
                <w:u w:color="auto"/>
                <w:lang w:val="en-US" w:eastAsia="zh-CN" w:bidi="ar-SA"/>
                <w14:textFill>
                  <w14:solidFill>
                    <w14:schemeClr w14:val="tx1"/>
                  </w14:solidFill>
                </w14:textFill>
              </w:rPr>
              <w:t>环境</w:t>
            </w:r>
            <w:r>
              <w:rPr>
                <w:rFonts w:hint="eastAsia" w:ascii="Times New Roman" w:hAnsi="Times New Roman" w:eastAsia="宋体" w:cs="Times New Roman"/>
                <w:b w:val="0"/>
                <w:bCs w:val="0"/>
                <w:color w:val="000000" w:themeColor="text1"/>
                <w:sz w:val="24"/>
                <w:szCs w:val="24"/>
                <w:highlight w:val="none"/>
                <w:u w:val="none" w:color="auto"/>
                <w:lang w:val="en-US" w:eastAsia="zh-CN"/>
                <w14:textFill>
                  <w14:solidFill>
                    <w14:schemeClr w14:val="tx1"/>
                  </w14:solidFill>
                </w14:textFill>
              </w:rPr>
              <w:t>质量底线</w:t>
            </w:r>
          </w:p>
          <w:p w14:paraId="4BB6A8FF">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b w:val="0"/>
                <w:bCs w:val="0"/>
                <w:snapToGrid w:val="0"/>
                <w:color w:val="000000" w:themeColor="text1"/>
                <w:sz w:val="24"/>
                <w:szCs w:val="24"/>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snapToGrid w:val="0"/>
                <w:color w:val="000000" w:themeColor="text1"/>
                <w:sz w:val="24"/>
                <w:szCs w:val="24"/>
                <w:highlight w:val="none"/>
                <w:u w:val="none" w:color="auto"/>
                <w:lang w:val="en-US" w:eastAsia="zh-CN"/>
                <w14:textFill>
                  <w14:solidFill>
                    <w14:schemeClr w14:val="tx1"/>
                  </w14:solidFill>
                </w14:textFill>
              </w:rPr>
              <w:t>根据《202</w:t>
            </w:r>
            <w:r>
              <w:rPr>
                <w:rFonts w:hint="eastAsia" w:cs="Times New Roman"/>
                <w:b w:val="0"/>
                <w:bCs w:val="0"/>
                <w:snapToGrid w:val="0"/>
                <w:color w:val="000000" w:themeColor="text1"/>
                <w:sz w:val="24"/>
                <w:szCs w:val="24"/>
                <w:highlight w:val="none"/>
                <w:u w:val="none" w:color="auto"/>
                <w:lang w:val="en-US" w:eastAsia="zh-CN"/>
                <w14:textFill>
                  <w14:solidFill>
                    <w14:schemeClr w14:val="tx1"/>
                  </w14:solidFill>
                </w14:textFill>
              </w:rPr>
              <w:t>3</w:t>
            </w:r>
            <w:r>
              <w:rPr>
                <w:rFonts w:hint="default" w:ascii="Times New Roman" w:hAnsi="Times New Roman" w:eastAsia="宋体" w:cs="Times New Roman"/>
                <w:b w:val="0"/>
                <w:bCs w:val="0"/>
                <w:snapToGrid w:val="0"/>
                <w:color w:val="000000" w:themeColor="text1"/>
                <w:sz w:val="24"/>
                <w:szCs w:val="24"/>
                <w:highlight w:val="none"/>
                <w:u w:val="none" w:color="auto"/>
                <w:lang w:val="en-US" w:eastAsia="zh-CN"/>
                <w14:textFill>
                  <w14:solidFill>
                    <w14:schemeClr w14:val="tx1"/>
                  </w14:solidFill>
                </w14:textFill>
              </w:rPr>
              <w:t>年安阳市生态环境状况公报》可知，202</w:t>
            </w:r>
            <w:r>
              <w:rPr>
                <w:rFonts w:hint="eastAsia" w:cs="Times New Roman"/>
                <w:b w:val="0"/>
                <w:bCs w:val="0"/>
                <w:snapToGrid w:val="0"/>
                <w:color w:val="000000" w:themeColor="text1"/>
                <w:sz w:val="24"/>
                <w:szCs w:val="24"/>
                <w:highlight w:val="none"/>
                <w:u w:val="none" w:color="auto"/>
                <w:lang w:val="en-US" w:eastAsia="zh-CN"/>
                <w14:textFill>
                  <w14:solidFill>
                    <w14:schemeClr w14:val="tx1"/>
                  </w14:solidFill>
                </w14:textFill>
              </w:rPr>
              <w:t>3</w:t>
            </w:r>
            <w:r>
              <w:rPr>
                <w:rFonts w:hint="default" w:ascii="Times New Roman" w:hAnsi="Times New Roman" w:eastAsia="宋体" w:cs="Times New Roman"/>
                <w:b w:val="0"/>
                <w:bCs w:val="0"/>
                <w:snapToGrid w:val="0"/>
                <w:color w:val="000000" w:themeColor="text1"/>
                <w:sz w:val="24"/>
                <w:szCs w:val="24"/>
                <w:highlight w:val="none"/>
                <w:u w:val="none" w:color="auto"/>
                <w:lang w:val="en-US" w:eastAsia="zh-CN"/>
                <w14:textFill>
                  <w14:solidFill>
                    <w14:schemeClr w14:val="tx1"/>
                  </w14:solidFill>
                </w14:textFill>
              </w:rPr>
              <w:t>年城市环境空气质量综合指数为5</w:t>
            </w:r>
            <w:r>
              <w:rPr>
                <w:rFonts w:hint="eastAsia" w:cs="Times New Roman"/>
                <w:b w:val="0"/>
                <w:bCs w:val="0"/>
                <w:snapToGrid w:val="0"/>
                <w:color w:val="000000" w:themeColor="text1"/>
                <w:sz w:val="24"/>
                <w:szCs w:val="24"/>
                <w:highlight w:val="none"/>
                <w:u w:val="none" w:color="auto"/>
                <w:lang w:val="en-US" w:eastAsia="zh-CN"/>
                <w14:textFill>
                  <w14:solidFill>
                    <w14:schemeClr w14:val="tx1"/>
                  </w14:solidFill>
                </w14:textFill>
              </w:rPr>
              <w:t>.033</w:t>
            </w:r>
            <w:r>
              <w:rPr>
                <w:rFonts w:hint="default" w:ascii="Times New Roman" w:hAnsi="Times New Roman" w:eastAsia="宋体" w:cs="Times New Roman"/>
                <w:b w:val="0"/>
                <w:bCs w:val="0"/>
                <w:snapToGrid w:val="0"/>
                <w:color w:val="000000" w:themeColor="text1"/>
                <w:sz w:val="24"/>
                <w:szCs w:val="24"/>
                <w:highlight w:val="none"/>
                <w:u w:val="none" w:color="auto"/>
                <w:lang w:val="en-US" w:eastAsia="zh-CN"/>
                <w14:textFill>
                  <w14:solidFill>
                    <w14:schemeClr w14:val="tx1"/>
                  </w14:solidFill>
                </w14:textFill>
              </w:rPr>
              <w:t>，可吸入颗粒物（PM</w:t>
            </w:r>
            <w:r>
              <w:rPr>
                <w:rFonts w:hint="default" w:ascii="Times New Roman" w:hAnsi="Times New Roman" w:eastAsia="宋体" w:cs="Times New Roman"/>
                <w:b w:val="0"/>
                <w:bCs w:val="0"/>
                <w:snapToGrid w:val="0"/>
                <w:color w:val="000000" w:themeColor="text1"/>
                <w:sz w:val="24"/>
                <w:szCs w:val="24"/>
                <w:highlight w:val="none"/>
                <w:u w:val="none" w:color="auto"/>
                <w:vertAlign w:val="subscript"/>
                <w:lang w:val="en-US" w:eastAsia="zh-CN"/>
                <w14:textFill>
                  <w14:solidFill>
                    <w14:schemeClr w14:val="tx1"/>
                  </w14:solidFill>
                </w14:textFill>
              </w:rPr>
              <w:t>10</w:t>
            </w:r>
            <w:r>
              <w:rPr>
                <w:rFonts w:hint="default" w:ascii="Times New Roman" w:hAnsi="Times New Roman" w:eastAsia="宋体" w:cs="Times New Roman"/>
                <w:b w:val="0"/>
                <w:bCs w:val="0"/>
                <w:snapToGrid w:val="0"/>
                <w:color w:val="000000" w:themeColor="text1"/>
                <w:sz w:val="24"/>
                <w:szCs w:val="24"/>
                <w:highlight w:val="none"/>
                <w:u w:val="none" w:color="auto"/>
                <w:lang w:val="en-US" w:eastAsia="zh-CN"/>
                <w14:textFill>
                  <w14:solidFill>
                    <w14:schemeClr w14:val="tx1"/>
                  </w14:solidFill>
                </w14:textFill>
              </w:rPr>
              <w:t>）、细颗粒物（PM</w:t>
            </w:r>
            <w:r>
              <w:rPr>
                <w:rFonts w:hint="default" w:ascii="Times New Roman" w:hAnsi="Times New Roman" w:eastAsia="宋体" w:cs="Times New Roman"/>
                <w:b w:val="0"/>
                <w:bCs w:val="0"/>
                <w:snapToGrid w:val="0"/>
                <w:color w:val="000000" w:themeColor="text1"/>
                <w:sz w:val="24"/>
                <w:szCs w:val="24"/>
                <w:highlight w:val="none"/>
                <w:u w:val="none" w:color="auto"/>
                <w:vertAlign w:val="subscript"/>
                <w:lang w:val="en-US" w:eastAsia="zh-CN"/>
                <w14:textFill>
                  <w14:solidFill>
                    <w14:schemeClr w14:val="tx1"/>
                  </w14:solidFill>
                </w14:textFill>
              </w:rPr>
              <w:t>2.5</w:t>
            </w:r>
            <w:r>
              <w:rPr>
                <w:rFonts w:hint="default" w:ascii="Times New Roman" w:hAnsi="Times New Roman" w:eastAsia="宋体" w:cs="Times New Roman"/>
                <w:b w:val="0"/>
                <w:bCs w:val="0"/>
                <w:snapToGrid w:val="0"/>
                <w:color w:val="000000" w:themeColor="text1"/>
                <w:sz w:val="24"/>
                <w:szCs w:val="24"/>
                <w:highlight w:val="none"/>
                <w:u w:val="none" w:color="auto"/>
                <w:lang w:val="en-US" w:eastAsia="zh-CN"/>
                <w14:textFill>
                  <w14:solidFill>
                    <w14:schemeClr w14:val="tx1"/>
                  </w14:solidFill>
                </w14:textFill>
              </w:rPr>
              <w:t>）、二氧化硫、二氧化氮、一氧化碳、臭氧分别为</w:t>
            </w:r>
            <w:r>
              <w:rPr>
                <w:rFonts w:hint="eastAsia" w:cs="Times New Roman"/>
                <w:b w:val="0"/>
                <w:bCs w:val="0"/>
                <w:snapToGrid w:val="0"/>
                <w:color w:val="000000" w:themeColor="text1"/>
                <w:sz w:val="24"/>
                <w:szCs w:val="24"/>
                <w:highlight w:val="none"/>
                <w:u w:val="none" w:color="auto"/>
                <w:lang w:val="en-US" w:eastAsia="zh-CN"/>
                <w14:textFill>
                  <w14:solidFill>
                    <w14:schemeClr w14:val="tx1"/>
                  </w14:solidFill>
                </w14:textFill>
              </w:rPr>
              <w:t>84</w:t>
            </w:r>
            <w:r>
              <w:rPr>
                <w:rFonts w:hint="default" w:ascii="Times New Roman" w:hAnsi="Times New Roman" w:eastAsia="宋体" w:cs="Times New Roman"/>
                <w:b w:val="0"/>
                <w:bCs w:val="0"/>
                <w:snapToGrid w:val="0"/>
                <w:color w:val="000000" w:themeColor="text1"/>
                <w:sz w:val="24"/>
                <w:szCs w:val="24"/>
                <w:highlight w:val="none"/>
                <w:u w:val="none" w:color="auto"/>
                <w:lang w:val="en-US" w:eastAsia="zh-CN"/>
                <w14:textFill>
                  <w14:solidFill>
                    <w14:schemeClr w14:val="tx1"/>
                  </w14:solidFill>
                </w14:textFill>
              </w:rPr>
              <w:t>微克/立方米、5</w:t>
            </w:r>
            <w:r>
              <w:rPr>
                <w:rFonts w:hint="eastAsia" w:cs="Times New Roman"/>
                <w:b w:val="0"/>
                <w:bCs w:val="0"/>
                <w:snapToGrid w:val="0"/>
                <w:color w:val="000000" w:themeColor="text1"/>
                <w:sz w:val="24"/>
                <w:szCs w:val="24"/>
                <w:highlight w:val="none"/>
                <w:u w:val="none" w:color="auto"/>
                <w:lang w:val="en-US" w:eastAsia="zh-CN"/>
                <w14:textFill>
                  <w14:solidFill>
                    <w14:schemeClr w14:val="tx1"/>
                  </w14:solidFill>
                </w14:textFill>
              </w:rPr>
              <w:t>0</w:t>
            </w:r>
            <w:r>
              <w:rPr>
                <w:rFonts w:hint="default" w:ascii="Times New Roman" w:hAnsi="Times New Roman" w:eastAsia="宋体" w:cs="Times New Roman"/>
                <w:b w:val="0"/>
                <w:bCs w:val="0"/>
                <w:snapToGrid w:val="0"/>
                <w:color w:val="000000" w:themeColor="text1"/>
                <w:sz w:val="24"/>
                <w:szCs w:val="24"/>
                <w:highlight w:val="none"/>
                <w:u w:val="none" w:color="auto"/>
                <w:lang w:val="en-US" w:eastAsia="zh-CN"/>
                <w14:textFill>
                  <w14:solidFill>
                    <w14:schemeClr w14:val="tx1"/>
                  </w14:solidFill>
                </w14:textFill>
              </w:rPr>
              <w:t>微克/立方米、10微克/立方米、</w:t>
            </w:r>
            <w:r>
              <w:rPr>
                <w:rFonts w:hint="eastAsia" w:cs="Times New Roman"/>
                <w:b w:val="0"/>
                <w:bCs w:val="0"/>
                <w:snapToGrid w:val="0"/>
                <w:color w:val="000000" w:themeColor="text1"/>
                <w:sz w:val="24"/>
                <w:szCs w:val="24"/>
                <w:highlight w:val="none"/>
                <w:u w:val="none" w:color="auto"/>
                <w:lang w:val="en-US" w:eastAsia="zh-CN"/>
                <w14:textFill>
                  <w14:solidFill>
                    <w14:schemeClr w14:val="tx1"/>
                  </w14:solidFill>
                </w14:textFill>
              </w:rPr>
              <w:t>29</w:t>
            </w:r>
            <w:r>
              <w:rPr>
                <w:rFonts w:hint="default" w:ascii="Times New Roman" w:hAnsi="Times New Roman" w:eastAsia="宋体" w:cs="Times New Roman"/>
                <w:b w:val="0"/>
                <w:bCs w:val="0"/>
                <w:snapToGrid w:val="0"/>
                <w:color w:val="000000" w:themeColor="text1"/>
                <w:sz w:val="24"/>
                <w:szCs w:val="24"/>
                <w:highlight w:val="none"/>
                <w:u w:val="none" w:color="auto"/>
                <w:lang w:val="en-US" w:eastAsia="zh-CN"/>
                <w14:textFill>
                  <w14:solidFill>
                    <w14:schemeClr w14:val="tx1"/>
                  </w14:solidFill>
                </w14:textFill>
              </w:rPr>
              <w:t>微克/立方米、1.</w:t>
            </w:r>
            <w:r>
              <w:rPr>
                <w:rFonts w:hint="eastAsia" w:cs="Times New Roman"/>
                <w:b w:val="0"/>
                <w:bCs w:val="0"/>
                <w:snapToGrid w:val="0"/>
                <w:color w:val="000000" w:themeColor="text1"/>
                <w:sz w:val="24"/>
                <w:szCs w:val="24"/>
                <w:highlight w:val="none"/>
                <w:u w:val="none" w:color="auto"/>
                <w:lang w:val="en-US" w:eastAsia="zh-CN"/>
                <w14:textFill>
                  <w14:solidFill>
                    <w14:schemeClr w14:val="tx1"/>
                  </w14:solidFill>
                </w14:textFill>
              </w:rPr>
              <w:t>6</w:t>
            </w:r>
            <w:r>
              <w:rPr>
                <w:rFonts w:hint="default" w:ascii="Times New Roman" w:hAnsi="Times New Roman" w:eastAsia="宋体" w:cs="Times New Roman"/>
                <w:b w:val="0"/>
                <w:bCs w:val="0"/>
                <w:snapToGrid w:val="0"/>
                <w:color w:val="000000" w:themeColor="text1"/>
                <w:sz w:val="24"/>
                <w:szCs w:val="24"/>
                <w:highlight w:val="none"/>
                <w:u w:val="none" w:color="auto"/>
                <w:lang w:val="en-US" w:eastAsia="zh-CN"/>
                <w14:textFill>
                  <w14:solidFill>
                    <w14:schemeClr w14:val="tx1"/>
                  </w14:solidFill>
                </w14:textFill>
              </w:rPr>
              <w:t>毫克/立方米、178微克/立方米，则</w:t>
            </w:r>
            <w:r>
              <w:rPr>
                <w:rFonts w:hint="eastAsia" w:cs="Times New Roman"/>
                <w:b w:val="0"/>
                <w:bCs w:val="0"/>
                <w:snapToGrid w:val="0"/>
                <w:color w:val="000000" w:themeColor="text1"/>
                <w:sz w:val="24"/>
                <w:szCs w:val="24"/>
                <w:highlight w:val="none"/>
                <w:u w:val="none" w:color="auto"/>
                <w:lang w:val="en-US" w:eastAsia="zh-CN"/>
                <w14:textFill>
                  <w14:solidFill>
                    <w14:schemeClr w14:val="tx1"/>
                  </w14:solidFill>
                </w14:textFill>
              </w:rPr>
              <w:t>可</w:t>
            </w:r>
            <w:r>
              <w:rPr>
                <w:rFonts w:hint="default" w:ascii="Times New Roman" w:hAnsi="Times New Roman" w:eastAsia="宋体" w:cs="Times New Roman"/>
                <w:b w:val="0"/>
                <w:bCs w:val="0"/>
                <w:snapToGrid w:val="0"/>
                <w:color w:val="000000" w:themeColor="text1"/>
                <w:sz w:val="24"/>
                <w:szCs w:val="24"/>
                <w:highlight w:val="none"/>
                <w:u w:val="none" w:color="auto"/>
                <w:lang w:val="en-US" w:eastAsia="zh-CN"/>
                <w14:textFill>
                  <w14:solidFill>
                    <w14:schemeClr w14:val="tx1"/>
                  </w14:solidFill>
                </w14:textFill>
              </w:rPr>
              <w:t>吸入颗粒物（PM</w:t>
            </w:r>
            <w:r>
              <w:rPr>
                <w:rFonts w:hint="default" w:ascii="Times New Roman" w:hAnsi="Times New Roman" w:eastAsia="宋体" w:cs="Times New Roman"/>
                <w:b w:val="0"/>
                <w:bCs w:val="0"/>
                <w:snapToGrid w:val="0"/>
                <w:color w:val="000000" w:themeColor="text1"/>
                <w:sz w:val="24"/>
                <w:szCs w:val="24"/>
                <w:highlight w:val="none"/>
                <w:u w:val="none" w:color="auto"/>
                <w:vertAlign w:val="subscript"/>
                <w:lang w:val="en-US" w:eastAsia="zh-CN"/>
                <w14:textFill>
                  <w14:solidFill>
                    <w14:schemeClr w14:val="tx1"/>
                  </w14:solidFill>
                </w14:textFill>
              </w:rPr>
              <w:t>10</w:t>
            </w:r>
            <w:r>
              <w:rPr>
                <w:rFonts w:hint="default" w:ascii="Times New Roman" w:hAnsi="Times New Roman" w:eastAsia="宋体" w:cs="Times New Roman"/>
                <w:b w:val="0"/>
                <w:bCs w:val="0"/>
                <w:snapToGrid w:val="0"/>
                <w:color w:val="000000" w:themeColor="text1"/>
                <w:sz w:val="24"/>
                <w:szCs w:val="24"/>
                <w:highlight w:val="none"/>
                <w:u w:val="none" w:color="auto"/>
                <w:lang w:val="en-US" w:eastAsia="zh-CN"/>
                <w14:textFill>
                  <w14:solidFill>
                    <w14:schemeClr w14:val="tx1"/>
                  </w14:solidFill>
                </w14:textFill>
              </w:rPr>
              <w:t>）、细颗粒物（PM</w:t>
            </w:r>
            <w:r>
              <w:rPr>
                <w:rFonts w:hint="default" w:ascii="Times New Roman" w:hAnsi="Times New Roman" w:eastAsia="宋体" w:cs="Times New Roman"/>
                <w:b w:val="0"/>
                <w:bCs w:val="0"/>
                <w:snapToGrid w:val="0"/>
                <w:color w:val="000000" w:themeColor="text1"/>
                <w:sz w:val="24"/>
                <w:szCs w:val="24"/>
                <w:highlight w:val="none"/>
                <w:u w:val="none" w:color="auto"/>
                <w:vertAlign w:val="subscript"/>
                <w:lang w:val="en-US" w:eastAsia="zh-CN"/>
                <w14:textFill>
                  <w14:solidFill>
                    <w14:schemeClr w14:val="tx1"/>
                  </w14:solidFill>
                </w14:textFill>
              </w:rPr>
              <w:t>2.5</w:t>
            </w:r>
            <w:r>
              <w:rPr>
                <w:rFonts w:hint="default" w:ascii="Times New Roman" w:hAnsi="Times New Roman" w:eastAsia="宋体" w:cs="Times New Roman"/>
                <w:b w:val="0"/>
                <w:bCs w:val="0"/>
                <w:snapToGrid w:val="0"/>
                <w:color w:val="000000" w:themeColor="text1"/>
                <w:sz w:val="24"/>
                <w:szCs w:val="24"/>
                <w:highlight w:val="none"/>
                <w:u w:val="none" w:color="auto"/>
                <w:lang w:val="en-US" w:eastAsia="zh-CN"/>
                <w14:textFill>
                  <w14:solidFill>
                    <w14:schemeClr w14:val="tx1"/>
                  </w14:solidFill>
                </w14:textFill>
              </w:rPr>
              <w:t>）、臭氧浓度均超出</w:t>
            </w:r>
            <w:r>
              <w:rPr>
                <w:rFonts w:hint="default" w:ascii="Times New Roman" w:hAnsi="Times New Roman" w:eastAsia="宋体" w:cs="Times New Roman"/>
                <w:b w:val="0"/>
                <w:bCs w:val="0"/>
                <w:snapToGrid w:val="0"/>
                <w:color w:val="000000" w:themeColor="text1"/>
                <w:sz w:val="24"/>
                <w:szCs w:val="24"/>
                <w:highlight w:val="none"/>
                <w:u w:val="none" w:color="auto"/>
                <w14:textFill>
                  <w14:solidFill>
                    <w14:schemeClr w14:val="tx1"/>
                  </w14:solidFill>
                </w14:textFill>
              </w:rPr>
              <w:t>《环境空气质量标准》（GB3095-2012）及其修改单中的二级标准</w:t>
            </w:r>
            <w:r>
              <w:rPr>
                <w:rFonts w:hint="default" w:ascii="Times New Roman" w:hAnsi="Times New Roman" w:eastAsia="宋体" w:cs="Times New Roman"/>
                <w:b w:val="0"/>
                <w:bCs w:val="0"/>
                <w:snapToGrid w:val="0"/>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b w:val="0"/>
                <w:bCs w:val="0"/>
                <w:snapToGrid w:val="0"/>
                <w:color w:val="000000" w:themeColor="text1"/>
                <w:sz w:val="24"/>
                <w:szCs w:val="24"/>
                <w:highlight w:val="none"/>
                <w:u w:val="none" w:color="auto"/>
                <w:lang w:val="en-US" w:eastAsia="zh-CN"/>
                <w14:textFill>
                  <w14:solidFill>
                    <w14:schemeClr w14:val="tx1"/>
                  </w14:solidFill>
                </w14:textFill>
              </w:rPr>
              <w:t>二氧化硫、二氧化氮、一氧化碳浓度未超出</w:t>
            </w:r>
            <w:r>
              <w:rPr>
                <w:rFonts w:hint="default" w:ascii="Times New Roman" w:hAnsi="Times New Roman" w:eastAsia="宋体" w:cs="Times New Roman"/>
                <w:b w:val="0"/>
                <w:bCs w:val="0"/>
                <w:snapToGrid w:val="0"/>
                <w:color w:val="000000" w:themeColor="text1"/>
                <w:sz w:val="24"/>
                <w:szCs w:val="24"/>
                <w:highlight w:val="none"/>
                <w:u w:val="none" w:color="auto"/>
                <w14:textFill>
                  <w14:solidFill>
                    <w14:schemeClr w14:val="tx1"/>
                  </w14:solidFill>
                </w14:textFill>
              </w:rPr>
              <w:t>《环境空气质量标准》（GB3095-2012）及其修改单中的二级标准</w:t>
            </w:r>
            <w:r>
              <w:rPr>
                <w:rFonts w:hint="default" w:ascii="Times New Roman" w:hAnsi="Times New Roman" w:eastAsia="宋体" w:cs="Times New Roman"/>
                <w:b w:val="0"/>
                <w:bCs w:val="0"/>
                <w:snapToGrid w:val="0"/>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eastAsia="宋体" w:cs="Times New Roman"/>
                <w:b w:val="0"/>
                <w:bCs w:val="0"/>
                <w:snapToGrid w:val="0"/>
                <w:color w:val="000000" w:themeColor="text1"/>
                <w:sz w:val="24"/>
                <w:szCs w:val="24"/>
                <w:highlight w:val="none"/>
                <w:u w:val="none" w:color="auto"/>
                <w:lang w:val="en-US" w:eastAsia="zh-CN"/>
                <w14:textFill>
                  <w14:solidFill>
                    <w14:schemeClr w14:val="tx1"/>
                  </w14:solidFill>
                </w14:textFill>
              </w:rPr>
              <w:t>根据《环境影响评价技术导则</w:t>
            </w:r>
            <w:r>
              <w:rPr>
                <w:rFonts w:hint="eastAsia" w:cs="Times New Roman"/>
                <w:b w:val="0"/>
                <w:bCs w:val="0"/>
                <w:snapToGrid w:val="0"/>
                <w:color w:val="000000" w:themeColor="text1"/>
                <w:sz w:val="24"/>
                <w:szCs w:val="24"/>
                <w:highlight w:val="none"/>
                <w:u w:val="none" w:color="auto"/>
                <w:lang w:val="en-US" w:eastAsia="zh-CN"/>
                <w14:textFill>
                  <w14:solidFill>
                    <w14:schemeClr w14:val="tx1"/>
                  </w14:solidFill>
                </w14:textFill>
              </w:rPr>
              <w:t xml:space="preserve"> </w:t>
            </w:r>
            <w:r>
              <w:rPr>
                <w:rFonts w:hint="default" w:ascii="Times New Roman" w:hAnsi="Times New Roman" w:eastAsia="宋体" w:cs="Times New Roman"/>
                <w:b w:val="0"/>
                <w:bCs w:val="0"/>
                <w:snapToGrid w:val="0"/>
                <w:color w:val="000000" w:themeColor="text1"/>
                <w:sz w:val="24"/>
                <w:szCs w:val="24"/>
                <w:highlight w:val="none"/>
                <w:u w:val="none" w:color="auto"/>
                <w:lang w:val="en-US" w:eastAsia="zh-CN"/>
                <w14:textFill>
                  <w14:solidFill>
                    <w14:schemeClr w14:val="tx1"/>
                  </w14:solidFill>
                </w14:textFill>
              </w:rPr>
              <w:t>大气环境》（HJ2.2-2018），六项污染物全部达标才为城市环境空气质量达标，因此，项目所在区域为不达标区，环境空气质量为不达标。本项目建设满足环境质量底线的要求。</w:t>
            </w:r>
          </w:p>
          <w:p w14:paraId="371DB206">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b w:val="0"/>
                <w:bCs w:val="0"/>
                <w:snapToGrid w:val="0"/>
                <w:color w:val="000000" w:themeColor="text1"/>
                <w:sz w:val="24"/>
                <w:szCs w:val="24"/>
                <w:highlight w:val="none"/>
                <w:u w:val="none" w:color="auto"/>
                <w:lang w:val="en-US" w:eastAsia="zh-CN"/>
                <w14:textFill>
                  <w14:solidFill>
                    <w14:schemeClr w14:val="tx1"/>
                  </w14:solidFill>
                </w14:textFill>
              </w:rPr>
            </w:pPr>
            <w:r>
              <w:rPr>
                <w:rFonts w:hint="eastAsia" w:ascii="Times New Roman" w:hAnsi="Times New Roman" w:eastAsia="宋体" w:cs="Times New Roman"/>
                <w:b w:val="0"/>
                <w:bCs w:val="0"/>
                <w:snapToGrid w:val="0"/>
                <w:color w:val="000000" w:themeColor="text1"/>
                <w:kern w:val="2"/>
                <w:sz w:val="24"/>
                <w:szCs w:val="24"/>
                <w:highlight w:val="none"/>
                <w:u w:color="auto"/>
                <w:lang w:val="en-US" w:eastAsia="zh-CN" w:bidi="ar-SA"/>
                <w14:textFill>
                  <w14:solidFill>
                    <w14:schemeClr w14:val="tx1"/>
                  </w14:solidFill>
                </w14:textFill>
              </w:rPr>
              <w:t>（3）</w:t>
            </w:r>
            <w:r>
              <w:rPr>
                <w:rFonts w:hint="eastAsia" w:ascii="Times New Roman" w:hAnsi="Times New Roman" w:eastAsia="宋体" w:cs="Times New Roman"/>
                <w:b w:val="0"/>
                <w:bCs w:val="0"/>
                <w:snapToGrid w:val="0"/>
                <w:color w:val="000000" w:themeColor="text1"/>
                <w:sz w:val="24"/>
                <w:szCs w:val="24"/>
                <w:highlight w:val="none"/>
                <w:u w:val="none" w:color="auto"/>
                <w:lang w:val="en-US" w:eastAsia="zh-CN"/>
                <w14:textFill>
                  <w14:solidFill>
                    <w14:schemeClr w14:val="tx1"/>
                  </w14:solidFill>
                </w14:textFill>
              </w:rPr>
              <w:t>资源利用上线</w:t>
            </w:r>
          </w:p>
          <w:p w14:paraId="29559135">
            <w:pPr>
              <w:adjustRightInd w:val="0"/>
              <w:snapToGrid w:val="0"/>
              <w:spacing w:line="360" w:lineRule="auto"/>
              <w:ind w:firstLine="480" w:firstLineChars="200"/>
              <w:rPr>
                <w:rFonts w:hint="default" w:ascii="Times New Roman" w:hAnsi="Times New Roman" w:cs="Times New Roman"/>
                <w:b w:val="0"/>
                <w:bCs w:val="0"/>
                <w:color w:val="000000" w:themeColor="text1"/>
                <w:sz w:val="24"/>
                <w:szCs w:val="24"/>
                <w:highlight w:val="none"/>
                <w:u w:val="none" w:color="auto"/>
                <w:lang w:eastAsia="zh-CN"/>
                <w14:textFill>
                  <w14:solidFill>
                    <w14:schemeClr w14:val="tx1"/>
                  </w14:solidFill>
                </w14:textFill>
              </w:rPr>
            </w:pPr>
            <w:r>
              <w:rPr>
                <w:rFonts w:hint="default" w:ascii="Times New Roman" w:hAnsi="Times New Roman" w:cs="Times New Roman"/>
                <w:b w:val="0"/>
                <w:bCs w:val="0"/>
                <w:color w:val="000000" w:themeColor="text1"/>
                <w:sz w:val="24"/>
                <w:szCs w:val="24"/>
                <w:highlight w:val="none"/>
                <w:u w:val="none" w:color="auto"/>
                <w:lang w:eastAsia="zh-CN"/>
                <w14:textFill>
                  <w14:solidFill>
                    <w14:schemeClr w14:val="tx1"/>
                  </w14:solidFill>
                </w14:textFill>
              </w:rPr>
              <w:t>根据《河南省</w:t>
            </w:r>
            <w:r>
              <w:rPr>
                <w:rFonts w:hint="eastAsia" w:cs="Times New Roman"/>
                <w:b w:val="0"/>
                <w:bCs w:val="0"/>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cs="Times New Roman"/>
                <w:b w:val="0"/>
                <w:bCs w:val="0"/>
                <w:color w:val="000000" w:themeColor="text1"/>
                <w:sz w:val="24"/>
                <w:szCs w:val="24"/>
                <w:highlight w:val="none"/>
                <w:u w:val="none" w:color="auto"/>
                <w:lang w:eastAsia="zh-CN"/>
                <w14:textFill>
                  <w14:solidFill>
                    <w14:schemeClr w14:val="tx1"/>
                  </w14:solidFill>
                </w14:textFill>
              </w:rPr>
              <w:t>三线一单</w:t>
            </w:r>
            <w:r>
              <w:rPr>
                <w:rFonts w:hint="eastAsia" w:cs="Times New Roman"/>
                <w:b w:val="0"/>
                <w:bCs w:val="0"/>
                <w:color w:val="000000" w:themeColor="text1"/>
                <w:sz w:val="24"/>
                <w:szCs w:val="24"/>
                <w:highlight w:val="none"/>
                <w:u w:val="none" w:color="auto"/>
                <w:lang w:eastAsia="zh-CN"/>
                <w14:textFill>
                  <w14:solidFill>
                    <w14:schemeClr w14:val="tx1"/>
                  </w14:solidFill>
                </w14:textFill>
              </w:rPr>
              <w:t>”</w:t>
            </w:r>
            <w:r>
              <w:rPr>
                <w:rFonts w:hint="default" w:ascii="Times New Roman" w:hAnsi="Times New Roman" w:cs="Times New Roman"/>
                <w:b w:val="0"/>
                <w:bCs w:val="0"/>
                <w:color w:val="000000" w:themeColor="text1"/>
                <w:sz w:val="24"/>
                <w:szCs w:val="24"/>
                <w:highlight w:val="none"/>
                <w:u w:val="none" w:color="auto"/>
                <w:lang w:eastAsia="zh-CN"/>
                <w14:textFill>
                  <w14:solidFill>
                    <w14:schemeClr w14:val="tx1"/>
                  </w14:solidFill>
                </w14:textFill>
              </w:rPr>
              <w:t>研究报告》，2025年安阳市用水总量目标是18.09亿m</w:t>
            </w:r>
            <w:r>
              <w:rPr>
                <w:rFonts w:hint="default" w:ascii="Times New Roman" w:hAnsi="Times New Roman" w:cs="Times New Roman"/>
                <w:b w:val="0"/>
                <w:bCs w:val="0"/>
                <w:color w:val="000000" w:themeColor="text1"/>
                <w:sz w:val="24"/>
                <w:szCs w:val="24"/>
                <w:highlight w:val="none"/>
                <w:u w:val="none" w:color="auto"/>
                <w:vertAlign w:val="superscript"/>
                <w:lang w:eastAsia="zh-CN"/>
                <w14:textFill>
                  <w14:solidFill>
                    <w14:schemeClr w14:val="tx1"/>
                  </w14:solidFill>
                </w14:textFill>
              </w:rPr>
              <w:t>3</w:t>
            </w:r>
            <w:r>
              <w:rPr>
                <w:rFonts w:hint="default" w:ascii="Times New Roman" w:hAnsi="Times New Roman" w:cs="Times New Roman"/>
                <w:b w:val="0"/>
                <w:bCs w:val="0"/>
                <w:color w:val="000000" w:themeColor="text1"/>
                <w:sz w:val="24"/>
                <w:szCs w:val="24"/>
                <w:highlight w:val="none"/>
                <w:u w:val="none" w:color="auto"/>
                <w:lang w:eastAsia="zh-CN"/>
                <w14:textFill>
                  <w14:solidFill>
                    <w14:schemeClr w14:val="tx1"/>
                  </w14:solidFill>
                </w14:textFill>
              </w:rPr>
              <w:t>，本项目施工期用电为市政电网提供，施工生活用水和施工用水可利用居民生活用水，本项目建成后运营期</w:t>
            </w:r>
            <w:r>
              <w:rPr>
                <w:rFonts w:hint="eastAsia" w:cs="Times New Roman"/>
                <w:b w:val="0"/>
                <w:bCs w:val="0"/>
                <w:color w:val="000000" w:themeColor="text1"/>
                <w:sz w:val="24"/>
                <w:szCs w:val="24"/>
                <w:highlight w:val="none"/>
                <w:u w:val="none" w:color="auto"/>
                <w:lang w:eastAsia="zh-CN"/>
                <w14:textFill>
                  <w14:solidFill>
                    <w14:schemeClr w14:val="tx1"/>
                  </w14:solidFill>
                </w14:textFill>
              </w:rPr>
              <w:t>主要利用资源为</w:t>
            </w:r>
            <w:r>
              <w:rPr>
                <w:rFonts w:hint="default" w:ascii="Times New Roman" w:hAnsi="Times New Roman" w:cs="Times New Roman"/>
                <w:b w:val="0"/>
                <w:bCs w:val="0"/>
                <w:color w:val="000000" w:themeColor="text1"/>
                <w:sz w:val="24"/>
                <w:szCs w:val="24"/>
                <w:highlight w:val="none"/>
                <w:u w:val="none" w:color="auto"/>
                <w:lang w:eastAsia="zh-CN"/>
                <w14:textFill>
                  <w14:solidFill>
                    <w14:schemeClr w14:val="tx1"/>
                  </w14:solidFill>
                </w14:textFill>
              </w:rPr>
              <w:t>电，</w:t>
            </w:r>
            <w:r>
              <w:rPr>
                <w:rFonts w:hint="default" w:ascii="Times New Roman" w:hAnsi="Times New Roman" w:eastAsia="宋体" w:cs="Times New Roman"/>
                <w:b w:val="0"/>
                <w:bCs w:val="0"/>
                <w:color w:val="auto"/>
                <w:sz w:val="24"/>
                <w:szCs w:val="24"/>
                <w:highlight w:val="none"/>
                <w:u w:val="none" w:color="auto"/>
                <w:lang w:eastAsia="zh-CN"/>
              </w:rPr>
              <w:t>其中本项目用</w:t>
            </w:r>
            <w:r>
              <w:rPr>
                <w:rFonts w:hint="eastAsia" w:eastAsia="宋体" w:cs="Times New Roman"/>
                <w:b w:val="0"/>
                <w:bCs w:val="0"/>
                <w:color w:val="auto"/>
                <w:sz w:val="24"/>
                <w:szCs w:val="24"/>
                <w:highlight w:val="none"/>
                <w:u w:val="none" w:color="auto"/>
                <w:lang w:eastAsia="zh-CN"/>
              </w:rPr>
              <w:t>电</w:t>
            </w:r>
            <w:r>
              <w:rPr>
                <w:rFonts w:hint="default" w:ascii="Times New Roman" w:hAnsi="Times New Roman" w:eastAsia="宋体" w:cs="Times New Roman"/>
                <w:b w:val="0"/>
                <w:bCs w:val="0"/>
                <w:color w:val="auto"/>
                <w:sz w:val="24"/>
                <w:szCs w:val="24"/>
                <w:highlight w:val="none"/>
                <w:u w:val="none" w:color="auto"/>
                <w:lang w:eastAsia="zh-CN"/>
              </w:rPr>
              <w:t>量较少，用电由当地电网供应</w:t>
            </w:r>
            <w:r>
              <w:rPr>
                <w:rFonts w:hint="eastAsia" w:eastAsia="宋体" w:cs="Times New Roman"/>
                <w:b w:val="0"/>
                <w:bCs w:val="0"/>
                <w:color w:val="auto"/>
                <w:sz w:val="24"/>
                <w:szCs w:val="24"/>
                <w:highlight w:val="none"/>
                <w:u w:val="none" w:color="auto"/>
                <w:lang w:eastAsia="zh-CN"/>
              </w:rPr>
              <w:t>。</w:t>
            </w:r>
            <w:r>
              <w:rPr>
                <w:rFonts w:hint="default" w:ascii="Times New Roman" w:hAnsi="Times New Roman" w:cs="Times New Roman"/>
                <w:b w:val="0"/>
                <w:bCs w:val="0"/>
                <w:color w:val="000000" w:themeColor="text1"/>
                <w:sz w:val="24"/>
                <w:szCs w:val="24"/>
                <w:highlight w:val="none"/>
                <w:u w:val="none" w:color="auto"/>
                <w:lang w:eastAsia="zh-CN"/>
                <w14:textFill>
                  <w14:solidFill>
                    <w14:schemeClr w14:val="tx1"/>
                  </w14:solidFill>
                </w14:textFill>
              </w:rPr>
              <w:t>总体来讲，本项目不会突破资源利用上线要求。</w:t>
            </w:r>
          </w:p>
          <w:p w14:paraId="110B0C62">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b w:val="0"/>
                <w:bCs w:val="0"/>
                <w:snapToGrid w:val="0"/>
                <w:color w:val="000000" w:themeColor="text1"/>
                <w:sz w:val="24"/>
                <w:szCs w:val="24"/>
                <w:highlight w:val="none"/>
                <w:u w:val="none" w:color="auto"/>
                <w:lang w:val="en-US" w:eastAsia="zh-CN"/>
                <w14:textFill>
                  <w14:solidFill>
                    <w14:schemeClr w14:val="tx1"/>
                  </w14:solidFill>
                </w14:textFill>
              </w:rPr>
            </w:pPr>
            <w:r>
              <w:rPr>
                <w:rFonts w:hint="eastAsia" w:ascii="Times New Roman" w:hAnsi="Times New Roman" w:eastAsia="宋体" w:cs="Times New Roman"/>
                <w:b w:val="0"/>
                <w:bCs w:val="0"/>
                <w:snapToGrid w:val="0"/>
                <w:color w:val="000000" w:themeColor="text1"/>
                <w:kern w:val="2"/>
                <w:sz w:val="24"/>
                <w:szCs w:val="24"/>
                <w:highlight w:val="none"/>
                <w:u w:color="auto"/>
                <w:lang w:val="en-US" w:eastAsia="zh-CN" w:bidi="ar-SA"/>
                <w14:textFill>
                  <w14:solidFill>
                    <w14:schemeClr w14:val="tx1"/>
                  </w14:solidFill>
                </w14:textFill>
              </w:rPr>
              <w:t>（4）</w:t>
            </w:r>
            <w:r>
              <w:rPr>
                <w:rFonts w:hint="eastAsia" w:ascii="Times New Roman" w:hAnsi="Times New Roman" w:eastAsia="宋体" w:cs="Times New Roman"/>
                <w:b w:val="0"/>
                <w:bCs w:val="0"/>
                <w:snapToGrid w:val="0"/>
                <w:color w:val="000000" w:themeColor="text1"/>
                <w:sz w:val="24"/>
                <w:szCs w:val="24"/>
                <w:highlight w:val="none"/>
                <w:u w:val="none" w:color="auto"/>
                <w:lang w:val="en-US" w:eastAsia="zh-CN"/>
                <w14:textFill>
                  <w14:solidFill>
                    <w14:schemeClr w14:val="tx1"/>
                  </w14:solidFill>
                </w14:textFill>
              </w:rPr>
              <w:t>环境准入条件</w:t>
            </w:r>
          </w:p>
          <w:p w14:paraId="34D8FE5A">
            <w:pPr>
              <w:adjustRightInd w:val="0"/>
              <w:snapToGrid w:val="0"/>
              <w:spacing w:line="360" w:lineRule="auto"/>
              <w:ind w:firstLine="480" w:firstLineChars="200"/>
              <w:rPr>
                <w:rFonts w:hint="eastAsia" w:cs="Times New Roman"/>
                <w:b/>
                <w:color w:val="auto"/>
                <w:kern w:val="0"/>
                <w:sz w:val="21"/>
                <w:szCs w:val="21"/>
                <w:highlight w:val="none"/>
                <w:lang w:val="en-US" w:eastAsia="zh-CN" w:bidi="ar-SA"/>
              </w:rPr>
            </w:pPr>
            <w:r>
              <w:rPr>
                <w:rFonts w:hint="default" w:ascii="Times New Roman" w:hAnsi="Times New Roman" w:eastAsia="宋体" w:cs="Times New Roman"/>
                <w:b w:val="0"/>
                <w:bCs w:val="0"/>
                <w:color w:val="auto"/>
                <w:sz w:val="24"/>
                <w:szCs w:val="24"/>
                <w:highlight w:val="none"/>
                <w:u w:val="none" w:color="auto"/>
                <w:lang w:val="en-US" w:eastAsia="zh-CN"/>
              </w:rPr>
              <w:t>本项目与安阳市生态环境局关于发布</w:t>
            </w:r>
            <w:r>
              <w:rPr>
                <w:rFonts w:hint="default" w:ascii="Times New Roman" w:hAnsi="Times New Roman" w:eastAsia="宋体" w:cs="Times New Roman"/>
                <w:color w:val="auto"/>
                <w:sz w:val="24"/>
                <w:szCs w:val="24"/>
                <w:highlight w:val="none"/>
              </w:rPr>
              <w:t>《安阳市生态环境局关于调整《安阳市</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三线一单</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生态环境分区管控准入清单（2023年版）》的函》（安环函〔2023〕60号）</w:t>
            </w:r>
            <w:r>
              <w:rPr>
                <w:rFonts w:hint="default" w:ascii="Times New Roman" w:hAnsi="Times New Roman" w:eastAsia="宋体" w:cs="Times New Roman"/>
                <w:b w:val="0"/>
                <w:bCs w:val="0"/>
                <w:color w:val="auto"/>
                <w:sz w:val="24"/>
                <w:szCs w:val="24"/>
                <w:highlight w:val="none"/>
                <w:u w:val="none" w:color="auto"/>
                <w:lang w:val="en-US" w:eastAsia="zh-CN"/>
              </w:rPr>
              <w:t>相符性分析见下表：</w:t>
            </w:r>
            <w:r>
              <w:rPr>
                <w:rFonts w:hint="eastAsia" w:cs="Times New Roman"/>
                <w:b/>
                <w:color w:val="auto"/>
                <w:kern w:val="0"/>
                <w:sz w:val="21"/>
                <w:szCs w:val="21"/>
                <w:highlight w:val="none"/>
                <w:lang w:val="en-US" w:eastAsia="zh-CN" w:bidi="ar-SA"/>
              </w:rPr>
              <w:t xml:space="preserve">                                                                            </w:t>
            </w:r>
          </w:p>
          <w:p w14:paraId="3DCBCF43">
            <w:pPr>
              <w:pStyle w:val="45"/>
              <w:bidi w:val="0"/>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21"/>
                <w:szCs w:val="21"/>
                <w:highlight w:val="none"/>
                <w:lang w:val="zh-CN" w:eastAsia="zh-CN" w:bidi="ar-SA"/>
              </w:rPr>
              <w:t>安阳市生态环境总体准入要求</w:t>
            </w:r>
          </w:p>
          <w:tbl>
            <w:tblPr>
              <w:tblStyle w:val="1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1"/>
              <w:gridCol w:w="5040"/>
              <w:gridCol w:w="2027"/>
              <w:gridCol w:w="638"/>
            </w:tblGrid>
            <w:tr w14:paraId="585FED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1" w:hRule="atLeast"/>
                <w:jc w:val="center"/>
              </w:trPr>
              <w:tc>
                <w:tcPr>
                  <w:tcW w:w="395" w:type="pct"/>
                  <w:tcBorders>
                    <w:top w:val="single" w:color="auto" w:sz="18" w:space="0"/>
                  </w:tcBorders>
                  <w:noWrap w:val="0"/>
                  <w:tcMar>
                    <w:top w:w="0" w:type="dxa"/>
                    <w:left w:w="51" w:type="dxa"/>
                    <w:bottom w:w="0" w:type="dxa"/>
                    <w:right w:w="51" w:type="dxa"/>
                  </w:tcMar>
                  <w:vAlign w:val="center"/>
                </w:tcPr>
                <w:p w14:paraId="782413FD">
                  <w:pPr>
                    <w:pStyle w:val="46"/>
                    <w:bidi w:val="0"/>
                    <w:rPr>
                      <w:rFonts w:hint="eastAsia"/>
                      <w:b/>
                      <w:bCs/>
                      <w:color w:val="auto"/>
                      <w:sz w:val="21"/>
                      <w:szCs w:val="21"/>
                      <w:highlight w:val="none"/>
                      <w:lang w:val="en-US" w:eastAsia="zh-CN"/>
                    </w:rPr>
                  </w:pPr>
                  <w:r>
                    <w:rPr>
                      <w:rFonts w:hint="default"/>
                      <w:b/>
                      <w:bCs/>
                      <w:color w:val="auto"/>
                      <w:sz w:val="21"/>
                      <w:szCs w:val="21"/>
                      <w:highlight w:val="none"/>
                    </w:rPr>
                    <w:t>维度</w:t>
                  </w:r>
                </w:p>
              </w:tc>
              <w:tc>
                <w:tcPr>
                  <w:tcW w:w="3011" w:type="pct"/>
                  <w:tcBorders>
                    <w:top w:val="single" w:color="auto" w:sz="18" w:space="0"/>
                  </w:tcBorders>
                  <w:noWrap w:val="0"/>
                  <w:tcMar>
                    <w:top w:w="0" w:type="dxa"/>
                    <w:left w:w="51" w:type="dxa"/>
                    <w:bottom w:w="0" w:type="dxa"/>
                    <w:right w:w="51" w:type="dxa"/>
                  </w:tcMar>
                  <w:vAlign w:val="center"/>
                </w:tcPr>
                <w:p w14:paraId="68CD581D">
                  <w:pPr>
                    <w:pStyle w:val="46"/>
                    <w:bidi w:val="0"/>
                    <w:rPr>
                      <w:rFonts w:hint="eastAsia"/>
                      <w:b/>
                      <w:bCs/>
                      <w:color w:val="auto"/>
                      <w:sz w:val="21"/>
                      <w:szCs w:val="21"/>
                      <w:highlight w:val="none"/>
                      <w:lang w:val="en-US" w:eastAsia="zh-CN"/>
                    </w:rPr>
                  </w:pPr>
                  <w:r>
                    <w:rPr>
                      <w:rFonts w:hint="default"/>
                      <w:b/>
                      <w:bCs/>
                      <w:color w:val="auto"/>
                      <w:sz w:val="21"/>
                      <w:szCs w:val="21"/>
                      <w:highlight w:val="none"/>
                    </w:rPr>
                    <w:t>管控要求</w:t>
                  </w:r>
                </w:p>
              </w:tc>
              <w:tc>
                <w:tcPr>
                  <w:tcW w:w="1211" w:type="pct"/>
                  <w:tcBorders>
                    <w:top w:val="single" w:color="auto" w:sz="18" w:space="0"/>
                  </w:tcBorders>
                  <w:noWrap w:val="0"/>
                  <w:tcMar>
                    <w:top w:w="0" w:type="dxa"/>
                    <w:left w:w="51" w:type="dxa"/>
                    <w:bottom w:w="0" w:type="dxa"/>
                    <w:right w:w="51" w:type="dxa"/>
                  </w:tcMar>
                  <w:vAlign w:val="center"/>
                </w:tcPr>
                <w:p w14:paraId="45061175">
                  <w:pPr>
                    <w:pStyle w:val="46"/>
                    <w:bidi w:val="0"/>
                    <w:rPr>
                      <w:rFonts w:hint="eastAsia"/>
                      <w:b/>
                      <w:bCs/>
                      <w:color w:val="auto"/>
                      <w:sz w:val="21"/>
                      <w:szCs w:val="21"/>
                      <w:highlight w:val="none"/>
                      <w:lang w:val="en-US" w:eastAsia="zh-CN"/>
                    </w:rPr>
                  </w:pPr>
                  <w:r>
                    <w:rPr>
                      <w:rFonts w:hint="default"/>
                      <w:b/>
                      <w:bCs/>
                      <w:color w:val="auto"/>
                      <w:sz w:val="21"/>
                      <w:szCs w:val="21"/>
                      <w:highlight w:val="none"/>
                      <w:lang w:eastAsia="zh-CN"/>
                    </w:rPr>
                    <w:t>本项目情况</w:t>
                  </w:r>
                </w:p>
              </w:tc>
              <w:tc>
                <w:tcPr>
                  <w:tcW w:w="381" w:type="pct"/>
                  <w:tcBorders>
                    <w:top w:val="single" w:color="auto" w:sz="18" w:space="0"/>
                  </w:tcBorders>
                  <w:noWrap w:val="0"/>
                  <w:tcMar>
                    <w:top w:w="0" w:type="dxa"/>
                    <w:left w:w="51" w:type="dxa"/>
                    <w:bottom w:w="0" w:type="dxa"/>
                    <w:right w:w="51" w:type="dxa"/>
                  </w:tcMar>
                  <w:vAlign w:val="center"/>
                </w:tcPr>
                <w:p w14:paraId="7A9E9F5A">
                  <w:pPr>
                    <w:pStyle w:val="46"/>
                    <w:bidi w:val="0"/>
                    <w:rPr>
                      <w:rFonts w:hint="eastAsia"/>
                      <w:b/>
                      <w:bCs/>
                      <w:color w:val="auto"/>
                      <w:sz w:val="21"/>
                      <w:szCs w:val="21"/>
                      <w:highlight w:val="none"/>
                      <w:lang w:val="en-US" w:eastAsia="zh-CN"/>
                    </w:rPr>
                  </w:pPr>
                  <w:r>
                    <w:rPr>
                      <w:rFonts w:hint="default"/>
                      <w:b/>
                      <w:bCs/>
                      <w:color w:val="auto"/>
                      <w:sz w:val="21"/>
                      <w:szCs w:val="21"/>
                      <w:highlight w:val="none"/>
                      <w:lang w:eastAsia="zh-CN"/>
                    </w:rPr>
                    <w:t>相符性</w:t>
                  </w:r>
                </w:p>
              </w:tc>
            </w:tr>
            <w:tr w14:paraId="3B3F24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8" w:hRule="atLeast"/>
                <w:jc w:val="center"/>
              </w:trPr>
              <w:tc>
                <w:tcPr>
                  <w:tcW w:w="395" w:type="pct"/>
                  <w:vMerge w:val="restart"/>
                  <w:noWrap w:val="0"/>
                  <w:tcMar>
                    <w:top w:w="0" w:type="dxa"/>
                    <w:left w:w="51" w:type="dxa"/>
                    <w:bottom w:w="0" w:type="dxa"/>
                    <w:right w:w="51" w:type="dxa"/>
                  </w:tcMar>
                  <w:vAlign w:val="center"/>
                </w:tcPr>
                <w:p w14:paraId="51415984">
                  <w:pPr>
                    <w:pStyle w:val="46"/>
                    <w:bidi w:val="0"/>
                    <w:rPr>
                      <w:rFonts w:hint="eastAsia"/>
                      <w:color w:val="auto"/>
                      <w:sz w:val="21"/>
                      <w:szCs w:val="21"/>
                      <w:highlight w:val="none"/>
                      <w:lang w:val="en-US" w:eastAsia="zh-CN"/>
                    </w:rPr>
                  </w:pPr>
                  <w:r>
                    <w:rPr>
                      <w:rFonts w:hint="default"/>
                      <w:color w:val="auto"/>
                      <w:sz w:val="21"/>
                      <w:szCs w:val="21"/>
                      <w:highlight w:val="none"/>
                    </w:rPr>
                    <w:t>空间布局约束</w:t>
                  </w:r>
                </w:p>
              </w:tc>
              <w:tc>
                <w:tcPr>
                  <w:tcW w:w="3011" w:type="pct"/>
                  <w:noWrap w:val="0"/>
                  <w:tcMar>
                    <w:top w:w="0" w:type="dxa"/>
                    <w:left w:w="51" w:type="dxa"/>
                    <w:bottom w:w="0" w:type="dxa"/>
                    <w:right w:w="51" w:type="dxa"/>
                  </w:tcMar>
                  <w:vAlign w:val="center"/>
                </w:tcPr>
                <w:p w14:paraId="5D04F1C3">
                  <w:pPr>
                    <w:pStyle w:val="47"/>
                    <w:ind w:firstLine="0" w:firstLineChars="0"/>
                    <w:jc w:val="both"/>
                    <w:rPr>
                      <w:rFonts w:hint="eastAsia"/>
                      <w:color w:val="auto"/>
                      <w:sz w:val="21"/>
                      <w:szCs w:val="21"/>
                      <w:highlight w:val="none"/>
                      <w:lang w:val="en-US" w:eastAsia="zh-CN"/>
                    </w:rPr>
                  </w:pPr>
                  <w:r>
                    <w:rPr>
                      <w:color w:val="auto"/>
                      <w:sz w:val="21"/>
                      <w:szCs w:val="21"/>
                      <w:highlight w:val="none"/>
                    </w:rPr>
                    <w:t>1</w:t>
                  </w:r>
                  <w:r>
                    <w:rPr>
                      <w:rFonts w:hint="eastAsia"/>
                      <w:color w:val="auto"/>
                      <w:sz w:val="21"/>
                      <w:szCs w:val="21"/>
                      <w:highlight w:val="none"/>
                      <w:lang w:eastAsia="zh-CN"/>
                    </w:rPr>
                    <w:t>.</w:t>
                  </w:r>
                  <w:r>
                    <w:rPr>
                      <w:rFonts w:hint="eastAsia"/>
                      <w:color w:val="auto"/>
                      <w:sz w:val="21"/>
                      <w:szCs w:val="21"/>
                      <w:highlight w:val="none"/>
                    </w:rPr>
                    <w:t>全市严禁新增钢铁、电解铝、氧化铝、水泥、平板玻璃、传统煤化工（甲醇、合成氨）、焦化、铸造、铝用炭素、烧结砖瓦、铁合金等行业产能。禁止耐火材料、铅锌冶炼（含再生铅）行业单纯新增产能。禁止新建、扩建以煤炭为燃料的陶瓷项目。原则上禁止新建燃煤自备锅炉、自备燃煤机组和燃料类煤气发生炉。禁止建设生产和使用高VOCs含量的溶剂型涂料、油墨、胶粘剂等项目。</w:t>
                  </w:r>
                </w:p>
              </w:tc>
              <w:tc>
                <w:tcPr>
                  <w:tcW w:w="1211" w:type="pct"/>
                  <w:noWrap w:val="0"/>
                  <w:tcMar>
                    <w:top w:w="0" w:type="dxa"/>
                    <w:left w:w="51" w:type="dxa"/>
                    <w:bottom w:w="0" w:type="dxa"/>
                    <w:right w:w="51" w:type="dxa"/>
                  </w:tcMar>
                  <w:vAlign w:val="center"/>
                </w:tcPr>
                <w:p w14:paraId="7C69A658">
                  <w:pPr>
                    <w:pStyle w:val="46"/>
                    <w:tabs>
                      <w:tab w:val="right" w:leader="dot" w:pos="8296"/>
                    </w:tabs>
                    <w:bidi w:val="0"/>
                    <w:jc w:val="both"/>
                    <w:rPr>
                      <w:rFonts w:hint="default"/>
                      <w:color w:val="auto"/>
                      <w:sz w:val="21"/>
                      <w:szCs w:val="21"/>
                      <w:highlight w:val="none"/>
                      <w:lang w:val="en-US" w:eastAsia="zh-CN"/>
                    </w:rPr>
                  </w:pPr>
                  <w:r>
                    <w:rPr>
                      <w:rFonts w:hint="eastAsia"/>
                      <w:color w:val="auto"/>
                      <w:sz w:val="21"/>
                      <w:szCs w:val="21"/>
                      <w:highlight w:val="none"/>
                      <w:lang w:val="en-US" w:eastAsia="zh-CN"/>
                    </w:rPr>
                    <w:t>1.本项目不属于</w:t>
                  </w:r>
                  <w:r>
                    <w:rPr>
                      <w:rFonts w:hint="default"/>
                      <w:color w:val="auto"/>
                      <w:sz w:val="21"/>
                      <w:szCs w:val="21"/>
                      <w:highlight w:val="none"/>
                      <w:lang w:val="en-US" w:eastAsia="zh-CN"/>
                    </w:rPr>
                    <w:t>钢铁、电解铝、水泥、平板玻璃、传统煤化工（甲醇、合成氨）、焦化、铸造、铝用炭素、耐火材料制品、砖瓦窑、铅锌冶炼（含再生铅）等高耗能、高排放和产能过剩的产业项目</w:t>
                  </w:r>
                  <w:r>
                    <w:rPr>
                      <w:rFonts w:hint="eastAsia"/>
                      <w:color w:val="auto"/>
                      <w:sz w:val="21"/>
                      <w:szCs w:val="21"/>
                      <w:highlight w:val="none"/>
                      <w:lang w:val="en-US" w:eastAsia="zh-CN"/>
                    </w:rPr>
                    <w:t>，不建设</w:t>
                  </w:r>
                  <w:r>
                    <w:rPr>
                      <w:rFonts w:hint="default"/>
                      <w:color w:val="auto"/>
                      <w:sz w:val="21"/>
                      <w:szCs w:val="21"/>
                      <w:highlight w:val="none"/>
                      <w:lang w:val="en-US" w:eastAsia="zh-CN"/>
                    </w:rPr>
                    <w:t>燃煤自备锅炉、自备燃煤机组和燃料类煤气发生炉</w:t>
                  </w:r>
                  <w:r>
                    <w:rPr>
                      <w:rFonts w:hint="eastAsia"/>
                      <w:color w:val="auto"/>
                      <w:sz w:val="21"/>
                      <w:szCs w:val="21"/>
                      <w:highlight w:val="none"/>
                      <w:lang w:val="en-US" w:eastAsia="zh-CN"/>
                    </w:rPr>
                    <w:t>，不生产和使用</w:t>
                  </w:r>
                  <w:r>
                    <w:rPr>
                      <w:rFonts w:hint="default"/>
                      <w:color w:val="auto"/>
                      <w:sz w:val="21"/>
                      <w:szCs w:val="21"/>
                      <w:highlight w:val="none"/>
                      <w:lang w:val="en-US" w:eastAsia="zh-CN"/>
                    </w:rPr>
                    <w:t>高VOCs含量的溶剂型涂料、油墨、胶粘剂</w:t>
                  </w:r>
                  <w:r>
                    <w:rPr>
                      <w:rFonts w:hint="eastAsia"/>
                      <w:color w:val="auto"/>
                      <w:sz w:val="21"/>
                      <w:szCs w:val="21"/>
                      <w:highlight w:val="none"/>
                      <w:lang w:val="en-US" w:eastAsia="zh-CN"/>
                    </w:rPr>
                    <w:t>。</w:t>
                  </w:r>
                </w:p>
              </w:tc>
              <w:tc>
                <w:tcPr>
                  <w:tcW w:w="381" w:type="pct"/>
                  <w:noWrap w:val="0"/>
                  <w:tcMar>
                    <w:top w:w="0" w:type="dxa"/>
                    <w:left w:w="51" w:type="dxa"/>
                    <w:bottom w:w="0" w:type="dxa"/>
                    <w:right w:w="51" w:type="dxa"/>
                  </w:tcMar>
                  <w:vAlign w:val="center"/>
                </w:tcPr>
                <w:p w14:paraId="082B78CB">
                  <w:pPr>
                    <w:pStyle w:val="46"/>
                    <w:bidi w:val="0"/>
                    <w:rPr>
                      <w:rFonts w:hint="eastAsia"/>
                      <w:color w:val="auto"/>
                      <w:sz w:val="21"/>
                      <w:szCs w:val="21"/>
                      <w:highlight w:val="none"/>
                      <w:lang w:val="en-US" w:eastAsia="zh-CN"/>
                    </w:rPr>
                  </w:pPr>
                  <w:r>
                    <w:rPr>
                      <w:rFonts w:hint="eastAsia"/>
                      <w:color w:val="auto"/>
                      <w:sz w:val="21"/>
                      <w:szCs w:val="21"/>
                      <w:highlight w:val="none"/>
                      <w:lang w:val="en-US" w:eastAsia="zh-CN"/>
                    </w:rPr>
                    <w:t>不涉及</w:t>
                  </w:r>
                </w:p>
              </w:tc>
            </w:tr>
            <w:tr w14:paraId="05A593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395" w:type="pct"/>
                  <w:vMerge w:val="continue"/>
                  <w:noWrap w:val="0"/>
                  <w:tcMar>
                    <w:top w:w="0" w:type="dxa"/>
                    <w:left w:w="51" w:type="dxa"/>
                    <w:bottom w:w="0" w:type="dxa"/>
                    <w:right w:w="51" w:type="dxa"/>
                  </w:tcMar>
                  <w:vAlign w:val="center"/>
                </w:tcPr>
                <w:p w14:paraId="4EC3E94E">
                  <w:pPr>
                    <w:pStyle w:val="46"/>
                    <w:bidi w:val="0"/>
                    <w:rPr>
                      <w:rFonts w:hint="default"/>
                      <w:color w:val="auto"/>
                      <w:sz w:val="21"/>
                      <w:szCs w:val="21"/>
                      <w:highlight w:val="none"/>
                    </w:rPr>
                  </w:pPr>
                </w:p>
              </w:tc>
              <w:tc>
                <w:tcPr>
                  <w:tcW w:w="3011" w:type="pct"/>
                  <w:noWrap w:val="0"/>
                  <w:tcMar>
                    <w:top w:w="0" w:type="dxa"/>
                    <w:left w:w="51" w:type="dxa"/>
                    <w:bottom w:w="0" w:type="dxa"/>
                    <w:right w:w="51" w:type="dxa"/>
                  </w:tcMar>
                  <w:vAlign w:val="center"/>
                </w:tcPr>
                <w:p w14:paraId="7F1BB65C">
                  <w:pPr>
                    <w:pStyle w:val="47"/>
                    <w:ind w:firstLine="0" w:firstLineChars="0"/>
                    <w:jc w:val="both"/>
                    <w:rPr>
                      <w:rFonts w:hint="eastAsia"/>
                      <w:color w:val="auto"/>
                      <w:sz w:val="21"/>
                      <w:szCs w:val="21"/>
                      <w:highlight w:val="none"/>
                      <w:lang w:val="en-US" w:eastAsia="zh-CN"/>
                    </w:rPr>
                  </w:pPr>
                  <w:r>
                    <w:rPr>
                      <w:color w:val="auto"/>
                      <w:sz w:val="21"/>
                      <w:szCs w:val="21"/>
                      <w:highlight w:val="none"/>
                    </w:rPr>
                    <w:t>2</w:t>
                  </w:r>
                  <w:r>
                    <w:rPr>
                      <w:rFonts w:hint="eastAsia"/>
                      <w:color w:val="auto"/>
                      <w:sz w:val="21"/>
                      <w:szCs w:val="21"/>
                      <w:highlight w:val="none"/>
                      <w:lang w:eastAsia="zh-CN"/>
                    </w:rPr>
                    <w:t>.</w:t>
                  </w:r>
                  <w:r>
                    <w:rPr>
                      <w:rFonts w:hint="eastAsia"/>
                      <w:color w:val="auto"/>
                      <w:sz w:val="21"/>
                      <w:szCs w:val="21"/>
                      <w:highlight w:val="none"/>
                    </w:rPr>
                    <w:t>推动涉重金属产业集中优化发展，禁止低端落后产能向我市转移。禁止新建用汞的电石法（聚）氯乙烯生产工艺。新建、扩建的重有色金属冶炼、电镀、制革企业应选择布设在依法合规设立并经规划环评的产业园区</w:t>
                  </w:r>
                  <w:r>
                    <w:rPr>
                      <w:color w:val="auto"/>
                      <w:sz w:val="21"/>
                      <w:szCs w:val="21"/>
                      <w:highlight w:val="none"/>
                    </w:rPr>
                    <w:t>。</w:t>
                  </w:r>
                </w:p>
              </w:tc>
              <w:tc>
                <w:tcPr>
                  <w:tcW w:w="1211" w:type="pct"/>
                  <w:noWrap w:val="0"/>
                  <w:tcMar>
                    <w:top w:w="0" w:type="dxa"/>
                    <w:left w:w="51" w:type="dxa"/>
                    <w:bottom w:w="0" w:type="dxa"/>
                    <w:right w:w="51" w:type="dxa"/>
                  </w:tcMar>
                  <w:vAlign w:val="center"/>
                </w:tcPr>
                <w:p w14:paraId="5EDF72F4">
                  <w:pPr>
                    <w:pStyle w:val="46"/>
                    <w:bidi w:val="0"/>
                    <w:jc w:val="both"/>
                    <w:rPr>
                      <w:rFonts w:hint="eastAsia"/>
                      <w:color w:val="auto"/>
                      <w:sz w:val="21"/>
                      <w:szCs w:val="21"/>
                      <w:highlight w:val="none"/>
                      <w:lang w:val="en-US" w:eastAsia="zh-CN"/>
                    </w:rPr>
                  </w:pPr>
                  <w:r>
                    <w:rPr>
                      <w:rFonts w:hint="eastAsia"/>
                      <w:color w:val="auto"/>
                      <w:sz w:val="21"/>
                      <w:szCs w:val="21"/>
                      <w:highlight w:val="none"/>
                      <w:lang w:val="en-US" w:eastAsia="zh-CN"/>
                    </w:rPr>
                    <w:t>2.</w:t>
                  </w:r>
                  <w:r>
                    <w:rPr>
                      <w:rFonts w:hint="eastAsia"/>
                      <w:color w:val="auto"/>
                      <w:sz w:val="21"/>
                      <w:szCs w:val="21"/>
                      <w:highlight w:val="none"/>
                    </w:rPr>
                    <w:t>本项目</w:t>
                  </w:r>
                  <w:r>
                    <w:rPr>
                      <w:color w:val="auto"/>
                      <w:sz w:val="21"/>
                      <w:szCs w:val="21"/>
                      <w:highlight w:val="none"/>
                    </w:rPr>
                    <w:t>不属于</w:t>
                  </w:r>
                  <w:r>
                    <w:rPr>
                      <w:rFonts w:hint="eastAsia"/>
                      <w:color w:val="auto"/>
                      <w:sz w:val="21"/>
                      <w:szCs w:val="21"/>
                      <w:highlight w:val="none"/>
                    </w:rPr>
                    <w:t>低端落后产能，不属于用汞的电石法（聚）氯乙烯生产工艺、重有色金属冶炼、电镀、制革企业。</w:t>
                  </w:r>
                </w:p>
              </w:tc>
              <w:tc>
                <w:tcPr>
                  <w:tcW w:w="381" w:type="pct"/>
                  <w:noWrap w:val="0"/>
                  <w:tcMar>
                    <w:top w:w="0" w:type="dxa"/>
                    <w:left w:w="51" w:type="dxa"/>
                    <w:bottom w:w="0" w:type="dxa"/>
                    <w:right w:w="51" w:type="dxa"/>
                  </w:tcMar>
                  <w:vAlign w:val="center"/>
                </w:tcPr>
                <w:p w14:paraId="0513BBC1">
                  <w:pPr>
                    <w:pStyle w:val="46"/>
                    <w:bidi w:val="0"/>
                    <w:rPr>
                      <w:rFonts w:hint="eastAsia"/>
                      <w:color w:val="auto"/>
                      <w:sz w:val="21"/>
                      <w:szCs w:val="21"/>
                      <w:highlight w:val="none"/>
                      <w:lang w:eastAsia="zh-CN"/>
                    </w:rPr>
                  </w:pPr>
                  <w:r>
                    <w:rPr>
                      <w:rFonts w:hint="eastAsia"/>
                      <w:color w:val="auto"/>
                      <w:sz w:val="21"/>
                      <w:szCs w:val="21"/>
                      <w:highlight w:val="none"/>
                      <w:lang w:eastAsia="zh-CN"/>
                    </w:rPr>
                    <w:t>不涉及</w:t>
                  </w:r>
                </w:p>
              </w:tc>
            </w:tr>
            <w:tr w14:paraId="528F0B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395" w:type="pct"/>
                  <w:vMerge w:val="continue"/>
                  <w:noWrap w:val="0"/>
                  <w:tcMar>
                    <w:top w:w="0" w:type="dxa"/>
                    <w:left w:w="51" w:type="dxa"/>
                    <w:bottom w:w="0" w:type="dxa"/>
                    <w:right w:w="51" w:type="dxa"/>
                  </w:tcMar>
                  <w:vAlign w:val="center"/>
                </w:tcPr>
                <w:p w14:paraId="6FB14A44">
                  <w:pPr>
                    <w:pStyle w:val="46"/>
                    <w:bidi w:val="0"/>
                    <w:rPr>
                      <w:rFonts w:hint="default"/>
                      <w:color w:val="auto"/>
                      <w:sz w:val="21"/>
                      <w:szCs w:val="21"/>
                      <w:highlight w:val="none"/>
                    </w:rPr>
                  </w:pPr>
                </w:p>
              </w:tc>
              <w:tc>
                <w:tcPr>
                  <w:tcW w:w="3011" w:type="pct"/>
                  <w:noWrap w:val="0"/>
                  <w:tcMar>
                    <w:top w:w="0" w:type="dxa"/>
                    <w:left w:w="51" w:type="dxa"/>
                    <w:bottom w:w="0" w:type="dxa"/>
                    <w:right w:w="51" w:type="dxa"/>
                  </w:tcMar>
                  <w:vAlign w:val="center"/>
                </w:tcPr>
                <w:p w14:paraId="57DAA463">
                  <w:pPr>
                    <w:pStyle w:val="47"/>
                    <w:ind w:firstLine="0" w:firstLineChars="0"/>
                    <w:jc w:val="both"/>
                    <w:rPr>
                      <w:rFonts w:hint="eastAsia"/>
                      <w:color w:val="auto"/>
                      <w:sz w:val="21"/>
                      <w:szCs w:val="21"/>
                      <w:highlight w:val="none"/>
                      <w:lang w:val="en-US" w:eastAsia="zh-CN"/>
                    </w:rPr>
                  </w:pPr>
                  <w:r>
                    <w:rPr>
                      <w:rFonts w:hint="eastAsia"/>
                      <w:color w:val="auto"/>
                      <w:sz w:val="21"/>
                      <w:szCs w:val="21"/>
                      <w:highlight w:val="none"/>
                    </w:rPr>
                    <w:t>3</w:t>
                  </w:r>
                  <w:r>
                    <w:rPr>
                      <w:rFonts w:hint="eastAsia"/>
                      <w:color w:val="auto"/>
                      <w:sz w:val="21"/>
                      <w:szCs w:val="21"/>
                      <w:highlight w:val="none"/>
                      <w:lang w:eastAsia="zh-CN"/>
                    </w:rPr>
                    <w:t>.</w:t>
                  </w:r>
                  <w:r>
                    <w:rPr>
                      <w:rFonts w:hint="eastAsia"/>
                      <w:color w:val="auto"/>
                      <w:sz w:val="21"/>
                      <w:szCs w:val="21"/>
                      <w:highlight w:val="none"/>
                    </w:rPr>
                    <w:t>禁止在饮用水水源一级保护区内新建、改建、扩建与供水设施和保护水源无关的建设项目，且不得新建排污口。禁止在饮用水水源二级保护区内新建、改建、扩建排放污染物的建设项目，且不得新建排污口。禁止在饮用水水源准保护区内新建、扩建对水体污染严重的建设项目，改建建设项目不得增加排污量。</w:t>
                  </w:r>
                </w:p>
              </w:tc>
              <w:tc>
                <w:tcPr>
                  <w:tcW w:w="1211" w:type="pct"/>
                  <w:noWrap w:val="0"/>
                  <w:tcMar>
                    <w:top w:w="0" w:type="dxa"/>
                    <w:left w:w="51" w:type="dxa"/>
                    <w:bottom w:w="0" w:type="dxa"/>
                    <w:right w:w="51" w:type="dxa"/>
                  </w:tcMar>
                  <w:vAlign w:val="center"/>
                </w:tcPr>
                <w:p w14:paraId="3EE0A997">
                  <w:pPr>
                    <w:pStyle w:val="46"/>
                    <w:bidi w:val="0"/>
                    <w:jc w:val="both"/>
                    <w:rPr>
                      <w:rFonts w:hint="eastAsia"/>
                      <w:color w:val="auto"/>
                      <w:sz w:val="21"/>
                      <w:szCs w:val="21"/>
                      <w:highlight w:val="none"/>
                      <w:lang w:val="en-US" w:eastAsia="zh-CN"/>
                    </w:rPr>
                  </w:pPr>
                  <w:r>
                    <w:rPr>
                      <w:rFonts w:hint="eastAsia"/>
                      <w:color w:val="auto"/>
                      <w:sz w:val="21"/>
                      <w:szCs w:val="21"/>
                      <w:highlight w:val="none"/>
                      <w:lang w:val="en-US" w:eastAsia="zh-CN"/>
                    </w:rPr>
                    <w:t>3.本项目距离南水北调干渠1670m，不在其保护区范围内；本项目</w:t>
                  </w:r>
                  <w:r>
                    <w:rPr>
                      <w:rFonts w:hint="default"/>
                      <w:color w:val="auto"/>
                      <w:sz w:val="21"/>
                      <w:szCs w:val="21"/>
                      <w:highlight w:val="none"/>
                      <w:lang w:val="en-US" w:eastAsia="zh-CN"/>
                    </w:rPr>
                    <w:t>不在饮用水源保护区范围内</w:t>
                  </w:r>
                  <w:r>
                    <w:rPr>
                      <w:rFonts w:hint="eastAsia"/>
                      <w:color w:val="auto"/>
                      <w:sz w:val="21"/>
                      <w:szCs w:val="21"/>
                      <w:highlight w:val="none"/>
                      <w:lang w:val="en-US" w:eastAsia="zh-CN"/>
                    </w:rPr>
                    <w:t>。</w:t>
                  </w:r>
                </w:p>
              </w:tc>
              <w:tc>
                <w:tcPr>
                  <w:tcW w:w="381" w:type="pct"/>
                  <w:noWrap w:val="0"/>
                  <w:tcMar>
                    <w:top w:w="0" w:type="dxa"/>
                    <w:left w:w="51" w:type="dxa"/>
                    <w:bottom w:w="0" w:type="dxa"/>
                    <w:right w:w="51" w:type="dxa"/>
                  </w:tcMar>
                  <w:vAlign w:val="center"/>
                </w:tcPr>
                <w:p w14:paraId="794620CE">
                  <w:pPr>
                    <w:pStyle w:val="46"/>
                    <w:bidi w:val="0"/>
                    <w:rPr>
                      <w:rFonts w:hint="eastAsia"/>
                      <w:color w:val="auto"/>
                      <w:sz w:val="21"/>
                      <w:szCs w:val="21"/>
                      <w:highlight w:val="none"/>
                      <w:lang w:eastAsia="zh-CN"/>
                    </w:rPr>
                  </w:pPr>
                  <w:r>
                    <w:rPr>
                      <w:rFonts w:hint="eastAsia"/>
                      <w:color w:val="auto"/>
                      <w:sz w:val="21"/>
                      <w:szCs w:val="21"/>
                      <w:highlight w:val="none"/>
                      <w:lang w:eastAsia="zh-CN"/>
                    </w:rPr>
                    <w:t>相符</w:t>
                  </w:r>
                </w:p>
              </w:tc>
            </w:tr>
            <w:tr w14:paraId="35C312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5" w:type="pct"/>
                  <w:vMerge w:val="continue"/>
                  <w:noWrap w:val="0"/>
                  <w:tcMar>
                    <w:top w:w="0" w:type="dxa"/>
                    <w:left w:w="51" w:type="dxa"/>
                    <w:bottom w:w="0" w:type="dxa"/>
                    <w:right w:w="51" w:type="dxa"/>
                  </w:tcMar>
                  <w:vAlign w:val="center"/>
                </w:tcPr>
                <w:p w14:paraId="560C34F7">
                  <w:pPr>
                    <w:pStyle w:val="46"/>
                    <w:bidi w:val="0"/>
                    <w:rPr>
                      <w:rFonts w:hint="default"/>
                      <w:color w:val="auto"/>
                      <w:sz w:val="21"/>
                      <w:szCs w:val="21"/>
                      <w:highlight w:val="none"/>
                    </w:rPr>
                  </w:pPr>
                </w:p>
              </w:tc>
              <w:tc>
                <w:tcPr>
                  <w:tcW w:w="3011" w:type="pct"/>
                  <w:noWrap w:val="0"/>
                  <w:tcMar>
                    <w:top w:w="0" w:type="dxa"/>
                    <w:left w:w="51" w:type="dxa"/>
                    <w:bottom w:w="0" w:type="dxa"/>
                    <w:right w:w="51" w:type="dxa"/>
                  </w:tcMar>
                  <w:vAlign w:val="center"/>
                </w:tcPr>
                <w:p w14:paraId="0478D975">
                  <w:pPr>
                    <w:pStyle w:val="47"/>
                    <w:ind w:firstLine="0" w:firstLineChars="0"/>
                    <w:jc w:val="both"/>
                    <w:rPr>
                      <w:rFonts w:hint="eastAsia"/>
                      <w:color w:val="auto"/>
                      <w:sz w:val="21"/>
                      <w:szCs w:val="21"/>
                      <w:highlight w:val="none"/>
                      <w:lang w:val="en-US" w:eastAsia="zh-CN"/>
                    </w:rPr>
                  </w:pPr>
                  <w:r>
                    <w:rPr>
                      <w:rFonts w:hint="eastAsia"/>
                      <w:color w:val="auto"/>
                      <w:sz w:val="21"/>
                      <w:szCs w:val="21"/>
                      <w:highlight w:val="none"/>
                    </w:rPr>
                    <w:t>4</w:t>
                  </w:r>
                  <w:r>
                    <w:rPr>
                      <w:rFonts w:hint="eastAsia"/>
                      <w:color w:val="auto"/>
                      <w:sz w:val="21"/>
                      <w:szCs w:val="21"/>
                      <w:highlight w:val="none"/>
                      <w:lang w:eastAsia="zh-CN"/>
                    </w:rPr>
                    <w:t>.</w:t>
                  </w:r>
                  <w:r>
                    <w:rPr>
                      <w:rFonts w:hint="eastAsia"/>
                      <w:color w:val="auto"/>
                      <w:sz w:val="21"/>
                      <w:szCs w:val="21"/>
                      <w:highlight w:val="none"/>
                    </w:rPr>
                    <w:t>禁止新增化工园区，禁止审批园区外新建化工企业，对园区内环境基础设施不完善或长期不能稳定运行的企业一律不批新改扩建化工项目。</w:t>
                  </w:r>
                </w:p>
              </w:tc>
              <w:tc>
                <w:tcPr>
                  <w:tcW w:w="1211" w:type="pct"/>
                  <w:noWrap w:val="0"/>
                  <w:tcMar>
                    <w:top w:w="0" w:type="dxa"/>
                    <w:left w:w="51" w:type="dxa"/>
                    <w:bottom w:w="0" w:type="dxa"/>
                    <w:right w:w="51" w:type="dxa"/>
                  </w:tcMar>
                  <w:vAlign w:val="center"/>
                </w:tcPr>
                <w:p w14:paraId="786CF5DC">
                  <w:pPr>
                    <w:pStyle w:val="46"/>
                    <w:bidi w:val="0"/>
                    <w:jc w:val="both"/>
                    <w:rPr>
                      <w:rFonts w:hint="eastAsia"/>
                      <w:color w:val="auto"/>
                      <w:sz w:val="21"/>
                      <w:szCs w:val="21"/>
                      <w:highlight w:val="none"/>
                      <w:lang w:val="en-US" w:eastAsia="zh-CN"/>
                    </w:rPr>
                  </w:pPr>
                  <w:r>
                    <w:rPr>
                      <w:rFonts w:hint="eastAsia"/>
                      <w:color w:val="auto"/>
                      <w:sz w:val="21"/>
                      <w:szCs w:val="21"/>
                      <w:highlight w:val="none"/>
                      <w:lang w:val="en-US" w:eastAsia="zh-CN"/>
                    </w:rPr>
                    <w:t>4.</w:t>
                  </w:r>
                  <w:r>
                    <w:rPr>
                      <w:rFonts w:hint="eastAsia"/>
                      <w:color w:val="auto"/>
                      <w:sz w:val="21"/>
                      <w:szCs w:val="21"/>
                      <w:highlight w:val="none"/>
                    </w:rPr>
                    <w:t>本项目不</w:t>
                  </w:r>
                  <w:r>
                    <w:rPr>
                      <w:rFonts w:hint="eastAsia"/>
                      <w:color w:val="auto"/>
                      <w:sz w:val="21"/>
                      <w:szCs w:val="21"/>
                      <w:highlight w:val="none"/>
                      <w:lang w:eastAsia="zh-CN"/>
                    </w:rPr>
                    <w:t>涉及</w:t>
                  </w:r>
                  <w:r>
                    <w:rPr>
                      <w:rFonts w:hint="eastAsia"/>
                      <w:color w:val="auto"/>
                      <w:sz w:val="21"/>
                      <w:szCs w:val="21"/>
                      <w:highlight w:val="none"/>
                    </w:rPr>
                    <w:t>。</w:t>
                  </w:r>
                </w:p>
              </w:tc>
              <w:tc>
                <w:tcPr>
                  <w:tcW w:w="381" w:type="pct"/>
                  <w:noWrap w:val="0"/>
                  <w:tcMar>
                    <w:top w:w="0" w:type="dxa"/>
                    <w:left w:w="51" w:type="dxa"/>
                    <w:bottom w:w="0" w:type="dxa"/>
                    <w:right w:w="51" w:type="dxa"/>
                  </w:tcMar>
                  <w:vAlign w:val="center"/>
                </w:tcPr>
                <w:p w14:paraId="452AA90B">
                  <w:pPr>
                    <w:pStyle w:val="46"/>
                    <w:bidi w:val="0"/>
                    <w:rPr>
                      <w:rFonts w:hint="eastAsia"/>
                      <w:color w:val="auto"/>
                      <w:sz w:val="21"/>
                      <w:szCs w:val="21"/>
                      <w:highlight w:val="none"/>
                      <w:lang w:eastAsia="zh-CN"/>
                    </w:rPr>
                  </w:pPr>
                  <w:r>
                    <w:rPr>
                      <w:rFonts w:hint="eastAsia"/>
                      <w:color w:val="auto"/>
                      <w:sz w:val="21"/>
                      <w:szCs w:val="21"/>
                      <w:highlight w:val="none"/>
                      <w:lang w:eastAsia="zh-CN"/>
                    </w:rPr>
                    <w:t>不涉及</w:t>
                  </w:r>
                </w:p>
              </w:tc>
            </w:tr>
            <w:tr w14:paraId="3531AF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5" w:type="pct"/>
                  <w:vMerge w:val="continue"/>
                  <w:noWrap w:val="0"/>
                  <w:tcMar>
                    <w:top w:w="0" w:type="dxa"/>
                    <w:left w:w="51" w:type="dxa"/>
                    <w:bottom w:w="0" w:type="dxa"/>
                    <w:right w:w="51" w:type="dxa"/>
                  </w:tcMar>
                  <w:vAlign w:val="center"/>
                </w:tcPr>
                <w:p w14:paraId="5DFEE963">
                  <w:pPr>
                    <w:pStyle w:val="46"/>
                    <w:bidi w:val="0"/>
                    <w:rPr>
                      <w:rFonts w:hint="default"/>
                      <w:color w:val="auto"/>
                      <w:sz w:val="21"/>
                      <w:szCs w:val="21"/>
                      <w:highlight w:val="none"/>
                    </w:rPr>
                  </w:pPr>
                </w:p>
              </w:tc>
              <w:tc>
                <w:tcPr>
                  <w:tcW w:w="3011" w:type="pct"/>
                  <w:noWrap w:val="0"/>
                  <w:tcMar>
                    <w:top w:w="0" w:type="dxa"/>
                    <w:left w:w="51" w:type="dxa"/>
                    <w:bottom w:w="0" w:type="dxa"/>
                    <w:right w:w="51" w:type="dxa"/>
                  </w:tcMar>
                  <w:vAlign w:val="center"/>
                </w:tcPr>
                <w:p w14:paraId="77AB66D0">
                  <w:pPr>
                    <w:pStyle w:val="47"/>
                    <w:ind w:firstLine="0" w:firstLineChars="0"/>
                    <w:jc w:val="both"/>
                    <w:rPr>
                      <w:rFonts w:hint="eastAsia"/>
                      <w:color w:val="auto"/>
                      <w:sz w:val="21"/>
                      <w:szCs w:val="21"/>
                      <w:highlight w:val="none"/>
                      <w:lang w:val="en-US" w:eastAsia="zh-CN"/>
                    </w:rPr>
                  </w:pPr>
                  <w:r>
                    <w:rPr>
                      <w:rFonts w:hint="eastAsia"/>
                      <w:color w:val="auto"/>
                      <w:sz w:val="21"/>
                      <w:szCs w:val="21"/>
                      <w:highlight w:val="none"/>
                    </w:rPr>
                    <w:t>5</w:t>
                  </w:r>
                  <w:r>
                    <w:rPr>
                      <w:rFonts w:hint="eastAsia"/>
                      <w:color w:val="auto"/>
                      <w:sz w:val="21"/>
                      <w:szCs w:val="21"/>
                      <w:highlight w:val="none"/>
                      <w:lang w:eastAsia="zh-CN"/>
                    </w:rPr>
                    <w:t>.</w:t>
                  </w:r>
                  <w:r>
                    <w:rPr>
                      <w:rFonts w:hint="eastAsia"/>
                      <w:color w:val="auto"/>
                      <w:sz w:val="21"/>
                      <w:szCs w:val="21"/>
                      <w:highlight w:val="none"/>
                    </w:rPr>
                    <w:t>禁止承接不符合国家石化、现代煤化工等产业布局规划的项目。禁止承接包含《安阳市承接化工产业转移“禁限控</w:t>
                  </w:r>
                  <w:r>
                    <w:rPr>
                      <w:rFonts w:hint="eastAsia"/>
                      <w:color w:val="auto"/>
                      <w:sz w:val="21"/>
                      <w:szCs w:val="21"/>
                      <w:highlight w:val="none"/>
                      <w:lang w:eastAsia="zh-CN"/>
                    </w:rPr>
                    <w:t>”</w:t>
                  </w:r>
                  <w:r>
                    <w:rPr>
                      <w:rFonts w:hint="eastAsia"/>
                      <w:color w:val="auto"/>
                      <w:sz w:val="21"/>
                      <w:szCs w:val="21"/>
                      <w:highlight w:val="none"/>
                    </w:rPr>
                    <w:t>目录》中所列工艺装备或产品的项目。禁止承接煤化工产能。禁止承接一次性固定资产投资额低于3亿元（不含土地费用）的危险化学品生产建设项目（列入国家战略性新兴产业重点产品和服务指导目录的项目除外）。禁止在化工园区外承接化工项目。</w:t>
                  </w:r>
                </w:p>
              </w:tc>
              <w:tc>
                <w:tcPr>
                  <w:tcW w:w="1211" w:type="pct"/>
                  <w:noWrap w:val="0"/>
                  <w:tcMar>
                    <w:top w:w="0" w:type="dxa"/>
                    <w:left w:w="51" w:type="dxa"/>
                    <w:bottom w:w="0" w:type="dxa"/>
                    <w:right w:w="51" w:type="dxa"/>
                  </w:tcMar>
                  <w:vAlign w:val="center"/>
                </w:tcPr>
                <w:p w14:paraId="4AF1EBB9">
                  <w:pPr>
                    <w:pStyle w:val="46"/>
                    <w:bidi w:val="0"/>
                    <w:jc w:val="both"/>
                    <w:rPr>
                      <w:rFonts w:hint="eastAsia"/>
                      <w:color w:val="auto"/>
                      <w:sz w:val="21"/>
                      <w:szCs w:val="21"/>
                      <w:highlight w:val="none"/>
                      <w:lang w:val="en-US" w:eastAsia="zh-CN"/>
                    </w:rPr>
                  </w:pPr>
                  <w:r>
                    <w:rPr>
                      <w:rFonts w:hint="eastAsia"/>
                      <w:color w:val="auto"/>
                      <w:sz w:val="21"/>
                      <w:szCs w:val="21"/>
                      <w:highlight w:val="none"/>
                      <w:lang w:val="en-US" w:eastAsia="zh-CN"/>
                    </w:rPr>
                    <w:t>5.</w:t>
                  </w:r>
                  <w:r>
                    <w:rPr>
                      <w:rFonts w:hint="eastAsia"/>
                      <w:color w:val="auto"/>
                      <w:sz w:val="21"/>
                      <w:szCs w:val="21"/>
                      <w:highlight w:val="none"/>
                    </w:rPr>
                    <w:t>本项目不属于不符合国家石化、现代煤化工等产业布局规划的项目，不属于《安阳市承接化工产业转移“禁限控</w:t>
                  </w:r>
                  <w:r>
                    <w:rPr>
                      <w:rFonts w:hint="eastAsia"/>
                      <w:color w:val="auto"/>
                      <w:sz w:val="21"/>
                      <w:szCs w:val="21"/>
                      <w:highlight w:val="none"/>
                      <w:lang w:eastAsia="zh-CN"/>
                    </w:rPr>
                    <w:t>”</w:t>
                  </w:r>
                  <w:r>
                    <w:rPr>
                      <w:rFonts w:hint="eastAsia"/>
                      <w:color w:val="auto"/>
                      <w:sz w:val="21"/>
                      <w:szCs w:val="21"/>
                      <w:highlight w:val="none"/>
                    </w:rPr>
                    <w:t>目录》中所列工艺装备或产品的项目；不属于煤化工和危险化学品建设项目。</w:t>
                  </w:r>
                </w:p>
              </w:tc>
              <w:tc>
                <w:tcPr>
                  <w:tcW w:w="381" w:type="pct"/>
                  <w:noWrap w:val="0"/>
                  <w:tcMar>
                    <w:top w:w="0" w:type="dxa"/>
                    <w:left w:w="51" w:type="dxa"/>
                    <w:bottom w:w="0" w:type="dxa"/>
                    <w:right w:w="51" w:type="dxa"/>
                  </w:tcMar>
                  <w:vAlign w:val="center"/>
                </w:tcPr>
                <w:p w14:paraId="718CEB6E">
                  <w:pPr>
                    <w:pStyle w:val="46"/>
                    <w:bidi w:val="0"/>
                    <w:rPr>
                      <w:rFonts w:hint="eastAsia"/>
                      <w:color w:val="auto"/>
                      <w:sz w:val="21"/>
                      <w:szCs w:val="21"/>
                      <w:highlight w:val="none"/>
                      <w:lang w:eastAsia="zh-CN"/>
                    </w:rPr>
                  </w:pPr>
                  <w:r>
                    <w:rPr>
                      <w:rFonts w:hint="eastAsia"/>
                      <w:color w:val="auto"/>
                      <w:sz w:val="21"/>
                      <w:szCs w:val="21"/>
                      <w:highlight w:val="none"/>
                      <w:lang w:eastAsia="zh-CN"/>
                    </w:rPr>
                    <w:t>不涉及</w:t>
                  </w:r>
                </w:p>
              </w:tc>
            </w:tr>
            <w:tr w14:paraId="3D2F3A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6" w:hRule="atLeast"/>
                <w:jc w:val="center"/>
              </w:trPr>
              <w:tc>
                <w:tcPr>
                  <w:tcW w:w="395" w:type="pct"/>
                  <w:vMerge w:val="continue"/>
                  <w:noWrap w:val="0"/>
                  <w:tcMar>
                    <w:top w:w="0" w:type="dxa"/>
                    <w:left w:w="51" w:type="dxa"/>
                    <w:bottom w:w="0" w:type="dxa"/>
                    <w:right w:w="51" w:type="dxa"/>
                  </w:tcMar>
                  <w:vAlign w:val="center"/>
                </w:tcPr>
                <w:p w14:paraId="1973BB24">
                  <w:pPr>
                    <w:pStyle w:val="46"/>
                    <w:bidi w:val="0"/>
                    <w:rPr>
                      <w:rFonts w:hint="default"/>
                      <w:color w:val="auto"/>
                      <w:sz w:val="21"/>
                      <w:szCs w:val="21"/>
                      <w:highlight w:val="none"/>
                    </w:rPr>
                  </w:pPr>
                </w:p>
              </w:tc>
              <w:tc>
                <w:tcPr>
                  <w:tcW w:w="3011" w:type="pct"/>
                  <w:noWrap w:val="0"/>
                  <w:tcMar>
                    <w:top w:w="0" w:type="dxa"/>
                    <w:left w:w="51" w:type="dxa"/>
                    <w:bottom w:w="0" w:type="dxa"/>
                    <w:right w:w="51" w:type="dxa"/>
                  </w:tcMar>
                  <w:vAlign w:val="center"/>
                </w:tcPr>
                <w:p w14:paraId="27224A47">
                  <w:pPr>
                    <w:pStyle w:val="47"/>
                    <w:ind w:firstLine="0" w:firstLineChars="0"/>
                    <w:jc w:val="both"/>
                    <w:rPr>
                      <w:rFonts w:hint="eastAsia"/>
                      <w:color w:val="auto"/>
                      <w:sz w:val="21"/>
                      <w:szCs w:val="21"/>
                      <w:highlight w:val="none"/>
                      <w:lang w:val="en-US" w:eastAsia="zh-CN"/>
                    </w:rPr>
                  </w:pPr>
                  <w:r>
                    <w:rPr>
                      <w:rFonts w:hint="eastAsia"/>
                      <w:color w:val="auto"/>
                      <w:sz w:val="21"/>
                      <w:szCs w:val="21"/>
                      <w:highlight w:val="none"/>
                    </w:rPr>
                    <w:t>6</w:t>
                  </w:r>
                  <w:r>
                    <w:rPr>
                      <w:rFonts w:hint="eastAsia"/>
                      <w:color w:val="auto"/>
                      <w:sz w:val="21"/>
                      <w:szCs w:val="21"/>
                      <w:highlight w:val="none"/>
                      <w:lang w:eastAsia="zh-CN"/>
                    </w:rPr>
                    <w:t>.</w:t>
                  </w:r>
                  <w:r>
                    <w:rPr>
                      <w:rFonts w:hint="eastAsia"/>
                      <w:color w:val="auto"/>
                      <w:sz w:val="21"/>
                      <w:szCs w:val="21"/>
                      <w:highlight w:val="none"/>
                    </w:rPr>
                    <w:t>新建、扩建、搬迁的化学原料药和生物生化制品建设项目应位于产业园区，并符合园区产业定位、园区规划、规划环评及审查意见要求。</w:t>
                  </w:r>
                </w:p>
              </w:tc>
              <w:tc>
                <w:tcPr>
                  <w:tcW w:w="1211" w:type="pct"/>
                  <w:noWrap w:val="0"/>
                  <w:tcMar>
                    <w:top w:w="0" w:type="dxa"/>
                    <w:left w:w="51" w:type="dxa"/>
                    <w:bottom w:w="0" w:type="dxa"/>
                    <w:right w:w="51" w:type="dxa"/>
                  </w:tcMar>
                  <w:vAlign w:val="center"/>
                </w:tcPr>
                <w:p w14:paraId="7DC2CADD">
                  <w:pPr>
                    <w:pStyle w:val="46"/>
                    <w:bidi w:val="0"/>
                    <w:jc w:val="both"/>
                    <w:rPr>
                      <w:rFonts w:hint="eastAsia"/>
                      <w:color w:val="auto"/>
                      <w:sz w:val="21"/>
                      <w:szCs w:val="21"/>
                      <w:highlight w:val="none"/>
                      <w:lang w:val="en-US" w:eastAsia="zh-CN"/>
                    </w:rPr>
                  </w:pPr>
                  <w:r>
                    <w:rPr>
                      <w:rFonts w:hint="eastAsia"/>
                      <w:color w:val="auto"/>
                      <w:sz w:val="21"/>
                      <w:szCs w:val="21"/>
                      <w:highlight w:val="none"/>
                      <w:lang w:val="en-US" w:eastAsia="zh-CN"/>
                    </w:rPr>
                    <w:t>6.</w:t>
                  </w:r>
                  <w:r>
                    <w:rPr>
                      <w:rFonts w:hint="eastAsia"/>
                      <w:color w:val="auto"/>
                      <w:sz w:val="21"/>
                      <w:szCs w:val="21"/>
                      <w:highlight w:val="none"/>
                    </w:rPr>
                    <w:t>本项目不属于化学原料药和生物生化制品建设项目。</w:t>
                  </w:r>
                </w:p>
              </w:tc>
              <w:tc>
                <w:tcPr>
                  <w:tcW w:w="381" w:type="pct"/>
                  <w:noWrap w:val="0"/>
                  <w:tcMar>
                    <w:top w:w="0" w:type="dxa"/>
                    <w:left w:w="51" w:type="dxa"/>
                    <w:bottom w:w="0" w:type="dxa"/>
                    <w:right w:w="51" w:type="dxa"/>
                  </w:tcMar>
                  <w:vAlign w:val="center"/>
                </w:tcPr>
                <w:p w14:paraId="7CD6EEF2">
                  <w:pPr>
                    <w:pStyle w:val="46"/>
                    <w:bidi w:val="0"/>
                    <w:rPr>
                      <w:rFonts w:hint="eastAsia"/>
                      <w:color w:val="auto"/>
                      <w:sz w:val="21"/>
                      <w:szCs w:val="21"/>
                      <w:highlight w:val="none"/>
                      <w:lang w:eastAsia="zh-CN"/>
                    </w:rPr>
                  </w:pPr>
                  <w:r>
                    <w:rPr>
                      <w:rFonts w:hint="eastAsia"/>
                      <w:color w:val="auto"/>
                      <w:sz w:val="21"/>
                      <w:szCs w:val="21"/>
                      <w:highlight w:val="none"/>
                      <w:lang w:eastAsia="zh-CN"/>
                    </w:rPr>
                    <w:t>不涉及</w:t>
                  </w:r>
                </w:p>
              </w:tc>
            </w:tr>
            <w:tr w14:paraId="3CE576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6" w:hRule="atLeast"/>
                <w:jc w:val="center"/>
              </w:trPr>
              <w:tc>
                <w:tcPr>
                  <w:tcW w:w="395" w:type="pct"/>
                  <w:vMerge w:val="continue"/>
                  <w:noWrap w:val="0"/>
                  <w:tcMar>
                    <w:top w:w="0" w:type="dxa"/>
                    <w:left w:w="51" w:type="dxa"/>
                    <w:bottom w:w="0" w:type="dxa"/>
                    <w:right w:w="51" w:type="dxa"/>
                  </w:tcMar>
                  <w:vAlign w:val="center"/>
                </w:tcPr>
                <w:p w14:paraId="581D8867">
                  <w:pPr>
                    <w:pStyle w:val="46"/>
                    <w:bidi w:val="0"/>
                    <w:rPr>
                      <w:rFonts w:hint="default"/>
                      <w:color w:val="auto"/>
                      <w:sz w:val="21"/>
                      <w:szCs w:val="21"/>
                      <w:highlight w:val="none"/>
                    </w:rPr>
                  </w:pPr>
                </w:p>
              </w:tc>
              <w:tc>
                <w:tcPr>
                  <w:tcW w:w="3011" w:type="pct"/>
                  <w:noWrap w:val="0"/>
                  <w:tcMar>
                    <w:top w:w="0" w:type="dxa"/>
                    <w:left w:w="51" w:type="dxa"/>
                    <w:bottom w:w="0" w:type="dxa"/>
                    <w:right w:w="51" w:type="dxa"/>
                  </w:tcMar>
                  <w:vAlign w:val="center"/>
                </w:tcPr>
                <w:p w14:paraId="6CD44406">
                  <w:pPr>
                    <w:pStyle w:val="47"/>
                    <w:jc w:val="both"/>
                    <w:rPr>
                      <w:color w:val="auto"/>
                      <w:sz w:val="21"/>
                      <w:szCs w:val="21"/>
                      <w:highlight w:val="none"/>
                    </w:rPr>
                  </w:pPr>
                  <w:r>
                    <w:rPr>
                      <w:rFonts w:hint="eastAsia"/>
                      <w:color w:val="auto"/>
                      <w:sz w:val="21"/>
                      <w:szCs w:val="21"/>
                      <w:highlight w:val="none"/>
                    </w:rPr>
                    <w:t>7</w:t>
                  </w:r>
                  <w:r>
                    <w:rPr>
                      <w:rFonts w:hint="eastAsia"/>
                      <w:color w:val="auto"/>
                      <w:sz w:val="21"/>
                      <w:szCs w:val="21"/>
                      <w:highlight w:val="none"/>
                      <w:lang w:eastAsia="zh-CN"/>
                    </w:rPr>
                    <w:t>.</w:t>
                  </w:r>
                  <w:r>
                    <w:rPr>
                      <w:color w:val="auto"/>
                      <w:sz w:val="21"/>
                      <w:szCs w:val="21"/>
                      <w:highlight w:val="none"/>
                    </w:rPr>
                    <w:t>林州万宝山省级自然保护区禁止下列行为：</w:t>
                  </w:r>
                </w:p>
                <w:p w14:paraId="4AA38F93">
                  <w:pPr>
                    <w:pStyle w:val="47"/>
                    <w:jc w:val="both"/>
                    <w:rPr>
                      <w:color w:val="auto"/>
                      <w:sz w:val="21"/>
                      <w:szCs w:val="21"/>
                      <w:highlight w:val="none"/>
                    </w:rPr>
                  </w:pPr>
                  <w:r>
                    <w:rPr>
                      <w:color w:val="auto"/>
                      <w:sz w:val="21"/>
                      <w:szCs w:val="21"/>
                      <w:highlight w:val="none"/>
                    </w:rPr>
                    <w:t>（一）禁止在自然保护区内进行砍伐、放牧、狩猎、捕捞、采药、开垦、烧荒、开矿、采石、挖沙等活动；但是，法律、行政法规另有规定的除外。</w:t>
                  </w:r>
                </w:p>
                <w:p w14:paraId="46FF129A">
                  <w:pPr>
                    <w:pStyle w:val="47"/>
                    <w:jc w:val="both"/>
                    <w:rPr>
                      <w:color w:val="auto"/>
                      <w:sz w:val="21"/>
                      <w:szCs w:val="21"/>
                      <w:highlight w:val="none"/>
                    </w:rPr>
                  </w:pPr>
                  <w:r>
                    <w:rPr>
                      <w:color w:val="auto"/>
                      <w:sz w:val="21"/>
                      <w:szCs w:val="21"/>
                      <w:highlight w:val="none"/>
                    </w:rPr>
                    <w:t>（二）禁止任何人进入自然保护区的核心区。因科学研究的需要，必须进入核心区从事科学研究观测、调查活动的，应当事先向自然保护区管理机构提交申请和活动计划，并经自然保护区管理机构批准。</w:t>
                  </w:r>
                </w:p>
                <w:p w14:paraId="3397A64E">
                  <w:pPr>
                    <w:pStyle w:val="47"/>
                    <w:jc w:val="both"/>
                    <w:rPr>
                      <w:color w:val="auto"/>
                      <w:sz w:val="21"/>
                      <w:szCs w:val="21"/>
                      <w:highlight w:val="none"/>
                    </w:rPr>
                  </w:pPr>
                  <w:r>
                    <w:rPr>
                      <w:color w:val="auto"/>
                      <w:sz w:val="21"/>
                      <w:szCs w:val="21"/>
                      <w:highlight w:val="none"/>
                    </w:rPr>
                    <w:t>（三）禁止在自然保护区的缓冲区开展旅游和生产经营活动。因教学科研的目的，需要进入自然保护区的缓冲区从事非破坏性的科学研究、教学实习和标本采集活动的，应当事先向自然保护区管理机构提交申请和活动计划，经自然保护区管理机构批准。</w:t>
                  </w:r>
                </w:p>
                <w:p w14:paraId="0BB7D404">
                  <w:pPr>
                    <w:pStyle w:val="47"/>
                    <w:jc w:val="both"/>
                    <w:rPr>
                      <w:color w:val="auto"/>
                      <w:sz w:val="21"/>
                      <w:szCs w:val="21"/>
                      <w:highlight w:val="none"/>
                    </w:rPr>
                  </w:pPr>
                  <w:r>
                    <w:rPr>
                      <w:color w:val="auto"/>
                      <w:sz w:val="21"/>
                      <w:szCs w:val="21"/>
                      <w:highlight w:val="none"/>
                    </w:rPr>
                    <w:t>（四）在自然保护区的核心区和缓冲区内，不得建设任何生产设施。在自然保护区的实验区内，不得建设污染环境、破坏资源或者景观的生产设施；建设其他项目，其污染物排放不得超过国家和地方规定的污染物排放标准。</w:t>
                  </w:r>
                </w:p>
                <w:p w14:paraId="7C5E2B2B">
                  <w:pPr>
                    <w:pStyle w:val="47"/>
                    <w:ind w:firstLine="0" w:firstLineChars="0"/>
                    <w:jc w:val="both"/>
                    <w:rPr>
                      <w:rFonts w:hint="eastAsia"/>
                      <w:color w:val="auto"/>
                      <w:sz w:val="21"/>
                      <w:szCs w:val="21"/>
                      <w:highlight w:val="none"/>
                      <w:lang w:val="en-US" w:eastAsia="zh-CN"/>
                    </w:rPr>
                  </w:pPr>
                  <w:r>
                    <w:rPr>
                      <w:color w:val="auto"/>
                      <w:sz w:val="21"/>
                      <w:szCs w:val="21"/>
                      <w:highlight w:val="none"/>
                    </w:rPr>
                    <w:t>（五）在自然保护区的外围保护地带建的项目，不得损害自然保护区内的环境质量；已造成损害的，应当限期治理。</w:t>
                  </w:r>
                </w:p>
              </w:tc>
              <w:tc>
                <w:tcPr>
                  <w:tcW w:w="1211" w:type="pct"/>
                  <w:noWrap w:val="0"/>
                  <w:tcMar>
                    <w:top w:w="0" w:type="dxa"/>
                    <w:left w:w="51" w:type="dxa"/>
                    <w:bottom w:w="0" w:type="dxa"/>
                    <w:right w:w="51" w:type="dxa"/>
                  </w:tcMar>
                  <w:vAlign w:val="center"/>
                </w:tcPr>
                <w:p w14:paraId="448D6C8E">
                  <w:pPr>
                    <w:pStyle w:val="47"/>
                    <w:jc w:val="both"/>
                    <w:rPr>
                      <w:color w:val="auto"/>
                      <w:sz w:val="21"/>
                      <w:szCs w:val="21"/>
                      <w:highlight w:val="none"/>
                    </w:rPr>
                  </w:pPr>
                  <w:r>
                    <w:rPr>
                      <w:rFonts w:hint="eastAsia"/>
                      <w:color w:val="auto"/>
                      <w:sz w:val="21"/>
                      <w:szCs w:val="21"/>
                      <w:highlight w:val="none"/>
                      <w:lang w:val="en-US" w:eastAsia="zh-CN"/>
                    </w:rPr>
                    <w:t>7.</w:t>
                  </w:r>
                  <w:r>
                    <w:rPr>
                      <w:rFonts w:hint="eastAsia"/>
                      <w:color w:val="auto"/>
                      <w:sz w:val="21"/>
                      <w:szCs w:val="21"/>
                      <w:highlight w:val="none"/>
                    </w:rPr>
                    <w:t>本项目不</w:t>
                  </w:r>
                  <w:r>
                    <w:rPr>
                      <w:color w:val="auto"/>
                      <w:sz w:val="21"/>
                      <w:szCs w:val="21"/>
                      <w:highlight w:val="none"/>
                    </w:rPr>
                    <w:t>在林州万宝山省级自然保护区范围内。</w:t>
                  </w:r>
                </w:p>
                <w:p w14:paraId="33B9DD14">
                  <w:pPr>
                    <w:pStyle w:val="46"/>
                    <w:bidi w:val="0"/>
                    <w:jc w:val="both"/>
                    <w:rPr>
                      <w:rFonts w:hint="eastAsia"/>
                      <w:color w:val="auto"/>
                      <w:sz w:val="21"/>
                      <w:szCs w:val="21"/>
                      <w:highlight w:val="none"/>
                      <w:lang w:val="en-US" w:eastAsia="zh-CN"/>
                    </w:rPr>
                  </w:pPr>
                </w:p>
              </w:tc>
              <w:tc>
                <w:tcPr>
                  <w:tcW w:w="381" w:type="pct"/>
                  <w:noWrap w:val="0"/>
                  <w:tcMar>
                    <w:top w:w="0" w:type="dxa"/>
                    <w:left w:w="51" w:type="dxa"/>
                    <w:bottom w:w="0" w:type="dxa"/>
                    <w:right w:w="51" w:type="dxa"/>
                  </w:tcMar>
                  <w:vAlign w:val="center"/>
                </w:tcPr>
                <w:p w14:paraId="47E25D8A">
                  <w:pPr>
                    <w:pStyle w:val="46"/>
                    <w:bidi w:val="0"/>
                    <w:rPr>
                      <w:rFonts w:hint="eastAsia"/>
                      <w:color w:val="auto"/>
                      <w:sz w:val="21"/>
                      <w:szCs w:val="21"/>
                      <w:highlight w:val="none"/>
                      <w:lang w:eastAsia="zh-CN"/>
                    </w:rPr>
                  </w:pPr>
                  <w:r>
                    <w:rPr>
                      <w:rFonts w:hint="eastAsia"/>
                      <w:color w:val="auto"/>
                      <w:sz w:val="21"/>
                      <w:szCs w:val="21"/>
                      <w:highlight w:val="none"/>
                      <w:lang w:eastAsia="zh-CN"/>
                    </w:rPr>
                    <w:t>不涉及</w:t>
                  </w:r>
                </w:p>
              </w:tc>
            </w:tr>
            <w:tr w14:paraId="489C5D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395" w:type="pct"/>
                  <w:vMerge w:val="continue"/>
                  <w:noWrap w:val="0"/>
                  <w:tcMar>
                    <w:top w:w="0" w:type="dxa"/>
                    <w:left w:w="51" w:type="dxa"/>
                    <w:bottom w:w="0" w:type="dxa"/>
                    <w:right w:w="51" w:type="dxa"/>
                  </w:tcMar>
                  <w:vAlign w:val="center"/>
                </w:tcPr>
                <w:p w14:paraId="0A1FD3BE">
                  <w:pPr>
                    <w:pStyle w:val="46"/>
                    <w:bidi w:val="0"/>
                    <w:rPr>
                      <w:rFonts w:hint="default"/>
                      <w:color w:val="auto"/>
                      <w:sz w:val="21"/>
                      <w:szCs w:val="21"/>
                      <w:highlight w:val="none"/>
                    </w:rPr>
                  </w:pPr>
                </w:p>
              </w:tc>
              <w:tc>
                <w:tcPr>
                  <w:tcW w:w="3011" w:type="pct"/>
                  <w:noWrap w:val="0"/>
                  <w:tcMar>
                    <w:top w:w="0" w:type="dxa"/>
                    <w:left w:w="51" w:type="dxa"/>
                    <w:bottom w:w="0" w:type="dxa"/>
                    <w:right w:w="51" w:type="dxa"/>
                  </w:tcMar>
                  <w:vAlign w:val="center"/>
                </w:tcPr>
                <w:p w14:paraId="2E301744">
                  <w:pPr>
                    <w:pStyle w:val="47"/>
                    <w:jc w:val="both"/>
                    <w:rPr>
                      <w:color w:val="auto"/>
                      <w:sz w:val="21"/>
                      <w:szCs w:val="21"/>
                      <w:highlight w:val="none"/>
                    </w:rPr>
                  </w:pPr>
                  <w:r>
                    <w:rPr>
                      <w:rFonts w:hint="eastAsia"/>
                      <w:color w:val="auto"/>
                      <w:sz w:val="21"/>
                      <w:szCs w:val="21"/>
                      <w:highlight w:val="none"/>
                    </w:rPr>
                    <w:t>8</w:t>
                  </w:r>
                  <w:r>
                    <w:rPr>
                      <w:rFonts w:hint="eastAsia"/>
                      <w:color w:val="auto"/>
                      <w:sz w:val="21"/>
                      <w:szCs w:val="21"/>
                      <w:highlight w:val="none"/>
                      <w:lang w:val="en-US" w:eastAsia="zh-CN"/>
                    </w:rPr>
                    <w:t>.</w:t>
                  </w:r>
                  <w:r>
                    <w:rPr>
                      <w:color w:val="auto"/>
                      <w:sz w:val="21"/>
                      <w:szCs w:val="21"/>
                      <w:highlight w:val="none"/>
                    </w:rPr>
                    <w:t>林虑山风景名胜区内禁止以下行为：</w:t>
                  </w:r>
                </w:p>
                <w:p w14:paraId="2E0FE37A">
                  <w:pPr>
                    <w:pStyle w:val="47"/>
                    <w:jc w:val="both"/>
                    <w:rPr>
                      <w:color w:val="auto"/>
                      <w:sz w:val="21"/>
                      <w:szCs w:val="21"/>
                      <w:highlight w:val="none"/>
                    </w:rPr>
                  </w:pPr>
                  <w:r>
                    <w:rPr>
                      <w:color w:val="auto"/>
                      <w:sz w:val="21"/>
                      <w:szCs w:val="21"/>
                      <w:highlight w:val="none"/>
                    </w:rPr>
                    <w:t>（一）开山、采石、开矿等破坏景观、植被、地形地貌的活动；</w:t>
                  </w:r>
                </w:p>
                <w:p w14:paraId="5D8A2737">
                  <w:pPr>
                    <w:pStyle w:val="47"/>
                    <w:jc w:val="both"/>
                    <w:rPr>
                      <w:color w:val="auto"/>
                      <w:sz w:val="21"/>
                      <w:szCs w:val="21"/>
                      <w:highlight w:val="none"/>
                    </w:rPr>
                  </w:pPr>
                  <w:r>
                    <w:rPr>
                      <w:color w:val="auto"/>
                      <w:sz w:val="21"/>
                      <w:szCs w:val="21"/>
                      <w:highlight w:val="none"/>
                    </w:rPr>
                    <w:t>（二）修建储存爆炸性、易燃性、放射性、毒害性、腐蚀性物品的设施；</w:t>
                  </w:r>
                </w:p>
                <w:p w14:paraId="5E8CF121">
                  <w:pPr>
                    <w:pStyle w:val="47"/>
                    <w:jc w:val="both"/>
                    <w:rPr>
                      <w:color w:val="auto"/>
                      <w:sz w:val="21"/>
                      <w:szCs w:val="21"/>
                      <w:highlight w:val="none"/>
                    </w:rPr>
                  </w:pPr>
                  <w:r>
                    <w:rPr>
                      <w:color w:val="auto"/>
                      <w:sz w:val="21"/>
                      <w:szCs w:val="21"/>
                      <w:highlight w:val="none"/>
                    </w:rPr>
                    <w:t>（三）在核心景区内建设宾馆、招待所、培训中心、疗养院以及与风景名胜资源保护无关的其他建筑物。</w:t>
                  </w:r>
                </w:p>
                <w:p w14:paraId="68C523B4">
                  <w:pPr>
                    <w:pStyle w:val="47"/>
                    <w:ind w:firstLine="0" w:firstLineChars="0"/>
                    <w:jc w:val="both"/>
                    <w:rPr>
                      <w:rFonts w:hint="eastAsia"/>
                      <w:color w:val="auto"/>
                      <w:sz w:val="21"/>
                      <w:szCs w:val="21"/>
                      <w:highlight w:val="none"/>
                      <w:lang w:val="en-US" w:eastAsia="zh-CN"/>
                    </w:rPr>
                  </w:pPr>
                  <w:r>
                    <w:rPr>
                      <w:color w:val="auto"/>
                      <w:sz w:val="21"/>
                      <w:szCs w:val="21"/>
                      <w:highlight w:val="none"/>
                    </w:rPr>
                    <w:t>（四）凡与景观不协调、破坏景观、污染环境的，一律立即拆除。</w:t>
                  </w:r>
                </w:p>
              </w:tc>
              <w:tc>
                <w:tcPr>
                  <w:tcW w:w="1211" w:type="pct"/>
                  <w:noWrap w:val="0"/>
                  <w:tcMar>
                    <w:top w:w="0" w:type="dxa"/>
                    <w:left w:w="51" w:type="dxa"/>
                    <w:bottom w:w="0" w:type="dxa"/>
                    <w:right w:w="51" w:type="dxa"/>
                  </w:tcMar>
                  <w:vAlign w:val="center"/>
                </w:tcPr>
                <w:p w14:paraId="5FBE4AE9">
                  <w:pPr>
                    <w:pStyle w:val="46"/>
                    <w:bidi w:val="0"/>
                    <w:jc w:val="both"/>
                    <w:rPr>
                      <w:rFonts w:hint="eastAsia"/>
                      <w:color w:val="auto"/>
                      <w:sz w:val="21"/>
                      <w:szCs w:val="21"/>
                      <w:highlight w:val="none"/>
                      <w:lang w:val="en-US" w:eastAsia="zh-CN"/>
                    </w:rPr>
                  </w:pPr>
                  <w:r>
                    <w:rPr>
                      <w:rFonts w:hint="eastAsia"/>
                      <w:color w:val="auto"/>
                      <w:sz w:val="21"/>
                      <w:szCs w:val="21"/>
                      <w:highlight w:val="none"/>
                      <w:lang w:val="en-US" w:eastAsia="zh-CN"/>
                    </w:rPr>
                    <w:t>8.</w:t>
                  </w:r>
                  <w:r>
                    <w:rPr>
                      <w:rFonts w:hint="eastAsia"/>
                      <w:color w:val="auto"/>
                      <w:sz w:val="21"/>
                      <w:szCs w:val="21"/>
                      <w:highlight w:val="none"/>
                    </w:rPr>
                    <w:t>本项目不</w:t>
                  </w:r>
                  <w:r>
                    <w:rPr>
                      <w:color w:val="auto"/>
                      <w:sz w:val="21"/>
                      <w:szCs w:val="21"/>
                      <w:highlight w:val="none"/>
                    </w:rPr>
                    <w:t>在林虑山风景名胜区范围内。</w:t>
                  </w:r>
                </w:p>
              </w:tc>
              <w:tc>
                <w:tcPr>
                  <w:tcW w:w="381" w:type="pct"/>
                  <w:noWrap w:val="0"/>
                  <w:tcMar>
                    <w:top w:w="0" w:type="dxa"/>
                    <w:left w:w="51" w:type="dxa"/>
                    <w:bottom w:w="0" w:type="dxa"/>
                    <w:right w:w="51" w:type="dxa"/>
                  </w:tcMar>
                  <w:vAlign w:val="center"/>
                </w:tcPr>
                <w:p w14:paraId="5553B6B6">
                  <w:pPr>
                    <w:pStyle w:val="46"/>
                    <w:bidi w:val="0"/>
                    <w:rPr>
                      <w:rFonts w:hint="eastAsia"/>
                      <w:color w:val="auto"/>
                      <w:sz w:val="21"/>
                      <w:szCs w:val="21"/>
                      <w:highlight w:val="none"/>
                      <w:lang w:eastAsia="zh-CN"/>
                    </w:rPr>
                  </w:pPr>
                  <w:r>
                    <w:rPr>
                      <w:rFonts w:hint="eastAsia"/>
                      <w:color w:val="auto"/>
                      <w:sz w:val="21"/>
                      <w:szCs w:val="21"/>
                      <w:highlight w:val="none"/>
                      <w:lang w:eastAsia="zh-CN"/>
                    </w:rPr>
                    <w:t>不涉及</w:t>
                  </w:r>
                </w:p>
              </w:tc>
            </w:tr>
            <w:tr w14:paraId="666417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8" w:hRule="atLeast"/>
                <w:jc w:val="center"/>
              </w:trPr>
              <w:tc>
                <w:tcPr>
                  <w:tcW w:w="395" w:type="pct"/>
                  <w:vMerge w:val="continue"/>
                  <w:noWrap w:val="0"/>
                  <w:tcMar>
                    <w:top w:w="0" w:type="dxa"/>
                    <w:left w:w="51" w:type="dxa"/>
                    <w:bottom w:w="0" w:type="dxa"/>
                    <w:right w:w="51" w:type="dxa"/>
                  </w:tcMar>
                  <w:vAlign w:val="center"/>
                </w:tcPr>
                <w:p w14:paraId="11468AB5">
                  <w:pPr>
                    <w:pStyle w:val="46"/>
                    <w:bidi w:val="0"/>
                    <w:rPr>
                      <w:rFonts w:hint="default"/>
                      <w:color w:val="auto"/>
                      <w:sz w:val="21"/>
                      <w:szCs w:val="21"/>
                      <w:highlight w:val="none"/>
                    </w:rPr>
                  </w:pPr>
                </w:p>
              </w:tc>
              <w:tc>
                <w:tcPr>
                  <w:tcW w:w="3011" w:type="pct"/>
                  <w:noWrap w:val="0"/>
                  <w:tcMar>
                    <w:top w:w="0" w:type="dxa"/>
                    <w:left w:w="51" w:type="dxa"/>
                    <w:bottom w:w="0" w:type="dxa"/>
                    <w:right w:w="51" w:type="dxa"/>
                  </w:tcMar>
                  <w:vAlign w:val="center"/>
                </w:tcPr>
                <w:p w14:paraId="7D862B7E">
                  <w:pPr>
                    <w:pStyle w:val="47"/>
                    <w:jc w:val="both"/>
                    <w:rPr>
                      <w:color w:val="auto"/>
                      <w:sz w:val="21"/>
                      <w:szCs w:val="21"/>
                      <w:highlight w:val="none"/>
                    </w:rPr>
                  </w:pPr>
                  <w:r>
                    <w:rPr>
                      <w:rFonts w:hint="eastAsia"/>
                      <w:color w:val="auto"/>
                      <w:sz w:val="21"/>
                      <w:szCs w:val="21"/>
                      <w:highlight w:val="none"/>
                    </w:rPr>
                    <w:t>9</w:t>
                  </w:r>
                  <w:r>
                    <w:rPr>
                      <w:rFonts w:hint="eastAsia"/>
                      <w:color w:val="auto"/>
                      <w:sz w:val="21"/>
                      <w:szCs w:val="21"/>
                      <w:highlight w:val="none"/>
                      <w:lang w:val="en-US" w:eastAsia="zh-CN"/>
                    </w:rPr>
                    <w:t>.</w:t>
                  </w:r>
                  <w:r>
                    <w:rPr>
                      <w:color w:val="auto"/>
                      <w:sz w:val="21"/>
                      <w:szCs w:val="21"/>
                      <w:highlight w:val="none"/>
                    </w:rPr>
                    <w:t>淇河国家鲫鱼种质资源保护区禁止下列行为：</w:t>
                  </w:r>
                </w:p>
                <w:p w14:paraId="4224449D">
                  <w:pPr>
                    <w:pStyle w:val="47"/>
                    <w:jc w:val="both"/>
                    <w:rPr>
                      <w:rFonts w:hint="eastAsia"/>
                      <w:color w:val="auto"/>
                      <w:sz w:val="21"/>
                      <w:szCs w:val="21"/>
                      <w:highlight w:val="none"/>
                    </w:rPr>
                  </w:pPr>
                  <w:r>
                    <w:rPr>
                      <w:rFonts w:hint="eastAsia"/>
                      <w:color w:val="auto"/>
                      <w:sz w:val="21"/>
                      <w:szCs w:val="21"/>
                      <w:highlight w:val="none"/>
                    </w:rPr>
                    <w:t>（一）国家级水产种质资源保护区主要保护对象的特别保护期内不得从事捕捞、爆破作业以及其他可能对保护区内生物资源和生态环境造成损害的活动，特别保护期外从事捕捞活动，应当遵守《渔业法》及有关法律法规的规定；</w:t>
                  </w:r>
                </w:p>
                <w:p w14:paraId="3B2CB035">
                  <w:pPr>
                    <w:pStyle w:val="47"/>
                    <w:jc w:val="both"/>
                    <w:rPr>
                      <w:rFonts w:hint="eastAsia"/>
                      <w:color w:val="auto"/>
                      <w:sz w:val="21"/>
                      <w:szCs w:val="21"/>
                      <w:highlight w:val="none"/>
                    </w:rPr>
                  </w:pPr>
                  <w:r>
                    <w:rPr>
                      <w:rFonts w:hint="eastAsia"/>
                      <w:color w:val="auto"/>
                      <w:sz w:val="21"/>
                      <w:szCs w:val="21"/>
                      <w:highlight w:val="none"/>
                    </w:rPr>
                    <w:t>（二）禁止在水产种质资源保护区内从事围湖造田；</w:t>
                  </w:r>
                </w:p>
                <w:p w14:paraId="4CD69040">
                  <w:pPr>
                    <w:pStyle w:val="47"/>
                    <w:ind w:firstLine="0" w:firstLineChars="0"/>
                    <w:jc w:val="both"/>
                    <w:rPr>
                      <w:rFonts w:hint="eastAsia"/>
                      <w:color w:val="auto"/>
                      <w:sz w:val="21"/>
                      <w:szCs w:val="21"/>
                      <w:highlight w:val="none"/>
                      <w:lang w:val="en-US" w:eastAsia="zh-CN"/>
                    </w:rPr>
                  </w:pPr>
                  <w:r>
                    <w:rPr>
                      <w:rFonts w:hint="eastAsia"/>
                      <w:color w:val="auto"/>
                      <w:sz w:val="21"/>
                      <w:szCs w:val="21"/>
                      <w:highlight w:val="none"/>
                    </w:rPr>
                    <w:t>（三）禁止在水产种质资源保护区内新建排污口，在水产种质资源保护区附近新改扩建排污口，应当保证保护区水体不受污染。</w:t>
                  </w:r>
                </w:p>
              </w:tc>
              <w:tc>
                <w:tcPr>
                  <w:tcW w:w="1211" w:type="pct"/>
                  <w:noWrap w:val="0"/>
                  <w:tcMar>
                    <w:top w:w="0" w:type="dxa"/>
                    <w:left w:w="51" w:type="dxa"/>
                    <w:bottom w:w="0" w:type="dxa"/>
                    <w:right w:w="51" w:type="dxa"/>
                  </w:tcMar>
                  <w:vAlign w:val="center"/>
                </w:tcPr>
                <w:p w14:paraId="3C3E4A57">
                  <w:pPr>
                    <w:pStyle w:val="46"/>
                    <w:bidi w:val="0"/>
                    <w:jc w:val="both"/>
                    <w:rPr>
                      <w:rFonts w:hint="eastAsia"/>
                      <w:color w:val="auto"/>
                      <w:sz w:val="21"/>
                      <w:szCs w:val="21"/>
                      <w:highlight w:val="none"/>
                      <w:lang w:val="en-US" w:eastAsia="zh-CN"/>
                    </w:rPr>
                  </w:pPr>
                  <w:r>
                    <w:rPr>
                      <w:rFonts w:hint="eastAsia"/>
                      <w:color w:val="auto"/>
                      <w:sz w:val="21"/>
                      <w:szCs w:val="21"/>
                      <w:highlight w:val="none"/>
                      <w:lang w:val="en-US" w:eastAsia="zh-CN"/>
                    </w:rPr>
                    <w:t>9.</w:t>
                  </w:r>
                  <w:r>
                    <w:rPr>
                      <w:rFonts w:hint="eastAsia"/>
                      <w:color w:val="auto"/>
                      <w:sz w:val="21"/>
                      <w:szCs w:val="21"/>
                      <w:highlight w:val="none"/>
                    </w:rPr>
                    <w:t>本项目不在淇河国家鲫鱼种质资源保护区范围内。</w:t>
                  </w:r>
                </w:p>
              </w:tc>
              <w:tc>
                <w:tcPr>
                  <w:tcW w:w="381" w:type="pct"/>
                  <w:noWrap w:val="0"/>
                  <w:tcMar>
                    <w:top w:w="0" w:type="dxa"/>
                    <w:left w:w="51" w:type="dxa"/>
                    <w:bottom w:w="0" w:type="dxa"/>
                    <w:right w:w="51" w:type="dxa"/>
                  </w:tcMar>
                  <w:vAlign w:val="center"/>
                </w:tcPr>
                <w:p w14:paraId="706B2D01">
                  <w:pPr>
                    <w:pStyle w:val="46"/>
                    <w:bidi w:val="0"/>
                    <w:rPr>
                      <w:rFonts w:hint="eastAsia"/>
                      <w:color w:val="auto"/>
                      <w:sz w:val="21"/>
                      <w:szCs w:val="21"/>
                      <w:highlight w:val="none"/>
                      <w:lang w:eastAsia="zh-CN"/>
                    </w:rPr>
                  </w:pPr>
                  <w:r>
                    <w:rPr>
                      <w:rFonts w:hint="eastAsia"/>
                      <w:color w:val="auto"/>
                      <w:sz w:val="21"/>
                      <w:szCs w:val="21"/>
                      <w:highlight w:val="none"/>
                      <w:lang w:eastAsia="zh-CN"/>
                    </w:rPr>
                    <w:t>不涉及</w:t>
                  </w:r>
                </w:p>
              </w:tc>
            </w:tr>
            <w:tr w14:paraId="16015C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3" w:hRule="atLeast"/>
                <w:jc w:val="center"/>
              </w:trPr>
              <w:tc>
                <w:tcPr>
                  <w:tcW w:w="395" w:type="pct"/>
                  <w:vMerge w:val="continue"/>
                  <w:noWrap w:val="0"/>
                  <w:tcMar>
                    <w:top w:w="0" w:type="dxa"/>
                    <w:left w:w="51" w:type="dxa"/>
                    <w:bottom w:w="0" w:type="dxa"/>
                    <w:right w:w="51" w:type="dxa"/>
                  </w:tcMar>
                  <w:vAlign w:val="center"/>
                </w:tcPr>
                <w:p w14:paraId="05C4ABC6">
                  <w:pPr>
                    <w:pStyle w:val="46"/>
                    <w:bidi w:val="0"/>
                    <w:rPr>
                      <w:rFonts w:hint="default"/>
                      <w:color w:val="auto"/>
                      <w:sz w:val="21"/>
                      <w:szCs w:val="21"/>
                      <w:highlight w:val="none"/>
                    </w:rPr>
                  </w:pPr>
                </w:p>
              </w:tc>
              <w:tc>
                <w:tcPr>
                  <w:tcW w:w="3011" w:type="pct"/>
                  <w:noWrap w:val="0"/>
                  <w:tcMar>
                    <w:top w:w="0" w:type="dxa"/>
                    <w:left w:w="51" w:type="dxa"/>
                    <w:bottom w:w="0" w:type="dxa"/>
                    <w:right w:w="51" w:type="dxa"/>
                  </w:tcMar>
                  <w:vAlign w:val="center"/>
                </w:tcPr>
                <w:p w14:paraId="55DFF87A">
                  <w:pPr>
                    <w:pStyle w:val="47"/>
                    <w:jc w:val="both"/>
                    <w:rPr>
                      <w:color w:val="auto"/>
                      <w:sz w:val="21"/>
                      <w:szCs w:val="21"/>
                      <w:highlight w:val="none"/>
                    </w:rPr>
                  </w:pPr>
                  <w:r>
                    <w:rPr>
                      <w:rFonts w:hint="eastAsia"/>
                      <w:color w:val="auto"/>
                      <w:sz w:val="21"/>
                      <w:szCs w:val="21"/>
                      <w:highlight w:val="none"/>
                    </w:rPr>
                    <w:t>10</w:t>
                  </w:r>
                  <w:r>
                    <w:rPr>
                      <w:rFonts w:hint="eastAsia"/>
                      <w:color w:val="auto"/>
                      <w:sz w:val="21"/>
                      <w:szCs w:val="21"/>
                      <w:highlight w:val="none"/>
                      <w:lang w:val="en-US" w:eastAsia="zh-CN"/>
                    </w:rPr>
                    <w:t>.</w:t>
                  </w:r>
                  <w:r>
                    <w:rPr>
                      <w:color w:val="auto"/>
                      <w:sz w:val="21"/>
                      <w:szCs w:val="21"/>
                      <w:highlight w:val="none"/>
                    </w:rPr>
                    <w:t>淇淅河湿地公园核心区内禁止下列行为：</w:t>
                  </w:r>
                </w:p>
                <w:p w14:paraId="42BBECCA">
                  <w:pPr>
                    <w:pStyle w:val="47"/>
                    <w:jc w:val="both"/>
                    <w:rPr>
                      <w:rFonts w:hint="eastAsia"/>
                      <w:color w:val="auto"/>
                      <w:sz w:val="21"/>
                      <w:szCs w:val="21"/>
                      <w:highlight w:val="none"/>
                    </w:rPr>
                  </w:pPr>
                  <w:r>
                    <w:rPr>
                      <w:rFonts w:hint="eastAsia"/>
                      <w:color w:val="auto"/>
                      <w:sz w:val="21"/>
                      <w:szCs w:val="21"/>
                      <w:highlight w:val="none"/>
                    </w:rPr>
                    <w:t>（一）建设任何与湿地公园保护无关的项目；</w:t>
                  </w:r>
                </w:p>
                <w:p w14:paraId="29C06E62">
                  <w:pPr>
                    <w:pStyle w:val="47"/>
                    <w:jc w:val="both"/>
                    <w:rPr>
                      <w:rFonts w:hint="eastAsia"/>
                      <w:color w:val="auto"/>
                      <w:sz w:val="21"/>
                      <w:szCs w:val="21"/>
                      <w:highlight w:val="none"/>
                    </w:rPr>
                  </w:pPr>
                  <w:r>
                    <w:rPr>
                      <w:rFonts w:hint="eastAsia"/>
                      <w:color w:val="auto"/>
                      <w:sz w:val="21"/>
                      <w:szCs w:val="21"/>
                      <w:highlight w:val="none"/>
                    </w:rPr>
                    <w:t>（二）排放废水，倾倒垃圾、粪便及其他废弃物，堆放、存贮固体废弃物和其它污染物；合理性排放生活污水需符合湿地保护相关要求；</w:t>
                  </w:r>
                </w:p>
                <w:p w14:paraId="0558B4B3">
                  <w:pPr>
                    <w:pStyle w:val="47"/>
                    <w:jc w:val="both"/>
                    <w:rPr>
                      <w:rFonts w:hint="eastAsia"/>
                      <w:color w:val="auto"/>
                      <w:sz w:val="21"/>
                      <w:szCs w:val="21"/>
                      <w:highlight w:val="none"/>
                    </w:rPr>
                  </w:pPr>
                  <w:r>
                    <w:rPr>
                      <w:rFonts w:hint="eastAsia"/>
                      <w:color w:val="auto"/>
                      <w:sz w:val="21"/>
                      <w:szCs w:val="21"/>
                      <w:highlight w:val="none"/>
                    </w:rPr>
                    <w:t>（三）使用不符合国家环保标准的高毒、高残留农药；</w:t>
                  </w:r>
                </w:p>
                <w:p w14:paraId="43CF5A07">
                  <w:pPr>
                    <w:pStyle w:val="47"/>
                    <w:jc w:val="both"/>
                    <w:rPr>
                      <w:rFonts w:hint="eastAsia"/>
                      <w:color w:val="auto"/>
                      <w:sz w:val="21"/>
                      <w:szCs w:val="21"/>
                      <w:highlight w:val="none"/>
                    </w:rPr>
                  </w:pPr>
                  <w:r>
                    <w:rPr>
                      <w:rFonts w:hint="eastAsia"/>
                      <w:color w:val="auto"/>
                      <w:sz w:val="21"/>
                      <w:szCs w:val="21"/>
                      <w:highlight w:val="none"/>
                    </w:rPr>
                    <w:t>（四）洗涤污物、清洗机动车辆和船舶；</w:t>
                  </w:r>
                </w:p>
                <w:p w14:paraId="61ECD7D4">
                  <w:pPr>
                    <w:pStyle w:val="47"/>
                    <w:jc w:val="both"/>
                    <w:rPr>
                      <w:rFonts w:hint="eastAsia"/>
                      <w:color w:val="auto"/>
                      <w:sz w:val="21"/>
                      <w:szCs w:val="21"/>
                      <w:highlight w:val="none"/>
                    </w:rPr>
                  </w:pPr>
                  <w:r>
                    <w:rPr>
                      <w:rFonts w:hint="eastAsia"/>
                      <w:color w:val="auto"/>
                      <w:sz w:val="21"/>
                      <w:szCs w:val="21"/>
                      <w:highlight w:val="none"/>
                    </w:rPr>
                    <w:t>（五）其他破坏湿地公园生态资源和人文历史风貌资源的行为。</w:t>
                  </w:r>
                </w:p>
                <w:p w14:paraId="7C1613B8">
                  <w:pPr>
                    <w:pStyle w:val="47"/>
                    <w:jc w:val="both"/>
                    <w:rPr>
                      <w:rFonts w:hint="eastAsia"/>
                      <w:color w:val="auto"/>
                      <w:sz w:val="21"/>
                      <w:szCs w:val="21"/>
                      <w:highlight w:val="none"/>
                    </w:rPr>
                  </w:pPr>
                  <w:r>
                    <w:rPr>
                      <w:rFonts w:hint="eastAsia"/>
                      <w:color w:val="auto"/>
                      <w:sz w:val="21"/>
                      <w:szCs w:val="21"/>
                      <w:highlight w:val="none"/>
                    </w:rPr>
                    <w:t>淇淅河国家湿地公园一般保护区内禁止以下行为：</w:t>
                  </w:r>
                </w:p>
                <w:p w14:paraId="5F503CC3">
                  <w:pPr>
                    <w:pStyle w:val="47"/>
                    <w:jc w:val="both"/>
                    <w:rPr>
                      <w:rFonts w:hint="eastAsia"/>
                      <w:color w:val="auto"/>
                      <w:sz w:val="21"/>
                      <w:szCs w:val="21"/>
                      <w:highlight w:val="none"/>
                    </w:rPr>
                  </w:pPr>
                  <w:r>
                    <w:rPr>
                      <w:rFonts w:hint="eastAsia"/>
                      <w:color w:val="auto"/>
                      <w:sz w:val="21"/>
                      <w:szCs w:val="21"/>
                      <w:highlight w:val="none"/>
                    </w:rPr>
                    <w:t>（一）新建、扩建工业类项目、规模化禽畜养殖和其它污染较重的建设项目；</w:t>
                  </w:r>
                </w:p>
                <w:p w14:paraId="03FF6189">
                  <w:pPr>
                    <w:pStyle w:val="47"/>
                    <w:jc w:val="both"/>
                    <w:rPr>
                      <w:rFonts w:hint="eastAsia"/>
                      <w:color w:val="auto"/>
                      <w:sz w:val="21"/>
                      <w:szCs w:val="21"/>
                      <w:highlight w:val="none"/>
                    </w:rPr>
                  </w:pPr>
                  <w:r>
                    <w:rPr>
                      <w:rFonts w:hint="eastAsia"/>
                      <w:color w:val="auto"/>
                      <w:sz w:val="21"/>
                      <w:szCs w:val="21"/>
                      <w:highlight w:val="none"/>
                    </w:rPr>
                    <w:t>（二）设置生活垃圾、医疗垃圾、工业危险废物等集中转运、堆放、填埋和焚烧设施；</w:t>
                  </w:r>
                </w:p>
                <w:p w14:paraId="31D7B8B9">
                  <w:pPr>
                    <w:pStyle w:val="47"/>
                    <w:jc w:val="both"/>
                    <w:rPr>
                      <w:rFonts w:hint="eastAsia"/>
                      <w:color w:val="auto"/>
                      <w:sz w:val="21"/>
                      <w:szCs w:val="21"/>
                      <w:highlight w:val="none"/>
                    </w:rPr>
                  </w:pPr>
                  <w:r>
                    <w:rPr>
                      <w:rFonts w:hint="eastAsia"/>
                      <w:color w:val="auto"/>
                      <w:sz w:val="21"/>
                      <w:szCs w:val="21"/>
                      <w:highlight w:val="none"/>
                    </w:rPr>
                    <w:t>（三）设置危险品转运和贮存设施、新建加油站及油库；</w:t>
                  </w:r>
                </w:p>
                <w:p w14:paraId="2B5214F0">
                  <w:pPr>
                    <w:pStyle w:val="47"/>
                    <w:jc w:val="both"/>
                    <w:rPr>
                      <w:rFonts w:hint="eastAsia"/>
                      <w:color w:val="auto"/>
                      <w:sz w:val="21"/>
                      <w:szCs w:val="21"/>
                      <w:highlight w:val="none"/>
                    </w:rPr>
                  </w:pPr>
                  <w:r>
                    <w:rPr>
                      <w:rFonts w:hint="eastAsia"/>
                      <w:color w:val="auto"/>
                      <w:sz w:val="21"/>
                      <w:szCs w:val="21"/>
                      <w:highlight w:val="none"/>
                    </w:rPr>
                    <w:t>（四）使用不符合国家环保标准的高毒高残留农药；</w:t>
                  </w:r>
                </w:p>
                <w:p w14:paraId="24C979A2">
                  <w:pPr>
                    <w:pStyle w:val="47"/>
                    <w:ind w:firstLine="0" w:firstLineChars="0"/>
                    <w:jc w:val="both"/>
                    <w:rPr>
                      <w:rFonts w:hint="eastAsia"/>
                      <w:color w:val="auto"/>
                      <w:sz w:val="21"/>
                      <w:szCs w:val="21"/>
                      <w:highlight w:val="none"/>
                      <w:lang w:val="en-US" w:eastAsia="zh-CN"/>
                    </w:rPr>
                  </w:pPr>
                  <w:r>
                    <w:rPr>
                      <w:rFonts w:hint="eastAsia"/>
                      <w:color w:val="auto"/>
                      <w:sz w:val="21"/>
                      <w:szCs w:val="21"/>
                      <w:highlight w:val="none"/>
                    </w:rPr>
                    <w:t>（五）建立公共墓地和掩埋动物尸体。</w:t>
                  </w:r>
                </w:p>
              </w:tc>
              <w:tc>
                <w:tcPr>
                  <w:tcW w:w="1211" w:type="pct"/>
                  <w:noWrap w:val="0"/>
                  <w:tcMar>
                    <w:top w:w="0" w:type="dxa"/>
                    <w:left w:w="51" w:type="dxa"/>
                    <w:bottom w:w="0" w:type="dxa"/>
                    <w:right w:w="51" w:type="dxa"/>
                  </w:tcMar>
                  <w:vAlign w:val="center"/>
                </w:tcPr>
                <w:p w14:paraId="57062464">
                  <w:pPr>
                    <w:pStyle w:val="46"/>
                    <w:bidi w:val="0"/>
                    <w:jc w:val="both"/>
                    <w:rPr>
                      <w:rFonts w:hint="eastAsia" w:eastAsia="宋体"/>
                      <w:color w:val="auto"/>
                      <w:sz w:val="21"/>
                      <w:szCs w:val="21"/>
                      <w:highlight w:val="none"/>
                      <w:lang w:val="en-US" w:eastAsia="zh-CN"/>
                    </w:rPr>
                  </w:pPr>
                  <w:r>
                    <w:rPr>
                      <w:rFonts w:hint="eastAsia"/>
                      <w:color w:val="auto"/>
                      <w:sz w:val="21"/>
                      <w:szCs w:val="21"/>
                      <w:highlight w:val="none"/>
                      <w:lang w:val="en-US" w:eastAsia="zh-CN"/>
                    </w:rPr>
                    <w:t>10.</w:t>
                  </w:r>
                  <w:r>
                    <w:rPr>
                      <w:rFonts w:hint="eastAsia"/>
                      <w:color w:val="auto"/>
                      <w:sz w:val="21"/>
                      <w:szCs w:val="21"/>
                      <w:highlight w:val="none"/>
                    </w:rPr>
                    <w:t>本项目不</w:t>
                  </w:r>
                  <w:r>
                    <w:rPr>
                      <w:color w:val="auto"/>
                      <w:sz w:val="21"/>
                      <w:szCs w:val="21"/>
                      <w:highlight w:val="none"/>
                    </w:rPr>
                    <w:t>在淇淅河湿地公园核心区范围内</w:t>
                  </w:r>
                  <w:r>
                    <w:rPr>
                      <w:rFonts w:hint="eastAsia"/>
                      <w:color w:val="auto"/>
                      <w:sz w:val="21"/>
                      <w:szCs w:val="21"/>
                      <w:highlight w:val="none"/>
                      <w:lang w:eastAsia="zh-CN"/>
                    </w:rPr>
                    <w:t>。</w:t>
                  </w:r>
                </w:p>
              </w:tc>
              <w:tc>
                <w:tcPr>
                  <w:tcW w:w="381" w:type="pct"/>
                  <w:noWrap w:val="0"/>
                  <w:tcMar>
                    <w:top w:w="0" w:type="dxa"/>
                    <w:left w:w="51" w:type="dxa"/>
                    <w:bottom w:w="0" w:type="dxa"/>
                    <w:right w:w="51" w:type="dxa"/>
                  </w:tcMar>
                  <w:vAlign w:val="center"/>
                </w:tcPr>
                <w:p w14:paraId="2E9F7C82">
                  <w:pPr>
                    <w:pStyle w:val="46"/>
                    <w:bidi w:val="0"/>
                    <w:rPr>
                      <w:rFonts w:hint="eastAsia"/>
                      <w:color w:val="auto"/>
                      <w:sz w:val="21"/>
                      <w:szCs w:val="21"/>
                      <w:highlight w:val="none"/>
                      <w:lang w:eastAsia="zh-CN"/>
                    </w:rPr>
                  </w:pPr>
                  <w:r>
                    <w:rPr>
                      <w:rFonts w:hint="eastAsia"/>
                      <w:color w:val="auto"/>
                      <w:sz w:val="21"/>
                      <w:szCs w:val="21"/>
                      <w:highlight w:val="none"/>
                      <w:lang w:eastAsia="zh-CN"/>
                    </w:rPr>
                    <w:t>不涉及</w:t>
                  </w:r>
                </w:p>
              </w:tc>
            </w:tr>
            <w:tr w14:paraId="34FF30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5" w:hRule="atLeast"/>
                <w:jc w:val="center"/>
              </w:trPr>
              <w:tc>
                <w:tcPr>
                  <w:tcW w:w="395" w:type="pct"/>
                  <w:vMerge w:val="continue"/>
                  <w:noWrap w:val="0"/>
                  <w:tcMar>
                    <w:top w:w="0" w:type="dxa"/>
                    <w:left w:w="51" w:type="dxa"/>
                    <w:bottom w:w="0" w:type="dxa"/>
                    <w:right w:w="51" w:type="dxa"/>
                  </w:tcMar>
                  <w:vAlign w:val="center"/>
                </w:tcPr>
                <w:p w14:paraId="7B8A1159">
                  <w:pPr>
                    <w:pStyle w:val="46"/>
                    <w:bidi w:val="0"/>
                    <w:rPr>
                      <w:rFonts w:hint="default"/>
                      <w:color w:val="auto"/>
                      <w:sz w:val="21"/>
                      <w:szCs w:val="21"/>
                      <w:highlight w:val="none"/>
                    </w:rPr>
                  </w:pPr>
                </w:p>
              </w:tc>
              <w:tc>
                <w:tcPr>
                  <w:tcW w:w="3011" w:type="pct"/>
                  <w:noWrap w:val="0"/>
                  <w:tcMar>
                    <w:top w:w="0" w:type="dxa"/>
                    <w:left w:w="51" w:type="dxa"/>
                    <w:bottom w:w="0" w:type="dxa"/>
                    <w:right w:w="51" w:type="dxa"/>
                  </w:tcMar>
                  <w:vAlign w:val="center"/>
                </w:tcPr>
                <w:p w14:paraId="7F2678DE">
                  <w:pPr>
                    <w:pStyle w:val="47"/>
                    <w:jc w:val="both"/>
                    <w:rPr>
                      <w:color w:val="auto"/>
                      <w:sz w:val="21"/>
                      <w:szCs w:val="21"/>
                      <w:highlight w:val="none"/>
                    </w:rPr>
                  </w:pPr>
                  <w:r>
                    <w:rPr>
                      <w:rFonts w:hint="eastAsia"/>
                      <w:color w:val="auto"/>
                      <w:sz w:val="21"/>
                      <w:szCs w:val="21"/>
                      <w:highlight w:val="none"/>
                    </w:rPr>
                    <w:t>11</w:t>
                  </w:r>
                  <w:r>
                    <w:rPr>
                      <w:rFonts w:hint="eastAsia"/>
                      <w:color w:val="auto"/>
                      <w:sz w:val="21"/>
                      <w:szCs w:val="21"/>
                      <w:highlight w:val="none"/>
                      <w:lang w:val="en-US" w:eastAsia="zh-CN"/>
                    </w:rPr>
                    <w:t>.</w:t>
                  </w:r>
                  <w:r>
                    <w:rPr>
                      <w:color w:val="auto"/>
                      <w:sz w:val="21"/>
                      <w:szCs w:val="21"/>
                      <w:highlight w:val="none"/>
                    </w:rPr>
                    <w:t>汤河国家湿地公园规划区内禁止下列行为：</w:t>
                  </w:r>
                </w:p>
                <w:p w14:paraId="321577DE">
                  <w:pPr>
                    <w:pStyle w:val="47"/>
                    <w:jc w:val="both"/>
                    <w:rPr>
                      <w:color w:val="auto"/>
                      <w:sz w:val="21"/>
                      <w:szCs w:val="21"/>
                      <w:highlight w:val="none"/>
                    </w:rPr>
                  </w:pPr>
                  <w:r>
                    <w:rPr>
                      <w:color w:val="auto"/>
                      <w:sz w:val="21"/>
                      <w:szCs w:val="21"/>
                      <w:highlight w:val="none"/>
                    </w:rPr>
                    <w:t>（一）建设与湿地公园无关的项目；</w:t>
                  </w:r>
                </w:p>
                <w:p w14:paraId="605FDB4E">
                  <w:pPr>
                    <w:pStyle w:val="47"/>
                    <w:jc w:val="both"/>
                    <w:rPr>
                      <w:color w:val="auto"/>
                      <w:sz w:val="21"/>
                      <w:szCs w:val="21"/>
                      <w:highlight w:val="none"/>
                    </w:rPr>
                  </w:pPr>
                  <w:r>
                    <w:rPr>
                      <w:color w:val="auto"/>
                      <w:sz w:val="21"/>
                      <w:szCs w:val="21"/>
                      <w:highlight w:val="none"/>
                    </w:rPr>
                    <w:t>（二）未经达标处理排放废水；倾倒垃圾、粪便及其他废弃物；堆放、存储固体废弃物和其他污染物；</w:t>
                  </w:r>
                </w:p>
                <w:p w14:paraId="6088379A">
                  <w:pPr>
                    <w:pStyle w:val="47"/>
                    <w:jc w:val="both"/>
                    <w:rPr>
                      <w:color w:val="auto"/>
                      <w:sz w:val="21"/>
                      <w:szCs w:val="21"/>
                      <w:highlight w:val="none"/>
                    </w:rPr>
                  </w:pPr>
                  <w:r>
                    <w:rPr>
                      <w:color w:val="auto"/>
                      <w:sz w:val="21"/>
                      <w:szCs w:val="21"/>
                      <w:highlight w:val="none"/>
                    </w:rPr>
                    <w:t>（三）使用不符合国家环保标准的高毒高残留农药；</w:t>
                  </w:r>
                </w:p>
                <w:p w14:paraId="08E88BB1">
                  <w:pPr>
                    <w:pStyle w:val="47"/>
                    <w:jc w:val="both"/>
                    <w:rPr>
                      <w:color w:val="auto"/>
                      <w:sz w:val="21"/>
                      <w:szCs w:val="21"/>
                      <w:highlight w:val="none"/>
                    </w:rPr>
                  </w:pPr>
                  <w:r>
                    <w:rPr>
                      <w:color w:val="auto"/>
                      <w:sz w:val="21"/>
                      <w:szCs w:val="21"/>
                      <w:highlight w:val="none"/>
                    </w:rPr>
                    <w:t>（四）在景物上涂写、刻画、张贴等；损坏游览、服务等公共施舍和其他设施；</w:t>
                  </w:r>
                </w:p>
                <w:p w14:paraId="3333713A">
                  <w:pPr>
                    <w:pStyle w:val="47"/>
                    <w:jc w:val="both"/>
                    <w:rPr>
                      <w:color w:val="auto"/>
                      <w:sz w:val="21"/>
                      <w:szCs w:val="21"/>
                      <w:highlight w:val="none"/>
                    </w:rPr>
                  </w:pPr>
                  <w:r>
                    <w:rPr>
                      <w:color w:val="auto"/>
                      <w:sz w:val="21"/>
                      <w:szCs w:val="21"/>
                      <w:highlight w:val="none"/>
                    </w:rPr>
                    <w:t>（五）洗涤污物、清洗机动车辆和船舶；</w:t>
                  </w:r>
                </w:p>
                <w:p w14:paraId="51DDD632">
                  <w:pPr>
                    <w:pStyle w:val="47"/>
                    <w:ind w:firstLine="0" w:firstLineChars="0"/>
                    <w:jc w:val="both"/>
                    <w:rPr>
                      <w:rFonts w:hint="eastAsia"/>
                      <w:color w:val="auto"/>
                      <w:sz w:val="21"/>
                      <w:szCs w:val="21"/>
                      <w:highlight w:val="none"/>
                      <w:lang w:val="en-US" w:eastAsia="zh-CN"/>
                    </w:rPr>
                  </w:pPr>
                  <w:r>
                    <w:rPr>
                      <w:color w:val="auto"/>
                      <w:sz w:val="21"/>
                      <w:szCs w:val="21"/>
                      <w:highlight w:val="none"/>
                    </w:rPr>
                    <w:t>（六）其他破坏湿地公园生态资源和人文历史风貌资源的行为。</w:t>
                  </w:r>
                </w:p>
              </w:tc>
              <w:tc>
                <w:tcPr>
                  <w:tcW w:w="1211" w:type="pct"/>
                  <w:noWrap w:val="0"/>
                  <w:tcMar>
                    <w:top w:w="0" w:type="dxa"/>
                    <w:left w:w="51" w:type="dxa"/>
                    <w:bottom w:w="0" w:type="dxa"/>
                    <w:right w:w="51" w:type="dxa"/>
                  </w:tcMar>
                  <w:vAlign w:val="center"/>
                </w:tcPr>
                <w:p w14:paraId="72C9D5DE">
                  <w:pPr>
                    <w:pStyle w:val="46"/>
                    <w:bidi w:val="0"/>
                    <w:jc w:val="both"/>
                    <w:rPr>
                      <w:rFonts w:hint="eastAsia"/>
                      <w:color w:val="auto"/>
                      <w:sz w:val="21"/>
                      <w:szCs w:val="21"/>
                      <w:highlight w:val="none"/>
                      <w:lang w:val="en-US" w:eastAsia="zh-CN"/>
                    </w:rPr>
                  </w:pPr>
                  <w:r>
                    <w:rPr>
                      <w:rFonts w:hint="eastAsia"/>
                      <w:color w:val="auto"/>
                      <w:sz w:val="21"/>
                      <w:szCs w:val="21"/>
                      <w:highlight w:val="none"/>
                      <w:lang w:val="en-US" w:eastAsia="zh-CN"/>
                    </w:rPr>
                    <w:t>11.</w:t>
                  </w:r>
                  <w:r>
                    <w:rPr>
                      <w:rFonts w:hint="eastAsia"/>
                      <w:color w:val="auto"/>
                      <w:sz w:val="21"/>
                      <w:szCs w:val="21"/>
                      <w:highlight w:val="none"/>
                    </w:rPr>
                    <w:t>本项目不</w:t>
                  </w:r>
                  <w:r>
                    <w:rPr>
                      <w:color w:val="auto"/>
                      <w:sz w:val="21"/>
                      <w:szCs w:val="21"/>
                      <w:highlight w:val="none"/>
                    </w:rPr>
                    <w:t>在汤河国家湿地公园规划区范围内。</w:t>
                  </w:r>
                </w:p>
              </w:tc>
              <w:tc>
                <w:tcPr>
                  <w:tcW w:w="381" w:type="pct"/>
                  <w:noWrap w:val="0"/>
                  <w:tcMar>
                    <w:top w:w="0" w:type="dxa"/>
                    <w:left w:w="51" w:type="dxa"/>
                    <w:bottom w:w="0" w:type="dxa"/>
                    <w:right w:w="51" w:type="dxa"/>
                  </w:tcMar>
                  <w:vAlign w:val="center"/>
                </w:tcPr>
                <w:p w14:paraId="26E0511B">
                  <w:pPr>
                    <w:pStyle w:val="46"/>
                    <w:bidi w:val="0"/>
                    <w:rPr>
                      <w:rFonts w:hint="eastAsia"/>
                      <w:color w:val="auto"/>
                      <w:sz w:val="21"/>
                      <w:szCs w:val="21"/>
                      <w:highlight w:val="none"/>
                      <w:lang w:eastAsia="zh-CN"/>
                    </w:rPr>
                  </w:pPr>
                  <w:r>
                    <w:rPr>
                      <w:rFonts w:hint="eastAsia"/>
                      <w:color w:val="auto"/>
                      <w:sz w:val="21"/>
                      <w:szCs w:val="21"/>
                      <w:highlight w:val="none"/>
                      <w:lang w:eastAsia="zh-CN"/>
                    </w:rPr>
                    <w:t>不涉及</w:t>
                  </w:r>
                </w:p>
              </w:tc>
            </w:tr>
            <w:tr w14:paraId="554812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5" w:hRule="atLeast"/>
                <w:jc w:val="center"/>
              </w:trPr>
              <w:tc>
                <w:tcPr>
                  <w:tcW w:w="395" w:type="pct"/>
                  <w:vMerge w:val="continue"/>
                  <w:noWrap w:val="0"/>
                  <w:tcMar>
                    <w:top w:w="0" w:type="dxa"/>
                    <w:left w:w="51" w:type="dxa"/>
                    <w:bottom w:w="0" w:type="dxa"/>
                    <w:right w:w="51" w:type="dxa"/>
                  </w:tcMar>
                  <w:vAlign w:val="center"/>
                </w:tcPr>
                <w:p w14:paraId="3118D6F0">
                  <w:pPr>
                    <w:pStyle w:val="46"/>
                    <w:bidi w:val="0"/>
                    <w:rPr>
                      <w:rFonts w:hint="default"/>
                      <w:color w:val="auto"/>
                      <w:sz w:val="21"/>
                      <w:szCs w:val="21"/>
                      <w:highlight w:val="none"/>
                    </w:rPr>
                  </w:pPr>
                </w:p>
              </w:tc>
              <w:tc>
                <w:tcPr>
                  <w:tcW w:w="3011" w:type="pct"/>
                  <w:noWrap w:val="0"/>
                  <w:tcMar>
                    <w:top w:w="0" w:type="dxa"/>
                    <w:left w:w="51" w:type="dxa"/>
                    <w:bottom w:w="0" w:type="dxa"/>
                    <w:right w:w="51" w:type="dxa"/>
                  </w:tcMar>
                  <w:vAlign w:val="center"/>
                </w:tcPr>
                <w:p w14:paraId="6396BCF5">
                  <w:pPr>
                    <w:pStyle w:val="47"/>
                    <w:jc w:val="both"/>
                    <w:rPr>
                      <w:color w:val="auto"/>
                      <w:sz w:val="21"/>
                      <w:szCs w:val="21"/>
                      <w:highlight w:val="none"/>
                    </w:rPr>
                  </w:pPr>
                  <w:r>
                    <w:rPr>
                      <w:rFonts w:hint="eastAsia"/>
                      <w:color w:val="auto"/>
                      <w:sz w:val="21"/>
                      <w:szCs w:val="21"/>
                      <w:highlight w:val="none"/>
                    </w:rPr>
                    <w:t>12</w:t>
                  </w:r>
                  <w:r>
                    <w:rPr>
                      <w:rFonts w:hint="eastAsia"/>
                      <w:color w:val="auto"/>
                      <w:sz w:val="21"/>
                      <w:szCs w:val="21"/>
                      <w:highlight w:val="none"/>
                      <w:lang w:val="en-US" w:eastAsia="zh-CN"/>
                    </w:rPr>
                    <w:t>.</w:t>
                  </w:r>
                  <w:r>
                    <w:rPr>
                      <w:color w:val="auto"/>
                      <w:sz w:val="21"/>
                      <w:szCs w:val="21"/>
                      <w:highlight w:val="none"/>
                    </w:rPr>
                    <w:t>漳河峡谷国家湿地公园核心区、一级保护区</w:t>
                  </w:r>
                  <w:r>
                    <w:rPr>
                      <w:rFonts w:hint="eastAsia"/>
                      <w:color w:val="auto"/>
                      <w:sz w:val="21"/>
                      <w:szCs w:val="21"/>
                      <w:highlight w:val="none"/>
                      <w:lang w:eastAsia="zh-CN"/>
                    </w:rPr>
                    <w:t>内</w:t>
                  </w:r>
                  <w:r>
                    <w:rPr>
                      <w:color w:val="auto"/>
                      <w:sz w:val="21"/>
                      <w:szCs w:val="21"/>
                      <w:highlight w:val="none"/>
                    </w:rPr>
                    <w:t>禁止下列行为：</w:t>
                  </w:r>
                </w:p>
                <w:p w14:paraId="32F51618">
                  <w:pPr>
                    <w:pStyle w:val="47"/>
                    <w:jc w:val="both"/>
                    <w:rPr>
                      <w:color w:val="auto"/>
                      <w:sz w:val="21"/>
                      <w:szCs w:val="21"/>
                      <w:highlight w:val="none"/>
                    </w:rPr>
                  </w:pPr>
                  <w:r>
                    <w:rPr>
                      <w:color w:val="auto"/>
                      <w:sz w:val="21"/>
                      <w:szCs w:val="21"/>
                      <w:highlight w:val="none"/>
                    </w:rPr>
                    <w:t>（一）建设任何与湿地公园保护无关的项目；</w:t>
                  </w:r>
                </w:p>
                <w:p w14:paraId="55C75509">
                  <w:pPr>
                    <w:pStyle w:val="47"/>
                    <w:jc w:val="both"/>
                    <w:rPr>
                      <w:color w:val="auto"/>
                      <w:sz w:val="21"/>
                      <w:szCs w:val="21"/>
                      <w:highlight w:val="none"/>
                    </w:rPr>
                  </w:pPr>
                  <w:r>
                    <w:rPr>
                      <w:color w:val="auto"/>
                      <w:sz w:val="21"/>
                      <w:szCs w:val="21"/>
                      <w:highlight w:val="none"/>
                    </w:rPr>
                    <w:t>（二）排放废水，倾倒垃圾、粪便及其他废弃物，堆放、存贮固体废弃物和其它污染物；</w:t>
                  </w:r>
                </w:p>
                <w:p w14:paraId="32FCFE9A">
                  <w:pPr>
                    <w:pStyle w:val="47"/>
                    <w:jc w:val="both"/>
                    <w:rPr>
                      <w:color w:val="auto"/>
                      <w:sz w:val="21"/>
                      <w:szCs w:val="21"/>
                      <w:highlight w:val="none"/>
                    </w:rPr>
                  </w:pPr>
                  <w:r>
                    <w:rPr>
                      <w:color w:val="auto"/>
                      <w:sz w:val="21"/>
                      <w:szCs w:val="21"/>
                      <w:highlight w:val="none"/>
                    </w:rPr>
                    <w:t>（三）使用不符合国家环保标准的高毒高残留农药；</w:t>
                  </w:r>
                </w:p>
                <w:p w14:paraId="7FEA1714">
                  <w:pPr>
                    <w:pStyle w:val="47"/>
                    <w:jc w:val="both"/>
                    <w:rPr>
                      <w:color w:val="auto"/>
                      <w:sz w:val="21"/>
                      <w:szCs w:val="21"/>
                      <w:highlight w:val="none"/>
                    </w:rPr>
                  </w:pPr>
                  <w:r>
                    <w:rPr>
                      <w:color w:val="auto"/>
                      <w:sz w:val="21"/>
                      <w:szCs w:val="21"/>
                      <w:highlight w:val="none"/>
                    </w:rPr>
                    <w:t>（四）在景物上涂写、刻画、张贴等；损坏游览、服务等公共设施和其他设施；</w:t>
                  </w:r>
                </w:p>
                <w:p w14:paraId="76571562">
                  <w:pPr>
                    <w:pStyle w:val="47"/>
                    <w:jc w:val="both"/>
                    <w:rPr>
                      <w:color w:val="auto"/>
                      <w:sz w:val="21"/>
                      <w:szCs w:val="21"/>
                      <w:highlight w:val="none"/>
                    </w:rPr>
                  </w:pPr>
                  <w:r>
                    <w:rPr>
                      <w:color w:val="auto"/>
                      <w:sz w:val="21"/>
                      <w:szCs w:val="21"/>
                      <w:highlight w:val="none"/>
                    </w:rPr>
                    <w:t>（五）洗涤污物、清洗机动车辆和船舶；</w:t>
                  </w:r>
                </w:p>
                <w:p w14:paraId="253BD791">
                  <w:pPr>
                    <w:pStyle w:val="47"/>
                    <w:jc w:val="both"/>
                    <w:rPr>
                      <w:color w:val="auto"/>
                      <w:sz w:val="21"/>
                      <w:szCs w:val="21"/>
                      <w:highlight w:val="none"/>
                    </w:rPr>
                  </w:pPr>
                  <w:r>
                    <w:rPr>
                      <w:color w:val="auto"/>
                      <w:sz w:val="21"/>
                      <w:szCs w:val="21"/>
                      <w:highlight w:val="none"/>
                    </w:rPr>
                    <w:t>（六）其他破坏湿地公园生态资源和人文历史风貌资源的行为。</w:t>
                  </w:r>
                </w:p>
                <w:p w14:paraId="69E9CE20">
                  <w:pPr>
                    <w:pStyle w:val="47"/>
                    <w:jc w:val="both"/>
                    <w:rPr>
                      <w:color w:val="auto"/>
                      <w:sz w:val="21"/>
                      <w:szCs w:val="21"/>
                      <w:highlight w:val="none"/>
                    </w:rPr>
                  </w:pPr>
                  <w:r>
                    <w:rPr>
                      <w:color w:val="auto"/>
                      <w:sz w:val="21"/>
                      <w:szCs w:val="21"/>
                      <w:highlight w:val="none"/>
                    </w:rPr>
                    <w:t>湿地公园二级保护区内禁止以下行为：</w:t>
                  </w:r>
                </w:p>
                <w:p w14:paraId="3230A3F5">
                  <w:pPr>
                    <w:pStyle w:val="47"/>
                    <w:jc w:val="both"/>
                    <w:rPr>
                      <w:color w:val="auto"/>
                      <w:sz w:val="21"/>
                      <w:szCs w:val="21"/>
                      <w:highlight w:val="none"/>
                    </w:rPr>
                  </w:pPr>
                  <w:r>
                    <w:rPr>
                      <w:color w:val="auto"/>
                      <w:sz w:val="21"/>
                      <w:szCs w:val="21"/>
                      <w:highlight w:val="none"/>
                    </w:rPr>
                    <w:t>（一）新建、扩建工业类项目、规模化禽畜养殖和其它污染较重的建设项目；</w:t>
                  </w:r>
                </w:p>
                <w:p w14:paraId="6363E570">
                  <w:pPr>
                    <w:pStyle w:val="47"/>
                    <w:jc w:val="both"/>
                    <w:rPr>
                      <w:color w:val="auto"/>
                      <w:sz w:val="21"/>
                      <w:szCs w:val="21"/>
                      <w:highlight w:val="none"/>
                    </w:rPr>
                  </w:pPr>
                  <w:r>
                    <w:rPr>
                      <w:color w:val="auto"/>
                      <w:sz w:val="21"/>
                      <w:szCs w:val="21"/>
                      <w:highlight w:val="none"/>
                    </w:rPr>
                    <w:t>（二）设置生活垃圾、医疗垃圾、工业危险废物等集中转运、堆放、填埋和焚烧设施；</w:t>
                  </w:r>
                </w:p>
                <w:p w14:paraId="01E89916">
                  <w:pPr>
                    <w:pStyle w:val="47"/>
                    <w:jc w:val="both"/>
                    <w:rPr>
                      <w:color w:val="auto"/>
                      <w:sz w:val="21"/>
                      <w:szCs w:val="21"/>
                      <w:highlight w:val="none"/>
                    </w:rPr>
                  </w:pPr>
                  <w:r>
                    <w:rPr>
                      <w:color w:val="auto"/>
                      <w:sz w:val="21"/>
                      <w:szCs w:val="21"/>
                      <w:highlight w:val="none"/>
                    </w:rPr>
                    <w:t>（三）设置危险品转运和贮存设施、新建加油站及油库；</w:t>
                  </w:r>
                </w:p>
                <w:p w14:paraId="23AD329C">
                  <w:pPr>
                    <w:pStyle w:val="47"/>
                    <w:jc w:val="both"/>
                    <w:rPr>
                      <w:color w:val="auto"/>
                      <w:sz w:val="21"/>
                      <w:szCs w:val="21"/>
                      <w:highlight w:val="none"/>
                    </w:rPr>
                  </w:pPr>
                  <w:r>
                    <w:rPr>
                      <w:color w:val="auto"/>
                      <w:sz w:val="21"/>
                      <w:szCs w:val="21"/>
                      <w:highlight w:val="none"/>
                    </w:rPr>
                    <w:t>（四）使用不符合国家环保标准的高毒高残留农药；</w:t>
                  </w:r>
                </w:p>
                <w:p w14:paraId="7B284CBD">
                  <w:pPr>
                    <w:pStyle w:val="47"/>
                    <w:ind w:firstLine="0" w:firstLineChars="0"/>
                    <w:jc w:val="both"/>
                    <w:rPr>
                      <w:rFonts w:hint="eastAsia"/>
                      <w:color w:val="auto"/>
                      <w:sz w:val="21"/>
                      <w:szCs w:val="21"/>
                      <w:highlight w:val="none"/>
                      <w:lang w:val="en-US" w:eastAsia="zh-CN"/>
                    </w:rPr>
                  </w:pPr>
                  <w:r>
                    <w:rPr>
                      <w:color w:val="auto"/>
                      <w:sz w:val="21"/>
                      <w:szCs w:val="21"/>
                      <w:highlight w:val="none"/>
                    </w:rPr>
                    <w:t>（五）建立公共墓地和掩埋动物尸体。</w:t>
                  </w:r>
                </w:p>
              </w:tc>
              <w:tc>
                <w:tcPr>
                  <w:tcW w:w="1211" w:type="pct"/>
                  <w:noWrap w:val="0"/>
                  <w:tcMar>
                    <w:top w:w="0" w:type="dxa"/>
                    <w:left w:w="51" w:type="dxa"/>
                    <w:bottom w:w="0" w:type="dxa"/>
                    <w:right w:w="51" w:type="dxa"/>
                  </w:tcMar>
                  <w:vAlign w:val="center"/>
                </w:tcPr>
                <w:p w14:paraId="4400B2D8">
                  <w:pPr>
                    <w:pStyle w:val="46"/>
                    <w:bidi w:val="0"/>
                    <w:jc w:val="both"/>
                    <w:rPr>
                      <w:rFonts w:hint="eastAsia"/>
                      <w:color w:val="auto"/>
                      <w:sz w:val="21"/>
                      <w:szCs w:val="21"/>
                      <w:highlight w:val="none"/>
                      <w:lang w:val="en-US" w:eastAsia="zh-CN"/>
                    </w:rPr>
                  </w:pPr>
                  <w:r>
                    <w:rPr>
                      <w:rFonts w:hint="eastAsia"/>
                      <w:color w:val="auto"/>
                      <w:sz w:val="21"/>
                      <w:szCs w:val="21"/>
                      <w:highlight w:val="none"/>
                      <w:lang w:val="en-US" w:eastAsia="zh-CN"/>
                    </w:rPr>
                    <w:t>12.</w:t>
                  </w:r>
                  <w:r>
                    <w:rPr>
                      <w:rFonts w:hint="eastAsia"/>
                      <w:color w:val="auto"/>
                      <w:sz w:val="21"/>
                      <w:szCs w:val="21"/>
                      <w:highlight w:val="none"/>
                    </w:rPr>
                    <w:t>本项目不</w:t>
                  </w:r>
                  <w:r>
                    <w:rPr>
                      <w:color w:val="auto"/>
                      <w:sz w:val="21"/>
                      <w:szCs w:val="21"/>
                      <w:highlight w:val="none"/>
                    </w:rPr>
                    <w:t>在漳河峡谷国家湿地公园核心区、一级保护区范围内。</w:t>
                  </w:r>
                </w:p>
              </w:tc>
              <w:tc>
                <w:tcPr>
                  <w:tcW w:w="381" w:type="pct"/>
                  <w:noWrap w:val="0"/>
                  <w:tcMar>
                    <w:top w:w="0" w:type="dxa"/>
                    <w:left w:w="51" w:type="dxa"/>
                    <w:bottom w:w="0" w:type="dxa"/>
                    <w:right w:w="51" w:type="dxa"/>
                  </w:tcMar>
                  <w:vAlign w:val="center"/>
                </w:tcPr>
                <w:p w14:paraId="39017A3C">
                  <w:pPr>
                    <w:pStyle w:val="46"/>
                    <w:bidi w:val="0"/>
                    <w:rPr>
                      <w:rFonts w:hint="eastAsia"/>
                      <w:color w:val="auto"/>
                      <w:sz w:val="21"/>
                      <w:szCs w:val="21"/>
                      <w:highlight w:val="none"/>
                      <w:lang w:eastAsia="zh-CN"/>
                    </w:rPr>
                  </w:pPr>
                  <w:r>
                    <w:rPr>
                      <w:rFonts w:hint="eastAsia"/>
                      <w:color w:val="auto"/>
                      <w:sz w:val="21"/>
                      <w:szCs w:val="21"/>
                      <w:highlight w:val="none"/>
                      <w:lang w:eastAsia="zh-CN"/>
                    </w:rPr>
                    <w:t>不涉及</w:t>
                  </w:r>
                </w:p>
              </w:tc>
            </w:tr>
            <w:tr w14:paraId="52D279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395" w:type="pct"/>
                  <w:vMerge w:val="continue"/>
                  <w:noWrap w:val="0"/>
                  <w:tcMar>
                    <w:top w:w="0" w:type="dxa"/>
                    <w:left w:w="51" w:type="dxa"/>
                    <w:bottom w:w="0" w:type="dxa"/>
                    <w:right w:w="51" w:type="dxa"/>
                  </w:tcMar>
                  <w:vAlign w:val="center"/>
                </w:tcPr>
                <w:p w14:paraId="2D860EB5">
                  <w:pPr>
                    <w:pStyle w:val="46"/>
                    <w:bidi w:val="0"/>
                    <w:rPr>
                      <w:rFonts w:hint="default"/>
                      <w:color w:val="auto"/>
                      <w:sz w:val="21"/>
                      <w:szCs w:val="21"/>
                      <w:highlight w:val="none"/>
                    </w:rPr>
                  </w:pPr>
                </w:p>
              </w:tc>
              <w:tc>
                <w:tcPr>
                  <w:tcW w:w="3011" w:type="pct"/>
                  <w:noWrap w:val="0"/>
                  <w:tcMar>
                    <w:top w:w="0" w:type="dxa"/>
                    <w:left w:w="51" w:type="dxa"/>
                    <w:bottom w:w="0" w:type="dxa"/>
                    <w:right w:w="51" w:type="dxa"/>
                  </w:tcMar>
                  <w:vAlign w:val="center"/>
                </w:tcPr>
                <w:p w14:paraId="1E420C07">
                  <w:pPr>
                    <w:pStyle w:val="47"/>
                    <w:ind w:firstLine="0" w:firstLineChars="0"/>
                    <w:jc w:val="both"/>
                    <w:rPr>
                      <w:rFonts w:hint="eastAsia"/>
                      <w:color w:val="auto"/>
                      <w:sz w:val="21"/>
                      <w:szCs w:val="21"/>
                      <w:highlight w:val="none"/>
                      <w:lang w:val="en-US" w:eastAsia="zh-CN"/>
                    </w:rPr>
                  </w:pPr>
                  <w:r>
                    <w:rPr>
                      <w:color w:val="auto"/>
                      <w:sz w:val="21"/>
                      <w:szCs w:val="21"/>
                      <w:highlight w:val="none"/>
                    </w:rPr>
                    <w:t>1</w:t>
                  </w:r>
                  <w:r>
                    <w:rPr>
                      <w:rFonts w:hint="eastAsia"/>
                      <w:color w:val="auto"/>
                      <w:sz w:val="21"/>
                      <w:szCs w:val="21"/>
                      <w:highlight w:val="none"/>
                    </w:rPr>
                    <w:t>3</w:t>
                  </w:r>
                  <w:r>
                    <w:rPr>
                      <w:rFonts w:hint="eastAsia"/>
                      <w:color w:val="auto"/>
                      <w:sz w:val="21"/>
                      <w:szCs w:val="21"/>
                      <w:highlight w:val="none"/>
                      <w:lang w:val="en-US" w:eastAsia="zh-CN"/>
                    </w:rPr>
                    <w:t>.</w:t>
                  </w:r>
                  <w:r>
                    <w:rPr>
                      <w:color w:val="auto"/>
                      <w:sz w:val="21"/>
                      <w:szCs w:val="21"/>
                      <w:highlight w:val="none"/>
                    </w:rPr>
                    <w:t>禁燃区内，禁止销售和燃用国家规定的高污染燃料；禁止新建、扩建燃用高污染燃料的设施，已建成的，应当在市、县（市）人民政府规定的期限内改用天然气、液化石油气、电等清洁能源。</w:t>
                  </w:r>
                </w:p>
              </w:tc>
              <w:tc>
                <w:tcPr>
                  <w:tcW w:w="1211" w:type="pct"/>
                  <w:noWrap w:val="0"/>
                  <w:tcMar>
                    <w:top w:w="0" w:type="dxa"/>
                    <w:left w:w="51" w:type="dxa"/>
                    <w:bottom w:w="0" w:type="dxa"/>
                    <w:right w:w="51" w:type="dxa"/>
                  </w:tcMar>
                  <w:vAlign w:val="center"/>
                </w:tcPr>
                <w:p w14:paraId="6CDEBC4E">
                  <w:pPr>
                    <w:pStyle w:val="46"/>
                    <w:bidi w:val="0"/>
                    <w:jc w:val="both"/>
                    <w:rPr>
                      <w:rFonts w:hint="eastAsia"/>
                      <w:color w:val="auto"/>
                      <w:sz w:val="21"/>
                      <w:szCs w:val="21"/>
                      <w:highlight w:val="none"/>
                      <w:lang w:val="en-US" w:eastAsia="zh-CN"/>
                    </w:rPr>
                  </w:pPr>
                  <w:r>
                    <w:rPr>
                      <w:rFonts w:hint="eastAsia"/>
                      <w:color w:val="auto"/>
                      <w:sz w:val="21"/>
                      <w:szCs w:val="21"/>
                      <w:highlight w:val="none"/>
                      <w:lang w:val="en-US" w:eastAsia="zh-CN"/>
                    </w:rPr>
                    <w:t>13.</w:t>
                  </w:r>
                  <w:r>
                    <w:rPr>
                      <w:rFonts w:hint="eastAsia"/>
                      <w:color w:val="auto"/>
                      <w:sz w:val="21"/>
                      <w:szCs w:val="21"/>
                      <w:highlight w:val="none"/>
                    </w:rPr>
                    <w:t>本项目</w:t>
                  </w:r>
                  <w:r>
                    <w:rPr>
                      <w:color w:val="auto"/>
                      <w:sz w:val="21"/>
                      <w:szCs w:val="21"/>
                      <w:highlight w:val="none"/>
                    </w:rPr>
                    <w:t>不涉及高污染燃料使用。</w:t>
                  </w:r>
                </w:p>
              </w:tc>
              <w:tc>
                <w:tcPr>
                  <w:tcW w:w="381" w:type="pct"/>
                  <w:noWrap w:val="0"/>
                  <w:tcMar>
                    <w:top w:w="0" w:type="dxa"/>
                    <w:left w:w="51" w:type="dxa"/>
                    <w:bottom w:w="0" w:type="dxa"/>
                    <w:right w:w="51" w:type="dxa"/>
                  </w:tcMar>
                  <w:vAlign w:val="center"/>
                </w:tcPr>
                <w:p w14:paraId="4847B617">
                  <w:pPr>
                    <w:pStyle w:val="46"/>
                    <w:bidi w:val="0"/>
                    <w:rPr>
                      <w:rFonts w:hint="eastAsia"/>
                      <w:color w:val="auto"/>
                      <w:sz w:val="21"/>
                      <w:szCs w:val="21"/>
                      <w:highlight w:val="none"/>
                      <w:lang w:eastAsia="zh-CN"/>
                    </w:rPr>
                  </w:pPr>
                  <w:r>
                    <w:rPr>
                      <w:rFonts w:hint="eastAsia"/>
                      <w:color w:val="auto"/>
                      <w:sz w:val="21"/>
                      <w:szCs w:val="21"/>
                      <w:highlight w:val="none"/>
                      <w:lang w:eastAsia="zh-CN"/>
                    </w:rPr>
                    <w:t>不涉及</w:t>
                  </w:r>
                </w:p>
              </w:tc>
            </w:tr>
            <w:tr w14:paraId="096DD1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395" w:type="pct"/>
                  <w:vMerge w:val="continue"/>
                  <w:noWrap w:val="0"/>
                  <w:tcMar>
                    <w:top w:w="0" w:type="dxa"/>
                    <w:left w:w="51" w:type="dxa"/>
                    <w:bottom w:w="0" w:type="dxa"/>
                    <w:right w:w="51" w:type="dxa"/>
                  </w:tcMar>
                  <w:vAlign w:val="center"/>
                </w:tcPr>
                <w:p w14:paraId="579B4F08">
                  <w:pPr>
                    <w:pStyle w:val="46"/>
                    <w:bidi w:val="0"/>
                    <w:rPr>
                      <w:rFonts w:hint="default"/>
                      <w:color w:val="auto"/>
                      <w:sz w:val="21"/>
                      <w:szCs w:val="21"/>
                      <w:highlight w:val="none"/>
                    </w:rPr>
                  </w:pPr>
                </w:p>
              </w:tc>
              <w:tc>
                <w:tcPr>
                  <w:tcW w:w="3011" w:type="pct"/>
                  <w:noWrap w:val="0"/>
                  <w:tcMar>
                    <w:top w:w="0" w:type="dxa"/>
                    <w:left w:w="51" w:type="dxa"/>
                    <w:bottom w:w="0" w:type="dxa"/>
                    <w:right w:w="51" w:type="dxa"/>
                  </w:tcMar>
                  <w:vAlign w:val="center"/>
                </w:tcPr>
                <w:p w14:paraId="30E36726">
                  <w:pPr>
                    <w:pStyle w:val="47"/>
                    <w:ind w:firstLine="0" w:firstLineChars="0"/>
                    <w:jc w:val="both"/>
                    <w:rPr>
                      <w:rFonts w:hint="eastAsia"/>
                      <w:color w:val="auto"/>
                      <w:sz w:val="21"/>
                      <w:szCs w:val="21"/>
                      <w:highlight w:val="none"/>
                      <w:lang w:val="en-US" w:eastAsia="zh-CN"/>
                    </w:rPr>
                  </w:pPr>
                  <w:r>
                    <w:rPr>
                      <w:color w:val="auto"/>
                      <w:sz w:val="21"/>
                      <w:szCs w:val="21"/>
                      <w:highlight w:val="none"/>
                    </w:rPr>
                    <w:t>1</w:t>
                  </w:r>
                  <w:r>
                    <w:rPr>
                      <w:rFonts w:hint="eastAsia"/>
                      <w:color w:val="auto"/>
                      <w:sz w:val="21"/>
                      <w:szCs w:val="21"/>
                      <w:highlight w:val="none"/>
                    </w:rPr>
                    <w:t>4</w:t>
                  </w:r>
                  <w:r>
                    <w:rPr>
                      <w:rFonts w:hint="eastAsia"/>
                      <w:color w:val="auto"/>
                      <w:sz w:val="21"/>
                      <w:szCs w:val="21"/>
                      <w:highlight w:val="none"/>
                      <w:lang w:val="en-US" w:eastAsia="zh-CN"/>
                    </w:rPr>
                    <w:t>.</w:t>
                  </w:r>
                  <w:r>
                    <w:rPr>
                      <w:color w:val="auto"/>
                      <w:sz w:val="21"/>
                      <w:szCs w:val="21"/>
                      <w:highlight w:val="none"/>
                    </w:rPr>
                    <w:t>在高污染燃料禁燃区内，禁止新建燃烧煤炭、重油、渣油以及直接燃用生物质的锅炉，其他地区禁止新建每小时三十五蒸吨以下的燃烧煤炭、重油、渣油以及直接燃用生物质的锅炉。现有燃煤锅炉改为燃气锅炉的，应当同步实现低氮改造，氮氧化物排放应当达到本市控制要求。</w:t>
                  </w:r>
                </w:p>
              </w:tc>
              <w:tc>
                <w:tcPr>
                  <w:tcW w:w="1211" w:type="pct"/>
                  <w:noWrap w:val="0"/>
                  <w:tcMar>
                    <w:top w:w="0" w:type="dxa"/>
                    <w:left w:w="51" w:type="dxa"/>
                    <w:bottom w:w="0" w:type="dxa"/>
                    <w:right w:w="51" w:type="dxa"/>
                  </w:tcMar>
                  <w:vAlign w:val="center"/>
                </w:tcPr>
                <w:p w14:paraId="78CE604A">
                  <w:pPr>
                    <w:pStyle w:val="46"/>
                    <w:bidi w:val="0"/>
                    <w:jc w:val="both"/>
                    <w:rPr>
                      <w:rFonts w:hint="eastAsia"/>
                      <w:color w:val="auto"/>
                      <w:sz w:val="21"/>
                      <w:szCs w:val="21"/>
                      <w:highlight w:val="none"/>
                      <w:lang w:val="en-US" w:eastAsia="zh-CN"/>
                    </w:rPr>
                  </w:pPr>
                  <w:r>
                    <w:rPr>
                      <w:rFonts w:hint="eastAsia"/>
                      <w:color w:val="auto"/>
                      <w:sz w:val="21"/>
                      <w:szCs w:val="21"/>
                      <w:highlight w:val="none"/>
                      <w:lang w:val="en-US" w:eastAsia="zh-CN"/>
                    </w:rPr>
                    <w:t>14.</w:t>
                  </w:r>
                  <w:r>
                    <w:rPr>
                      <w:rFonts w:hint="eastAsia"/>
                      <w:color w:val="auto"/>
                      <w:sz w:val="21"/>
                      <w:szCs w:val="21"/>
                      <w:highlight w:val="none"/>
                    </w:rPr>
                    <w:t>本项目</w:t>
                  </w:r>
                  <w:r>
                    <w:rPr>
                      <w:color w:val="auto"/>
                      <w:sz w:val="21"/>
                      <w:szCs w:val="21"/>
                      <w:highlight w:val="none"/>
                    </w:rPr>
                    <w:t>不涉及高污染燃料使用。</w:t>
                  </w:r>
                </w:p>
              </w:tc>
              <w:tc>
                <w:tcPr>
                  <w:tcW w:w="381" w:type="pct"/>
                  <w:noWrap w:val="0"/>
                  <w:tcMar>
                    <w:top w:w="0" w:type="dxa"/>
                    <w:left w:w="51" w:type="dxa"/>
                    <w:bottom w:w="0" w:type="dxa"/>
                    <w:right w:w="51" w:type="dxa"/>
                  </w:tcMar>
                  <w:vAlign w:val="center"/>
                </w:tcPr>
                <w:p w14:paraId="33BAC75F">
                  <w:pPr>
                    <w:pStyle w:val="46"/>
                    <w:bidi w:val="0"/>
                    <w:rPr>
                      <w:rFonts w:hint="eastAsia"/>
                      <w:color w:val="auto"/>
                      <w:sz w:val="21"/>
                      <w:szCs w:val="21"/>
                      <w:highlight w:val="none"/>
                      <w:lang w:eastAsia="zh-CN"/>
                    </w:rPr>
                  </w:pPr>
                  <w:r>
                    <w:rPr>
                      <w:rFonts w:hint="eastAsia"/>
                      <w:color w:val="auto"/>
                      <w:sz w:val="21"/>
                      <w:szCs w:val="21"/>
                      <w:highlight w:val="none"/>
                      <w:lang w:eastAsia="zh-CN"/>
                    </w:rPr>
                    <w:t>不涉及</w:t>
                  </w:r>
                </w:p>
              </w:tc>
            </w:tr>
            <w:tr w14:paraId="05EB18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0" w:hRule="atLeast"/>
                <w:jc w:val="center"/>
              </w:trPr>
              <w:tc>
                <w:tcPr>
                  <w:tcW w:w="395" w:type="pct"/>
                  <w:vMerge w:val="continue"/>
                  <w:noWrap w:val="0"/>
                  <w:tcMar>
                    <w:top w:w="0" w:type="dxa"/>
                    <w:left w:w="51" w:type="dxa"/>
                    <w:bottom w:w="0" w:type="dxa"/>
                    <w:right w:w="51" w:type="dxa"/>
                  </w:tcMar>
                  <w:vAlign w:val="center"/>
                </w:tcPr>
                <w:p w14:paraId="73B309A8">
                  <w:pPr>
                    <w:pStyle w:val="46"/>
                    <w:bidi w:val="0"/>
                    <w:rPr>
                      <w:rFonts w:hint="default"/>
                      <w:color w:val="auto"/>
                      <w:sz w:val="21"/>
                      <w:szCs w:val="21"/>
                      <w:highlight w:val="none"/>
                    </w:rPr>
                  </w:pPr>
                </w:p>
              </w:tc>
              <w:tc>
                <w:tcPr>
                  <w:tcW w:w="3011" w:type="pct"/>
                  <w:noWrap w:val="0"/>
                  <w:tcMar>
                    <w:top w:w="0" w:type="dxa"/>
                    <w:left w:w="51" w:type="dxa"/>
                    <w:bottom w:w="0" w:type="dxa"/>
                    <w:right w:w="51" w:type="dxa"/>
                  </w:tcMar>
                  <w:vAlign w:val="center"/>
                </w:tcPr>
                <w:p w14:paraId="1B159300">
                  <w:pPr>
                    <w:pStyle w:val="47"/>
                    <w:ind w:firstLine="0" w:firstLineChars="0"/>
                    <w:jc w:val="both"/>
                    <w:rPr>
                      <w:rFonts w:hint="eastAsia"/>
                      <w:color w:val="auto"/>
                      <w:sz w:val="21"/>
                      <w:szCs w:val="21"/>
                      <w:highlight w:val="none"/>
                      <w:lang w:val="en-US" w:eastAsia="zh-CN"/>
                    </w:rPr>
                  </w:pPr>
                  <w:r>
                    <w:rPr>
                      <w:color w:val="auto"/>
                      <w:sz w:val="21"/>
                      <w:szCs w:val="21"/>
                      <w:highlight w:val="none"/>
                    </w:rPr>
                    <w:t>1</w:t>
                  </w:r>
                  <w:r>
                    <w:rPr>
                      <w:rFonts w:hint="eastAsia"/>
                      <w:color w:val="auto"/>
                      <w:sz w:val="21"/>
                      <w:szCs w:val="21"/>
                      <w:highlight w:val="none"/>
                    </w:rPr>
                    <w:t>5</w:t>
                  </w:r>
                  <w:r>
                    <w:rPr>
                      <w:rFonts w:hint="eastAsia"/>
                      <w:color w:val="auto"/>
                      <w:sz w:val="21"/>
                      <w:szCs w:val="21"/>
                      <w:highlight w:val="none"/>
                      <w:lang w:val="en-US" w:eastAsia="zh-CN"/>
                    </w:rPr>
                    <w:t>.</w:t>
                  </w:r>
                  <w:r>
                    <w:rPr>
                      <w:color w:val="auto"/>
                      <w:sz w:val="21"/>
                      <w:szCs w:val="21"/>
                      <w:highlight w:val="none"/>
                    </w:rPr>
                    <w:t>禁止露天焚烧秸秆、落叶、树枝、枯草等产生烟尘污染的物质，以及非法焚烧电子废弃物、油毡、橡胶、塑料、皮革、沥青、垃圾及其他产生有毒有害烟尘、恶臭或者强烈异味气体的物质。禁止在城市建成区的道路及其两侧、广场、住宅小区等公共场所焚烧祭祀用品。任何单位和个人不得在人民政府禁止的区域内露天烧烤食品或者为露天烧烤食品提供场地。</w:t>
                  </w:r>
                </w:p>
              </w:tc>
              <w:tc>
                <w:tcPr>
                  <w:tcW w:w="1211" w:type="pct"/>
                  <w:noWrap w:val="0"/>
                  <w:tcMar>
                    <w:top w:w="0" w:type="dxa"/>
                    <w:left w:w="51" w:type="dxa"/>
                    <w:bottom w:w="0" w:type="dxa"/>
                    <w:right w:w="51" w:type="dxa"/>
                  </w:tcMar>
                  <w:vAlign w:val="center"/>
                </w:tcPr>
                <w:p w14:paraId="2A942284">
                  <w:pPr>
                    <w:pStyle w:val="46"/>
                    <w:bidi w:val="0"/>
                    <w:jc w:val="both"/>
                    <w:rPr>
                      <w:rFonts w:hint="eastAsia"/>
                      <w:color w:val="auto"/>
                      <w:sz w:val="21"/>
                      <w:szCs w:val="21"/>
                      <w:highlight w:val="none"/>
                      <w:lang w:val="en-US" w:eastAsia="zh-CN"/>
                    </w:rPr>
                  </w:pPr>
                  <w:r>
                    <w:rPr>
                      <w:rFonts w:hint="eastAsia"/>
                      <w:color w:val="auto"/>
                      <w:sz w:val="21"/>
                      <w:szCs w:val="21"/>
                      <w:highlight w:val="none"/>
                      <w:lang w:val="en-US" w:eastAsia="zh-CN"/>
                    </w:rPr>
                    <w:t>15.</w:t>
                  </w:r>
                  <w:r>
                    <w:rPr>
                      <w:rFonts w:hint="eastAsia"/>
                      <w:color w:val="auto"/>
                      <w:sz w:val="21"/>
                      <w:szCs w:val="21"/>
                      <w:highlight w:val="none"/>
                    </w:rPr>
                    <w:t>本项目不涉及</w:t>
                  </w:r>
                  <w:r>
                    <w:rPr>
                      <w:color w:val="auto"/>
                      <w:sz w:val="21"/>
                      <w:szCs w:val="21"/>
                      <w:highlight w:val="none"/>
                    </w:rPr>
                    <w:t>。</w:t>
                  </w:r>
                </w:p>
              </w:tc>
              <w:tc>
                <w:tcPr>
                  <w:tcW w:w="381" w:type="pct"/>
                  <w:noWrap w:val="0"/>
                  <w:tcMar>
                    <w:top w:w="0" w:type="dxa"/>
                    <w:left w:w="51" w:type="dxa"/>
                    <w:bottom w:w="0" w:type="dxa"/>
                    <w:right w:w="51" w:type="dxa"/>
                  </w:tcMar>
                  <w:vAlign w:val="center"/>
                </w:tcPr>
                <w:p w14:paraId="50493E52">
                  <w:pPr>
                    <w:pStyle w:val="46"/>
                    <w:bidi w:val="0"/>
                    <w:rPr>
                      <w:rFonts w:hint="eastAsia"/>
                      <w:color w:val="auto"/>
                      <w:sz w:val="21"/>
                      <w:szCs w:val="21"/>
                      <w:highlight w:val="none"/>
                      <w:lang w:eastAsia="zh-CN"/>
                    </w:rPr>
                  </w:pPr>
                  <w:r>
                    <w:rPr>
                      <w:rFonts w:hint="eastAsia"/>
                      <w:color w:val="auto"/>
                      <w:sz w:val="21"/>
                      <w:szCs w:val="21"/>
                      <w:highlight w:val="none"/>
                      <w:lang w:eastAsia="zh-CN"/>
                    </w:rPr>
                    <w:t>不涉及</w:t>
                  </w:r>
                </w:p>
              </w:tc>
            </w:tr>
            <w:tr w14:paraId="3F9F42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1" w:hRule="atLeast"/>
                <w:jc w:val="center"/>
              </w:trPr>
              <w:tc>
                <w:tcPr>
                  <w:tcW w:w="395" w:type="pct"/>
                  <w:vMerge w:val="continue"/>
                  <w:noWrap w:val="0"/>
                  <w:tcMar>
                    <w:top w:w="0" w:type="dxa"/>
                    <w:left w:w="51" w:type="dxa"/>
                    <w:bottom w:w="0" w:type="dxa"/>
                    <w:right w:w="51" w:type="dxa"/>
                  </w:tcMar>
                  <w:vAlign w:val="center"/>
                </w:tcPr>
                <w:p w14:paraId="31FA7C99">
                  <w:pPr>
                    <w:pStyle w:val="46"/>
                    <w:bidi w:val="0"/>
                    <w:rPr>
                      <w:rFonts w:hint="default"/>
                      <w:color w:val="auto"/>
                      <w:sz w:val="21"/>
                      <w:szCs w:val="21"/>
                      <w:highlight w:val="none"/>
                    </w:rPr>
                  </w:pPr>
                </w:p>
              </w:tc>
              <w:tc>
                <w:tcPr>
                  <w:tcW w:w="3011" w:type="pct"/>
                  <w:noWrap w:val="0"/>
                  <w:tcMar>
                    <w:top w:w="0" w:type="dxa"/>
                    <w:left w:w="51" w:type="dxa"/>
                    <w:bottom w:w="0" w:type="dxa"/>
                    <w:right w:w="51" w:type="dxa"/>
                  </w:tcMar>
                  <w:vAlign w:val="center"/>
                </w:tcPr>
                <w:p w14:paraId="026A67A4">
                  <w:pPr>
                    <w:pStyle w:val="47"/>
                    <w:jc w:val="both"/>
                    <w:rPr>
                      <w:color w:val="auto"/>
                      <w:sz w:val="21"/>
                      <w:szCs w:val="21"/>
                      <w:highlight w:val="none"/>
                    </w:rPr>
                  </w:pPr>
                  <w:r>
                    <w:rPr>
                      <w:color w:val="auto"/>
                      <w:sz w:val="21"/>
                      <w:szCs w:val="21"/>
                      <w:highlight w:val="none"/>
                    </w:rPr>
                    <w:t>1</w:t>
                  </w:r>
                  <w:r>
                    <w:rPr>
                      <w:rFonts w:hint="eastAsia"/>
                      <w:color w:val="auto"/>
                      <w:sz w:val="21"/>
                      <w:szCs w:val="21"/>
                      <w:highlight w:val="none"/>
                    </w:rPr>
                    <w:t>6</w:t>
                  </w:r>
                  <w:r>
                    <w:rPr>
                      <w:rFonts w:hint="eastAsia"/>
                      <w:color w:val="auto"/>
                      <w:sz w:val="21"/>
                      <w:szCs w:val="21"/>
                      <w:highlight w:val="none"/>
                      <w:lang w:val="en-US" w:eastAsia="zh-CN"/>
                    </w:rPr>
                    <w:t>.</w:t>
                  </w:r>
                  <w:r>
                    <w:rPr>
                      <w:color w:val="auto"/>
                      <w:sz w:val="21"/>
                      <w:szCs w:val="21"/>
                      <w:highlight w:val="none"/>
                    </w:rPr>
                    <w:t>禁止在下列场所新建、改建、扩建排放油烟的餐饮服务项目：</w:t>
                  </w:r>
                </w:p>
                <w:p w14:paraId="7233AF3D">
                  <w:pPr>
                    <w:pStyle w:val="47"/>
                    <w:jc w:val="both"/>
                    <w:rPr>
                      <w:color w:val="auto"/>
                      <w:sz w:val="21"/>
                      <w:szCs w:val="21"/>
                      <w:highlight w:val="none"/>
                    </w:rPr>
                  </w:pPr>
                  <w:r>
                    <w:rPr>
                      <w:color w:val="auto"/>
                      <w:sz w:val="21"/>
                      <w:szCs w:val="21"/>
                      <w:highlight w:val="none"/>
                    </w:rPr>
                    <w:t>（一）居民住宅楼等非商用建筑；</w:t>
                  </w:r>
                </w:p>
                <w:p w14:paraId="6F9EC79E">
                  <w:pPr>
                    <w:pStyle w:val="47"/>
                    <w:jc w:val="both"/>
                    <w:rPr>
                      <w:color w:val="auto"/>
                      <w:sz w:val="21"/>
                      <w:szCs w:val="21"/>
                      <w:highlight w:val="none"/>
                    </w:rPr>
                  </w:pPr>
                  <w:r>
                    <w:rPr>
                      <w:color w:val="auto"/>
                      <w:sz w:val="21"/>
                      <w:szCs w:val="21"/>
                      <w:highlight w:val="none"/>
                    </w:rPr>
                    <w:t>（二）未设立配套规划专用烟道的商住综合楼；</w:t>
                  </w:r>
                </w:p>
                <w:p w14:paraId="51179DEE">
                  <w:pPr>
                    <w:pStyle w:val="47"/>
                    <w:ind w:firstLine="0" w:firstLineChars="0"/>
                    <w:jc w:val="both"/>
                    <w:rPr>
                      <w:rFonts w:hint="eastAsia"/>
                      <w:color w:val="auto"/>
                      <w:sz w:val="21"/>
                      <w:szCs w:val="21"/>
                      <w:highlight w:val="none"/>
                      <w:lang w:val="en-US" w:eastAsia="zh-CN"/>
                    </w:rPr>
                  </w:pPr>
                  <w:r>
                    <w:rPr>
                      <w:color w:val="auto"/>
                      <w:sz w:val="21"/>
                      <w:szCs w:val="21"/>
                      <w:highlight w:val="none"/>
                    </w:rPr>
                    <w:t>（三）商住综合楼内与居住层相邻的楼层。</w:t>
                  </w:r>
                </w:p>
              </w:tc>
              <w:tc>
                <w:tcPr>
                  <w:tcW w:w="1211" w:type="pct"/>
                  <w:noWrap w:val="0"/>
                  <w:tcMar>
                    <w:top w:w="0" w:type="dxa"/>
                    <w:left w:w="51" w:type="dxa"/>
                    <w:bottom w:w="0" w:type="dxa"/>
                    <w:right w:w="51" w:type="dxa"/>
                  </w:tcMar>
                  <w:vAlign w:val="center"/>
                </w:tcPr>
                <w:p w14:paraId="2C4346E7">
                  <w:pPr>
                    <w:pStyle w:val="46"/>
                    <w:bidi w:val="0"/>
                    <w:jc w:val="both"/>
                    <w:rPr>
                      <w:rFonts w:hint="eastAsia" w:eastAsia="宋体"/>
                      <w:color w:val="auto"/>
                      <w:sz w:val="21"/>
                      <w:szCs w:val="21"/>
                      <w:highlight w:val="none"/>
                      <w:lang w:val="en-US" w:eastAsia="zh-CN"/>
                    </w:rPr>
                  </w:pPr>
                  <w:r>
                    <w:rPr>
                      <w:rFonts w:hint="eastAsia"/>
                      <w:color w:val="auto"/>
                      <w:sz w:val="21"/>
                      <w:szCs w:val="21"/>
                      <w:highlight w:val="none"/>
                      <w:lang w:val="en-US" w:eastAsia="zh-CN"/>
                    </w:rPr>
                    <w:t>16.</w:t>
                  </w:r>
                  <w:r>
                    <w:rPr>
                      <w:rFonts w:hint="eastAsia"/>
                      <w:color w:val="auto"/>
                      <w:sz w:val="21"/>
                      <w:szCs w:val="21"/>
                      <w:highlight w:val="none"/>
                    </w:rPr>
                    <w:t>本项目</w:t>
                  </w:r>
                  <w:r>
                    <w:rPr>
                      <w:rFonts w:hint="eastAsia"/>
                      <w:color w:val="auto"/>
                      <w:sz w:val="21"/>
                      <w:szCs w:val="21"/>
                      <w:highlight w:val="none"/>
                      <w:lang w:eastAsia="zh-CN"/>
                    </w:rPr>
                    <w:t>不涉及。</w:t>
                  </w:r>
                </w:p>
              </w:tc>
              <w:tc>
                <w:tcPr>
                  <w:tcW w:w="381" w:type="pct"/>
                  <w:noWrap w:val="0"/>
                  <w:tcMar>
                    <w:top w:w="0" w:type="dxa"/>
                    <w:left w:w="51" w:type="dxa"/>
                    <w:bottom w:w="0" w:type="dxa"/>
                    <w:right w:w="51" w:type="dxa"/>
                  </w:tcMar>
                  <w:vAlign w:val="center"/>
                </w:tcPr>
                <w:p w14:paraId="1371C4A7">
                  <w:pPr>
                    <w:pStyle w:val="46"/>
                    <w:bidi w:val="0"/>
                    <w:rPr>
                      <w:rFonts w:hint="eastAsia"/>
                      <w:color w:val="auto"/>
                      <w:sz w:val="21"/>
                      <w:szCs w:val="21"/>
                      <w:highlight w:val="none"/>
                      <w:lang w:eastAsia="zh-CN"/>
                    </w:rPr>
                  </w:pPr>
                  <w:r>
                    <w:rPr>
                      <w:rFonts w:hint="eastAsia"/>
                      <w:color w:val="auto"/>
                      <w:sz w:val="21"/>
                      <w:szCs w:val="21"/>
                      <w:highlight w:val="none"/>
                      <w:lang w:eastAsia="zh-CN"/>
                    </w:rPr>
                    <w:t>不涉及</w:t>
                  </w:r>
                </w:p>
              </w:tc>
            </w:tr>
            <w:tr w14:paraId="1F5325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395" w:type="pct"/>
                  <w:vMerge w:val="continue"/>
                  <w:noWrap w:val="0"/>
                  <w:tcMar>
                    <w:top w:w="0" w:type="dxa"/>
                    <w:left w:w="51" w:type="dxa"/>
                    <w:bottom w:w="0" w:type="dxa"/>
                    <w:right w:w="51" w:type="dxa"/>
                  </w:tcMar>
                  <w:vAlign w:val="center"/>
                </w:tcPr>
                <w:p w14:paraId="6156C5AE">
                  <w:pPr>
                    <w:pStyle w:val="46"/>
                    <w:bidi w:val="0"/>
                    <w:rPr>
                      <w:rFonts w:hint="default"/>
                      <w:color w:val="auto"/>
                      <w:sz w:val="21"/>
                      <w:szCs w:val="21"/>
                      <w:highlight w:val="none"/>
                    </w:rPr>
                  </w:pPr>
                </w:p>
              </w:tc>
              <w:tc>
                <w:tcPr>
                  <w:tcW w:w="3011" w:type="pct"/>
                  <w:noWrap w:val="0"/>
                  <w:tcMar>
                    <w:top w:w="0" w:type="dxa"/>
                    <w:left w:w="51" w:type="dxa"/>
                    <w:bottom w:w="0" w:type="dxa"/>
                    <w:right w:w="51" w:type="dxa"/>
                  </w:tcMar>
                  <w:vAlign w:val="center"/>
                </w:tcPr>
                <w:p w14:paraId="4B326927">
                  <w:pPr>
                    <w:pStyle w:val="47"/>
                    <w:ind w:firstLine="0" w:firstLineChars="0"/>
                    <w:jc w:val="both"/>
                    <w:rPr>
                      <w:rFonts w:hint="eastAsia"/>
                      <w:color w:val="auto"/>
                      <w:sz w:val="21"/>
                      <w:szCs w:val="21"/>
                      <w:highlight w:val="none"/>
                      <w:lang w:val="en-US" w:eastAsia="zh-CN"/>
                    </w:rPr>
                  </w:pPr>
                  <w:r>
                    <w:rPr>
                      <w:rFonts w:hint="eastAsia"/>
                      <w:color w:val="auto"/>
                      <w:sz w:val="21"/>
                      <w:szCs w:val="21"/>
                      <w:highlight w:val="none"/>
                    </w:rPr>
                    <w:t>17</w:t>
                  </w:r>
                  <w:r>
                    <w:rPr>
                      <w:rFonts w:hint="eastAsia"/>
                      <w:color w:val="auto"/>
                      <w:sz w:val="21"/>
                      <w:szCs w:val="21"/>
                      <w:highlight w:val="none"/>
                      <w:lang w:val="en-US" w:eastAsia="zh-CN"/>
                    </w:rPr>
                    <w:t>.</w:t>
                  </w:r>
                  <w:r>
                    <w:rPr>
                      <w:color w:val="auto"/>
                      <w:sz w:val="21"/>
                      <w:szCs w:val="21"/>
                      <w:highlight w:val="none"/>
                    </w:rPr>
                    <w:t>列入建设用地土壤污染风险管控和修复名录的地块，不得作为住宅、公共管理与公共服务用地。未达到土壤污染风险评估报告确定的风险管控、修复目标的建设用地地块，禁止开工建设任何与风险管控、修复无关的项目。</w:t>
                  </w:r>
                </w:p>
              </w:tc>
              <w:tc>
                <w:tcPr>
                  <w:tcW w:w="1211" w:type="pct"/>
                  <w:noWrap w:val="0"/>
                  <w:tcMar>
                    <w:top w:w="0" w:type="dxa"/>
                    <w:left w:w="51" w:type="dxa"/>
                    <w:bottom w:w="0" w:type="dxa"/>
                    <w:right w:w="51" w:type="dxa"/>
                  </w:tcMar>
                  <w:vAlign w:val="center"/>
                </w:tcPr>
                <w:p w14:paraId="186C86A4">
                  <w:pPr>
                    <w:pStyle w:val="46"/>
                    <w:bidi w:val="0"/>
                    <w:jc w:val="both"/>
                    <w:rPr>
                      <w:rFonts w:hint="eastAsia" w:eastAsia="宋体"/>
                      <w:color w:val="auto"/>
                      <w:sz w:val="21"/>
                      <w:szCs w:val="21"/>
                      <w:highlight w:val="none"/>
                      <w:lang w:val="en-US" w:eastAsia="zh-CN"/>
                    </w:rPr>
                  </w:pPr>
                  <w:r>
                    <w:rPr>
                      <w:rFonts w:hint="eastAsia"/>
                      <w:color w:val="auto"/>
                      <w:sz w:val="21"/>
                      <w:szCs w:val="21"/>
                      <w:highlight w:val="none"/>
                      <w:lang w:val="en-US" w:eastAsia="zh-CN"/>
                    </w:rPr>
                    <w:t>17.</w:t>
                  </w:r>
                  <w:r>
                    <w:rPr>
                      <w:rFonts w:hint="eastAsia"/>
                      <w:color w:val="auto"/>
                      <w:sz w:val="21"/>
                      <w:szCs w:val="21"/>
                      <w:highlight w:val="none"/>
                    </w:rPr>
                    <w:t>本项目</w:t>
                  </w:r>
                  <w:r>
                    <w:rPr>
                      <w:rFonts w:hint="eastAsia"/>
                      <w:color w:val="auto"/>
                      <w:sz w:val="21"/>
                      <w:szCs w:val="21"/>
                      <w:highlight w:val="none"/>
                      <w:lang w:eastAsia="zh-CN"/>
                    </w:rPr>
                    <w:t>不涉及。</w:t>
                  </w:r>
                </w:p>
              </w:tc>
              <w:tc>
                <w:tcPr>
                  <w:tcW w:w="381" w:type="pct"/>
                  <w:noWrap w:val="0"/>
                  <w:tcMar>
                    <w:top w:w="0" w:type="dxa"/>
                    <w:left w:w="51" w:type="dxa"/>
                    <w:bottom w:w="0" w:type="dxa"/>
                    <w:right w:w="51" w:type="dxa"/>
                  </w:tcMar>
                  <w:vAlign w:val="center"/>
                </w:tcPr>
                <w:p w14:paraId="4E111DCF">
                  <w:pPr>
                    <w:pStyle w:val="46"/>
                    <w:bidi w:val="0"/>
                    <w:rPr>
                      <w:rFonts w:hint="eastAsia"/>
                      <w:color w:val="auto"/>
                      <w:sz w:val="21"/>
                      <w:szCs w:val="21"/>
                      <w:highlight w:val="none"/>
                      <w:lang w:eastAsia="zh-CN"/>
                    </w:rPr>
                  </w:pPr>
                  <w:r>
                    <w:rPr>
                      <w:rFonts w:hint="eastAsia"/>
                      <w:color w:val="auto"/>
                      <w:sz w:val="21"/>
                      <w:szCs w:val="21"/>
                      <w:highlight w:val="none"/>
                      <w:lang w:eastAsia="zh-CN"/>
                    </w:rPr>
                    <w:t>不涉及</w:t>
                  </w:r>
                </w:p>
              </w:tc>
            </w:tr>
            <w:tr w14:paraId="581B48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395" w:type="pct"/>
                  <w:vMerge w:val="restart"/>
                  <w:noWrap w:val="0"/>
                  <w:tcMar>
                    <w:top w:w="0" w:type="dxa"/>
                    <w:left w:w="51" w:type="dxa"/>
                    <w:bottom w:w="0" w:type="dxa"/>
                    <w:right w:w="51" w:type="dxa"/>
                  </w:tcMar>
                  <w:vAlign w:val="center"/>
                </w:tcPr>
                <w:p w14:paraId="225A95E5">
                  <w:pPr>
                    <w:pStyle w:val="46"/>
                    <w:bidi w:val="0"/>
                    <w:rPr>
                      <w:rFonts w:hint="eastAsia"/>
                      <w:color w:val="auto"/>
                      <w:sz w:val="21"/>
                      <w:szCs w:val="21"/>
                      <w:highlight w:val="none"/>
                      <w:lang w:val="en-US" w:eastAsia="zh-CN"/>
                    </w:rPr>
                  </w:pPr>
                  <w:r>
                    <w:rPr>
                      <w:rFonts w:hint="default"/>
                      <w:color w:val="auto"/>
                      <w:sz w:val="21"/>
                      <w:szCs w:val="21"/>
                      <w:highlight w:val="none"/>
                      <w:lang w:val="en-US" w:eastAsia="zh-CN"/>
                    </w:rPr>
                    <w:t>污染物排放管控</w:t>
                  </w:r>
                </w:p>
              </w:tc>
              <w:tc>
                <w:tcPr>
                  <w:tcW w:w="3011" w:type="pct"/>
                  <w:noWrap w:val="0"/>
                  <w:tcMar>
                    <w:top w:w="0" w:type="dxa"/>
                    <w:left w:w="51" w:type="dxa"/>
                    <w:bottom w:w="0" w:type="dxa"/>
                    <w:right w:w="51" w:type="dxa"/>
                  </w:tcMar>
                  <w:vAlign w:val="center"/>
                </w:tcPr>
                <w:p w14:paraId="1A696F87">
                  <w:pPr>
                    <w:pStyle w:val="47"/>
                    <w:ind w:firstLine="0" w:firstLineChars="0"/>
                    <w:jc w:val="both"/>
                    <w:rPr>
                      <w:rFonts w:hint="eastAsia"/>
                      <w:color w:val="auto"/>
                      <w:sz w:val="21"/>
                      <w:szCs w:val="21"/>
                      <w:highlight w:val="none"/>
                      <w:lang w:val="en-US" w:eastAsia="zh-CN"/>
                    </w:rPr>
                  </w:pPr>
                  <w:r>
                    <w:rPr>
                      <w:color w:val="auto"/>
                      <w:sz w:val="21"/>
                      <w:szCs w:val="21"/>
                      <w:highlight w:val="none"/>
                    </w:rPr>
                    <w:t>1</w:t>
                  </w:r>
                  <w:r>
                    <w:rPr>
                      <w:rFonts w:hint="eastAsia"/>
                      <w:color w:val="auto"/>
                      <w:sz w:val="21"/>
                      <w:szCs w:val="21"/>
                      <w:highlight w:val="none"/>
                      <w:lang w:val="en-US" w:eastAsia="zh-CN"/>
                    </w:rPr>
                    <w:t>.</w:t>
                  </w:r>
                  <w:r>
                    <w:rPr>
                      <w:color w:val="auto"/>
                      <w:sz w:val="21"/>
                      <w:szCs w:val="21"/>
                      <w:highlight w:val="none"/>
                    </w:rPr>
                    <w:t>新、改、扩建项目主要污染物排放要求满足当地总量减排要求。</w:t>
                  </w:r>
                </w:p>
              </w:tc>
              <w:tc>
                <w:tcPr>
                  <w:tcW w:w="1211" w:type="pct"/>
                  <w:noWrap w:val="0"/>
                  <w:tcMar>
                    <w:top w:w="0" w:type="dxa"/>
                    <w:left w:w="51" w:type="dxa"/>
                    <w:bottom w:w="0" w:type="dxa"/>
                    <w:right w:w="51" w:type="dxa"/>
                  </w:tcMar>
                  <w:vAlign w:val="center"/>
                </w:tcPr>
                <w:p w14:paraId="74F299B4">
                  <w:pPr>
                    <w:pStyle w:val="47"/>
                    <w:ind w:firstLine="0" w:firstLineChars="0"/>
                    <w:jc w:val="both"/>
                    <w:rPr>
                      <w:rFonts w:hint="eastAsia"/>
                      <w:color w:val="auto"/>
                      <w:sz w:val="21"/>
                      <w:szCs w:val="21"/>
                      <w:highlight w:val="none"/>
                      <w:lang w:val="en-US" w:eastAsia="zh-CN"/>
                    </w:rPr>
                  </w:pPr>
                  <w:r>
                    <w:rPr>
                      <w:rFonts w:hint="eastAsia"/>
                      <w:color w:val="auto"/>
                      <w:sz w:val="21"/>
                      <w:szCs w:val="21"/>
                      <w:highlight w:val="none"/>
                      <w:lang w:val="en-US" w:eastAsia="zh-CN"/>
                    </w:rPr>
                    <w:t>1.</w:t>
                  </w:r>
                  <w:r>
                    <w:rPr>
                      <w:rFonts w:hint="eastAsia"/>
                      <w:color w:val="auto"/>
                      <w:sz w:val="21"/>
                      <w:szCs w:val="21"/>
                      <w:highlight w:val="none"/>
                    </w:rPr>
                    <w:t>本项目建成后无污染物排放</w:t>
                  </w:r>
                  <w:r>
                    <w:rPr>
                      <w:rFonts w:hint="eastAsia"/>
                      <w:color w:val="auto"/>
                      <w:sz w:val="21"/>
                      <w:szCs w:val="21"/>
                      <w:highlight w:val="none"/>
                      <w:lang w:eastAsia="zh-CN"/>
                    </w:rPr>
                    <w:t>。</w:t>
                  </w:r>
                </w:p>
              </w:tc>
              <w:tc>
                <w:tcPr>
                  <w:tcW w:w="381" w:type="pct"/>
                  <w:noWrap w:val="0"/>
                  <w:tcMar>
                    <w:top w:w="0" w:type="dxa"/>
                    <w:left w:w="51" w:type="dxa"/>
                    <w:bottom w:w="0" w:type="dxa"/>
                    <w:right w:w="51" w:type="dxa"/>
                  </w:tcMar>
                  <w:vAlign w:val="center"/>
                </w:tcPr>
                <w:p w14:paraId="6E02E2E4">
                  <w:pPr>
                    <w:pStyle w:val="47"/>
                    <w:ind w:firstLine="0" w:firstLineChars="0"/>
                    <w:rPr>
                      <w:rFonts w:hint="eastAsia"/>
                      <w:color w:val="auto"/>
                      <w:sz w:val="21"/>
                      <w:szCs w:val="21"/>
                      <w:highlight w:val="none"/>
                      <w:lang w:val="en-US" w:eastAsia="zh-CN"/>
                    </w:rPr>
                  </w:pPr>
                  <w:r>
                    <w:rPr>
                      <w:color w:val="auto"/>
                      <w:sz w:val="21"/>
                      <w:szCs w:val="21"/>
                      <w:highlight w:val="none"/>
                    </w:rPr>
                    <w:t>相符</w:t>
                  </w:r>
                </w:p>
              </w:tc>
            </w:tr>
            <w:tr w14:paraId="6506A0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395" w:type="pct"/>
                  <w:vMerge w:val="continue"/>
                  <w:noWrap w:val="0"/>
                  <w:tcMar>
                    <w:top w:w="0" w:type="dxa"/>
                    <w:left w:w="51" w:type="dxa"/>
                    <w:bottom w:w="0" w:type="dxa"/>
                    <w:right w:w="51" w:type="dxa"/>
                  </w:tcMar>
                  <w:vAlign w:val="center"/>
                </w:tcPr>
                <w:p w14:paraId="6C2A26BC">
                  <w:pPr>
                    <w:pStyle w:val="46"/>
                    <w:bidi w:val="0"/>
                    <w:rPr>
                      <w:rFonts w:hint="default"/>
                      <w:color w:val="auto"/>
                      <w:sz w:val="21"/>
                      <w:szCs w:val="21"/>
                      <w:highlight w:val="none"/>
                      <w:lang w:val="en-US" w:eastAsia="zh-CN"/>
                    </w:rPr>
                  </w:pPr>
                </w:p>
              </w:tc>
              <w:tc>
                <w:tcPr>
                  <w:tcW w:w="3011" w:type="pct"/>
                  <w:noWrap w:val="0"/>
                  <w:tcMar>
                    <w:top w:w="0" w:type="dxa"/>
                    <w:left w:w="51" w:type="dxa"/>
                    <w:bottom w:w="0" w:type="dxa"/>
                    <w:right w:w="51" w:type="dxa"/>
                  </w:tcMar>
                  <w:vAlign w:val="center"/>
                </w:tcPr>
                <w:p w14:paraId="377BB0FD">
                  <w:pPr>
                    <w:pStyle w:val="47"/>
                    <w:ind w:firstLine="0" w:firstLineChars="0"/>
                    <w:jc w:val="both"/>
                    <w:rPr>
                      <w:rFonts w:hint="eastAsia"/>
                      <w:color w:val="auto"/>
                      <w:sz w:val="21"/>
                      <w:szCs w:val="21"/>
                      <w:highlight w:val="none"/>
                      <w:lang w:val="en-US" w:eastAsia="zh-CN"/>
                    </w:rPr>
                  </w:pPr>
                  <w:r>
                    <w:rPr>
                      <w:color w:val="auto"/>
                      <w:sz w:val="21"/>
                      <w:szCs w:val="21"/>
                      <w:highlight w:val="none"/>
                    </w:rPr>
                    <w:t>2</w:t>
                  </w:r>
                  <w:r>
                    <w:rPr>
                      <w:rFonts w:hint="eastAsia"/>
                      <w:color w:val="auto"/>
                      <w:sz w:val="21"/>
                      <w:szCs w:val="21"/>
                      <w:highlight w:val="none"/>
                      <w:lang w:val="en-US" w:eastAsia="zh-CN"/>
                    </w:rPr>
                    <w:t>.</w:t>
                  </w:r>
                  <w:r>
                    <w:rPr>
                      <w:rFonts w:hint="eastAsia"/>
                      <w:color w:val="auto"/>
                      <w:sz w:val="21"/>
                      <w:szCs w:val="21"/>
                      <w:highlight w:val="none"/>
                    </w:rPr>
                    <w:t>到2025年，PM2.5浓度总体下降27%以上，低于45微克/立方米；优良天数65%以上；重污染天数2.2%以下。完成国家、省定的“十四五</w:t>
                  </w:r>
                  <w:r>
                    <w:rPr>
                      <w:rFonts w:hint="eastAsia"/>
                      <w:color w:val="auto"/>
                      <w:sz w:val="21"/>
                      <w:szCs w:val="21"/>
                      <w:highlight w:val="none"/>
                      <w:lang w:eastAsia="zh-CN"/>
                    </w:rPr>
                    <w:t>”</w:t>
                  </w:r>
                  <w:r>
                    <w:rPr>
                      <w:rFonts w:hint="eastAsia"/>
                      <w:color w:val="auto"/>
                      <w:sz w:val="21"/>
                      <w:szCs w:val="21"/>
                      <w:highlight w:val="none"/>
                    </w:rPr>
                    <w:t>地表水环境质量和饮用水水质目标，南水北调中线一期工程总干渠安阳辖区取水水质稳定达到Ⅱ类。全市土壤环境质量总体保持稳定，土壤环境风险得到管控，土壤污染防治体系基本完善。土壤安全利用进一步巩固提升，受污染耕地安全利用率实现95%以上，重点建设用地安全利用有效保障</w:t>
                  </w:r>
                  <w:r>
                    <w:rPr>
                      <w:color w:val="auto"/>
                      <w:sz w:val="21"/>
                      <w:szCs w:val="21"/>
                      <w:highlight w:val="none"/>
                    </w:rPr>
                    <w:t>。</w:t>
                  </w:r>
                </w:p>
              </w:tc>
              <w:tc>
                <w:tcPr>
                  <w:tcW w:w="1211" w:type="pct"/>
                  <w:noWrap w:val="0"/>
                  <w:tcMar>
                    <w:top w:w="0" w:type="dxa"/>
                    <w:left w:w="51" w:type="dxa"/>
                    <w:bottom w:w="0" w:type="dxa"/>
                    <w:right w:w="51" w:type="dxa"/>
                  </w:tcMar>
                  <w:vAlign w:val="center"/>
                </w:tcPr>
                <w:p w14:paraId="16C179F7">
                  <w:pPr>
                    <w:pStyle w:val="47"/>
                    <w:ind w:firstLine="0" w:firstLineChars="0"/>
                    <w:jc w:val="both"/>
                    <w:rPr>
                      <w:rFonts w:hint="eastAsia"/>
                      <w:color w:val="auto"/>
                      <w:sz w:val="21"/>
                      <w:szCs w:val="21"/>
                      <w:highlight w:val="none"/>
                      <w:lang w:val="en-US" w:eastAsia="zh-CN"/>
                    </w:rPr>
                  </w:pPr>
                  <w:r>
                    <w:rPr>
                      <w:rFonts w:hint="eastAsia"/>
                      <w:color w:val="auto"/>
                      <w:sz w:val="21"/>
                      <w:szCs w:val="21"/>
                      <w:highlight w:val="none"/>
                      <w:lang w:val="en-US" w:eastAsia="zh-CN"/>
                    </w:rPr>
                    <w:t>2.本项目不涉及。</w:t>
                  </w:r>
                </w:p>
              </w:tc>
              <w:tc>
                <w:tcPr>
                  <w:tcW w:w="381" w:type="pct"/>
                  <w:noWrap w:val="0"/>
                  <w:tcMar>
                    <w:top w:w="0" w:type="dxa"/>
                    <w:left w:w="51" w:type="dxa"/>
                    <w:bottom w:w="0" w:type="dxa"/>
                    <w:right w:w="51" w:type="dxa"/>
                  </w:tcMar>
                  <w:vAlign w:val="center"/>
                </w:tcPr>
                <w:p w14:paraId="7744E720">
                  <w:pPr>
                    <w:pStyle w:val="47"/>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不涉及</w:t>
                  </w:r>
                </w:p>
              </w:tc>
            </w:tr>
            <w:tr w14:paraId="5AAEC9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395" w:type="pct"/>
                  <w:vMerge w:val="continue"/>
                  <w:noWrap w:val="0"/>
                  <w:tcMar>
                    <w:top w:w="0" w:type="dxa"/>
                    <w:left w:w="51" w:type="dxa"/>
                    <w:bottom w:w="0" w:type="dxa"/>
                    <w:right w:w="51" w:type="dxa"/>
                  </w:tcMar>
                  <w:vAlign w:val="center"/>
                </w:tcPr>
                <w:p w14:paraId="35A33A11">
                  <w:pPr>
                    <w:pStyle w:val="46"/>
                    <w:bidi w:val="0"/>
                    <w:rPr>
                      <w:rFonts w:hint="default"/>
                      <w:color w:val="auto"/>
                      <w:sz w:val="21"/>
                      <w:szCs w:val="21"/>
                      <w:highlight w:val="none"/>
                      <w:lang w:val="en-US" w:eastAsia="zh-CN"/>
                    </w:rPr>
                  </w:pPr>
                </w:p>
              </w:tc>
              <w:tc>
                <w:tcPr>
                  <w:tcW w:w="3011" w:type="pct"/>
                  <w:noWrap w:val="0"/>
                  <w:tcMar>
                    <w:top w:w="0" w:type="dxa"/>
                    <w:left w:w="51" w:type="dxa"/>
                    <w:bottom w:w="0" w:type="dxa"/>
                    <w:right w:w="51" w:type="dxa"/>
                  </w:tcMar>
                  <w:vAlign w:val="center"/>
                </w:tcPr>
                <w:p w14:paraId="0C6DC061">
                  <w:pPr>
                    <w:pStyle w:val="47"/>
                    <w:ind w:firstLine="0" w:firstLineChars="0"/>
                    <w:jc w:val="both"/>
                    <w:rPr>
                      <w:rFonts w:hint="eastAsia"/>
                      <w:color w:val="auto"/>
                      <w:sz w:val="21"/>
                      <w:szCs w:val="21"/>
                      <w:highlight w:val="none"/>
                      <w:lang w:val="en-US" w:eastAsia="zh-CN"/>
                    </w:rPr>
                  </w:pPr>
                  <w:r>
                    <w:rPr>
                      <w:color w:val="auto"/>
                      <w:sz w:val="21"/>
                      <w:szCs w:val="21"/>
                      <w:highlight w:val="none"/>
                    </w:rPr>
                    <w:t>3</w:t>
                  </w:r>
                  <w:r>
                    <w:rPr>
                      <w:rFonts w:hint="eastAsia"/>
                      <w:color w:val="auto"/>
                      <w:sz w:val="21"/>
                      <w:szCs w:val="21"/>
                      <w:highlight w:val="none"/>
                      <w:lang w:val="en-US" w:eastAsia="zh-CN"/>
                    </w:rPr>
                    <w:t>.</w:t>
                  </w:r>
                  <w:r>
                    <w:rPr>
                      <w:rFonts w:hint="eastAsia"/>
                      <w:color w:val="auto"/>
                      <w:sz w:val="21"/>
                      <w:szCs w:val="21"/>
                      <w:highlight w:val="none"/>
                    </w:rPr>
                    <w:t>对于国家排放标准中已规定大气污染物特别排放限值的行业及锅炉，应执行大气污染物特别排放限值。河南省出台更严格排放标准的，应按照河南省有关规定执行。</w:t>
                  </w:r>
                </w:p>
              </w:tc>
              <w:tc>
                <w:tcPr>
                  <w:tcW w:w="1211" w:type="pct"/>
                  <w:noWrap w:val="0"/>
                  <w:tcMar>
                    <w:top w:w="0" w:type="dxa"/>
                    <w:left w:w="51" w:type="dxa"/>
                    <w:bottom w:w="0" w:type="dxa"/>
                    <w:right w:w="51" w:type="dxa"/>
                  </w:tcMar>
                  <w:vAlign w:val="center"/>
                </w:tcPr>
                <w:p w14:paraId="2C90DF1D">
                  <w:pPr>
                    <w:spacing w:line="240" w:lineRule="auto"/>
                    <w:ind w:left="0" w:leftChars="0" w:firstLine="0" w:firstLineChars="0"/>
                    <w:jc w:val="both"/>
                    <w:rPr>
                      <w:rFonts w:hint="eastAsia"/>
                      <w:color w:val="auto"/>
                      <w:sz w:val="21"/>
                      <w:szCs w:val="21"/>
                      <w:highlight w:val="none"/>
                      <w:lang w:val="en-US" w:eastAsia="zh-CN"/>
                    </w:rPr>
                  </w:pPr>
                  <w:r>
                    <w:rPr>
                      <w:rFonts w:hint="eastAsia"/>
                      <w:sz w:val="21"/>
                      <w:szCs w:val="21"/>
                      <w:highlight w:val="none"/>
                      <w:lang w:val="en-US" w:eastAsia="zh-CN"/>
                    </w:rPr>
                    <w:t>3.本项目不涉及。</w:t>
                  </w:r>
                </w:p>
              </w:tc>
              <w:tc>
                <w:tcPr>
                  <w:tcW w:w="381" w:type="pct"/>
                  <w:noWrap w:val="0"/>
                  <w:tcMar>
                    <w:top w:w="0" w:type="dxa"/>
                    <w:left w:w="51" w:type="dxa"/>
                    <w:bottom w:w="0" w:type="dxa"/>
                    <w:right w:w="51" w:type="dxa"/>
                  </w:tcMar>
                  <w:vAlign w:val="center"/>
                </w:tcPr>
                <w:p w14:paraId="3211B189">
                  <w:pPr>
                    <w:pStyle w:val="47"/>
                    <w:ind w:firstLine="0"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不涉及</w:t>
                  </w:r>
                </w:p>
              </w:tc>
            </w:tr>
            <w:tr w14:paraId="631BFB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02" w:hRule="atLeast"/>
                <w:jc w:val="center"/>
              </w:trPr>
              <w:tc>
                <w:tcPr>
                  <w:tcW w:w="395" w:type="pct"/>
                  <w:vMerge w:val="continue"/>
                  <w:noWrap w:val="0"/>
                  <w:tcMar>
                    <w:top w:w="0" w:type="dxa"/>
                    <w:left w:w="51" w:type="dxa"/>
                    <w:bottom w:w="0" w:type="dxa"/>
                    <w:right w:w="51" w:type="dxa"/>
                  </w:tcMar>
                  <w:vAlign w:val="center"/>
                </w:tcPr>
                <w:p w14:paraId="1443CCE0">
                  <w:pPr>
                    <w:pStyle w:val="46"/>
                    <w:bidi w:val="0"/>
                    <w:rPr>
                      <w:rFonts w:hint="default"/>
                      <w:color w:val="auto"/>
                      <w:sz w:val="21"/>
                      <w:szCs w:val="21"/>
                      <w:highlight w:val="none"/>
                      <w:lang w:val="en-US" w:eastAsia="zh-CN"/>
                    </w:rPr>
                  </w:pPr>
                </w:p>
              </w:tc>
              <w:tc>
                <w:tcPr>
                  <w:tcW w:w="3011" w:type="pct"/>
                  <w:noWrap w:val="0"/>
                  <w:tcMar>
                    <w:top w:w="0" w:type="dxa"/>
                    <w:left w:w="51" w:type="dxa"/>
                    <w:bottom w:w="0" w:type="dxa"/>
                    <w:right w:w="51" w:type="dxa"/>
                  </w:tcMar>
                  <w:vAlign w:val="center"/>
                </w:tcPr>
                <w:p w14:paraId="3A4A6E75">
                  <w:pPr>
                    <w:pStyle w:val="47"/>
                    <w:ind w:firstLine="0" w:firstLineChars="0"/>
                    <w:jc w:val="both"/>
                    <w:rPr>
                      <w:rFonts w:hint="eastAsia"/>
                      <w:color w:val="auto"/>
                      <w:sz w:val="21"/>
                      <w:szCs w:val="21"/>
                      <w:highlight w:val="none"/>
                      <w:lang w:val="en-US" w:eastAsia="zh-CN"/>
                    </w:rPr>
                  </w:pPr>
                  <w:r>
                    <w:rPr>
                      <w:color w:val="auto"/>
                      <w:sz w:val="21"/>
                      <w:szCs w:val="21"/>
                      <w:highlight w:val="none"/>
                    </w:rPr>
                    <w:t>4</w:t>
                  </w:r>
                  <w:r>
                    <w:rPr>
                      <w:rFonts w:hint="eastAsia"/>
                      <w:color w:val="auto"/>
                      <w:sz w:val="21"/>
                      <w:szCs w:val="21"/>
                      <w:highlight w:val="none"/>
                      <w:lang w:val="en-US" w:eastAsia="zh-CN"/>
                    </w:rPr>
                    <w:t>.</w:t>
                  </w:r>
                  <w:r>
                    <w:rPr>
                      <w:rFonts w:hint="eastAsia"/>
                      <w:color w:val="auto"/>
                      <w:sz w:val="21"/>
                      <w:szCs w:val="21"/>
                      <w:highlight w:val="none"/>
                    </w:rPr>
                    <w:t>鼓励现有钢铁、焦化、水泥、铁合金、铸造等重点行业及“两高</w:t>
                  </w:r>
                  <w:r>
                    <w:rPr>
                      <w:rFonts w:hint="eastAsia"/>
                      <w:color w:val="auto"/>
                      <w:sz w:val="21"/>
                      <w:szCs w:val="21"/>
                      <w:highlight w:val="none"/>
                      <w:lang w:eastAsia="zh-CN"/>
                    </w:rPr>
                    <w:t>”</w:t>
                  </w:r>
                  <w:r>
                    <w:rPr>
                      <w:rFonts w:hint="eastAsia"/>
                      <w:color w:val="auto"/>
                      <w:sz w:val="21"/>
                      <w:szCs w:val="21"/>
                      <w:highlight w:val="none"/>
                    </w:rPr>
                    <w:t>行业污染治理水平达到A级企业或引领性企业水平，其他行业污染治理水平达到B级企业水平；重点行业新建、扩建项目达到A级绩效水平，改建项目达到B级以上绩效水平</w:t>
                  </w:r>
                  <w:r>
                    <w:rPr>
                      <w:color w:val="auto"/>
                      <w:sz w:val="21"/>
                      <w:szCs w:val="21"/>
                      <w:highlight w:val="none"/>
                    </w:rPr>
                    <w:t>。</w:t>
                  </w:r>
                </w:p>
              </w:tc>
              <w:tc>
                <w:tcPr>
                  <w:tcW w:w="1211" w:type="pct"/>
                  <w:noWrap w:val="0"/>
                  <w:tcMar>
                    <w:top w:w="0" w:type="dxa"/>
                    <w:left w:w="51" w:type="dxa"/>
                    <w:bottom w:w="0" w:type="dxa"/>
                    <w:right w:w="51" w:type="dxa"/>
                  </w:tcMar>
                  <w:vAlign w:val="center"/>
                </w:tcPr>
                <w:p w14:paraId="3AF4F0F2">
                  <w:pPr>
                    <w:pStyle w:val="47"/>
                    <w:ind w:firstLine="0" w:firstLineChars="0"/>
                    <w:jc w:val="both"/>
                    <w:rPr>
                      <w:rFonts w:hint="eastAsia" w:eastAsia="宋体"/>
                      <w:color w:val="auto"/>
                      <w:sz w:val="21"/>
                      <w:szCs w:val="21"/>
                      <w:highlight w:val="none"/>
                      <w:lang w:val="en-US" w:eastAsia="zh-CN"/>
                    </w:rPr>
                  </w:pPr>
                  <w:r>
                    <w:rPr>
                      <w:rFonts w:hint="eastAsia"/>
                      <w:color w:val="auto"/>
                      <w:sz w:val="21"/>
                      <w:szCs w:val="21"/>
                      <w:highlight w:val="none"/>
                      <w:lang w:val="en-US" w:eastAsia="zh-CN"/>
                    </w:rPr>
                    <w:t>4.</w:t>
                  </w:r>
                  <w:r>
                    <w:rPr>
                      <w:rFonts w:hint="eastAsia"/>
                      <w:color w:val="auto"/>
                      <w:sz w:val="21"/>
                      <w:szCs w:val="21"/>
                      <w:highlight w:val="none"/>
                    </w:rPr>
                    <w:t>本项目</w:t>
                  </w:r>
                  <w:r>
                    <w:rPr>
                      <w:rFonts w:hint="eastAsia"/>
                      <w:color w:val="auto"/>
                      <w:sz w:val="21"/>
                      <w:szCs w:val="21"/>
                      <w:highlight w:val="none"/>
                      <w:lang w:eastAsia="zh-CN"/>
                    </w:rPr>
                    <w:t>不涉及。</w:t>
                  </w:r>
                </w:p>
              </w:tc>
              <w:tc>
                <w:tcPr>
                  <w:tcW w:w="381" w:type="pct"/>
                  <w:noWrap w:val="0"/>
                  <w:tcMar>
                    <w:top w:w="0" w:type="dxa"/>
                    <w:left w:w="51" w:type="dxa"/>
                    <w:bottom w:w="0" w:type="dxa"/>
                    <w:right w:w="51" w:type="dxa"/>
                  </w:tcMar>
                  <w:vAlign w:val="center"/>
                </w:tcPr>
                <w:p w14:paraId="4F1580A3">
                  <w:pPr>
                    <w:pStyle w:val="47"/>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不涉及</w:t>
                  </w:r>
                </w:p>
              </w:tc>
            </w:tr>
            <w:tr w14:paraId="656DF7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395" w:type="pct"/>
                  <w:vMerge w:val="continue"/>
                  <w:noWrap w:val="0"/>
                  <w:tcMar>
                    <w:top w:w="0" w:type="dxa"/>
                    <w:left w:w="51" w:type="dxa"/>
                    <w:bottom w:w="0" w:type="dxa"/>
                    <w:right w:w="51" w:type="dxa"/>
                  </w:tcMar>
                  <w:vAlign w:val="center"/>
                </w:tcPr>
                <w:p w14:paraId="4E5A3780">
                  <w:pPr>
                    <w:pStyle w:val="46"/>
                    <w:bidi w:val="0"/>
                    <w:rPr>
                      <w:rFonts w:hint="default"/>
                      <w:color w:val="auto"/>
                      <w:sz w:val="21"/>
                      <w:szCs w:val="21"/>
                      <w:highlight w:val="none"/>
                      <w:lang w:val="en-US" w:eastAsia="zh-CN"/>
                    </w:rPr>
                  </w:pPr>
                </w:p>
              </w:tc>
              <w:tc>
                <w:tcPr>
                  <w:tcW w:w="3011" w:type="pct"/>
                  <w:noWrap w:val="0"/>
                  <w:tcMar>
                    <w:top w:w="0" w:type="dxa"/>
                    <w:left w:w="51" w:type="dxa"/>
                    <w:bottom w:w="0" w:type="dxa"/>
                    <w:right w:w="51" w:type="dxa"/>
                  </w:tcMar>
                  <w:vAlign w:val="center"/>
                </w:tcPr>
                <w:p w14:paraId="5757F730">
                  <w:pPr>
                    <w:pStyle w:val="47"/>
                    <w:ind w:firstLine="0" w:firstLineChars="0"/>
                    <w:jc w:val="both"/>
                    <w:rPr>
                      <w:rFonts w:hint="eastAsia"/>
                      <w:color w:val="auto"/>
                      <w:sz w:val="21"/>
                      <w:szCs w:val="21"/>
                      <w:highlight w:val="none"/>
                      <w:lang w:val="en-US" w:eastAsia="zh-CN"/>
                    </w:rPr>
                  </w:pPr>
                  <w:r>
                    <w:rPr>
                      <w:color w:val="auto"/>
                      <w:sz w:val="21"/>
                      <w:szCs w:val="21"/>
                      <w:highlight w:val="none"/>
                    </w:rPr>
                    <w:t>5</w:t>
                  </w:r>
                  <w:r>
                    <w:rPr>
                      <w:rFonts w:hint="eastAsia"/>
                      <w:color w:val="auto"/>
                      <w:sz w:val="21"/>
                      <w:szCs w:val="21"/>
                      <w:highlight w:val="none"/>
                      <w:lang w:val="en-US" w:eastAsia="zh-CN"/>
                    </w:rPr>
                    <w:t>.</w:t>
                  </w:r>
                  <w:r>
                    <w:rPr>
                      <w:rFonts w:hint="eastAsia"/>
                      <w:color w:val="auto"/>
                      <w:sz w:val="21"/>
                      <w:szCs w:val="21"/>
                      <w:highlight w:val="none"/>
                    </w:rPr>
                    <w:t>医药、化工、橡胶、包装印刷、家具、金属表面涂装、合成革、制鞋等涉VOCs行业应采取密闭式作业，根据不同行业VOCs排放浓度、成分，选择燃烧、吸附、生物法、冷凝等针对性强、治理效果明显的处理技术或多种技术的组合工艺，提高VOCs治理效率；VOCs物料储存、转移和输送、工艺过程、设备与管线组件VOCs泄漏控制、敞开液面VOCs无组织排放控制，以及VOCs无组织排放废气收集处理系统和企业厂区内及周边污染监控应满足《挥发性有机物无组织排放控制标准（GB37822——2019）》相关要求</w:t>
                  </w:r>
                  <w:r>
                    <w:rPr>
                      <w:color w:val="auto"/>
                      <w:sz w:val="21"/>
                      <w:szCs w:val="21"/>
                      <w:highlight w:val="none"/>
                    </w:rPr>
                    <w:t>。</w:t>
                  </w:r>
                </w:p>
              </w:tc>
              <w:tc>
                <w:tcPr>
                  <w:tcW w:w="1211" w:type="pct"/>
                  <w:noWrap w:val="0"/>
                  <w:tcMar>
                    <w:top w:w="0" w:type="dxa"/>
                    <w:left w:w="51" w:type="dxa"/>
                    <w:bottom w:w="0" w:type="dxa"/>
                    <w:right w:w="51" w:type="dxa"/>
                  </w:tcMar>
                  <w:vAlign w:val="center"/>
                </w:tcPr>
                <w:p w14:paraId="3868D630">
                  <w:pPr>
                    <w:pStyle w:val="47"/>
                    <w:spacing w:line="240" w:lineRule="auto"/>
                    <w:ind w:firstLine="0" w:firstLineChars="0"/>
                    <w:jc w:val="both"/>
                    <w:rPr>
                      <w:rFonts w:hint="eastAsia" w:eastAsia="宋体"/>
                      <w:color w:val="auto"/>
                      <w:sz w:val="21"/>
                      <w:szCs w:val="21"/>
                      <w:highlight w:val="none"/>
                      <w:lang w:val="en-US" w:eastAsia="zh-CN"/>
                    </w:rPr>
                  </w:pPr>
                  <w:r>
                    <w:rPr>
                      <w:rFonts w:hint="eastAsia"/>
                      <w:color w:val="auto"/>
                      <w:sz w:val="21"/>
                      <w:szCs w:val="21"/>
                      <w:highlight w:val="none"/>
                      <w:lang w:val="en-US" w:eastAsia="zh-CN"/>
                    </w:rPr>
                    <w:t>5.本项目不涉及</w:t>
                  </w:r>
                  <w:r>
                    <w:rPr>
                      <w:rFonts w:hint="eastAsia"/>
                      <w:color w:val="auto"/>
                      <w:sz w:val="21"/>
                      <w:szCs w:val="21"/>
                      <w:highlight w:val="none"/>
                    </w:rPr>
                    <w:t>VOCs</w:t>
                  </w:r>
                  <w:r>
                    <w:rPr>
                      <w:rFonts w:hint="eastAsia"/>
                      <w:color w:val="auto"/>
                      <w:sz w:val="21"/>
                      <w:szCs w:val="21"/>
                      <w:highlight w:val="none"/>
                      <w:lang w:eastAsia="zh-CN"/>
                    </w:rPr>
                    <w:t>的排放。</w:t>
                  </w:r>
                </w:p>
              </w:tc>
              <w:tc>
                <w:tcPr>
                  <w:tcW w:w="381" w:type="pct"/>
                  <w:noWrap w:val="0"/>
                  <w:tcMar>
                    <w:top w:w="0" w:type="dxa"/>
                    <w:left w:w="51" w:type="dxa"/>
                    <w:bottom w:w="0" w:type="dxa"/>
                    <w:right w:w="51" w:type="dxa"/>
                  </w:tcMar>
                  <w:vAlign w:val="center"/>
                </w:tcPr>
                <w:p w14:paraId="198AFEDA">
                  <w:pPr>
                    <w:pStyle w:val="47"/>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不涉及</w:t>
                  </w:r>
                </w:p>
              </w:tc>
            </w:tr>
            <w:tr w14:paraId="60C88F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0" w:hRule="atLeast"/>
                <w:jc w:val="center"/>
              </w:trPr>
              <w:tc>
                <w:tcPr>
                  <w:tcW w:w="395" w:type="pct"/>
                  <w:vMerge w:val="continue"/>
                  <w:noWrap w:val="0"/>
                  <w:tcMar>
                    <w:top w:w="0" w:type="dxa"/>
                    <w:left w:w="51" w:type="dxa"/>
                    <w:bottom w:w="0" w:type="dxa"/>
                    <w:right w:w="51" w:type="dxa"/>
                  </w:tcMar>
                  <w:vAlign w:val="center"/>
                </w:tcPr>
                <w:p w14:paraId="498B4D0D">
                  <w:pPr>
                    <w:pStyle w:val="46"/>
                    <w:bidi w:val="0"/>
                    <w:rPr>
                      <w:rFonts w:hint="default"/>
                      <w:color w:val="auto"/>
                      <w:sz w:val="21"/>
                      <w:szCs w:val="21"/>
                      <w:highlight w:val="none"/>
                      <w:lang w:val="en-US" w:eastAsia="zh-CN"/>
                    </w:rPr>
                  </w:pPr>
                </w:p>
              </w:tc>
              <w:tc>
                <w:tcPr>
                  <w:tcW w:w="3011" w:type="pct"/>
                  <w:noWrap w:val="0"/>
                  <w:tcMar>
                    <w:top w:w="0" w:type="dxa"/>
                    <w:left w:w="51" w:type="dxa"/>
                    <w:bottom w:w="0" w:type="dxa"/>
                    <w:right w:w="51" w:type="dxa"/>
                  </w:tcMar>
                  <w:vAlign w:val="center"/>
                </w:tcPr>
                <w:p w14:paraId="27C02A1D">
                  <w:pPr>
                    <w:pStyle w:val="47"/>
                    <w:ind w:firstLine="0" w:firstLineChars="0"/>
                    <w:jc w:val="both"/>
                    <w:rPr>
                      <w:rFonts w:hint="eastAsia"/>
                      <w:color w:val="auto"/>
                      <w:sz w:val="21"/>
                      <w:szCs w:val="21"/>
                      <w:highlight w:val="none"/>
                      <w:lang w:val="en-US" w:eastAsia="zh-CN"/>
                    </w:rPr>
                  </w:pPr>
                  <w:r>
                    <w:rPr>
                      <w:color w:val="auto"/>
                      <w:sz w:val="21"/>
                      <w:szCs w:val="21"/>
                      <w:highlight w:val="none"/>
                    </w:rPr>
                    <w:t>6</w:t>
                  </w:r>
                  <w:r>
                    <w:rPr>
                      <w:rFonts w:hint="eastAsia"/>
                      <w:color w:val="auto"/>
                      <w:sz w:val="21"/>
                      <w:szCs w:val="21"/>
                      <w:highlight w:val="none"/>
                      <w:lang w:val="en-US" w:eastAsia="zh-CN"/>
                    </w:rPr>
                    <w:t>.</w:t>
                  </w:r>
                  <w:r>
                    <w:rPr>
                      <w:rFonts w:hint="eastAsia"/>
                      <w:color w:val="auto"/>
                      <w:sz w:val="21"/>
                      <w:szCs w:val="21"/>
                      <w:highlight w:val="none"/>
                    </w:rPr>
                    <w:t>向污水集中处理设施排放工业废水的，应当按照国家有关规定进行预处理，达到集中处理设施处理工艺要求后方可排放</w:t>
                  </w:r>
                  <w:r>
                    <w:rPr>
                      <w:color w:val="auto"/>
                      <w:sz w:val="21"/>
                      <w:szCs w:val="21"/>
                      <w:highlight w:val="none"/>
                    </w:rPr>
                    <w:t>。</w:t>
                  </w:r>
                </w:p>
              </w:tc>
              <w:tc>
                <w:tcPr>
                  <w:tcW w:w="1211" w:type="pct"/>
                  <w:noWrap w:val="0"/>
                  <w:tcMar>
                    <w:top w:w="0" w:type="dxa"/>
                    <w:left w:w="51" w:type="dxa"/>
                    <w:bottom w:w="0" w:type="dxa"/>
                    <w:right w:w="51" w:type="dxa"/>
                  </w:tcMar>
                  <w:vAlign w:val="center"/>
                </w:tcPr>
                <w:p w14:paraId="6260DFB9">
                  <w:pPr>
                    <w:pStyle w:val="47"/>
                    <w:ind w:firstLine="0" w:firstLineChars="0"/>
                    <w:jc w:val="both"/>
                    <w:rPr>
                      <w:rFonts w:hint="eastAsia"/>
                      <w:color w:val="auto"/>
                      <w:sz w:val="21"/>
                      <w:szCs w:val="21"/>
                      <w:highlight w:val="none"/>
                      <w:lang w:val="en-US" w:eastAsia="zh-CN"/>
                    </w:rPr>
                  </w:pPr>
                  <w:r>
                    <w:rPr>
                      <w:rFonts w:hint="eastAsia"/>
                      <w:color w:val="auto"/>
                      <w:sz w:val="21"/>
                      <w:szCs w:val="21"/>
                      <w:highlight w:val="none"/>
                      <w:lang w:val="en-US" w:eastAsia="zh-CN"/>
                    </w:rPr>
                    <w:t>6.本项目无工业废水外排。</w:t>
                  </w:r>
                </w:p>
              </w:tc>
              <w:tc>
                <w:tcPr>
                  <w:tcW w:w="381" w:type="pct"/>
                  <w:noWrap w:val="0"/>
                  <w:tcMar>
                    <w:top w:w="0" w:type="dxa"/>
                    <w:left w:w="51" w:type="dxa"/>
                    <w:bottom w:w="0" w:type="dxa"/>
                    <w:right w:w="51" w:type="dxa"/>
                  </w:tcMar>
                  <w:vAlign w:val="center"/>
                </w:tcPr>
                <w:p w14:paraId="124309A8">
                  <w:pPr>
                    <w:pStyle w:val="47"/>
                    <w:ind w:firstLine="0" w:firstLineChars="0"/>
                    <w:rPr>
                      <w:rFonts w:hint="eastAsia"/>
                      <w:color w:val="auto"/>
                      <w:sz w:val="21"/>
                      <w:szCs w:val="21"/>
                      <w:highlight w:val="none"/>
                      <w:lang w:val="en-US" w:eastAsia="zh-CN"/>
                    </w:rPr>
                  </w:pPr>
                  <w:r>
                    <w:rPr>
                      <w:rFonts w:hint="eastAsia"/>
                      <w:color w:val="auto"/>
                      <w:sz w:val="21"/>
                      <w:szCs w:val="21"/>
                      <w:highlight w:val="none"/>
                      <w:lang w:val="en-US" w:eastAsia="zh-CN"/>
                    </w:rPr>
                    <w:t>不涉及</w:t>
                  </w:r>
                </w:p>
              </w:tc>
            </w:tr>
            <w:tr w14:paraId="56131D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8" w:hRule="atLeast"/>
                <w:jc w:val="center"/>
              </w:trPr>
              <w:tc>
                <w:tcPr>
                  <w:tcW w:w="395" w:type="pct"/>
                  <w:vMerge w:val="continue"/>
                  <w:tcBorders>
                    <w:bottom w:val="single" w:color="auto" w:sz="18" w:space="0"/>
                  </w:tcBorders>
                  <w:noWrap w:val="0"/>
                  <w:tcMar>
                    <w:top w:w="0" w:type="dxa"/>
                    <w:left w:w="51" w:type="dxa"/>
                    <w:bottom w:w="0" w:type="dxa"/>
                    <w:right w:w="51" w:type="dxa"/>
                  </w:tcMar>
                  <w:vAlign w:val="center"/>
                </w:tcPr>
                <w:p w14:paraId="5E2B437E">
                  <w:pPr>
                    <w:pStyle w:val="46"/>
                    <w:bidi w:val="0"/>
                    <w:rPr>
                      <w:rFonts w:hint="default"/>
                      <w:color w:val="auto"/>
                      <w:sz w:val="21"/>
                      <w:szCs w:val="21"/>
                      <w:highlight w:val="none"/>
                      <w:lang w:val="en-US" w:eastAsia="zh-CN"/>
                    </w:rPr>
                  </w:pPr>
                </w:p>
              </w:tc>
              <w:tc>
                <w:tcPr>
                  <w:tcW w:w="3011" w:type="pct"/>
                  <w:tcBorders>
                    <w:bottom w:val="single" w:color="auto" w:sz="18" w:space="0"/>
                  </w:tcBorders>
                  <w:noWrap w:val="0"/>
                  <w:tcMar>
                    <w:top w:w="0" w:type="dxa"/>
                    <w:left w:w="51" w:type="dxa"/>
                    <w:bottom w:w="0" w:type="dxa"/>
                    <w:right w:w="51" w:type="dxa"/>
                  </w:tcMar>
                  <w:vAlign w:val="center"/>
                </w:tcPr>
                <w:p w14:paraId="796F3226">
                  <w:pPr>
                    <w:pStyle w:val="47"/>
                    <w:ind w:firstLine="0" w:firstLineChars="0"/>
                    <w:jc w:val="both"/>
                    <w:rPr>
                      <w:rFonts w:hint="eastAsia"/>
                      <w:color w:val="auto"/>
                      <w:sz w:val="21"/>
                      <w:szCs w:val="21"/>
                      <w:highlight w:val="none"/>
                      <w:lang w:val="en-US" w:eastAsia="zh-CN"/>
                    </w:rPr>
                  </w:pPr>
                  <w:r>
                    <w:rPr>
                      <w:color w:val="auto"/>
                      <w:sz w:val="21"/>
                      <w:szCs w:val="21"/>
                      <w:highlight w:val="none"/>
                    </w:rPr>
                    <w:t>7</w:t>
                  </w:r>
                  <w:r>
                    <w:rPr>
                      <w:rFonts w:hint="eastAsia"/>
                      <w:color w:val="auto"/>
                      <w:sz w:val="21"/>
                      <w:szCs w:val="21"/>
                      <w:highlight w:val="none"/>
                      <w:lang w:val="en-US" w:eastAsia="zh-CN"/>
                    </w:rPr>
                    <w:t>.</w:t>
                  </w:r>
                  <w:r>
                    <w:rPr>
                      <w:rFonts w:hint="eastAsia"/>
                      <w:color w:val="auto"/>
                      <w:sz w:val="21"/>
                      <w:szCs w:val="21"/>
                      <w:highlight w:val="none"/>
                    </w:rPr>
                    <w:t>大宗物料（150万吨以上）中长距离运输优先采用铁路、管道运输，短途接驳优先使用新能源车辆。重点区域鼓励高炉—转炉长流程钢铁企业转型为电炉短流程企业</w:t>
                  </w:r>
                  <w:r>
                    <w:rPr>
                      <w:color w:val="auto"/>
                      <w:sz w:val="21"/>
                      <w:szCs w:val="21"/>
                      <w:highlight w:val="none"/>
                    </w:rPr>
                    <w:t>。</w:t>
                  </w:r>
                </w:p>
              </w:tc>
              <w:tc>
                <w:tcPr>
                  <w:tcW w:w="1211" w:type="pct"/>
                  <w:tcBorders>
                    <w:bottom w:val="single" w:color="auto" w:sz="18" w:space="0"/>
                  </w:tcBorders>
                  <w:noWrap w:val="0"/>
                  <w:tcMar>
                    <w:top w:w="0" w:type="dxa"/>
                    <w:left w:w="51" w:type="dxa"/>
                    <w:bottom w:w="0" w:type="dxa"/>
                    <w:right w:w="51" w:type="dxa"/>
                  </w:tcMar>
                  <w:vAlign w:val="center"/>
                </w:tcPr>
                <w:p w14:paraId="6BFEBA18">
                  <w:pPr>
                    <w:pStyle w:val="47"/>
                    <w:ind w:firstLine="0" w:firstLineChars="0"/>
                    <w:jc w:val="both"/>
                    <w:rPr>
                      <w:rFonts w:hint="eastAsia"/>
                      <w:color w:val="auto"/>
                      <w:sz w:val="21"/>
                      <w:szCs w:val="21"/>
                      <w:highlight w:val="none"/>
                      <w:lang w:val="en-US" w:eastAsia="zh-CN"/>
                    </w:rPr>
                  </w:pPr>
                  <w:r>
                    <w:rPr>
                      <w:rFonts w:hint="eastAsia"/>
                      <w:color w:val="auto"/>
                      <w:sz w:val="21"/>
                      <w:szCs w:val="21"/>
                      <w:highlight w:val="none"/>
                      <w:lang w:val="en-US" w:eastAsia="zh-CN"/>
                    </w:rPr>
                    <w:t>7.</w:t>
                  </w:r>
                  <w:r>
                    <w:rPr>
                      <w:rFonts w:hint="eastAsia"/>
                      <w:color w:val="auto"/>
                      <w:sz w:val="21"/>
                      <w:szCs w:val="21"/>
                      <w:highlight w:val="none"/>
                    </w:rPr>
                    <w:t>本项目不涉及大宗物料长距离运输</w:t>
                  </w:r>
                  <w:r>
                    <w:rPr>
                      <w:color w:val="auto"/>
                      <w:sz w:val="21"/>
                      <w:szCs w:val="21"/>
                      <w:highlight w:val="none"/>
                    </w:rPr>
                    <w:t>。</w:t>
                  </w:r>
                </w:p>
              </w:tc>
              <w:tc>
                <w:tcPr>
                  <w:tcW w:w="381" w:type="pct"/>
                  <w:tcBorders>
                    <w:bottom w:val="single" w:color="auto" w:sz="18" w:space="0"/>
                  </w:tcBorders>
                  <w:noWrap w:val="0"/>
                  <w:tcMar>
                    <w:top w:w="0" w:type="dxa"/>
                    <w:left w:w="51" w:type="dxa"/>
                    <w:bottom w:w="0" w:type="dxa"/>
                    <w:right w:w="51" w:type="dxa"/>
                  </w:tcMar>
                  <w:vAlign w:val="center"/>
                </w:tcPr>
                <w:p w14:paraId="457B9F7E">
                  <w:pPr>
                    <w:pStyle w:val="47"/>
                    <w:ind w:firstLine="0" w:firstLineChars="0"/>
                    <w:rPr>
                      <w:rFonts w:hint="eastAsia"/>
                      <w:color w:val="auto"/>
                      <w:sz w:val="21"/>
                      <w:szCs w:val="21"/>
                      <w:highlight w:val="none"/>
                      <w:lang w:val="en-US" w:eastAsia="zh-CN"/>
                    </w:rPr>
                  </w:pPr>
                  <w:r>
                    <w:rPr>
                      <w:rFonts w:hint="eastAsia"/>
                      <w:color w:val="auto"/>
                      <w:sz w:val="21"/>
                      <w:szCs w:val="21"/>
                      <w:highlight w:val="none"/>
                    </w:rPr>
                    <w:t>不涉及</w:t>
                  </w:r>
                </w:p>
              </w:tc>
            </w:tr>
          </w:tbl>
          <w:p w14:paraId="59F143A2">
            <w:pPr>
              <w:pStyle w:val="45"/>
              <w:bidi w:val="0"/>
              <w:rPr>
                <w:rFonts w:hint="eastAsia"/>
                <w:color w:val="auto"/>
                <w:sz w:val="24"/>
                <w:szCs w:val="24"/>
                <w:highlight w:val="none"/>
                <w:lang w:val="en-US" w:eastAsia="zh-CN"/>
              </w:rPr>
            </w:pPr>
            <w:r>
              <w:rPr>
                <w:rFonts w:hint="default" w:ascii="Times New Roman" w:hAnsi="Times New Roman" w:eastAsia="宋体" w:cs="Times New Roman"/>
                <w:b/>
                <w:color w:val="auto"/>
                <w:kern w:val="0"/>
                <w:sz w:val="24"/>
                <w:szCs w:val="24"/>
                <w:highlight w:val="none"/>
                <w:lang w:val="zh-CN" w:eastAsia="zh-CN" w:bidi="ar-SA"/>
              </w:rPr>
              <w:t>安阳市</w:t>
            </w:r>
            <w:r>
              <w:rPr>
                <w:rFonts w:hint="eastAsia" w:cs="Times New Roman"/>
                <w:b/>
                <w:color w:val="auto"/>
                <w:kern w:val="0"/>
                <w:sz w:val="24"/>
                <w:szCs w:val="24"/>
                <w:highlight w:val="none"/>
                <w:lang w:val="zh-CN" w:eastAsia="zh-CN" w:bidi="ar-SA"/>
              </w:rPr>
              <w:t>安阳</w:t>
            </w:r>
            <w:r>
              <w:rPr>
                <w:rFonts w:hint="eastAsia" w:ascii="Times New Roman" w:hAnsi="Times New Roman" w:eastAsia="宋体" w:cs="Times New Roman"/>
                <w:b/>
                <w:color w:val="auto"/>
                <w:kern w:val="0"/>
                <w:sz w:val="24"/>
                <w:szCs w:val="24"/>
                <w:highlight w:val="none"/>
                <w:lang w:val="zh-CN" w:eastAsia="zh-CN" w:bidi="ar-SA"/>
              </w:rPr>
              <w:t>县</w:t>
            </w:r>
            <w:r>
              <w:rPr>
                <w:rFonts w:hint="eastAsia" w:ascii="Times New Roman" w:hAnsi="Times New Roman" w:eastAsia="宋体" w:cs="Times New Roman"/>
                <w:b/>
                <w:color w:val="auto"/>
                <w:kern w:val="0"/>
                <w:sz w:val="24"/>
                <w:szCs w:val="24"/>
                <w:highlight w:val="none"/>
                <w:lang w:val="en-US" w:eastAsia="zh-CN" w:bidi="ar-SA"/>
              </w:rPr>
              <w:t>ZH4105</w:t>
            </w:r>
            <w:r>
              <w:rPr>
                <w:rFonts w:hint="eastAsia" w:cs="Times New Roman"/>
                <w:b/>
                <w:color w:val="auto"/>
                <w:kern w:val="0"/>
                <w:sz w:val="24"/>
                <w:szCs w:val="24"/>
                <w:highlight w:val="none"/>
                <w:lang w:val="en-US" w:eastAsia="zh-CN" w:bidi="ar-SA"/>
              </w:rPr>
              <w:t>2220004</w:t>
            </w:r>
            <w:r>
              <w:rPr>
                <w:rFonts w:hint="default" w:ascii="Times New Roman" w:hAnsi="Times New Roman" w:eastAsia="宋体" w:cs="Times New Roman"/>
                <w:b/>
                <w:color w:val="auto"/>
                <w:kern w:val="0"/>
                <w:sz w:val="24"/>
                <w:szCs w:val="24"/>
                <w:highlight w:val="none"/>
                <w:lang w:val="zh-CN" w:eastAsia="zh-CN" w:bidi="ar-SA"/>
              </w:rPr>
              <w:t>环境管控单元生态环境准入清单</w:t>
            </w:r>
          </w:p>
          <w:tbl>
            <w:tblPr>
              <w:tblStyle w:val="1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8"/>
              <w:gridCol w:w="645"/>
              <w:gridCol w:w="681"/>
              <w:gridCol w:w="3640"/>
              <w:gridCol w:w="1934"/>
              <w:gridCol w:w="658"/>
            </w:tblGrid>
            <w:tr w14:paraId="5279B5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0" w:hRule="atLeast"/>
                <w:jc w:val="center"/>
              </w:trPr>
              <w:tc>
                <w:tcPr>
                  <w:tcW w:w="483" w:type="pct"/>
                  <w:tcBorders>
                    <w:top w:val="single" w:color="auto" w:sz="18" w:space="0"/>
                  </w:tcBorders>
                  <w:noWrap w:val="0"/>
                  <w:tcMar>
                    <w:top w:w="0" w:type="dxa"/>
                    <w:left w:w="51" w:type="dxa"/>
                    <w:bottom w:w="0" w:type="dxa"/>
                    <w:right w:w="51" w:type="dxa"/>
                  </w:tcMar>
                  <w:vAlign w:val="center"/>
                </w:tcPr>
                <w:p w14:paraId="3FFF771B">
                  <w:pPr>
                    <w:pStyle w:val="46"/>
                    <w:bidi w:val="0"/>
                    <w:rPr>
                      <w:rFonts w:hint="default"/>
                      <w:b/>
                      <w:bCs/>
                      <w:color w:val="auto"/>
                      <w:sz w:val="21"/>
                      <w:szCs w:val="21"/>
                      <w:highlight w:val="none"/>
                    </w:rPr>
                  </w:pPr>
                  <w:r>
                    <w:rPr>
                      <w:rFonts w:hint="default"/>
                      <w:b/>
                      <w:bCs/>
                      <w:color w:val="auto"/>
                      <w:sz w:val="21"/>
                      <w:szCs w:val="21"/>
                      <w:highlight w:val="none"/>
                    </w:rPr>
                    <w:t>环境管控单元名称</w:t>
                  </w:r>
                </w:p>
              </w:tc>
              <w:tc>
                <w:tcPr>
                  <w:tcW w:w="385" w:type="pct"/>
                  <w:tcBorders>
                    <w:top w:val="single" w:color="auto" w:sz="18" w:space="0"/>
                  </w:tcBorders>
                  <w:noWrap w:val="0"/>
                  <w:tcMar>
                    <w:top w:w="0" w:type="dxa"/>
                    <w:left w:w="51" w:type="dxa"/>
                    <w:bottom w:w="0" w:type="dxa"/>
                    <w:right w:w="51" w:type="dxa"/>
                  </w:tcMar>
                  <w:vAlign w:val="center"/>
                </w:tcPr>
                <w:p w14:paraId="7F5D7A14">
                  <w:pPr>
                    <w:pStyle w:val="46"/>
                    <w:bidi w:val="0"/>
                    <w:rPr>
                      <w:rFonts w:hint="default"/>
                      <w:b/>
                      <w:bCs/>
                      <w:color w:val="auto"/>
                      <w:sz w:val="21"/>
                      <w:szCs w:val="21"/>
                      <w:highlight w:val="none"/>
                      <w:lang w:val="en-US" w:eastAsia="zh-CN"/>
                    </w:rPr>
                  </w:pPr>
                  <w:r>
                    <w:rPr>
                      <w:rFonts w:hint="default"/>
                      <w:b/>
                      <w:bCs/>
                      <w:color w:val="auto"/>
                      <w:sz w:val="21"/>
                      <w:szCs w:val="21"/>
                      <w:highlight w:val="none"/>
                    </w:rPr>
                    <w:t>管控单元分类</w:t>
                  </w:r>
                </w:p>
              </w:tc>
              <w:tc>
                <w:tcPr>
                  <w:tcW w:w="2581" w:type="pct"/>
                  <w:gridSpan w:val="2"/>
                  <w:tcBorders>
                    <w:top w:val="single" w:color="auto" w:sz="18" w:space="0"/>
                  </w:tcBorders>
                  <w:noWrap w:val="0"/>
                  <w:tcMar>
                    <w:top w:w="0" w:type="dxa"/>
                    <w:left w:w="51" w:type="dxa"/>
                    <w:bottom w:w="0" w:type="dxa"/>
                    <w:right w:w="51" w:type="dxa"/>
                  </w:tcMar>
                  <w:vAlign w:val="center"/>
                </w:tcPr>
                <w:p w14:paraId="40451921">
                  <w:pPr>
                    <w:pStyle w:val="46"/>
                    <w:bidi w:val="0"/>
                    <w:rPr>
                      <w:rFonts w:hint="default"/>
                      <w:b/>
                      <w:bCs/>
                      <w:color w:val="auto"/>
                      <w:sz w:val="21"/>
                      <w:szCs w:val="21"/>
                      <w:highlight w:val="none"/>
                    </w:rPr>
                  </w:pPr>
                  <w:r>
                    <w:rPr>
                      <w:rFonts w:hint="default"/>
                      <w:b/>
                      <w:bCs/>
                      <w:color w:val="auto"/>
                      <w:sz w:val="21"/>
                      <w:szCs w:val="21"/>
                      <w:highlight w:val="none"/>
                    </w:rPr>
                    <w:t>管控要求</w:t>
                  </w:r>
                </w:p>
              </w:tc>
              <w:tc>
                <w:tcPr>
                  <w:tcW w:w="1155" w:type="pct"/>
                  <w:tcBorders>
                    <w:top w:val="single" w:color="auto" w:sz="18" w:space="0"/>
                  </w:tcBorders>
                  <w:noWrap w:val="0"/>
                  <w:tcMar>
                    <w:top w:w="0" w:type="dxa"/>
                    <w:left w:w="51" w:type="dxa"/>
                    <w:bottom w:w="0" w:type="dxa"/>
                    <w:right w:w="51" w:type="dxa"/>
                  </w:tcMar>
                  <w:vAlign w:val="center"/>
                </w:tcPr>
                <w:p w14:paraId="7E394DF4">
                  <w:pPr>
                    <w:pStyle w:val="46"/>
                    <w:bidi w:val="0"/>
                    <w:rPr>
                      <w:rFonts w:hint="default"/>
                      <w:b/>
                      <w:bCs/>
                      <w:color w:val="auto"/>
                      <w:sz w:val="21"/>
                      <w:szCs w:val="21"/>
                      <w:highlight w:val="none"/>
                      <w:lang w:eastAsia="zh-CN"/>
                    </w:rPr>
                  </w:pPr>
                  <w:r>
                    <w:rPr>
                      <w:rFonts w:hint="default"/>
                      <w:b/>
                      <w:bCs/>
                      <w:color w:val="auto"/>
                      <w:sz w:val="21"/>
                      <w:szCs w:val="21"/>
                      <w:highlight w:val="none"/>
                      <w:lang w:eastAsia="zh-CN"/>
                    </w:rPr>
                    <w:t>本项目情况</w:t>
                  </w:r>
                </w:p>
              </w:tc>
              <w:tc>
                <w:tcPr>
                  <w:tcW w:w="393" w:type="pct"/>
                  <w:tcBorders>
                    <w:top w:val="single" w:color="auto" w:sz="18" w:space="0"/>
                  </w:tcBorders>
                  <w:noWrap w:val="0"/>
                  <w:tcMar>
                    <w:top w:w="0" w:type="dxa"/>
                    <w:left w:w="51" w:type="dxa"/>
                    <w:bottom w:w="0" w:type="dxa"/>
                    <w:right w:w="51" w:type="dxa"/>
                  </w:tcMar>
                  <w:vAlign w:val="center"/>
                </w:tcPr>
                <w:p w14:paraId="71339597">
                  <w:pPr>
                    <w:pStyle w:val="46"/>
                    <w:bidi w:val="0"/>
                    <w:rPr>
                      <w:rFonts w:hint="default"/>
                      <w:b/>
                      <w:bCs/>
                      <w:color w:val="auto"/>
                      <w:sz w:val="21"/>
                      <w:szCs w:val="21"/>
                      <w:highlight w:val="none"/>
                      <w:lang w:eastAsia="zh-CN"/>
                    </w:rPr>
                  </w:pPr>
                  <w:r>
                    <w:rPr>
                      <w:rFonts w:hint="default"/>
                      <w:b/>
                      <w:bCs/>
                      <w:color w:val="auto"/>
                      <w:sz w:val="21"/>
                      <w:szCs w:val="21"/>
                      <w:highlight w:val="none"/>
                      <w:lang w:eastAsia="zh-CN"/>
                    </w:rPr>
                    <w:t>相符性</w:t>
                  </w:r>
                </w:p>
              </w:tc>
            </w:tr>
            <w:tr w14:paraId="081CAA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483" w:type="pct"/>
                  <w:vMerge w:val="restart"/>
                  <w:noWrap w:val="0"/>
                  <w:tcMar>
                    <w:top w:w="0" w:type="dxa"/>
                    <w:left w:w="51" w:type="dxa"/>
                    <w:bottom w:w="0" w:type="dxa"/>
                    <w:right w:w="51" w:type="dxa"/>
                  </w:tcMar>
                  <w:vAlign w:val="center"/>
                </w:tcPr>
                <w:p w14:paraId="588D455B">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安阳县大气布局敏感区</w:t>
                  </w:r>
                </w:p>
              </w:tc>
              <w:tc>
                <w:tcPr>
                  <w:tcW w:w="385" w:type="pct"/>
                  <w:vMerge w:val="restart"/>
                  <w:noWrap w:val="0"/>
                  <w:tcMar>
                    <w:top w:w="0" w:type="dxa"/>
                    <w:left w:w="51" w:type="dxa"/>
                    <w:bottom w:w="0" w:type="dxa"/>
                    <w:right w:w="51" w:type="dxa"/>
                  </w:tcMar>
                  <w:vAlign w:val="center"/>
                </w:tcPr>
                <w:p w14:paraId="3C51AF6E">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重点管控单元</w:t>
                  </w:r>
                </w:p>
              </w:tc>
              <w:tc>
                <w:tcPr>
                  <w:tcW w:w="407" w:type="pct"/>
                  <w:noWrap w:val="0"/>
                  <w:tcMar>
                    <w:top w:w="0" w:type="dxa"/>
                    <w:left w:w="51" w:type="dxa"/>
                    <w:bottom w:w="0" w:type="dxa"/>
                    <w:right w:w="51" w:type="dxa"/>
                  </w:tcMar>
                  <w:vAlign w:val="center"/>
                </w:tcPr>
                <w:p w14:paraId="6237881C">
                  <w:pPr>
                    <w:pStyle w:val="46"/>
                    <w:bidi w:val="0"/>
                    <w:rPr>
                      <w:rFonts w:hint="default"/>
                      <w:color w:val="auto"/>
                      <w:sz w:val="21"/>
                      <w:szCs w:val="21"/>
                      <w:highlight w:val="none"/>
                      <w:lang w:val="en-US" w:eastAsia="zh-CN"/>
                    </w:rPr>
                  </w:pPr>
                  <w:r>
                    <w:rPr>
                      <w:rFonts w:hint="default"/>
                      <w:color w:val="auto"/>
                      <w:sz w:val="21"/>
                      <w:szCs w:val="21"/>
                      <w:highlight w:val="none"/>
                      <w:lang w:val="en-US" w:eastAsia="zh-CN"/>
                    </w:rPr>
                    <w:t>空间布局约束</w:t>
                  </w:r>
                </w:p>
              </w:tc>
              <w:tc>
                <w:tcPr>
                  <w:tcW w:w="2174" w:type="pct"/>
                  <w:noWrap w:val="0"/>
                  <w:tcMar>
                    <w:top w:w="0" w:type="dxa"/>
                    <w:left w:w="51" w:type="dxa"/>
                    <w:bottom w:w="0" w:type="dxa"/>
                    <w:right w:w="51" w:type="dxa"/>
                  </w:tcMar>
                  <w:vAlign w:val="center"/>
                </w:tcPr>
                <w:p w14:paraId="426BF929">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1155" w:type="pct"/>
                  <w:noWrap w:val="0"/>
                  <w:tcMar>
                    <w:top w:w="0" w:type="dxa"/>
                    <w:left w:w="51" w:type="dxa"/>
                    <w:bottom w:w="0" w:type="dxa"/>
                    <w:right w:w="51" w:type="dxa"/>
                  </w:tcMar>
                  <w:vAlign w:val="center"/>
                </w:tcPr>
                <w:p w14:paraId="5C40200E">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393" w:type="pct"/>
                  <w:noWrap w:val="0"/>
                  <w:tcMar>
                    <w:top w:w="0" w:type="dxa"/>
                    <w:left w:w="51" w:type="dxa"/>
                    <w:bottom w:w="0" w:type="dxa"/>
                    <w:right w:w="51" w:type="dxa"/>
                  </w:tcMar>
                  <w:vAlign w:val="center"/>
                </w:tcPr>
                <w:p w14:paraId="6F01F4BE">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w:t>
                  </w:r>
                </w:p>
              </w:tc>
            </w:tr>
            <w:tr w14:paraId="214869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483" w:type="pct"/>
                  <w:vMerge w:val="continue"/>
                  <w:noWrap w:val="0"/>
                  <w:tcMar>
                    <w:top w:w="0" w:type="dxa"/>
                    <w:left w:w="51" w:type="dxa"/>
                    <w:bottom w:w="0" w:type="dxa"/>
                    <w:right w:w="51" w:type="dxa"/>
                  </w:tcMar>
                  <w:vAlign w:val="center"/>
                </w:tcPr>
                <w:p w14:paraId="6697FC8A">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 xml:space="preserve"> </w:t>
                  </w:r>
                </w:p>
              </w:tc>
              <w:tc>
                <w:tcPr>
                  <w:tcW w:w="385" w:type="pct"/>
                  <w:vMerge w:val="continue"/>
                  <w:noWrap w:val="0"/>
                  <w:tcMar>
                    <w:top w:w="0" w:type="dxa"/>
                    <w:left w:w="51" w:type="dxa"/>
                    <w:bottom w:w="0" w:type="dxa"/>
                    <w:right w:w="51" w:type="dxa"/>
                  </w:tcMar>
                  <w:vAlign w:val="center"/>
                </w:tcPr>
                <w:p w14:paraId="569D06C1">
                  <w:pPr>
                    <w:pStyle w:val="46"/>
                    <w:bidi w:val="0"/>
                    <w:rPr>
                      <w:rFonts w:hint="eastAsia"/>
                      <w:color w:val="auto"/>
                      <w:sz w:val="21"/>
                      <w:szCs w:val="21"/>
                      <w:highlight w:val="none"/>
                      <w:lang w:val="en-US" w:eastAsia="zh-CN"/>
                    </w:rPr>
                  </w:pPr>
                </w:p>
              </w:tc>
              <w:tc>
                <w:tcPr>
                  <w:tcW w:w="407" w:type="pct"/>
                  <w:vMerge w:val="restart"/>
                  <w:noWrap w:val="0"/>
                  <w:tcMar>
                    <w:top w:w="0" w:type="dxa"/>
                    <w:left w:w="51" w:type="dxa"/>
                    <w:bottom w:w="0" w:type="dxa"/>
                    <w:right w:w="51" w:type="dxa"/>
                  </w:tcMar>
                  <w:vAlign w:val="center"/>
                </w:tcPr>
                <w:p w14:paraId="2FC20FD3">
                  <w:pPr>
                    <w:pStyle w:val="46"/>
                    <w:bidi w:val="0"/>
                    <w:rPr>
                      <w:rFonts w:hint="default"/>
                      <w:color w:val="auto"/>
                      <w:sz w:val="21"/>
                      <w:szCs w:val="21"/>
                      <w:highlight w:val="none"/>
                      <w:lang w:val="en-US" w:eastAsia="zh-CN"/>
                    </w:rPr>
                  </w:pPr>
                  <w:r>
                    <w:rPr>
                      <w:rFonts w:hint="default"/>
                      <w:color w:val="auto"/>
                      <w:sz w:val="21"/>
                      <w:szCs w:val="21"/>
                      <w:highlight w:val="none"/>
                      <w:lang w:val="en-US" w:eastAsia="zh-CN"/>
                    </w:rPr>
                    <w:t>污染物排放管控</w:t>
                  </w:r>
                </w:p>
              </w:tc>
              <w:tc>
                <w:tcPr>
                  <w:tcW w:w="2174" w:type="pct"/>
                  <w:noWrap w:val="0"/>
                  <w:tcMar>
                    <w:top w:w="0" w:type="dxa"/>
                    <w:left w:w="51" w:type="dxa"/>
                    <w:bottom w:w="0" w:type="dxa"/>
                    <w:right w:w="51" w:type="dxa"/>
                  </w:tcMar>
                  <w:vAlign w:val="center"/>
                </w:tcPr>
                <w:p w14:paraId="4A0A6585">
                  <w:pPr>
                    <w:pStyle w:val="46"/>
                    <w:numPr>
                      <w:ilvl w:val="0"/>
                      <w:numId w:val="0"/>
                    </w:numPr>
                    <w:bidi w:val="0"/>
                    <w:ind w:leftChars="0"/>
                    <w:jc w:val="both"/>
                    <w:rPr>
                      <w:rFonts w:hint="default"/>
                      <w:color w:val="auto"/>
                      <w:sz w:val="21"/>
                      <w:szCs w:val="21"/>
                      <w:highlight w:val="none"/>
                      <w:lang w:val="en-US" w:eastAsia="zh-CN"/>
                    </w:rPr>
                  </w:pPr>
                  <w:r>
                    <w:rPr>
                      <w:rFonts w:hint="default"/>
                      <w:color w:val="auto"/>
                      <w:sz w:val="21"/>
                      <w:szCs w:val="21"/>
                      <w:highlight w:val="none"/>
                      <w:lang w:val="en-US" w:eastAsia="zh-CN"/>
                    </w:rPr>
                    <w:t>1</w:t>
                  </w:r>
                  <w:r>
                    <w:rPr>
                      <w:rFonts w:hint="eastAsia"/>
                      <w:color w:val="auto"/>
                      <w:sz w:val="21"/>
                      <w:szCs w:val="21"/>
                      <w:highlight w:val="none"/>
                      <w:lang w:val="en-US" w:eastAsia="zh-CN"/>
                    </w:rPr>
                    <w:t>.</w:t>
                  </w:r>
                  <w:r>
                    <w:rPr>
                      <w:rFonts w:hint="default"/>
                      <w:color w:val="auto"/>
                      <w:sz w:val="21"/>
                      <w:szCs w:val="21"/>
                      <w:highlight w:val="none"/>
                      <w:lang w:val="en-US" w:eastAsia="zh-CN"/>
                    </w:rPr>
                    <w:t>对于国家排放标准中已规定大气污染物特别排放限值的行业及锅炉，应执行大气污染物特别排放限值，河南省出台更严格排放标准的，应按照河南省有关规定执行。</w:t>
                  </w:r>
                </w:p>
              </w:tc>
              <w:tc>
                <w:tcPr>
                  <w:tcW w:w="1155" w:type="pct"/>
                  <w:noWrap w:val="0"/>
                  <w:tcMar>
                    <w:top w:w="0" w:type="dxa"/>
                    <w:left w:w="51" w:type="dxa"/>
                    <w:bottom w:w="0" w:type="dxa"/>
                    <w:right w:w="51" w:type="dxa"/>
                  </w:tcMar>
                  <w:vAlign w:val="center"/>
                </w:tcPr>
                <w:p w14:paraId="0DCDA239">
                  <w:pPr>
                    <w:pStyle w:val="5"/>
                    <w:spacing w:line="240" w:lineRule="auto"/>
                    <w:ind w:left="0" w:leftChars="0" w:firstLine="0" w:firstLineChars="0"/>
                    <w:rPr>
                      <w:rFonts w:hint="default"/>
                      <w:color w:val="auto"/>
                      <w:sz w:val="21"/>
                      <w:szCs w:val="21"/>
                      <w:highlight w:val="none"/>
                      <w:lang w:val="en-US" w:eastAsia="zh-CN"/>
                    </w:rPr>
                  </w:pPr>
                  <w:r>
                    <w:rPr>
                      <w:rFonts w:hint="eastAsia"/>
                      <w:color w:val="auto"/>
                      <w:sz w:val="21"/>
                      <w:szCs w:val="21"/>
                      <w:highlight w:val="none"/>
                      <w:lang w:val="en-US" w:eastAsia="zh-CN"/>
                    </w:rPr>
                    <w:t>1.</w:t>
                  </w:r>
                  <w:r>
                    <w:rPr>
                      <w:rFonts w:hint="eastAsia"/>
                      <w:sz w:val="21"/>
                      <w:szCs w:val="21"/>
                      <w:highlight w:val="none"/>
                      <w:lang w:val="en-US" w:eastAsia="zh-CN"/>
                    </w:rPr>
                    <w:t>本项目不涉及。</w:t>
                  </w:r>
                </w:p>
              </w:tc>
              <w:tc>
                <w:tcPr>
                  <w:tcW w:w="393" w:type="pct"/>
                  <w:noWrap w:val="0"/>
                  <w:tcMar>
                    <w:top w:w="0" w:type="dxa"/>
                    <w:left w:w="51" w:type="dxa"/>
                    <w:bottom w:w="0" w:type="dxa"/>
                    <w:right w:w="51" w:type="dxa"/>
                  </w:tcMar>
                  <w:vAlign w:val="center"/>
                </w:tcPr>
                <w:p w14:paraId="4E237A6E">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不涉及</w:t>
                  </w:r>
                </w:p>
              </w:tc>
            </w:tr>
            <w:tr w14:paraId="1FC9E8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7" w:hRule="atLeast"/>
                <w:jc w:val="center"/>
              </w:trPr>
              <w:tc>
                <w:tcPr>
                  <w:tcW w:w="483" w:type="pct"/>
                  <w:vMerge w:val="continue"/>
                  <w:noWrap w:val="0"/>
                  <w:tcMar>
                    <w:top w:w="0" w:type="dxa"/>
                    <w:left w:w="51" w:type="dxa"/>
                    <w:bottom w:w="0" w:type="dxa"/>
                    <w:right w:w="51" w:type="dxa"/>
                  </w:tcMar>
                  <w:vAlign w:val="center"/>
                </w:tcPr>
                <w:p w14:paraId="499F5362">
                  <w:pPr>
                    <w:pStyle w:val="46"/>
                    <w:bidi w:val="0"/>
                    <w:rPr>
                      <w:rFonts w:hint="eastAsia"/>
                      <w:color w:val="auto"/>
                      <w:sz w:val="21"/>
                      <w:szCs w:val="21"/>
                      <w:highlight w:val="none"/>
                      <w:lang w:val="en-US" w:eastAsia="zh-CN"/>
                    </w:rPr>
                  </w:pPr>
                </w:p>
              </w:tc>
              <w:tc>
                <w:tcPr>
                  <w:tcW w:w="385" w:type="pct"/>
                  <w:vMerge w:val="continue"/>
                  <w:noWrap w:val="0"/>
                  <w:tcMar>
                    <w:top w:w="0" w:type="dxa"/>
                    <w:left w:w="51" w:type="dxa"/>
                    <w:bottom w:w="0" w:type="dxa"/>
                    <w:right w:w="51" w:type="dxa"/>
                  </w:tcMar>
                  <w:vAlign w:val="center"/>
                </w:tcPr>
                <w:p w14:paraId="5DBED324">
                  <w:pPr>
                    <w:pStyle w:val="46"/>
                    <w:bidi w:val="0"/>
                    <w:rPr>
                      <w:rFonts w:hint="eastAsia"/>
                      <w:color w:val="auto"/>
                      <w:sz w:val="21"/>
                      <w:szCs w:val="21"/>
                      <w:highlight w:val="none"/>
                      <w:lang w:val="en-US" w:eastAsia="zh-CN"/>
                    </w:rPr>
                  </w:pPr>
                </w:p>
              </w:tc>
              <w:tc>
                <w:tcPr>
                  <w:tcW w:w="407" w:type="pct"/>
                  <w:vMerge w:val="continue"/>
                  <w:noWrap w:val="0"/>
                  <w:tcMar>
                    <w:top w:w="0" w:type="dxa"/>
                    <w:left w:w="51" w:type="dxa"/>
                    <w:bottom w:w="0" w:type="dxa"/>
                    <w:right w:w="51" w:type="dxa"/>
                  </w:tcMar>
                  <w:vAlign w:val="center"/>
                </w:tcPr>
                <w:p w14:paraId="6E415E6C">
                  <w:pPr>
                    <w:pStyle w:val="46"/>
                    <w:bidi w:val="0"/>
                    <w:rPr>
                      <w:rFonts w:hint="default"/>
                      <w:color w:val="auto"/>
                      <w:sz w:val="21"/>
                      <w:szCs w:val="21"/>
                      <w:highlight w:val="none"/>
                      <w:lang w:val="en-US" w:eastAsia="zh-CN"/>
                    </w:rPr>
                  </w:pPr>
                </w:p>
              </w:tc>
              <w:tc>
                <w:tcPr>
                  <w:tcW w:w="2174" w:type="pct"/>
                  <w:noWrap w:val="0"/>
                  <w:tcMar>
                    <w:top w:w="0" w:type="dxa"/>
                    <w:left w:w="51" w:type="dxa"/>
                    <w:bottom w:w="0" w:type="dxa"/>
                    <w:right w:w="51" w:type="dxa"/>
                  </w:tcMar>
                  <w:vAlign w:val="center"/>
                </w:tcPr>
                <w:p w14:paraId="09E70EBD">
                  <w:pPr>
                    <w:pStyle w:val="46"/>
                    <w:numPr>
                      <w:ilvl w:val="0"/>
                      <w:numId w:val="0"/>
                    </w:numPr>
                    <w:bidi w:val="0"/>
                    <w:ind w:leftChars="0"/>
                    <w:jc w:val="both"/>
                    <w:rPr>
                      <w:rFonts w:hint="default"/>
                      <w:color w:val="auto"/>
                      <w:sz w:val="21"/>
                      <w:szCs w:val="21"/>
                      <w:highlight w:val="none"/>
                      <w:lang w:val="en-US" w:eastAsia="zh-CN"/>
                    </w:rPr>
                  </w:pPr>
                  <w:r>
                    <w:rPr>
                      <w:rFonts w:hint="default"/>
                      <w:color w:val="auto"/>
                      <w:sz w:val="21"/>
                      <w:szCs w:val="21"/>
                      <w:highlight w:val="none"/>
                      <w:lang w:val="en-US" w:eastAsia="zh-CN"/>
                    </w:rPr>
                    <w:t>2</w:t>
                  </w:r>
                  <w:r>
                    <w:rPr>
                      <w:rFonts w:hint="eastAsia"/>
                      <w:color w:val="auto"/>
                      <w:sz w:val="21"/>
                      <w:szCs w:val="21"/>
                      <w:highlight w:val="none"/>
                      <w:lang w:val="en-US" w:eastAsia="zh-CN"/>
                    </w:rPr>
                    <w:t>.</w:t>
                  </w:r>
                  <w:r>
                    <w:rPr>
                      <w:rFonts w:hint="default"/>
                      <w:color w:val="auto"/>
                      <w:sz w:val="21"/>
                      <w:szCs w:val="21"/>
                      <w:highlight w:val="none"/>
                      <w:lang w:val="en-US" w:eastAsia="zh-CN"/>
                    </w:rPr>
                    <w:t>禁止含重金属废水进入城市生活污水处理厂</w:t>
                  </w:r>
                </w:p>
              </w:tc>
              <w:tc>
                <w:tcPr>
                  <w:tcW w:w="1155" w:type="pct"/>
                  <w:noWrap w:val="0"/>
                  <w:tcMar>
                    <w:top w:w="0" w:type="dxa"/>
                    <w:left w:w="51" w:type="dxa"/>
                    <w:bottom w:w="0" w:type="dxa"/>
                    <w:right w:w="51" w:type="dxa"/>
                  </w:tcMar>
                  <w:vAlign w:val="center"/>
                </w:tcPr>
                <w:p w14:paraId="348CD1C7">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2.本项目不涉及。</w:t>
                  </w:r>
                </w:p>
              </w:tc>
              <w:tc>
                <w:tcPr>
                  <w:tcW w:w="393" w:type="pct"/>
                  <w:noWrap w:val="0"/>
                  <w:tcMar>
                    <w:top w:w="0" w:type="dxa"/>
                    <w:left w:w="51" w:type="dxa"/>
                    <w:bottom w:w="0" w:type="dxa"/>
                    <w:right w:w="51" w:type="dxa"/>
                  </w:tcMar>
                  <w:vAlign w:val="center"/>
                </w:tcPr>
                <w:p w14:paraId="399091F1">
                  <w:pPr>
                    <w:pStyle w:val="46"/>
                    <w:bidi w:val="0"/>
                    <w:rPr>
                      <w:rFonts w:hint="eastAsia"/>
                      <w:color w:val="auto"/>
                      <w:sz w:val="21"/>
                      <w:szCs w:val="21"/>
                      <w:highlight w:val="none"/>
                      <w:lang w:val="en-US" w:eastAsia="zh-CN"/>
                    </w:rPr>
                  </w:pPr>
                  <w:r>
                    <w:rPr>
                      <w:rFonts w:hint="eastAsia"/>
                      <w:color w:val="auto"/>
                      <w:sz w:val="21"/>
                      <w:szCs w:val="21"/>
                      <w:highlight w:val="none"/>
                      <w:lang w:val="en-US" w:eastAsia="zh-CN"/>
                    </w:rPr>
                    <w:t>不涉及</w:t>
                  </w:r>
                </w:p>
              </w:tc>
            </w:tr>
            <w:tr w14:paraId="240FF9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483" w:type="pct"/>
                  <w:vMerge w:val="continue"/>
                  <w:tcBorders>
                    <w:bottom w:val="single" w:color="auto" w:sz="18" w:space="0"/>
                  </w:tcBorders>
                  <w:noWrap w:val="0"/>
                  <w:tcMar>
                    <w:top w:w="0" w:type="dxa"/>
                    <w:left w:w="51" w:type="dxa"/>
                    <w:bottom w:w="0" w:type="dxa"/>
                    <w:right w:w="51" w:type="dxa"/>
                  </w:tcMar>
                  <w:vAlign w:val="center"/>
                </w:tcPr>
                <w:p w14:paraId="1E59ACA6">
                  <w:pPr>
                    <w:pStyle w:val="46"/>
                    <w:bidi w:val="0"/>
                    <w:rPr>
                      <w:rFonts w:hint="default"/>
                      <w:color w:val="auto"/>
                      <w:sz w:val="21"/>
                      <w:szCs w:val="21"/>
                      <w:highlight w:val="none"/>
                      <w:lang w:val="en-US" w:eastAsia="zh-CN"/>
                    </w:rPr>
                  </w:pPr>
                </w:p>
              </w:tc>
              <w:tc>
                <w:tcPr>
                  <w:tcW w:w="385" w:type="pct"/>
                  <w:vMerge w:val="continue"/>
                  <w:tcBorders>
                    <w:bottom w:val="single" w:color="auto" w:sz="18" w:space="0"/>
                  </w:tcBorders>
                  <w:noWrap w:val="0"/>
                  <w:tcMar>
                    <w:top w:w="0" w:type="dxa"/>
                    <w:left w:w="51" w:type="dxa"/>
                    <w:bottom w:w="0" w:type="dxa"/>
                    <w:right w:w="51" w:type="dxa"/>
                  </w:tcMar>
                  <w:vAlign w:val="center"/>
                </w:tcPr>
                <w:p w14:paraId="0542B3FF">
                  <w:pPr>
                    <w:pStyle w:val="46"/>
                    <w:bidi w:val="0"/>
                    <w:rPr>
                      <w:rFonts w:hint="eastAsia"/>
                      <w:color w:val="auto"/>
                      <w:sz w:val="21"/>
                      <w:szCs w:val="21"/>
                      <w:highlight w:val="none"/>
                      <w:lang w:val="en-US" w:eastAsia="zh-CN"/>
                    </w:rPr>
                  </w:pPr>
                </w:p>
              </w:tc>
              <w:tc>
                <w:tcPr>
                  <w:tcW w:w="407" w:type="pct"/>
                  <w:tcBorders>
                    <w:bottom w:val="single" w:color="auto" w:sz="18" w:space="0"/>
                  </w:tcBorders>
                  <w:noWrap w:val="0"/>
                  <w:tcMar>
                    <w:top w:w="0" w:type="dxa"/>
                    <w:left w:w="51" w:type="dxa"/>
                    <w:bottom w:w="0" w:type="dxa"/>
                    <w:right w:w="51" w:type="dxa"/>
                  </w:tcMar>
                  <w:vAlign w:val="center"/>
                </w:tcPr>
                <w:p w14:paraId="3E428E69">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环境风险防控</w:t>
                  </w:r>
                </w:p>
              </w:tc>
              <w:tc>
                <w:tcPr>
                  <w:tcW w:w="2174" w:type="pct"/>
                  <w:tcBorders>
                    <w:bottom w:val="single" w:color="auto" w:sz="18" w:space="0"/>
                  </w:tcBorders>
                  <w:noWrap w:val="0"/>
                  <w:tcMar>
                    <w:top w:w="0" w:type="dxa"/>
                    <w:left w:w="51" w:type="dxa"/>
                    <w:bottom w:w="0" w:type="dxa"/>
                    <w:right w:w="51" w:type="dxa"/>
                  </w:tcMar>
                  <w:vAlign w:val="center"/>
                </w:tcPr>
                <w:p w14:paraId="136502EC">
                  <w:pPr>
                    <w:pStyle w:val="46"/>
                    <w:numPr>
                      <w:ilvl w:val="0"/>
                      <w:numId w:val="0"/>
                    </w:numPr>
                    <w:bidi w:val="0"/>
                    <w:ind w:left="0" w:leftChars="0" w:firstLine="0" w:firstLineChars="0"/>
                    <w:jc w:val="both"/>
                    <w:rPr>
                      <w:rFonts w:hint="default"/>
                      <w:color w:val="auto"/>
                      <w:sz w:val="21"/>
                      <w:szCs w:val="21"/>
                      <w:highlight w:val="none"/>
                      <w:lang w:val="en-US" w:eastAsia="zh-CN"/>
                    </w:rPr>
                  </w:pPr>
                  <w:r>
                    <w:rPr>
                      <w:rFonts w:hint="default" w:ascii="Times New Roman" w:hAnsi="Times New Roman" w:eastAsia="宋体" w:cs="Times New Roman"/>
                      <w:color w:val="auto"/>
                      <w:kern w:val="2"/>
                      <w:sz w:val="21"/>
                      <w:szCs w:val="21"/>
                      <w:highlight w:val="none"/>
                      <w:lang w:val="en-US" w:eastAsia="zh-CN" w:bidi="ar-SA"/>
                    </w:rPr>
                    <w:t>1</w:t>
                  </w:r>
                  <w:r>
                    <w:rPr>
                      <w:rFonts w:hint="eastAsia" w:cs="Times New Roman"/>
                      <w:color w:val="auto"/>
                      <w:kern w:val="2"/>
                      <w:sz w:val="21"/>
                      <w:szCs w:val="21"/>
                      <w:highlight w:val="none"/>
                      <w:lang w:val="en-US" w:eastAsia="zh-CN" w:bidi="ar-SA"/>
                    </w:rPr>
                    <w:t>.土</w:t>
                  </w:r>
                  <w:r>
                    <w:rPr>
                      <w:rFonts w:hint="eastAsia"/>
                      <w:color w:val="auto"/>
                      <w:sz w:val="21"/>
                      <w:szCs w:val="21"/>
                      <w:highlight w:val="none"/>
                      <w:lang w:val="en-US" w:eastAsia="zh-CN"/>
                    </w:rPr>
                    <w:t>壤污染重点监管单位拆除设施、设备或者建筑物、构筑物的应当制定包括应急措施在内的土壤污染防治工作方案，报地方人民政府生态环境、工业和信息化主管部门备案并实施。</w:t>
                  </w:r>
                </w:p>
              </w:tc>
              <w:tc>
                <w:tcPr>
                  <w:tcW w:w="1155" w:type="pct"/>
                  <w:tcBorders>
                    <w:bottom w:val="single" w:color="auto" w:sz="18" w:space="0"/>
                  </w:tcBorders>
                  <w:noWrap w:val="0"/>
                  <w:tcMar>
                    <w:top w:w="0" w:type="dxa"/>
                    <w:left w:w="51" w:type="dxa"/>
                    <w:bottom w:w="0" w:type="dxa"/>
                    <w:right w:w="51" w:type="dxa"/>
                  </w:tcMar>
                  <w:vAlign w:val="center"/>
                </w:tcPr>
                <w:p w14:paraId="42E9A3F2">
                  <w:pPr>
                    <w:pStyle w:val="46"/>
                    <w:bidi w:val="0"/>
                    <w:rPr>
                      <w:rFonts w:hint="default"/>
                      <w:color w:val="auto"/>
                      <w:sz w:val="21"/>
                      <w:szCs w:val="21"/>
                      <w:highlight w:val="none"/>
                      <w:lang w:val="en-US" w:eastAsia="zh-CN"/>
                    </w:rPr>
                  </w:pPr>
                  <w:r>
                    <w:rPr>
                      <w:rFonts w:hint="eastAsia"/>
                      <w:color w:val="auto"/>
                      <w:sz w:val="21"/>
                      <w:szCs w:val="21"/>
                      <w:highlight w:val="none"/>
                      <w:lang w:val="en-US" w:eastAsia="zh-CN"/>
                    </w:rPr>
                    <w:t>1.本项目不涉及。</w:t>
                  </w:r>
                </w:p>
              </w:tc>
              <w:tc>
                <w:tcPr>
                  <w:tcW w:w="393" w:type="pct"/>
                  <w:tcBorders>
                    <w:bottom w:val="single" w:color="auto" w:sz="18" w:space="0"/>
                  </w:tcBorders>
                  <w:noWrap w:val="0"/>
                  <w:tcMar>
                    <w:top w:w="0" w:type="dxa"/>
                    <w:left w:w="51" w:type="dxa"/>
                    <w:bottom w:w="0" w:type="dxa"/>
                    <w:right w:w="51" w:type="dxa"/>
                  </w:tcMar>
                  <w:vAlign w:val="center"/>
                </w:tcPr>
                <w:p w14:paraId="05118606">
                  <w:pPr>
                    <w:pStyle w:val="46"/>
                    <w:bidi w:val="0"/>
                    <w:rPr>
                      <w:rFonts w:hint="eastAsia"/>
                      <w:color w:val="auto"/>
                      <w:sz w:val="21"/>
                      <w:szCs w:val="21"/>
                      <w:highlight w:val="none"/>
                      <w:lang w:val="en-US" w:eastAsia="zh-CN"/>
                    </w:rPr>
                  </w:pPr>
                  <w:r>
                    <w:rPr>
                      <w:rFonts w:hint="eastAsia"/>
                      <w:color w:val="auto"/>
                      <w:sz w:val="21"/>
                      <w:szCs w:val="21"/>
                      <w:highlight w:val="none"/>
                      <w:lang w:val="en-US" w:eastAsia="zh-CN"/>
                    </w:rPr>
                    <w:t>不涉及</w:t>
                  </w:r>
                </w:p>
              </w:tc>
            </w:tr>
          </w:tbl>
          <w:p w14:paraId="614928F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综上，本项目符合《安阳市“三线一单”生态环境分区管控准入清单（2023年版）》（安环函〔2023〕60号）环境准入管控要求。</w:t>
            </w:r>
          </w:p>
          <w:p w14:paraId="639FEC77">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b/>
                <w:bCs/>
                <w:sz w:val="24"/>
                <w:szCs w:val="24"/>
                <w:highlight w:val="none"/>
                <w:lang w:val="en-US" w:eastAsia="zh-CN"/>
              </w:rPr>
            </w:pPr>
            <w:r>
              <w:rPr>
                <w:rFonts w:hint="eastAsia"/>
                <w:b/>
                <w:bCs/>
                <w:sz w:val="24"/>
                <w:szCs w:val="24"/>
                <w:highlight w:val="none"/>
                <w:lang w:val="en-US" w:eastAsia="zh-CN"/>
              </w:rPr>
              <w:t>4.饮用水源保护区划</w:t>
            </w:r>
          </w:p>
          <w:p w14:paraId="7C0E1553">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w:t>
            </w:r>
            <w:r>
              <w:rPr>
                <w:rFonts w:hint="eastAsia" w:ascii="Times New Roman" w:hAnsi="Times New Roman" w:cs="Times New Roman" w:eastAsiaTheme="minorEastAsia"/>
                <w:color w:val="auto"/>
                <w:sz w:val="24"/>
                <w:szCs w:val="24"/>
                <w:highlight w:val="none"/>
                <w:lang w:val="en-US" w:eastAsia="zh-CN"/>
              </w:rPr>
              <w:t>1</w:t>
            </w:r>
            <w:r>
              <w:rPr>
                <w:rFonts w:hint="default" w:ascii="Times New Roman" w:hAnsi="Times New Roman" w:cs="Times New Roman" w:eastAsiaTheme="minorEastAsia"/>
                <w:color w:val="auto"/>
                <w:sz w:val="24"/>
                <w:szCs w:val="24"/>
                <w:highlight w:val="none"/>
                <w:lang w:val="en-US" w:eastAsia="zh-CN"/>
              </w:rPr>
              <w:t>）乡镇集中式饮用水水源保护区划</w:t>
            </w:r>
          </w:p>
          <w:p w14:paraId="58A96731">
            <w:pPr>
              <w:bidi w:val="0"/>
              <w:spacing w:line="360" w:lineRule="auto"/>
              <w:ind w:firstLine="480" w:firstLineChars="200"/>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根据《河南省人民政府办公厅关于印发河南省乡镇集中式饮用水源保护区划的通知》（豫政办</w:t>
            </w:r>
            <w:r>
              <w:rPr>
                <w:rFonts w:hint="eastAsia" w:cs="Times New Roman" w:eastAsiaTheme="minorEastAsia"/>
                <w:color w:val="auto"/>
                <w:sz w:val="24"/>
                <w:szCs w:val="24"/>
                <w:highlight w:val="none"/>
                <w:lang w:val="en-US" w:eastAsia="zh-CN"/>
              </w:rPr>
              <w:t>〔</w:t>
            </w:r>
            <w:r>
              <w:rPr>
                <w:rFonts w:hint="default" w:ascii="Times New Roman" w:hAnsi="Times New Roman" w:cs="Times New Roman" w:eastAsiaTheme="minorEastAsia"/>
                <w:color w:val="auto"/>
                <w:sz w:val="24"/>
                <w:szCs w:val="24"/>
                <w:highlight w:val="none"/>
                <w:lang w:val="en-US" w:eastAsia="zh-CN"/>
              </w:rPr>
              <w:t>2016</w:t>
            </w:r>
            <w:r>
              <w:rPr>
                <w:rFonts w:hint="eastAsia" w:cs="Times New Roman" w:eastAsiaTheme="minorEastAsia"/>
                <w:color w:val="auto"/>
                <w:sz w:val="24"/>
                <w:szCs w:val="24"/>
                <w:highlight w:val="none"/>
                <w:lang w:val="en-US" w:eastAsia="zh-CN"/>
              </w:rPr>
              <w:t>〕</w:t>
            </w:r>
            <w:r>
              <w:rPr>
                <w:rFonts w:hint="default" w:ascii="Times New Roman" w:hAnsi="Times New Roman" w:cs="Times New Roman" w:eastAsiaTheme="minorEastAsia"/>
                <w:color w:val="auto"/>
                <w:sz w:val="24"/>
                <w:szCs w:val="24"/>
                <w:highlight w:val="none"/>
                <w:lang w:val="en-US" w:eastAsia="zh-CN"/>
              </w:rPr>
              <w:t>23号），项目附近乡镇级集中式饮用水水源保护区如下：</w:t>
            </w:r>
          </w:p>
          <w:p w14:paraId="6494999B">
            <w:pPr>
              <w:bidi w:val="0"/>
              <w:spacing w:line="360" w:lineRule="auto"/>
              <w:ind w:firstLine="480" w:firstLineChars="200"/>
              <w:rPr>
                <w:rFonts w:hint="default" w:ascii="Times New Roman" w:hAnsi="Times New Roman" w:cs="Times New Roman" w:eastAsiaTheme="minorEastAsia"/>
                <w:color w:val="auto"/>
                <w:sz w:val="24"/>
                <w:szCs w:val="24"/>
                <w:highlight w:val="none"/>
                <w:lang w:val="en-US" w:eastAsia="zh-CN"/>
              </w:rPr>
            </w:pPr>
            <w:r>
              <w:rPr>
                <w:rFonts w:hint="eastAsia" w:ascii="Times New Roman" w:hAnsi="Times New Roman" w:cs="Times New Roman" w:eastAsiaTheme="minorEastAsia"/>
                <w:color w:val="auto"/>
                <w:sz w:val="24"/>
                <w:szCs w:val="24"/>
                <w:highlight w:val="none"/>
                <w:lang w:val="en-US" w:eastAsia="zh-CN"/>
              </w:rPr>
              <w:t>安阳县水冶镇地下水井群</w:t>
            </w:r>
            <w:r>
              <w:rPr>
                <w:rFonts w:hint="default" w:ascii="Times New Roman" w:hAnsi="Times New Roman" w:cs="Times New Roman" w:eastAsiaTheme="minorEastAsia"/>
                <w:color w:val="auto"/>
                <w:sz w:val="24"/>
                <w:szCs w:val="24"/>
                <w:highlight w:val="none"/>
                <w:lang w:val="en-US" w:eastAsia="zh-CN"/>
              </w:rPr>
              <w:t>（共1眼井）。</w:t>
            </w:r>
          </w:p>
          <w:p w14:paraId="310C399D">
            <w:pPr>
              <w:bidi w:val="0"/>
              <w:spacing w:line="360" w:lineRule="auto"/>
              <w:ind w:firstLine="480" w:firstLineChars="200"/>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一级保护区范围：</w:t>
            </w:r>
            <w:r>
              <w:rPr>
                <w:rFonts w:hint="eastAsia" w:ascii="Times New Roman" w:hAnsi="Times New Roman" w:cs="Times New Roman" w:eastAsiaTheme="minorEastAsia"/>
                <w:color w:val="auto"/>
                <w:sz w:val="24"/>
                <w:szCs w:val="24"/>
                <w:highlight w:val="none"/>
                <w:lang w:val="en-US" w:eastAsia="zh-CN"/>
              </w:rPr>
              <w:t>珍珠泉风景区</w:t>
            </w:r>
            <w:r>
              <w:rPr>
                <w:rFonts w:hint="default" w:ascii="Times New Roman" w:hAnsi="Times New Roman" w:cs="Times New Roman" w:eastAsiaTheme="minorEastAsia"/>
                <w:color w:val="auto"/>
                <w:sz w:val="24"/>
                <w:szCs w:val="24"/>
                <w:highlight w:val="none"/>
                <w:lang w:val="en-US" w:eastAsia="zh-CN"/>
              </w:rPr>
              <w:t>。</w:t>
            </w:r>
            <w:r>
              <w:rPr>
                <w:rFonts w:hint="eastAsia" w:ascii="Times New Roman" w:hAnsi="Times New Roman" w:cs="Times New Roman" w:eastAsiaTheme="minorEastAsia"/>
                <w:color w:val="auto"/>
                <w:sz w:val="24"/>
                <w:szCs w:val="24"/>
                <w:highlight w:val="none"/>
                <w:lang w:val="en-US" w:eastAsia="zh-CN"/>
              </w:rPr>
              <w:t>本</w:t>
            </w:r>
            <w:r>
              <w:rPr>
                <w:rFonts w:hint="default" w:ascii="Times New Roman" w:hAnsi="Times New Roman" w:cs="Times New Roman" w:eastAsiaTheme="minorEastAsia"/>
                <w:color w:val="auto"/>
                <w:sz w:val="24"/>
                <w:szCs w:val="24"/>
                <w:highlight w:val="none"/>
                <w:lang w:val="en-US" w:eastAsia="zh-CN"/>
              </w:rPr>
              <w:t>项目</w:t>
            </w:r>
            <w:r>
              <w:rPr>
                <w:rFonts w:hint="eastAsia" w:ascii="Times New Roman" w:hAnsi="Times New Roman" w:cs="Times New Roman" w:eastAsiaTheme="minorEastAsia"/>
                <w:color w:val="auto"/>
                <w:sz w:val="24"/>
                <w:szCs w:val="24"/>
                <w:highlight w:val="none"/>
                <w:lang w:val="en-US" w:eastAsia="zh-CN"/>
              </w:rPr>
              <w:t>距离珍珠泉风景区</w:t>
            </w:r>
            <w:r>
              <w:rPr>
                <w:rFonts w:hint="eastAsia" w:cs="Times New Roman" w:eastAsiaTheme="minorEastAsia"/>
                <w:color w:val="auto"/>
                <w:sz w:val="24"/>
                <w:szCs w:val="24"/>
                <w:highlight w:val="none"/>
                <w:lang w:val="en-US" w:eastAsia="zh-CN"/>
              </w:rPr>
              <w:t>8100米</w:t>
            </w:r>
            <w:r>
              <w:rPr>
                <w:rFonts w:hint="default" w:ascii="Times New Roman" w:hAnsi="Times New Roman" w:cs="Times New Roman" w:eastAsiaTheme="minorEastAsia"/>
                <w:color w:val="auto"/>
                <w:sz w:val="24"/>
                <w:szCs w:val="24"/>
                <w:highlight w:val="none"/>
                <w:lang w:val="en-US" w:eastAsia="zh-CN"/>
              </w:rPr>
              <w:t>，不在其饮用水保护区范围内。</w:t>
            </w:r>
          </w:p>
          <w:p w14:paraId="59F623F7">
            <w:pPr>
              <w:pStyle w:val="23"/>
              <w:spacing w:line="360" w:lineRule="auto"/>
              <w:ind w:firstLine="480" w:firstLineChars="200"/>
              <w:rPr>
                <w:rFonts w:hint="eastAsia" w:ascii="Times New Roman" w:hAnsi="Times New Roman" w:cs="Times New Roman" w:eastAsiaTheme="minorEastAsia"/>
                <w:b w:val="0"/>
                <w:bCs/>
                <w:color w:val="auto"/>
                <w:sz w:val="24"/>
                <w:szCs w:val="24"/>
                <w:highlight w:val="none"/>
                <w:lang w:val="en-US" w:eastAsia="zh-CN"/>
              </w:rPr>
            </w:pPr>
            <w:r>
              <w:rPr>
                <w:rFonts w:hint="eastAsia" w:ascii="Times New Roman" w:hAnsi="Times New Roman" w:cs="Times New Roman" w:eastAsiaTheme="minorEastAsia"/>
                <w:b w:val="0"/>
                <w:bCs/>
                <w:color w:val="auto"/>
                <w:sz w:val="24"/>
                <w:szCs w:val="24"/>
                <w:highlight w:val="none"/>
                <w:lang w:val="en-US" w:eastAsia="zh-CN"/>
              </w:rPr>
              <w:t>安阳县蒋村镇地下水井群（共2眼井）。</w:t>
            </w:r>
          </w:p>
          <w:p w14:paraId="3127712F">
            <w:pPr>
              <w:pStyle w:val="23"/>
              <w:spacing w:line="360" w:lineRule="auto"/>
              <w:ind w:firstLine="480" w:firstLineChars="200"/>
              <w:rPr>
                <w:rFonts w:hint="default" w:ascii="Times New Roman" w:hAnsi="Times New Roman" w:cs="Times New Roman" w:eastAsiaTheme="minorEastAsia"/>
                <w:b w:val="0"/>
                <w:bCs/>
                <w:color w:val="auto"/>
                <w:sz w:val="24"/>
                <w:szCs w:val="24"/>
                <w:highlight w:val="none"/>
                <w:lang w:val="en-US" w:eastAsia="zh-CN"/>
              </w:rPr>
            </w:pPr>
            <w:r>
              <w:rPr>
                <w:rFonts w:hint="eastAsia" w:ascii="Times New Roman" w:hAnsi="Times New Roman" w:cs="Times New Roman" w:eastAsiaTheme="minorEastAsia"/>
                <w:b w:val="0"/>
                <w:bCs/>
                <w:color w:val="auto"/>
                <w:sz w:val="24"/>
                <w:szCs w:val="24"/>
                <w:highlight w:val="none"/>
                <w:lang w:val="en-US" w:eastAsia="zh-CN"/>
              </w:rPr>
              <w:t>一级保护区范围：水厂厂区及外围西15米、北25米的区域（1号取水井），2号取水井外围30米的区域。本项目距离安阳县蒋村镇地下水井群6200米，不在其饮用水保护区范围内。</w:t>
            </w:r>
          </w:p>
          <w:p w14:paraId="5378F682">
            <w:pPr>
              <w:spacing w:line="360" w:lineRule="auto"/>
              <w:rPr>
                <w:rFonts w:hint="eastAsia"/>
                <w:b/>
                <w:color w:val="auto"/>
                <w:sz w:val="24"/>
                <w:szCs w:val="24"/>
                <w:highlight w:val="none"/>
              </w:rPr>
            </w:pPr>
            <w:r>
              <w:rPr>
                <w:rFonts w:hint="eastAsia"/>
                <w:b/>
                <w:color w:val="auto"/>
                <w:sz w:val="24"/>
                <w:szCs w:val="24"/>
                <w:highlight w:val="none"/>
              </w:rPr>
              <w:t>5</w:t>
            </w:r>
            <w:r>
              <w:rPr>
                <w:rFonts w:hint="eastAsia"/>
                <w:b/>
                <w:color w:val="auto"/>
                <w:sz w:val="24"/>
                <w:szCs w:val="24"/>
                <w:highlight w:val="none"/>
                <w:lang w:val="en-US" w:eastAsia="zh-CN"/>
              </w:rPr>
              <w:t>.</w:t>
            </w:r>
            <w:r>
              <w:rPr>
                <w:rFonts w:hint="eastAsia"/>
                <w:b/>
                <w:color w:val="auto"/>
                <w:sz w:val="24"/>
                <w:szCs w:val="24"/>
                <w:highlight w:val="none"/>
              </w:rPr>
              <w:t>与《南水北调中线一期工程总干渠（河南段）两侧饮用水水源保护区划》（豫调办</w:t>
            </w:r>
            <w:r>
              <w:rPr>
                <w:rFonts w:hint="eastAsia"/>
                <w:b/>
                <w:color w:val="auto"/>
                <w:sz w:val="24"/>
                <w:szCs w:val="24"/>
                <w:highlight w:val="none"/>
                <w:lang w:val="en-US" w:eastAsia="zh-CN"/>
              </w:rPr>
              <w:t>〔2018〕</w:t>
            </w:r>
            <w:r>
              <w:rPr>
                <w:rFonts w:hint="eastAsia"/>
                <w:b/>
                <w:color w:val="auto"/>
                <w:sz w:val="24"/>
                <w:szCs w:val="24"/>
                <w:highlight w:val="none"/>
              </w:rPr>
              <w:t>56号）相符性分析</w:t>
            </w:r>
          </w:p>
          <w:p w14:paraId="0ED1398B">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根据《南水北调中线一期工程总干渠（河南段）两侧水源保护区划定方案》，南水北调中线一期工程总干渠在河南省境内的工程类型分为建筑物段和总干渠明渠段。</w:t>
            </w:r>
          </w:p>
          <w:p w14:paraId="64700D8E">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（1）建筑物段（渡槽、倒虹吸、暗涵、隧洞）</w:t>
            </w:r>
          </w:p>
          <w:p w14:paraId="0C1CDED7">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一级保护区范围自总干渠管理范围边线（防护栏网）外延50米，不设二级保护区。</w:t>
            </w:r>
          </w:p>
          <w:p w14:paraId="523498CD">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（2）总干渠明渠段</w:t>
            </w:r>
          </w:p>
          <w:p w14:paraId="1A54E5EC">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根据地下水水位与总干渠渠底高程的关系，分为以下几种类型：</w:t>
            </w:r>
          </w:p>
          <w:p w14:paraId="3241F737">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①地下水水位低于总干渠渠底的渠段</w:t>
            </w:r>
          </w:p>
          <w:p w14:paraId="1BBA1D60">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一级保护区范围自总干渠管理范围边线（防护栏网）外延50米；</w:t>
            </w:r>
          </w:p>
          <w:p w14:paraId="1B469ABA">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二级保护区范围自一级保护区边线外延150米。</w:t>
            </w:r>
          </w:p>
          <w:p w14:paraId="7DE8131E">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②地下水水位高于总干渠渠底的渠段</w:t>
            </w:r>
          </w:p>
          <w:p w14:paraId="29B47E41">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A</w:t>
            </w:r>
            <w:r>
              <w:rPr>
                <w:rFonts w:hint="default" w:ascii="Times New Roman" w:hAnsi="Times New Roman" w:eastAsia="宋体" w:cs="Times New Roman"/>
                <w:color w:val="auto"/>
                <w:sz w:val="24"/>
                <w:szCs w:val="24"/>
                <w:highlight w:val="none"/>
              </w:rPr>
              <w:t>.微~弱透水性地层</w:t>
            </w:r>
          </w:p>
          <w:p w14:paraId="0A4F926E">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一级保护区范围自总干渠管理范围边线（防护栏网）外延50米；</w:t>
            </w:r>
          </w:p>
          <w:p w14:paraId="0920C695">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二级保护区范围自一级保护区边线外延500米。</w:t>
            </w:r>
          </w:p>
          <w:p w14:paraId="423FBE90">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B</w:t>
            </w:r>
            <w:r>
              <w:rPr>
                <w:rFonts w:hint="default" w:ascii="Times New Roman" w:hAnsi="Times New Roman" w:eastAsia="宋体" w:cs="Times New Roman"/>
                <w:color w:val="auto"/>
                <w:sz w:val="24"/>
                <w:szCs w:val="24"/>
                <w:highlight w:val="none"/>
              </w:rPr>
              <w:t>.弱~中等透水性地层</w:t>
            </w:r>
          </w:p>
          <w:p w14:paraId="1F771309">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一级保护区范围自总干渠管理范围边线（防护栏网）外延100米；</w:t>
            </w:r>
          </w:p>
          <w:p w14:paraId="594B1A7F">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二级保护区范围自一级保护区边线外延1000米。</w:t>
            </w:r>
          </w:p>
          <w:p w14:paraId="2E9459FC">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C</w:t>
            </w:r>
            <w:r>
              <w:rPr>
                <w:rFonts w:hint="default" w:ascii="Times New Roman" w:hAnsi="Times New Roman" w:eastAsia="宋体" w:cs="Times New Roman"/>
                <w:color w:val="auto"/>
                <w:sz w:val="24"/>
                <w:szCs w:val="24"/>
                <w:highlight w:val="none"/>
              </w:rPr>
              <w:t>.强透水性地层</w:t>
            </w:r>
          </w:p>
          <w:p w14:paraId="2C8CFE7C">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一级保护区范围自总干渠管理范围边线（防护栏网）外延200米；</w:t>
            </w:r>
          </w:p>
          <w:p w14:paraId="39CBE911">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二级保护区范围自一级保护区边线外延2000米、1500米。</w:t>
            </w:r>
          </w:p>
          <w:p w14:paraId="32C1DF96">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经查阅《南水北调中线一期工程总干渠（安阳市段）两侧饮用水水源保护区图册》（2018年6月），安阳市段保护区范围图（</w:t>
            </w:r>
            <w:r>
              <w:rPr>
                <w:rFonts w:hint="default" w:ascii="Times New Roman" w:hAnsi="Times New Roman" w:eastAsia="宋体" w:cs="Times New Roman"/>
                <w:color w:val="auto"/>
                <w:sz w:val="24"/>
                <w:szCs w:val="24"/>
                <w:highlight w:val="none"/>
                <w:lang w:eastAsia="zh-CN"/>
              </w:rPr>
              <w:t>曲沟镇</w:t>
            </w:r>
            <w:r>
              <w:rPr>
                <w:rFonts w:hint="default" w:ascii="Times New Roman" w:hAnsi="Times New Roman" w:eastAsia="宋体" w:cs="Times New Roman"/>
                <w:color w:val="auto"/>
                <w:sz w:val="24"/>
                <w:szCs w:val="24"/>
                <w:highlight w:val="none"/>
              </w:rPr>
              <w:t>）（桩号：HZ</w:t>
            </w:r>
            <w:r>
              <w:rPr>
                <w:rFonts w:hint="default" w:ascii="Times New Roman" w:hAnsi="Times New Roman" w:eastAsia="宋体" w:cs="Times New Roman"/>
                <w:color w:val="auto"/>
                <w:sz w:val="24"/>
                <w:szCs w:val="24"/>
                <w:highlight w:val="none"/>
                <w:lang w:val="en-US" w:eastAsia="zh-CN"/>
              </w:rPr>
              <w:t>206+051</w:t>
            </w:r>
            <w:r>
              <w:rPr>
                <w:rFonts w:hint="default" w:ascii="Times New Roman" w:hAnsi="Times New Roman" w:eastAsia="宋体" w:cs="Times New Roman"/>
                <w:color w:val="auto"/>
                <w:sz w:val="24"/>
                <w:szCs w:val="24"/>
                <w:highlight w:val="none"/>
              </w:rPr>
              <w:t>~HZ</w:t>
            </w:r>
            <w:r>
              <w:rPr>
                <w:rFonts w:hint="default" w:ascii="Times New Roman" w:hAnsi="Times New Roman" w:eastAsia="宋体" w:cs="Times New Roman"/>
                <w:color w:val="auto"/>
                <w:sz w:val="24"/>
                <w:szCs w:val="24"/>
                <w:highlight w:val="none"/>
                <w:lang w:val="en-US" w:eastAsia="zh-CN"/>
              </w:rPr>
              <w:t>216</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909.2</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一级保护区宽度为50m、二级保护区宽度为500m</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桩号：HZ</w:t>
            </w:r>
            <w:r>
              <w:rPr>
                <w:rFonts w:hint="default" w:ascii="Times New Roman" w:hAnsi="Times New Roman" w:eastAsia="宋体" w:cs="Times New Roman"/>
                <w:color w:val="auto"/>
                <w:sz w:val="24"/>
                <w:szCs w:val="24"/>
                <w:highlight w:val="none"/>
                <w:lang w:val="en-US" w:eastAsia="zh-CN"/>
              </w:rPr>
              <w:t>216+909.2</w:t>
            </w:r>
            <w:r>
              <w:rPr>
                <w:rFonts w:hint="default" w:ascii="Times New Roman" w:hAnsi="Times New Roman" w:eastAsia="宋体" w:cs="Times New Roman"/>
                <w:color w:val="auto"/>
                <w:sz w:val="24"/>
                <w:szCs w:val="24"/>
                <w:highlight w:val="none"/>
              </w:rPr>
              <w:t>~HZ</w:t>
            </w:r>
            <w:r>
              <w:rPr>
                <w:rFonts w:hint="default" w:ascii="Times New Roman" w:hAnsi="Times New Roman" w:eastAsia="宋体" w:cs="Times New Roman"/>
                <w:color w:val="auto"/>
                <w:sz w:val="24"/>
                <w:szCs w:val="24"/>
                <w:highlight w:val="none"/>
                <w:lang w:val="en-US" w:eastAsia="zh-CN"/>
              </w:rPr>
              <w:t>223</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544.8</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一级保护区宽度为50m、二级保护区宽度为</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50m</w:t>
            </w:r>
            <w:r>
              <w:rPr>
                <w:rFonts w:hint="default" w:ascii="Times New Roman" w:hAnsi="Times New Roman" w:eastAsia="宋体" w:cs="Times New Roman"/>
                <w:color w:val="auto"/>
                <w:sz w:val="24"/>
                <w:szCs w:val="24"/>
                <w:highlight w:val="none"/>
                <w:lang w:eastAsia="zh-CN"/>
              </w:rPr>
              <w:t>）</w:t>
            </w:r>
            <w:r>
              <w:rPr>
                <w:rFonts w:hint="eastAsia"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本项目距离南水北调干渠1670m，</w:t>
            </w:r>
            <w:r>
              <w:rPr>
                <w:rFonts w:hint="default" w:ascii="Times New Roman" w:hAnsi="Times New Roman" w:eastAsia="宋体" w:cs="Times New Roman"/>
                <w:color w:val="auto"/>
                <w:sz w:val="24"/>
                <w:szCs w:val="24"/>
                <w:highlight w:val="none"/>
                <w:lang w:eastAsia="zh-CN"/>
              </w:rPr>
              <w:t>不在南水北调保护区范围内</w:t>
            </w:r>
            <w:r>
              <w:rPr>
                <w:rFonts w:hint="default" w:ascii="Times New Roman" w:hAnsi="Times New Roman" w:eastAsia="宋体" w:cs="Times New Roman"/>
                <w:color w:val="auto"/>
                <w:sz w:val="24"/>
                <w:szCs w:val="24"/>
                <w:highlight w:val="none"/>
              </w:rPr>
              <w:t>。</w:t>
            </w:r>
          </w:p>
          <w:p w14:paraId="4B6991F4">
            <w:pPr>
              <w:keepNext w:val="0"/>
              <w:keepLines w:val="0"/>
              <w:pageBreakBefore w:val="0"/>
              <w:widowControl w:val="0"/>
              <w:kinsoku/>
              <w:wordWrap/>
              <w:overflowPunct/>
              <w:topLinePunct w:val="0"/>
              <w:autoSpaceDE w:val="0"/>
              <w:autoSpaceDN w:val="0"/>
              <w:bidi w:val="0"/>
              <w:adjustRightInd w:val="0"/>
              <w:snapToGrid w:val="0"/>
              <w:spacing w:line="360" w:lineRule="auto"/>
              <w:contextualSpacing/>
              <w:textAlignment w:val="auto"/>
              <w:rPr>
                <w:rFonts w:hint="default" w:ascii="Times New Roman" w:hAnsi="Times New Roman" w:eastAsia="宋体" w:cs="Times New Roman"/>
                <w:b/>
                <w:bCs/>
                <w:color w:val="auto"/>
                <w:sz w:val="24"/>
                <w:szCs w:val="24"/>
                <w:highlight w:val="none"/>
                <w:u w:val="none" w:color="auto"/>
                <w:lang w:val="en-US" w:eastAsia="zh-CN"/>
              </w:rPr>
            </w:pPr>
            <w:r>
              <w:rPr>
                <w:rFonts w:hint="eastAsia" w:cs="Times New Roman" w:eastAsiaTheme="minorEastAsia"/>
                <w:b/>
                <w:bCs/>
                <w:color w:val="auto"/>
                <w:sz w:val="24"/>
                <w:szCs w:val="24"/>
                <w:highlight w:val="none"/>
                <w:lang w:val="en-US" w:eastAsia="zh-CN"/>
              </w:rPr>
              <w:t>6.与</w:t>
            </w:r>
            <w:r>
              <w:rPr>
                <w:rFonts w:hint="eastAsia" w:ascii="Times New Roman" w:hAnsi="Times New Roman" w:eastAsia="宋体" w:cs="Times New Roman"/>
                <w:b/>
                <w:bCs/>
                <w:color w:val="auto"/>
                <w:sz w:val="24"/>
                <w:szCs w:val="24"/>
                <w:highlight w:val="none"/>
                <w:u w:val="none" w:color="auto"/>
                <w:lang w:val="en-US" w:eastAsia="zh-CN"/>
              </w:rPr>
              <w:t>《水利建设项目（河湖整治与防洪除涝工程）环境影响评价文件审批原则》相符性分析</w:t>
            </w:r>
          </w:p>
          <w:p w14:paraId="53D2F71A">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80" w:firstLineChars="200"/>
              <w:contextualSpacing/>
              <w:textAlignment w:val="auto"/>
              <w:rPr>
                <w:rFonts w:hint="eastAsia" w:ascii="Times New Roman" w:hAnsi="Times New Roman" w:eastAsia="宋体" w:cs="Times New Roman"/>
                <w:b w:val="0"/>
                <w:bCs w:val="0"/>
                <w:color w:val="auto"/>
                <w:sz w:val="24"/>
                <w:szCs w:val="24"/>
                <w:highlight w:val="none"/>
                <w:u w:val="none" w:color="auto"/>
                <w:lang w:val="en-US" w:eastAsia="zh-CN"/>
              </w:rPr>
            </w:pPr>
            <w:r>
              <w:rPr>
                <w:rFonts w:hint="eastAsia" w:ascii="Times New Roman" w:hAnsi="Times New Roman" w:eastAsia="宋体" w:cs="Times New Roman"/>
                <w:b w:val="0"/>
                <w:bCs w:val="0"/>
                <w:color w:val="auto"/>
                <w:sz w:val="24"/>
                <w:szCs w:val="24"/>
                <w:highlight w:val="none"/>
                <w:u w:val="none" w:color="auto"/>
                <w:lang w:val="en-US" w:eastAsia="zh-CN"/>
              </w:rPr>
              <w:t>具体对比情况见下表。</w:t>
            </w:r>
          </w:p>
          <w:tbl>
            <w:tblPr>
              <w:tblStyle w:val="1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38"/>
              <w:gridCol w:w="3848"/>
              <w:gridCol w:w="3180"/>
            </w:tblGrid>
            <w:tr w14:paraId="7AA397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800" w:type="pct"/>
                  <w:tcBorders>
                    <w:tl2br w:val="nil"/>
                    <w:tr2bl w:val="nil"/>
                  </w:tcBorders>
                  <w:noWrap w:val="0"/>
                  <w:vAlign w:val="center"/>
                </w:tcPr>
                <w:p w14:paraId="126C89B3">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bCs/>
                      <w:color w:val="auto"/>
                      <w:kern w:val="0"/>
                      <w:sz w:val="21"/>
                      <w:szCs w:val="21"/>
                      <w:highlight w:val="none"/>
                      <w:u w:val="none" w:color="auto"/>
                      <w:lang w:val="en-US" w:eastAsia="zh-CN" w:bidi="ar"/>
                    </w:rPr>
                  </w:pPr>
                  <w:r>
                    <w:rPr>
                      <w:rFonts w:hint="eastAsia" w:ascii="Times New Roman" w:hAnsi="Times New Roman" w:eastAsia="宋体" w:cs="Times New Roman"/>
                      <w:b/>
                      <w:bCs/>
                      <w:color w:val="auto"/>
                      <w:kern w:val="0"/>
                      <w:sz w:val="21"/>
                      <w:szCs w:val="21"/>
                      <w:highlight w:val="none"/>
                      <w:u w:val="none" w:color="auto"/>
                      <w:lang w:val="en-US" w:eastAsia="zh-CN" w:bidi="ar"/>
                    </w:rPr>
                    <w:t>序号</w:t>
                  </w:r>
                </w:p>
              </w:tc>
              <w:tc>
                <w:tcPr>
                  <w:tcW w:w="2299" w:type="pct"/>
                  <w:tcBorders>
                    <w:tl2br w:val="nil"/>
                    <w:tr2bl w:val="nil"/>
                  </w:tcBorders>
                  <w:noWrap w:val="0"/>
                  <w:vAlign w:val="center"/>
                </w:tcPr>
                <w:p w14:paraId="30A03BCA">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bCs/>
                      <w:color w:val="auto"/>
                      <w:kern w:val="0"/>
                      <w:sz w:val="21"/>
                      <w:szCs w:val="21"/>
                      <w:highlight w:val="none"/>
                      <w:u w:val="none" w:color="auto"/>
                      <w:lang w:val="en-US" w:eastAsia="zh-CN" w:bidi="ar"/>
                    </w:rPr>
                  </w:pPr>
                  <w:r>
                    <w:rPr>
                      <w:rFonts w:hint="eastAsia" w:ascii="Times New Roman" w:hAnsi="Times New Roman" w:eastAsia="宋体" w:cs="Times New Roman"/>
                      <w:b/>
                      <w:bCs/>
                      <w:color w:val="auto"/>
                      <w:kern w:val="0"/>
                      <w:sz w:val="21"/>
                      <w:szCs w:val="21"/>
                      <w:highlight w:val="none"/>
                      <w:u w:val="none" w:color="auto"/>
                      <w:lang w:val="en-US" w:eastAsia="zh-CN" w:bidi="ar"/>
                    </w:rPr>
                    <w:t>文件要求</w:t>
                  </w:r>
                </w:p>
              </w:tc>
              <w:tc>
                <w:tcPr>
                  <w:tcW w:w="1900" w:type="pct"/>
                  <w:tcBorders>
                    <w:tl2br w:val="nil"/>
                    <w:tr2bl w:val="nil"/>
                  </w:tcBorders>
                  <w:noWrap w:val="0"/>
                  <w:vAlign w:val="center"/>
                </w:tcPr>
                <w:p w14:paraId="013AC415">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
                      <w:bCs/>
                      <w:color w:val="auto"/>
                      <w:kern w:val="0"/>
                      <w:sz w:val="21"/>
                      <w:szCs w:val="21"/>
                      <w:highlight w:val="none"/>
                      <w:u w:val="none" w:color="auto"/>
                      <w:lang w:val="en-US" w:eastAsia="zh-CN" w:bidi="ar"/>
                    </w:rPr>
                  </w:pPr>
                  <w:r>
                    <w:rPr>
                      <w:rFonts w:hint="eastAsia" w:ascii="Times New Roman" w:hAnsi="Times New Roman" w:eastAsia="宋体" w:cs="Times New Roman"/>
                      <w:b/>
                      <w:bCs/>
                      <w:color w:val="auto"/>
                      <w:kern w:val="0"/>
                      <w:sz w:val="21"/>
                      <w:szCs w:val="21"/>
                      <w:highlight w:val="none"/>
                      <w:u w:val="none" w:color="auto"/>
                      <w:lang w:val="en-US" w:eastAsia="zh-CN" w:bidi="ar"/>
                    </w:rPr>
                    <w:t>本项目情况</w:t>
                  </w:r>
                </w:p>
              </w:tc>
            </w:tr>
            <w:tr w14:paraId="61DBAF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800" w:type="pct"/>
                  <w:tcBorders>
                    <w:tl2br w:val="nil"/>
                    <w:tr2bl w:val="nil"/>
                  </w:tcBorders>
                  <w:noWrap w:val="0"/>
                  <w:vAlign w:val="center"/>
                </w:tcPr>
                <w:p w14:paraId="327D4E12">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第一条</w:t>
                  </w:r>
                </w:p>
              </w:tc>
              <w:tc>
                <w:tcPr>
                  <w:tcW w:w="2299" w:type="pct"/>
                  <w:tcBorders>
                    <w:tl2br w:val="nil"/>
                    <w:tr2bl w:val="nil"/>
                  </w:tcBorders>
                  <w:noWrap w:val="0"/>
                  <w:vAlign w:val="top"/>
                </w:tcPr>
                <w:p w14:paraId="0CD2FFE8">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本原则适用于河湖整治与防洪除涝工程环境影响评价文件的审批，工程建设内容包括疏浚、堤防建设、闸坝闸站建设、岸线治理、水系连通、蓄（滞）洪区建设、排涝治理等（引调水、防洪水库等水利枢纽工程除外）。其他类似工程可参照执行。</w:t>
                  </w:r>
                </w:p>
              </w:tc>
              <w:tc>
                <w:tcPr>
                  <w:tcW w:w="1900" w:type="pct"/>
                  <w:tcBorders>
                    <w:tl2br w:val="nil"/>
                    <w:tr2bl w:val="nil"/>
                  </w:tcBorders>
                  <w:noWrap w:val="0"/>
                  <w:vAlign w:val="top"/>
                </w:tcPr>
                <w:p w14:paraId="355C32C3">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本项目为安阳市殷都区老万金渠内河向外河排涝通道建设项目。</w:t>
                  </w:r>
                </w:p>
              </w:tc>
            </w:tr>
            <w:tr w14:paraId="701CBA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800" w:type="pct"/>
                  <w:tcBorders>
                    <w:tl2br w:val="nil"/>
                    <w:tr2bl w:val="nil"/>
                  </w:tcBorders>
                  <w:noWrap w:val="0"/>
                  <w:vAlign w:val="center"/>
                </w:tcPr>
                <w:p w14:paraId="24134894">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第二条</w:t>
                  </w:r>
                </w:p>
              </w:tc>
              <w:tc>
                <w:tcPr>
                  <w:tcW w:w="2299" w:type="pct"/>
                  <w:tcBorders>
                    <w:tl2br w:val="nil"/>
                    <w:tr2bl w:val="nil"/>
                  </w:tcBorders>
                  <w:noWrap w:val="0"/>
                  <w:vAlign w:val="top"/>
                </w:tcPr>
                <w:p w14:paraId="357CC380">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项目符合环境保护相关法律法规和政策要求，与主体功能区规划、生态功能区划、水环境功能区划、水功能区划、生态环境保护规划、流域综合规划、防洪规划等相协调，满足相关规划环评要求。工程涉及岸线调整（治导线变化）、裁弯取直、围垦水面和占用河湖滩地等建设内容的，充分论证了方案环境可行性，最大程度保持了河湖自然形态，最大限度维护了河湖健康、生态系统功能和生物多样性。</w:t>
                  </w:r>
                </w:p>
              </w:tc>
              <w:tc>
                <w:tcPr>
                  <w:tcW w:w="1900" w:type="pct"/>
                  <w:tcBorders>
                    <w:tl2br w:val="nil"/>
                    <w:tr2bl w:val="nil"/>
                  </w:tcBorders>
                  <w:noWrap w:val="0"/>
                  <w:vAlign w:val="top"/>
                </w:tcPr>
                <w:p w14:paraId="777794DC">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本项目为安阳市殷都区老万金渠内河向外河排涝通道建设项目</w:t>
                  </w:r>
                  <w:r>
                    <w:rPr>
                      <w:rFonts w:hint="eastAsia" w:ascii="Times New Roman" w:hAnsi="Times New Roman" w:cs="Times New Roman"/>
                      <w:b w:val="0"/>
                      <w:bCs w:val="0"/>
                      <w:color w:val="auto"/>
                      <w:sz w:val="21"/>
                      <w:szCs w:val="21"/>
                      <w:highlight w:val="none"/>
                      <w:lang w:eastAsia="zh-CN"/>
                    </w:rPr>
                    <w:t>，可行性研究报告经充分论证可行性，已经安阳市殷都区发展和改革委员会审批，审批文号：安殷发改审批</w:t>
                  </w:r>
                  <w:r>
                    <w:rPr>
                      <w:rFonts w:hint="eastAsia" w:ascii="Times New Roman" w:hAnsi="Times New Roman" w:eastAsia="宋体" w:cs="Times New Roman"/>
                      <w:b w:val="0"/>
                      <w:bCs w:val="0"/>
                      <w:i w:val="0"/>
                      <w:iCs w:val="0"/>
                      <w:color w:val="auto"/>
                      <w:sz w:val="21"/>
                      <w:szCs w:val="21"/>
                      <w:highlight w:val="none"/>
                      <w:u w:val="none"/>
                      <w:lang w:val="en-US" w:eastAsia="zh-CN"/>
                    </w:rPr>
                    <w:t>〔2024〕33号；本项目建设符合</w:t>
                  </w:r>
                  <w:r>
                    <w:rPr>
                      <w:rFonts w:hint="default" w:ascii="Times New Roman" w:hAnsi="Times New Roman" w:cs="Times New Roman"/>
                      <w:b w:val="0"/>
                      <w:bCs/>
                      <w:color w:val="auto"/>
                      <w:sz w:val="21"/>
                      <w:szCs w:val="21"/>
                      <w:highlight w:val="none"/>
                      <w:u w:val="none" w:color="auto"/>
                      <w:lang w:val="en-US" w:eastAsia="zh-CN"/>
                    </w:rPr>
                    <w:t>《</w:t>
                  </w:r>
                  <w:r>
                    <w:rPr>
                      <w:rFonts w:hint="default" w:ascii="Times New Roman" w:hAnsi="Times New Roman" w:cs="Times New Roman"/>
                      <w:b w:val="0"/>
                      <w:bCs/>
                      <w:color w:val="auto"/>
                      <w:sz w:val="21"/>
                      <w:szCs w:val="21"/>
                      <w:highlight w:val="none"/>
                      <w:u w:val="none" w:color="auto"/>
                    </w:rPr>
                    <w:t>安阳市“三线一单”生态环境分区管控准入清单（</w:t>
                  </w:r>
                  <w:r>
                    <w:rPr>
                      <w:rFonts w:hint="default" w:ascii="Times New Roman" w:hAnsi="Times New Roman" w:cs="Times New Roman"/>
                      <w:b w:val="0"/>
                      <w:bCs/>
                      <w:color w:val="auto"/>
                      <w:sz w:val="21"/>
                      <w:szCs w:val="21"/>
                      <w:highlight w:val="none"/>
                      <w:u w:val="none" w:color="auto"/>
                      <w:lang w:val="en-US" w:eastAsia="zh-CN"/>
                    </w:rPr>
                    <w:t>2023年版</w:t>
                  </w:r>
                  <w:r>
                    <w:rPr>
                      <w:rFonts w:hint="default" w:ascii="Times New Roman" w:hAnsi="Times New Roman" w:cs="Times New Roman"/>
                      <w:b w:val="0"/>
                      <w:bCs/>
                      <w:color w:val="auto"/>
                      <w:sz w:val="21"/>
                      <w:szCs w:val="21"/>
                      <w:highlight w:val="none"/>
                      <w:u w:val="none" w:color="auto"/>
                    </w:rPr>
                    <w:t>）》（安环函[202</w:t>
                  </w:r>
                  <w:r>
                    <w:rPr>
                      <w:rFonts w:hint="default" w:ascii="Times New Roman" w:hAnsi="Times New Roman" w:cs="Times New Roman"/>
                      <w:b w:val="0"/>
                      <w:bCs/>
                      <w:color w:val="auto"/>
                      <w:sz w:val="21"/>
                      <w:szCs w:val="21"/>
                      <w:highlight w:val="none"/>
                      <w:u w:val="none" w:color="auto"/>
                      <w:lang w:val="en-US" w:eastAsia="zh-CN"/>
                    </w:rPr>
                    <w:t>3</w:t>
                  </w:r>
                  <w:r>
                    <w:rPr>
                      <w:rFonts w:hint="default" w:ascii="Times New Roman" w:hAnsi="Times New Roman" w:cs="Times New Roman"/>
                      <w:b w:val="0"/>
                      <w:bCs/>
                      <w:color w:val="auto"/>
                      <w:sz w:val="21"/>
                      <w:szCs w:val="21"/>
                      <w:highlight w:val="none"/>
                      <w:u w:val="none" w:color="auto"/>
                    </w:rPr>
                    <w:t>]</w:t>
                  </w:r>
                  <w:r>
                    <w:rPr>
                      <w:rFonts w:hint="eastAsia" w:ascii="Times New Roman" w:hAnsi="Times New Roman" w:cs="Times New Roman"/>
                      <w:b w:val="0"/>
                      <w:bCs/>
                      <w:color w:val="auto"/>
                      <w:sz w:val="21"/>
                      <w:szCs w:val="21"/>
                      <w:highlight w:val="none"/>
                      <w:u w:val="none" w:color="auto"/>
                      <w:lang w:val="en-US" w:eastAsia="zh-CN"/>
                    </w:rPr>
                    <w:t>60</w:t>
                  </w:r>
                  <w:r>
                    <w:rPr>
                      <w:rFonts w:hint="default" w:ascii="Times New Roman" w:hAnsi="Times New Roman" w:cs="Times New Roman"/>
                      <w:b w:val="0"/>
                      <w:bCs/>
                      <w:color w:val="auto"/>
                      <w:sz w:val="21"/>
                      <w:szCs w:val="21"/>
                      <w:highlight w:val="none"/>
                      <w:u w:val="none" w:color="auto"/>
                    </w:rPr>
                    <w:t>号）</w:t>
                  </w:r>
                  <w:r>
                    <w:rPr>
                      <w:rFonts w:hint="default" w:ascii="Times New Roman" w:hAnsi="Times New Roman" w:cs="Times New Roman"/>
                      <w:b w:val="0"/>
                      <w:bCs/>
                      <w:color w:val="auto"/>
                      <w:sz w:val="21"/>
                      <w:szCs w:val="21"/>
                      <w:highlight w:val="none"/>
                      <w:u w:val="none" w:color="auto"/>
                      <w:lang w:val="en-US" w:eastAsia="zh-CN"/>
                    </w:rPr>
                    <w:t>相关要求</w:t>
                  </w:r>
                  <w:r>
                    <w:rPr>
                      <w:rFonts w:hint="eastAsia" w:ascii="Times New Roman" w:hAnsi="Times New Roman" w:cs="Times New Roman"/>
                      <w:b w:val="0"/>
                      <w:bCs/>
                      <w:color w:val="auto"/>
                      <w:sz w:val="21"/>
                      <w:szCs w:val="21"/>
                      <w:highlight w:val="none"/>
                      <w:u w:val="none" w:color="auto"/>
                      <w:lang w:val="en-US" w:eastAsia="zh-CN"/>
                    </w:rPr>
                    <w:t>，同时本项目为</w:t>
                  </w:r>
                  <w:r>
                    <w:rPr>
                      <w:rFonts w:hint="default" w:ascii="Times New Roman" w:hAnsi="Times New Roman" w:eastAsia="宋体" w:cs="Times New Roman"/>
                      <w:b w:val="0"/>
                      <w:bCs w:val="0"/>
                      <w:snapToGrid/>
                      <w:color w:val="auto"/>
                      <w:kern w:val="2"/>
                      <w:sz w:val="21"/>
                      <w:szCs w:val="21"/>
                      <w:highlight w:val="none"/>
                      <w:u w:val="none" w:color="auto"/>
                      <w:lang w:val="en-US" w:eastAsia="zh-CN" w:bidi="ar-SA"/>
                    </w:rPr>
                    <w:t>河道综合治理，提高河道防洪能力，提升</w:t>
                  </w:r>
                  <w:r>
                    <w:rPr>
                      <w:rFonts w:hint="eastAsia" w:ascii="Times New Roman" w:hAnsi="Times New Roman" w:eastAsia="宋体" w:cs="Times New Roman"/>
                      <w:b w:val="0"/>
                      <w:bCs w:val="0"/>
                      <w:snapToGrid/>
                      <w:color w:val="auto"/>
                      <w:kern w:val="2"/>
                      <w:sz w:val="21"/>
                      <w:szCs w:val="21"/>
                      <w:highlight w:val="none"/>
                      <w:u w:val="none" w:color="auto"/>
                      <w:lang w:val="en-US" w:eastAsia="zh-CN" w:bidi="ar-SA"/>
                    </w:rPr>
                    <w:t>河道</w:t>
                  </w:r>
                  <w:r>
                    <w:rPr>
                      <w:rFonts w:hint="default" w:ascii="Times New Roman" w:hAnsi="Times New Roman" w:eastAsia="宋体" w:cs="Times New Roman"/>
                      <w:b w:val="0"/>
                      <w:bCs w:val="0"/>
                      <w:snapToGrid/>
                      <w:color w:val="auto"/>
                      <w:kern w:val="2"/>
                      <w:sz w:val="21"/>
                      <w:szCs w:val="21"/>
                      <w:highlight w:val="none"/>
                      <w:u w:val="none" w:color="auto"/>
                      <w:lang w:val="en-US" w:eastAsia="zh-CN" w:bidi="ar-SA"/>
                    </w:rPr>
                    <w:t>生态环境</w:t>
                  </w:r>
                  <w:r>
                    <w:rPr>
                      <w:rFonts w:hint="eastAsia" w:ascii="Times New Roman" w:hAnsi="Times New Roman" w:eastAsia="宋体" w:cs="Times New Roman"/>
                      <w:b w:val="0"/>
                      <w:bCs w:val="0"/>
                      <w:snapToGrid/>
                      <w:color w:val="auto"/>
                      <w:kern w:val="2"/>
                      <w:sz w:val="21"/>
                      <w:szCs w:val="21"/>
                      <w:highlight w:val="none"/>
                      <w:u w:val="none" w:color="auto"/>
                      <w:lang w:val="en-US" w:eastAsia="zh-CN" w:bidi="ar-SA"/>
                    </w:rPr>
                    <w:t>。</w:t>
                  </w:r>
                </w:p>
              </w:tc>
            </w:tr>
            <w:tr w14:paraId="5B2253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800" w:type="pct"/>
                  <w:tcBorders>
                    <w:tl2br w:val="nil"/>
                    <w:tr2bl w:val="nil"/>
                  </w:tcBorders>
                  <w:noWrap w:val="0"/>
                  <w:vAlign w:val="center"/>
                </w:tcPr>
                <w:p w14:paraId="241F0CD1">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第三条</w:t>
                  </w:r>
                </w:p>
              </w:tc>
              <w:tc>
                <w:tcPr>
                  <w:tcW w:w="2299" w:type="pct"/>
                  <w:tcBorders>
                    <w:tl2br w:val="nil"/>
                    <w:tr2bl w:val="nil"/>
                  </w:tcBorders>
                  <w:noWrap w:val="0"/>
                  <w:vAlign w:val="top"/>
                </w:tcPr>
                <w:p w14:paraId="5BF0CBF5">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工程选址选线、施工布置原则上不占用自然保护区、风景名胜区、世界文化和自然遗产地以及其他生态保护红线等环境敏感区中法律法规禁止占用的区域，并与饮用水水源保护区的保护要求相协调。法律法规、政策另有规定的从其规定。</w:t>
                  </w:r>
                </w:p>
              </w:tc>
              <w:tc>
                <w:tcPr>
                  <w:tcW w:w="1900" w:type="pct"/>
                  <w:tcBorders>
                    <w:tl2br w:val="nil"/>
                    <w:tr2bl w:val="nil"/>
                  </w:tcBorders>
                  <w:noWrap w:val="0"/>
                  <w:vAlign w:val="top"/>
                </w:tcPr>
                <w:p w14:paraId="7ACB54A6">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本工程选址选线、施工布置原则上不占用自然保护区、风景名胜区、世界文化和自然遗产地以及其他生态保护红线等环境敏感区，不涉及饮用水水源保护区。</w:t>
                  </w:r>
                </w:p>
              </w:tc>
            </w:tr>
            <w:tr w14:paraId="547161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800" w:type="pct"/>
                  <w:tcBorders>
                    <w:tl2br w:val="nil"/>
                    <w:tr2bl w:val="nil"/>
                  </w:tcBorders>
                  <w:noWrap w:val="0"/>
                  <w:vAlign w:val="center"/>
                </w:tcPr>
                <w:p w14:paraId="6A1094FB">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第四条</w:t>
                  </w:r>
                </w:p>
              </w:tc>
              <w:tc>
                <w:tcPr>
                  <w:tcW w:w="2299" w:type="pct"/>
                  <w:tcBorders>
                    <w:tl2br w:val="nil"/>
                    <w:tr2bl w:val="nil"/>
                  </w:tcBorders>
                  <w:noWrap w:val="0"/>
                  <w:vAlign w:val="top"/>
                </w:tcPr>
                <w:p w14:paraId="3447F1FC">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项目实施改变水动力条件或水文过程且对水质产生不利影响的，提出了工程优化调整、科学调度、实施区域流域水污染防治等措施。对地下水环境产生不利影响或次生环境影响的，提出了优化工程设计、导排、防护等针对性的防治措施。</w:t>
                  </w:r>
                </w:p>
                <w:p w14:paraId="2A13DD9E">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在采取上述措施后，对水环境的不利影响能够得到缓解和控制，居民用水安全能够得到保障，相关区域不会出现显著的土壤潜育化、沼泽化、盐碱化等次生环境问题。</w:t>
                  </w:r>
                </w:p>
              </w:tc>
              <w:tc>
                <w:tcPr>
                  <w:tcW w:w="1900" w:type="pct"/>
                  <w:tcBorders>
                    <w:tl2br w:val="nil"/>
                    <w:tr2bl w:val="nil"/>
                  </w:tcBorders>
                  <w:noWrap w:val="0"/>
                  <w:vAlign w:val="top"/>
                </w:tcPr>
                <w:p w14:paraId="6C756215">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本项目实施是对万金渠</w:t>
                  </w:r>
                  <w:r>
                    <w:rPr>
                      <w:rFonts w:hint="default" w:ascii="Times New Roman" w:hAnsi="Times New Roman" w:eastAsia="宋体" w:cs="Times New Roman"/>
                      <w:b w:val="0"/>
                      <w:bCs w:val="0"/>
                      <w:snapToGrid/>
                      <w:color w:val="auto"/>
                      <w:kern w:val="2"/>
                      <w:sz w:val="21"/>
                      <w:szCs w:val="21"/>
                      <w:highlight w:val="none"/>
                      <w:u w:val="none" w:color="auto"/>
                      <w:lang w:val="en-US" w:eastAsia="zh-CN" w:bidi="ar-SA"/>
                    </w:rPr>
                    <w:t>河道综合治理，提高河道防洪能力，提升</w:t>
                  </w:r>
                  <w:r>
                    <w:rPr>
                      <w:rFonts w:hint="eastAsia" w:ascii="Times New Roman" w:hAnsi="Times New Roman" w:eastAsia="宋体" w:cs="Times New Roman"/>
                      <w:b w:val="0"/>
                      <w:bCs w:val="0"/>
                      <w:snapToGrid/>
                      <w:color w:val="auto"/>
                      <w:kern w:val="2"/>
                      <w:sz w:val="21"/>
                      <w:szCs w:val="21"/>
                      <w:highlight w:val="none"/>
                      <w:u w:val="none" w:color="auto"/>
                      <w:lang w:val="en-US" w:eastAsia="zh-CN" w:bidi="ar-SA"/>
                    </w:rPr>
                    <w:t>河道</w:t>
                  </w:r>
                  <w:r>
                    <w:rPr>
                      <w:rFonts w:hint="default" w:ascii="Times New Roman" w:hAnsi="Times New Roman" w:eastAsia="宋体" w:cs="Times New Roman"/>
                      <w:b w:val="0"/>
                      <w:bCs w:val="0"/>
                      <w:snapToGrid/>
                      <w:color w:val="auto"/>
                      <w:kern w:val="2"/>
                      <w:sz w:val="21"/>
                      <w:szCs w:val="21"/>
                      <w:highlight w:val="none"/>
                      <w:u w:val="none" w:color="auto"/>
                      <w:lang w:val="en-US" w:eastAsia="zh-CN" w:bidi="ar-SA"/>
                    </w:rPr>
                    <w:t>生态环境</w:t>
                  </w:r>
                  <w:r>
                    <w:rPr>
                      <w:rFonts w:hint="eastAsia" w:ascii="Times New Roman" w:hAnsi="Times New Roman" w:eastAsia="宋体" w:cs="Times New Roman"/>
                      <w:b w:val="0"/>
                      <w:bCs w:val="0"/>
                      <w:snapToGrid/>
                      <w:color w:val="auto"/>
                      <w:kern w:val="2"/>
                      <w:sz w:val="21"/>
                      <w:szCs w:val="21"/>
                      <w:highlight w:val="none"/>
                      <w:u w:val="none" w:color="auto"/>
                      <w:lang w:val="en-US" w:eastAsia="zh-CN" w:bidi="ar-SA"/>
                    </w:rPr>
                    <w:t>，提升水质的项目，不会对</w:t>
                  </w:r>
                  <w:r>
                    <w:rPr>
                      <w:rFonts w:hint="eastAsia" w:ascii="Times New Roman" w:hAnsi="Times New Roman" w:eastAsia="宋体" w:cs="Times New Roman"/>
                      <w:color w:val="auto"/>
                      <w:kern w:val="0"/>
                      <w:sz w:val="21"/>
                      <w:szCs w:val="21"/>
                      <w:highlight w:val="none"/>
                      <w:u w:val="none" w:color="auto"/>
                      <w:lang w:val="en-US" w:eastAsia="zh-CN" w:bidi="ar"/>
                    </w:rPr>
                    <w:t>地下水环境，地表水环境产生不利影响。</w:t>
                  </w:r>
                </w:p>
              </w:tc>
            </w:tr>
            <w:tr w14:paraId="4C501F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800" w:type="pct"/>
                  <w:tcBorders>
                    <w:tl2br w:val="nil"/>
                    <w:tr2bl w:val="nil"/>
                  </w:tcBorders>
                  <w:noWrap w:val="0"/>
                  <w:vAlign w:val="center"/>
                </w:tcPr>
                <w:p w14:paraId="193EA5DE">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第五条</w:t>
                  </w:r>
                </w:p>
              </w:tc>
              <w:tc>
                <w:tcPr>
                  <w:tcW w:w="2299" w:type="pct"/>
                  <w:tcBorders>
                    <w:tl2br w:val="nil"/>
                    <w:tr2bl w:val="nil"/>
                  </w:tcBorders>
                  <w:noWrap w:val="0"/>
                  <w:vAlign w:val="top"/>
                </w:tcPr>
                <w:p w14:paraId="11F9B141">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项目对鱼类等水生生物的洄游通道及“三场”等重要生境、物种多样性及资源量等产生不利影响的，提出了下泄生态流量、恢复鱼类洄游通道、采用生态友好型护岸（坡、底）、生态修复、增殖放流等措施。在采取上述措施后，对水生生物的不利影响能够得到缓解和控制，不会造成原有珍稀濒危保护、区域特有或重要经济水生生物在相关河段消失，不会对相关河段水生生态系统造成重大不利影响。</w:t>
                  </w:r>
                </w:p>
              </w:tc>
              <w:tc>
                <w:tcPr>
                  <w:tcW w:w="1900" w:type="pct"/>
                  <w:tcBorders>
                    <w:tl2br w:val="nil"/>
                    <w:tr2bl w:val="nil"/>
                  </w:tcBorders>
                  <w:noWrap w:val="0"/>
                  <w:vAlign w:val="top"/>
                </w:tcPr>
                <w:p w14:paraId="29D0D1FE">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本项目不涉及鱼类等水生生物的洄游通道及“三场”。</w:t>
                  </w:r>
                </w:p>
              </w:tc>
            </w:tr>
            <w:tr w14:paraId="1D1AEA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800" w:type="pct"/>
                  <w:tcBorders>
                    <w:tl2br w:val="nil"/>
                    <w:tr2bl w:val="nil"/>
                  </w:tcBorders>
                  <w:noWrap w:val="0"/>
                  <w:vAlign w:val="center"/>
                </w:tcPr>
                <w:p w14:paraId="34126657">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第六条</w:t>
                  </w:r>
                </w:p>
              </w:tc>
              <w:tc>
                <w:tcPr>
                  <w:tcW w:w="2299" w:type="pct"/>
                  <w:tcBorders>
                    <w:tl2br w:val="nil"/>
                    <w:tr2bl w:val="nil"/>
                  </w:tcBorders>
                  <w:noWrap w:val="0"/>
                  <w:vAlign w:val="top"/>
                </w:tcPr>
                <w:p w14:paraId="53D51C9F">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项目对湿地生态系统结构和功能、河湖生态缓冲带造成不利影响的，提出了优化工程设计及调度运行方案、生态修复等措施。对珍稀濒危保护植物造成不利影响的，提出了避让、原位防护、移栽等措施。对陆生珍稀濒危保护动物及其生境造成不利影响的，提出了避让、救护、迁徙廊道构建、生境再造等措施。对景观产生不利影响的，提出了避让、优化设计、景观塑造等措施。</w:t>
                  </w:r>
                </w:p>
                <w:p w14:paraId="3C92DC3E">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在采取上述措施后，对湿地以及陆生动植物的不利影响能够得到缓解和控制，与区域景观相协调，不会造成原有珍稀濒危保护动植物在相关区域消失，不会对陆生生态系统造成重大不利影响。</w:t>
                  </w:r>
                </w:p>
              </w:tc>
              <w:tc>
                <w:tcPr>
                  <w:tcW w:w="1900" w:type="pct"/>
                  <w:tcBorders>
                    <w:tl2br w:val="nil"/>
                    <w:tr2bl w:val="nil"/>
                  </w:tcBorders>
                  <w:noWrap w:val="0"/>
                  <w:vAlign w:val="top"/>
                </w:tcPr>
                <w:p w14:paraId="2A550F74">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本项目实施是对</w:t>
                  </w:r>
                  <w:r>
                    <w:rPr>
                      <w:rFonts w:hint="eastAsia" w:ascii="Times New Roman" w:hAnsi="Times New Roman" w:eastAsia="宋体" w:cs="Times New Roman"/>
                      <w:b w:val="0"/>
                      <w:bCs w:val="0"/>
                      <w:snapToGrid/>
                      <w:color w:val="auto"/>
                      <w:kern w:val="2"/>
                      <w:sz w:val="21"/>
                      <w:szCs w:val="21"/>
                      <w:highlight w:val="none"/>
                      <w:u w:val="none" w:color="auto"/>
                      <w:lang w:val="en-US" w:eastAsia="zh-CN" w:bidi="ar-SA"/>
                    </w:rPr>
                    <w:t>万金渠</w:t>
                  </w:r>
                  <w:r>
                    <w:rPr>
                      <w:rFonts w:hint="default" w:ascii="Times New Roman" w:hAnsi="Times New Roman" w:eastAsia="宋体" w:cs="Times New Roman"/>
                      <w:b w:val="0"/>
                      <w:bCs w:val="0"/>
                      <w:snapToGrid/>
                      <w:color w:val="auto"/>
                      <w:kern w:val="2"/>
                      <w:sz w:val="21"/>
                      <w:szCs w:val="21"/>
                      <w:highlight w:val="none"/>
                      <w:u w:val="none" w:color="auto"/>
                      <w:lang w:val="en-US" w:eastAsia="zh-CN" w:bidi="ar-SA"/>
                    </w:rPr>
                    <w:t>河道综合治理，提高河道防洪能力，提升</w:t>
                  </w:r>
                  <w:r>
                    <w:rPr>
                      <w:rFonts w:hint="eastAsia" w:ascii="Times New Roman" w:hAnsi="Times New Roman" w:eastAsia="宋体" w:cs="Times New Roman"/>
                      <w:b w:val="0"/>
                      <w:bCs w:val="0"/>
                      <w:snapToGrid/>
                      <w:color w:val="auto"/>
                      <w:kern w:val="2"/>
                      <w:sz w:val="21"/>
                      <w:szCs w:val="21"/>
                      <w:highlight w:val="none"/>
                      <w:u w:val="none" w:color="auto"/>
                      <w:lang w:val="en-US" w:eastAsia="zh-CN" w:bidi="ar-SA"/>
                    </w:rPr>
                    <w:t>河道</w:t>
                  </w:r>
                  <w:r>
                    <w:rPr>
                      <w:rFonts w:hint="default" w:ascii="Times New Roman" w:hAnsi="Times New Roman" w:eastAsia="宋体" w:cs="Times New Roman"/>
                      <w:b w:val="0"/>
                      <w:bCs w:val="0"/>
                      <w:snapToGrid/>
                      <w:color w:val="auto"/>
                      <w:kern w:val="2"/>
                      <w:sz w:val="21"/>
                      <w:szCs w:val="21"/>
                      <w:highlight w:val="none"/>
                      <w:u w:val="none" w:color="auto"/>
                      <w:lang w:val="en-US" w:eastAsia="zh-CN" w:bidi="ar-SA"/>
                    </w:rPr>
                    <w:t>生态环境</w:t>
                  </w:r>
                  <w:r>
                    <w:rPr>
                      <w:rFonts w:hint="eastAsia" w:ascii="Times New Roman" w:hAnsi="Times New Roman" w:eastAsia="宋体" w:cs="Times New Roman"/>
                      <w:b w:val="0"/>
                      <w:bCs w:val="0"/>
                      <w:snapToGrid/>
                      <w:color w:val="auto"/>
                      <w:kern w:val="2"/>
                      <w:sz w:val="21"/>
                      <w:szCs w:val="21"/>
                      <w:highlight w:val="none"/>
                      <w:u w:val="none" w:color="auto"/>
                      <w:lang w:val="en-US" w:eastAsia="zh-CN" w:bidi="ar-SA"/>
                    </w:rPr>
                    <w:t>，提升水质的项目，不会对</w:t>
                  </w:r>
                  <w:r>
                    <w:rPr>
                      <w:rFonts w:hint="eastAsia" w:ascii="Times New Roman" w:hAnsi="Times New Roman" w:eastAsia="宋体" w:cs="Times New Roman"/>
                      <w:color w:val="auto"/>
                      <w:kern w:val="0"/>
                      <w:sz w:val="21"/>
                      <w:szCs w:val="21"/>
                      <w:highlight w:val="none"/>
                      <w:u w:val="none" w:color="auto"/>
                      <w:lang w:val="en-US" w:eastAsia="zh-CN" w:bidi="ar"/>
                    </w:rPr>
                    <w:t>河湖生态造成不利影响，不涉及珍稀濒危保护植物，陆生珍稀濒危保护动物及其生境，不会对陆生生态系统造成重大不利影响。</w:t>
                  </w:r>
                </w:p>
              </w:tc>
            </w:tr>
            <w:tr w14:paraId="159BDE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800" w:type="pct"/>
                  <w:tcBorders>
                    <w:tl2br w:val="nil"/>
                    <w:tr2bl w:val="nil"/>
                  </w:tcBorders>
                  <w:noWrap w:val="0"/>
                  <w:vAlign w:val="center"/>
                </w:tcPr>
                <w:p w14:paraId="3BB2A73C">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第七条</w:t>
                  </w:r>
                </w:p>
              </w:tc>
              <w:tc>
                <w:tcPr>
                  <w:tcW w:w="2299" w:type="pct"/>
                  <w:tcBorders>
                    <w:tl2br w:val="nil"/>
                    <w:tr2bl w:val="nil"/>
                  </w:tcBorders>
                  <w:noWrap w:val="0"/>
                  <w:vAlign w:val="top"/>
                </w:tcPr>
                <w:p w14:paraId="5FEEB98D">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项目施工组织方案具有环境合理性，对料场、弃土（渣）场等施工场地提出了水土流失防治和生态修复等措施。根据环境保护相关标准和要求，对施工期各类废（污）水、扬尘、废气、噪声、固体废物等提出了防治或处置措施。其中，涉水施工涉及饮用水水源保护区或取水口并可能对水质造成不利影响的，提出了避让、施工方案优化、污染物控制等措施；涉水施工对鱼类等水生生物及其重要生境造成不利影响的，提出了避让、施工方案优化、控制施工噪声等措施；针对清淤、疏浚等产生的淤泥，提出了符合相关规定的处置或综合利用方案。</w:t>
                  </w:r>
                </w:p>
                <w:p w14:paraId="102B6525">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在采取上述措施后，施工期的不利环境影响能够得到缓解和控制，不会对周围环境和敏感保护目标造成重大不利影响。</w:t>
                  </w:r>
                </w:p>
              </w:tc>
              <w:tc>
                <w:tcPr>
                  <w:tcW w:w="1900" w:type="pct"/>
                  <w:tcBorders>
                    <w:tl2br w:val="nil"/>
                    <w:tr2bl w:val="nil"/>
                  </w:tcBorders>
                  <w:noWrap w:val="0"/>
                  <w:vAlign w:val="top"/>
                </w:tcPr>
                <w:p w14:paraId="238E537E">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本项目施工组织对料场、</w:t>
                  </w:r>
                  <w:r>
                    <w:rPr>
                      <w:rFonts w:hint="eastAsia" w:cs="Times New Roman"/>
                      <w:color w:val="auto"/>
                      <w:kern w:val="0"/>
                      <w:sz w:val="21"/>
                      <w:szCs w:val="21"/>
                      <w:highlight w:val="none"/>
                      <w:u w:val="none" w:color="auto"/>
                      <w:lang w:val="en-US" w:eastAsia="zh-CN" w:bidi="ar"/>
                    </w:rPr>
                    <w:t>临时堆土</w:t>
                  </w:r>
                  <w:r>
                    <w:rPr>
                      <w:rFonts w:hint="eastAsia" w:ascii="Times New Roman" w:hAnsi="Times New Roman" w:eastAsia="宋体" w:cs="Times New Roman"/>
                      <w:color w:val="auto"/>
                      <w:kern w:val="0"/>
                      <w:sz w:val="21"/>
                      <w:szCs w:val="21"/>
                      <w:highlight w:val="none"/>
                      <w:u w:val="none" w:color="auto"/>
                      <w:lang w:val="en-US" w:eastAsia="zh-CN" w:bidi="ar"/>
                    </w:rPr>
                    <w:t>场</w:t>
                  </w:r>
                  <w:r>
                    <w:rPr>
                      <w:rFonts w:hint="eastAsia" w:cs="Times New Roman"/>
                      <w:color w:val="auto"/>
                      <w:kern w:val="0"/>
                      <w:sz w:val="21"/>
                      <w:szCs w:val="21"/>
                      <w:highlight w:val="none"/>
                      <w:u w:val="none" w:color="auto"/>
                      <w:lang w:val="en-US" w:eastAsia="zh-CN" w:bidi="ar"/>
                    </w:rPr>
                    <w:t>、</w:t>
                  </w:r>
                  <w:r>
                    <w:rPr>
                      <w:rFonts w:hint="eastAsia" w:ascii="Times New Roman" w:hAnsi="Times New Roman" w:eastAsia="宋体" w:cs="Times New Roman"/>
                      <w:color w:val="auto"/>
                      <w:kern w:val="0"/>
                      <w:sz w:val="21"/>
                      <w:szCs w:val="21"/>
                      <w:highlight w:val="none"/>
                      <w:u w:val="none" w:color="auto"/>
                      <w:lang w:val="en-US" w:eastAsia="zh-CN" w:bidi="ar"/>
                    </w:rPr>
                    <w:t>施工场地提出了水土流失防治和生态修复等措施，根据环境保护相关标准和要求，对施工期各类废（污）水、扬尘、废气、噪声、固体废物等提出了防治或处置措施，不涉及饮用水水源保护区或取水口，不涉及鱼类重要生境，针对清淤、疏浚等产生的淤泥，提出了符合相关规定的处置。施工期的不利环境影响能够得到缓解和控制，不会对周围环境和敏感保护目标造成重大不利影响。</w:t>
                  </w:r>
                </w:p>
              </w:tc>
            </w:tr>
            <w:tr w14:paraId="539B39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800" w:type="pct"/>
                  <w:tcBorders>
                    <w:tl2br w:val="nil"/>
                    <w:tr2bl w:val="nil"/>
                  </w:tcBorders>
                  <w:noWrap w:val="0"/>
                  <w:vAlign w:val="center"/>
                </w:tcPr>
                <w:p w14:paraId="0F675CBF">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第八条</w:t>
                  </w:r>
                </w:p>
              </w:tc>
              <w:tc>
                <w:tcPr>
                  <w:tcW w:w="2299" w:type="pct"/>
                  <w:tcBorders>
                    <w:tl2br w:val="nil"/>
                    <w:tr2bl w:val="nil"/>
                  </w:tcBorders>
                  <w:noWrap w:val="0"/>
                  <w:vAlign w:val="top"/>
                </w:tcPr>
                <w:p w14:paraId="2BF2B114">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项目移民安置的选址和建设方式具有环境合理性，提出了生态保护、污水处理、固体废物处置等措施。针对蓄滞洪区的环境污染、新增占地涉及污染场地等，提出了环境管理对策建议。</w:t>
                  </w:r>
                </w:p>
              </w:tc>
              <w:tc>
                <w:tcPr>
                  <w:tcW w:w="1900" w:type="pct"/>
                  <w:tcBorders>
                    <w:tl2br w:val="nil"/>
                    <w:tr2bl w:val="nil"/>
                  </w:tcBorders>
                  <w:noWrap w:val="0"/>
                  <w:vAlign w:val="top"/>
                </w:tcPr>
                <w:p w14:paraId="0098B32B">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本项目不涉及移民安置。</w:t>
                  </w:r>
                </w:p>
              </w:tc>
            </w:tr>
            <w:tr w14:paraId="6EE2EE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800" w:type="pct"/>
                  <w:tcBorders>
                    <w:tl2br w:val="nil"/>
                    <w:tr2bl w:val="nil"/>
                  </w:tcBorders>
                  <w:noWrap w:val="0"/>
                  <w:vAlign w:val="center"/>
                </w:tcPr>
                <w:p w14:paraId="68427B96">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第九条</w:t>
                  </w:r>
                </w:p>
              </w:tc>
              <w:tc>
                <w:tcPr>
                  <w:tcW w:w="2299" w:type="pct"/>
                  <w:tcBorders>
                    <w:tl2br w:val="nil"/>
                    <w:tr2bl w:val="nil"/>
                  </w:tcBorders>
                  <w:noWrap w:val="0"/>
                  <w:vAlign w:val="top"/>
                </w:tcPr>
                <w:p w14:paraId="6CABAD5C">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项目存在河湖水质污染、富营养化或外来物种入侵等环境风险的，提出了针对性的风险防范措施以及环境应急预案编制、建立必要的应急联动机制等要求。</w:t>
                  </w:r>
                </w:p>
              </w:tc>
              <w:tc>
                <w:tcPr>
                  <w:tcW w:w="1900" w:type="pct"/>
                  <w:tcBorders>
                    <w:tl2br w:val="nil"/>
                    <w:tr2bl w:val="nil"/>
                  </w:tcBorders>
                  <w:noWrap w:val="0"/>
                  <w:vAlign w:val="top"/>
                </w:tcPr>
                <w:p w14:paraId="229DAA25">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本项目不存在河湖水质污染、富营养化或外来物种入侵等环境风险。</w:t>
                  </w:r>
                </w:p>
              </w:tc>
            </w:tr>
            <w:tr w14:paraId="367408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800" w:type="pct"/>
                  <w:tcBorders>
                    <w:tl2br w:val="nil"/>
                    <w:tr2bl w:val="nil"/>
                  </w:tcBorders>
                  <w:noWrap w:val="0"/>
                  <w:vAlign w:val="center"/>
                </w:tcPr>
                <w:p w14:paraId="797BD529">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第十条</w:t>
                  </w:r>
                </w:p>
              </w:tc>
              <w:tc>
                <w:tcPr>
                  <w:tcW w:w="2299" w:type="pct"/>
                  <w:tcBorders>
                    <w:tl2br w:val="nil"/>
                    <w:tr2bl w:val="nil"/>
                  </w:tcBorders>
                  <w:noWrap w:val="0"/>
                  <w:vAlign w:val="top"/>
                </w:tcPr>
                <w:p w14:paraId="707EB0D5">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改、扩建项目在全面梳理了与项目有关的现有工程环境问题基础上，提出了与项目相适应的“以新带老”措施。</w:t>
                  </w:r>
                </w:p>
              </w:tc>
              <w:tc>
                <w:tcPr>
                  <w:tcW w:w="1900" w:type="pct"/>
                  <w:tcBorders>
                    <w:tl2br w:val="nil"/>
                    <w:tr2bl w:val="nil"/>
                  </w:tcBorders>
                  <w:noWrap w:val="0"/>
                  <w:vAlign w:val="top"/>
                </w:tcPr>
                <w:p w14:paraId="18A0F196">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本项目为对现有</w:t>
                  </w:r>
                  <w:r>
                    <w:rPr>
                      <w:rFonts w:hint="default" w:ascii="Times New Roman" w:hAnsi="Times New Roman" w:eastAsia="宋体" w:cs="Times New Roman"/>
                      <w:b w:val="0"/>
                      <w:bCs w:val="0"/>
                      <w:snapToGrid/>
                      <w:color w:val="auto"/>
                      <w:kern w:val="2"/>
                      <w:sz w:val="21"/>
                      <w:szCs w:val="21"/>
                      <w:highlight w:val="none"/>
                      <w:u w:val="none" w:color="auto"/>
                      <w:lang w:val="en-US" w:eastAsia="zh-CN" w:bidi="ar-SA"/>
                    </w:rPr>
                    <w:t>河道综合治理，提高河道防洪能力，提升</w:t>
                  </w:r>
                  <w:r>
                    <w:rPr>
                      <w:rFonts w:hint="eastAsia" w:ascii="Times New Roman" w:hAnsi="Times New Roman" w:eastAsia="宋体" w:cs="Times New Roman"/>
                      <w:b w:val="0"/>
                      <w:bCs w:val="0"/>
                      <w:snapToGrid/>
                      <w:color w:val="auto"/>
                      <w:kern w:val="2"/>
                      <w:sz w:val="21"/>
                      <w:szCs w:val="21"/>
                      <w:highlight w:val="none"/>
                      <w:u w:val="none" w:color="auto"/>
                      <w:lang w:val="en-US" w:eastAsia="zh-CN" w:bidi="ar-SA"/>
                    </w:rPr>
                    <w:t>河道</w:t>
                  </w:r>
                  <w:r>
                    <w:rPr>
                      <w:rFonts w:hint="default" w:ascii="Times New Roman" w:hAnsi="Times New Roman" w:eastAsia="宋体" w:cs="Times New Roman"/>
                      <w:b w:val="0"/>
                      <w:bCs w:val="0"/>
                      <w:snapToGrid/>
                      <w:color w:val="auto"/>
                      <w:kern w:val="2"/>
                      <w:sz w:val="21"/>
                      <w:szCs w:val="21"/>
                      <w:highlight w:val="none"/>
                      <w:u w:val="none" w:color="auto"/>
                      <w:lang w:val="en-US" w:eastAsia="zh-CN" w:bidi="ar-SA"/>
                    </w:rPr>
                    <w:t>生态环境</w:t>
                  </w:r>
                  <w:r>
                    <w:rPr>
                      <w:rFonts w:hint="eastAsia" w:ascii="Times New Roman" w:hAnsi="Times New Roman" w:eastAsia="宋体" w:cs="Times New Roman"/>
                      <w:b w:val="0"/>
                      <w:bCs w:val="0"/>
                      <w:snapToGrid/>
                      <w:color w:val="auto"/>
                      <w:kern w:val="2"/>
                      <w:sz w:val="21"/>
                      <w:szCs w:val="21"/>
                      <w:highlight w:val="none"/>
                      <w:u w:val="none" w:color="auto"/>
                      <w:lang w:val="en-US" w:eastAsia="zh-CN" w:bidi="ar-SA"/>
                    </w:rPr>
                    <w:t>，提升水质的项目。</w:t>
                  </w:r>
                </w:p>
              </w:tc>
            </w:tr>
            <w:tr w14:paraId="18CB3F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800" w:type="pct"/>
                  <w:tcBorders>
                    <w:tl2br w:val="nil"/>
                    <w:tr2bl w:val="nil"/>
                  </w:tcBorders>
                  <w:noWrap w:val="0"/>
                  <w:vAlign w:val="center"/>
                </w:tcPr>
                <w:p w14:paraId="0B3D4C24">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第十一条</w:t>
                  </w:r>
                </w:p>
              </w:tc>
              <w:tc>
                <w:tcPr>
                  <w:tcW w:w="2299" w:type="pct"/>
                  <w:tcBorders>
                    <w:tl2br w:val="nil"/>
                    <w:tr2bl w:val="nil"/>
                  </w:tcBorders>
                  <w:noWrap w:val="0"/>
                  <w:vAlign w:val="top"/>
                </w:tcPr>
                <w:p w14:paraId="41572C3A">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按相关导则及规定要求，制定了水环境、生态等环境监测，提出了开展环境影响后评价及根据监测评估结果优化环境保护措施的要求。根据需要和相关规定，提出了环境保护设计、开展相关科学研究、环境管理等要求。</w:t>
                  </w:r>
                </w:p>
              </w:tc>
              <w:tc>
                <w:tcPr>
                  <w:tcW w:w="1900" w:type="pct"/>
                  <w:tcBorders>
                    <w:tl2br w:val="nil"/>
                    <w:tr2bl w:val="nil"/>
                  </w:tcBorders>
                  <w:noWrap w:val="0"/>
                  <w:vAlign w:val="top"/>
                </w:tcPr>
                <w:p w14:paraId="43521D77">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本项目按照《建设项目环境影响报告表标志技术指南（生态影响类）（试行）》，施工期制定了</w:t>
                  </w:r>
                  <w:r>
                    <w:rPr>
                      <w:rFonts w:hint="eastAsia" w:ascii="Times New Roman" w:hAnsi="Times New Roman" w:eastAsia="宋体" w:cs="Times New Roman"/>
                      <w:b w:val="0"/>
                      <w:bCs w:val="0"/>
                      <w:color w:val="auto"/>
                      <w:sz w:val="21"/>
                      <w:szCs w:val="21"/>
                      <w:highlight w:val="none"/>
                      <w:u w:val="none" w:color="auto"/>
                      <w:lang w:eastAsia="zh-CN"/>
                    </w:rPr>
                    <w:t>水质监测、大气监测、噪声监测，根据相关要求开展环境影响后评价，施工期提出了相应的环境保护措施及环境管理要求。</w:t>
                  </w:r>
                </w:p>
              </w:tc>
            </w:tr>
            <w:tr w14:paraId="58CADA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800" w:type="pct"/>
                  <w:tcBorders>
                    <w:tl2br w:val="nil"/>
                    <w:tr2bl w:val="nil"/>
                  </w:tcBorders>
                  <w:noWrap w:val="0"/>
                  <w:vAlign w:val="center"/>
                </w:tcPr>
                <w:p w14:paraId="485F9144">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第十二条</w:t>
                  </w:r>
                </w:p>
              </w:tc>
              <w:tc>
                <w:tcPr>
                  <w:tcW w:w="2299" w:type="pct"/>
                  <w:tcBorders>
                    <w:tl2br w:val="nil"/>
                    <w:tr2bl w:val="nil"/>
                  </w:tcBorders>
                  <w:noWrap w:val="0"/>
                  <w:vAlign w:val="top"/>
                </w:tcPr>
                <w:p w14:paraId="65353098">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对环境保护措施进行了深入论证，建设单位主体责任、投资估算、时间节点、预期效果明确，确保科学有效、安全可行、绿色协调。</w:t>
                  </w:r>
                </w:p>
              </w:tc>
              <w:tc>
                <w:tcPr>
                  <w:tcW w:w="1900" w:type="pct"/>
                  <w:tcBorders>
                    <w:tl2br w:val="nil"/>
                    <w:tr2bl w:val="nil"/>
                  </w:tcBorders>
                  <w:noWrap w:val="0"/>
                  <w:vAlign w:val="top"/>
                </w:tcPr>
                <w:p w14:paraId="2FE5FEF4">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本项目对环境保护措施进行了深入论证，明确了建设单位主体责任、投资估算、时间节点、预期效果明确，确保科学有效、安全可行、绿色协调。</w:t>
                  </w:r>
                </w:p>
              </w:tc>
            </w:tr>
            <w:tr w14:paraId="5A98E7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800" w:type="pct"/>
                  <w:tcBorders>
                    <w:tl2br w:val="nil"/>
                    <w:tr2bl w:val="nil"/>
                  </w:tcBorders>
                  <w:noWrap w:val="0"/>
                  <w:vAlign w:val="center"/>
                </w:tcPr>
                <w:p w14:paraId="5CEB3EDB">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第十三条</w:t>
                  </w:r>
                </w:p>
              </w:tc>
              <w:tc>
                <w:tcPr>
                  <w:tcW w:w="2299" w:type="pct"/>
                  <w:tcBorders>
                    <w:tl2br w:val="nil"/>
                    <w:tr2bl w:val="nil"/>
                  </w:tcBorders>
                  <w:noWrap w:val="0"/>
                  <w:vAlign w:val="top"/>
                </w:tcPr>
                <w:p w14:paraId="2D3F57AF">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按相关规定开展了信息公开和公众参与。</w:t>
                  </w:r>
                </w:p>
              </w:tc>
              <w:tc>
                <w:tcPr>
                  <w:tcW w:w="1900" w:type="pct"/>
                  <w:tcBorders>
                    <w:tl2br w:val="nil"/>
                    <w:tr2bl w:val="nil"/>
                  </w:tcBorders>
                  <w:noWrap w:val="0"/>
                  <w:vAlign w:val="top"/>
                </w:tcPr>
                <w:p w14:paraId="2A044462">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default"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按相关规定开展了信息公开和公众参与。</w:t>
                  </w:r>
                </w:p>
              </w:tc>
            </w:tr>
            <w:tr w14:paraId="77D590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800" w:type="pct"/>
                  <w:tcBorders>
                    <w:tl2br w:val="nil"/>
                    <w:tr2bl w:val="nil"/>
                  </w:tcBorders>
                  <w:noWrap w:val="0"/>
                  <w:vAlign w:val="center"/>
                </w:tcPr>
                <w:p w14:paraId="34AB16A7">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第十四条</w:t>
                  </w:r>
                </w:p>
              </w:tc>
              <w:tc>
                <w:tcPr>
                  <w:tcW w:w="2299" w:type="pct"/>
                  <w:tcBorders>
                    <w:tl2br w:val="nil"/>
                    <w:tr2bl w:val="nil"/>
                  </w:tcBorders>
                  <w:noWrap w:val="0"/>
                  <w:vAlign w:val="top"/>
                </w:tcPr>
                <w:p w14:paraId="0A7A2A90">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环境影响评价文件编制规范，符合相关管理规定和环评技术标准要求。</w:t>
                  </w:r>
                </w:p>
              </w:tc>
              <w:tc>
                <w:tcPr>
                  <w:tcW w:w="1900" w:type="pct"/>
                  <w:tcBorders>
                    <w:tl2br w:val="nil"/>
                    <w:tr2bl w:val="nil"/>
                  </w:tcBorders>
                  <w:noWrap w:val="0"/>
                  <w:vAlign w:val="top"/>
                </w:tcPr>
                <w:p w14:paraId="2F296207">
                  <w:pPr>
                    <w:keepNext w:val="0"/>
                    <w:keepLines w:val="0"/>
                    <w:pageBreakBefore w:val="0"/>
                    <w:widowControl/>
                    <w:suppressLineNumbers w:val="0"/>
                    <w:kinsoku/>
                    <w:wordWrap/>
                    <w:overflowPunct/>
                    <w:topLinePunct w:val="0"/>
                    <w:autoSpaceDE/>
                    <w:autoSpaceDN/>
                    <w:bidi w:val="0"/>
                    <w:adjustRightInd w:val="0"/>
                    <w:snapToGrid w:val="0"/>
                    <w:jc w:val="both"/>
                    <w:textAlignment w:val="auto"/>
                    <w:rPr>
                      <w:rFonts w:hint="eastAsia" w:ascii="Times New Roman" w:hAnsi="Times New Roman" w:eastAsia="宋体" w:cs="Times New Roman"/>
                      <w:color w:val="auto"/>
                      <w:kern w:val="0"/>
                      <w:sz w:val="21"/>
                      <w:szCs w:val="21"/>
                      <w:highlight w:val="none"/>
                      <w:u w:val="none" w:color="auto"/>
                      <w:lang w:val="en-US" w:eastAsia="zh-CN" w:bidi="ar"/>
                    </w:rPr>
                  </w:pPr>
                  <w:r>
                    <w:rPr>
                      <w:rFonts w:hint="eastAsia" w:ascii="Times New Roman" w:hAnsi="Times New Roman" w:eastAsia="宋体" w:cs="Times New Roman"/>
                      <w:color w:val="auto"/>
                      <w:kern w:val="0"/>
                      <w:sz w:val="21"/>
                      <w:szCs w:val="21"/>
                      <w:highlight w:val="none"/>
                      <w:u w:val="none" w:color="auto"/>
                      <w:lang w:val="en-US" w:eastAsia="zh-CN" w:bidi="ar"/>
                    </w:rPr>
                    <w:t>本项目按照《建设项目环境影响报告表标志技术指南（生态影响类）（试行）》进行编制</w:t>
                  </w:r>
                </w:p>
              </w:tc>
            </w:tr>
          </w:tbl>
          <w:p w14:paraId="22C77614">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420" w:firstLineChars="200"/>
              <w:contextualSpacing/>
              <w:textAlignment w:val="auto"/>
              <w:rPr>
                <w:rFonts w:hint="eastAsia" w:ascii="Times New Roman" w:hAnsi="Times New Roman" w:eastAsia="宋体" w:cs="Times New Roman"/>
                <w:b w:val="0"/>
                <w:bCs w:val="0"/>
                <w:color w:val="auto"/>
                <w:sz w:val="21"/>
                <w:szCs w:val="21"/>
                <w:highlight w:val="none"/>
                <w:u w:val="none" w:color="auto"/>
                <w:lang w:val="en-US" w:eastAsia="zh-CN"/>
              </w:rPr>
            </w:pPr>
            <w:r>
              <w:rPr>
                <w:rFonts w:hint="eastAsia" w:ascii="Times New Roman" w:hAnsi="Times New Roman" w:eastAsia="宋体" w:cs="Times New Roman"/>
                <w:b w:val="0"/>
                <w:bCs w:val="0"/>
                <w:color w:val="auto"/>
                <w:sz w:val="21"/>
                <w:szCs w:val="21"/>
                <w:highlight w:val="none"/>
                <w:u w:val="none" w:color="auto"/>
                <w:lang w:val="en-US" w:eastAsia="zh-CN"/>
              </w:rPr>
              <w:t>综上所述，本项目符合《水利建设项目（河湖整治与防洪除涝工程）环境影响评价文件审批原则》文件要求。</w:t>
            </w:r>
          </w:p>
          <w:p w14:paraId="75E12396">
            <w:pPr>
              <w:pStyle w:val="12"/>
              <w:rPr>
                <w:rFonts w:hint="default" w:ascii="Times New Roman" w:hAnsi="Times New Roman" w:cs="Times New Roman" w:eastAsiaTheme="minorEastAsia"/>
                <w:b/>
                <w:bCs/>
                <w:color w:val="auto"/>
                <w:sz w:val="24"/>
                <w:szCs w:val="24"/>
                <w:highlight w:val="none"/>
                <w:lang w:val="en-US" w:eastAsia="zh-CN"/>
              </w:rPr>
            </w:pPr>
            <w:r>
              <w:rPr>
                <w:rFonts w:hint="eastAsia" w:cs="Times New Roman" w:eastAsiaTheme="minorEastAsia"/>
                <w:b/>
                <w:bCs/>
                <w:color w:val="auto"/>
                <w:sz w:val="24"/>
                <w:szCs w:val="24"/>
                <w:highlight w:val="none"/>
                <w:lang w:val="en-US" w:eastAsia="zh-CN"/>
              </w:rPr>
              <w:t>7.与可行性研究报告相符性分析</w:t>
            </w:r>
          </w:p>
          <w:p w14:paraId="11CF8C29">
            <w:pPr>
              <w:pStyle w:val="12"/>
              <w:jc w:val="center"/>
              <w:rPr>
                <w:rFonts w:hint="default" w:ascii="Times New Roman" w:hAnsi="Times New Roman" w:cs="Times New Roman" w:eastAsiaTheme="minorEastAsia"/>
                <w:b/>
                <w:bCs/>
                <w:color w:val="auto"/>
                <w:sz w:val="21"/>
                <w:szCs w:val="21"/>
                <w:highlight w:val="none"/>
                <w:lang w:val="en-US" w:eastAsia="zh-CN"/>
              </w:rPr>
            </w:pPr>
            <w:r>
              <w:rPr>
                <w:rFonts w:hint="eastAsia" w:cs="Times New Roman" w:eastAsiaTheme="minorEastAsia"/>
                <w:b/>
                <w:bCs/>
                <w:color w:val="auto"/>
                <w:sz w:val="21"/>
                <w:szCs w:val="21"/>
                <w:highlight w:val="none"/>
                <w:lang w:val="en-US" w:eastAsia="zh-CN"/>
              </w:rPr>
              <w:t>与可行性研究报告相符性分析一览表</w:t>
            </w:r>
          </w:p>
          <w:tbl>
            <w:tblPr>
              <w:tblStyle w:val="19"/>
              <w:tblW w:w="0" w:type="auto"/>
              <w:tblInd w:w="5" w:type="dxa"/>
              <w:tblBorders>
                <w:top w:val="single" w:color="auto" w:sz="12" w:space="0"/>
                <w:left w:val="none" w:color="auto" w:sz="0" w:space="0"/>
                <w:bottom w:val="single" w:color="auto" w:sz="4" w:space="0"/>
                <w:right w:val="none" w:color="auto" w:sz="0" w:space="0"/>
                <w:insideH w:val="none" w:color="auto" w:sz="0" w:space="0"/>
                <w:insideV w:val="single" w:color="auto" w:sz="4" w:space="0"/>
              </w:tblBorders>
              <w:tblLayout w:type="autofit"/>
              <w:tblCellMar>
                <w:top w:w="0" w:type="dxa"/>
                <w:left w:w="108" w:type="dxa"/>
                <w:bottom w:w="0" w:type="dxa"/>
                <w:right w:w="108" w:type="dxa"/>
              </w:tblCellMar>
            </w:tblPr>
            <w:tblGrid>
              <w:gridCol w:w="2088"/>
              <w:gridCol w:w="2088"/>
              <w:gridCol w:w="2090"/>
              <w:gridCol w:w="2090"/>
            </w:tblGrid>
            <w:tr w14:paraId="7ED8BC2A">
              <w:tblPrEx>
                <w:tblBorders>
                  <w:top w:val="single" w:color="auto" w:sz="12" w:space="0"/>
                  <w:left w:val="none" w:color="auto" w:sz="0" w:space="0"/>
                  <w:bottom w:val="single" w:color="auto" w:sz="4" w:space="0"/>
                  <w:right w:val="none" w:color="auto" w:sz="0" w:space="0"/>
                  <w:insideH w:val="none" w:color="auto" w:sz="0" w:space="0"/>
                  <w:insideV w:val="single" w:color="auto" w:sz="4" w:space="0"/>
                </w:tblBorders>
                <w:tblCellMar>
                  <w:top w:w="0" w:type="dxa"/>
                  <w:left w:w="108" w:type="dxa"/>
                  <w:bottom w:w="0" w:type="dxa"/>
                  <w:right w:w="108" w:type="dxa"/>
                </w:tblCellMar>
              </w:tblPrEx>
              <w:tc>
                <w:tcPr>
                  <w:tcW w:w="2088" w:type="dxa"/>
                  <w:tcBorders>
                    <w:bottom w:val="single" w:color="auto" w:sz="4" w:space="0"/>
                  </w:tcBorders>
                  <w:vAlign w:val="center"/>
                </w:tcPr>
                <w:p w14:paraId="3A04A620">
                  <w:pPr>
                    <w:pStyle w:val="12"/>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建设地点</w:t>
                  </w:r>
                </w:p>
              </w:tc>
              <w:tc>
                <w:tcPr>
                  <w:tcW w:w="2088" w:type="dxa"/>
                  <w:tcBorders>
                    <w:bottom w:val="single" w:color="auto" w:sz="4" w:space="0"/>
                  </w:tcBorders>
                  <w:vAlign w:val="center"/>
                </w:tcPr>
                <w:p w14:paraId="0B502F88">
                  <w:pPr>
                    <w:pStyle w:val="12"/>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lang w:val="en-US" w:eastAsia="zh-CN"/>
                    </w:rPr>
                    <w:t>可行性研究报告</w:t>
                  </w:r>
                </w:p>
              </w:tc>
              <w:tc>
                <w:tcPr>
                  <w:tcW w:w="2090" w:type="dxa"/>
                  <w:tcBorders>
                    <w:bottom w:val="single" w:color="auto" w:sz="4" w:space="0"/>
                  </w:tcBorders>
                  <w:vAlign w:val="center"/>
                </w:tcPr>
                <w:p w14:paraId="0CF22653">
                  <w:pPr>
                    <w:pStyle w:val="12"/>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实际建设内容</w:t>
                  </w:r>
                </w:p>
              </w:tc>
              <w:tc>
                <w:tcPr>
                  <w:tcW w:w="2090" w:type="dxa"/>
                  <w:tcBorders>
                    <w:bottom w:val="single" w:color="auto" w:sz="4" w:space="0"/>
                  </w:tcBorders>
                  <w:vAlign w:val="center"/>
                </w:tcPr>
                <w:p w14:paraId="69FF233F">
                  <w:pPr>
                    <w:pStyle w:val="12"/>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eastAsia" w:cs="Times New Roman"/>
                      <w:b/>
                      <w:bCs/>
                      <w:color w:val="auto"/>
                      <w:sz w:val="21"/>
                      <w:szCs w:val="21"/>
                      <w:highlight w:val="none"/>
                      <w:vertAlign w:val="baseline"/>
                      <w:lang w:val="en-US" w:eastAsia="zh-CN"/>
                    </w:rPr>
                    <w:t>变动情况</w:t>
                  </w:r>
                </w:p>
              </w:tc>
            </w:tr>
            <w:tr w14:paraId="3CFB7DE9">
              <w:tblPrEx>
                <w:tblBorders>
                  <w:top w:val="single" w:color="auto" w:sz="12" w:space="0"/>
                  <w:left w:val="none" w:color="auto" w:sz="0" w:space="0"/>
                  <w:bottom w:val="single" w:color="auto" w:sz="4" w:space="0"/>
                  <w:right w:val="none" w:color="auto" w:sz="0" w:space="0"/>
                  <w:insideH w:val="none" w:color="auto" w:sz="0" w:space="0"/>
                  <w:insideV w:val="single" w:color="auto" w:sz="4" w:space="0"/>
                </w:tblBorders>
                <w:tblCellMar>
                  <w:top w:w="0" w:type="dxa"/>
                  <w:left w:w="108" w:type="dxa"/>
                  <w:bottom w:w="0" w:type="dxa"/>
                  <w:right w:w="108" w:type="dxa"/>
                </w:tblCellMar>
              </w:tblPrEx>
              <w:tc>
                <w:tcPr>
                  <w:tcW w:w="2088" w:type="dxa"/>
                  <w:tcBorders>
                    <w:top w:val="single" w:color="auto" w:sz="4" w:space="0"/>
                    <w:bottom w:val="single" w:color="auto" w:sz="4" w:space="0"/>
                  </w:tcBorders>
                  <w:vAlign w:val="center"/>
                </w:tcPr>
                <w:p w14:paraId="01B92AC9">
                  <w:pPr>
                    <w:pStyle w:val="12"/>
                    <w:spacing w:line="240" w:lineRule="auto"/>
                    <w:jc w:val="both"/>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 w:val="0"/>
                      <w:bCs w:val="0"/>
                      <w:kern w:val="0"/>
                      <w:sz w:val="21"/>
                      <w:szCs w:val="21"/>
                      <w:highlight w:val="none"/>
                      <w:lang w:val="en-US" w:eastAsia="zh-CN"/>
                    </w:rPr>
                    <w:t>老万金渠曲沟段</w:t>
                  </w:r>
                </w:p>
              </w:tc>
              <w:tc>
                <w:tcPr>
                  <w:tcW w:w="2088" w:type="dxa"/>
                  <w:tcBorders>
                    <w:top w:val="single" w:color="auto" w:sz="4" w:space="0"/>
                    <w:bottom w:val="single" w:color="auto" w:sz="4" w:space="0"/>
                  </w:tcBorders>
                  <w:vAlign w:val="center"/>
                </w:tcPr>
                <w:p w14:paraId="126FB631">
                  <w:pPr>
                    <w:pStyle w:val="12"/>
                    <w:spacing w:line="240" w:lineRule="auto"/>
                    <w:jc w:val="both"/>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rPr>
                    <w:t>按20年防洪标准，对老万金渠曲沟段（自万金花园南侧，向西至金线河）进行疏浚，开挖部分河道，修建生态堤坝护坡，硬化河底，长1700 米。并在河道两端增设2个提升泵站。</w:t>
                  </w:r>
                </w:p>
              </w:tc>
              <w:tc>
                <w:tcPr>
                  <w:tcW w:w="2090" w:type="dxa"/>
                  <w:tcBorders>
                    <w:top w:val="single" w:color="auto" w:sz="4" w:space="0"/>
                    <w:bottom w:val="single" w:color="auto" w:sz="4" w:space="0"/>
                  </w:tcBorders>
                  <w:vAlign w:val="center"/>
                </w:tcPr>
                <w:p w14:paraId="7A49C458">
                  <w:pPr>
                    <w:pStyle w:val="12"/>
                    <w:spacing w:line="240" w:lineRule="auto"/>
                    <w:jc w:val="both"/>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b w:val="0"/>
                      <w:bCs w:val="0"/>
                      <w:color w:val="3B3B3B"/>
                      <w:sz w:val="21"/>
                      <w:szCs w:val="21"/>
                      <w:highlight w:val="none"/>
                      <w:lang w:eastAsia="zh-CN"/>
                    </w:rPr>
                    <w:t>（</w:t>
                  </w:r>
                  <w:r>
                    <w:rPr>
                      <w:rFonts w:hint="default" w:ascii="Times New Roman" w:hAnsi="Times New Roman" w:eastAsia="宋体" w:cs="Times New Roman"/>
                      <w:b w:val="0"/>
                      <w:bCs w:val="0"/>
                      <w:color w:val="3B3B3B"/>
                      <w:sz w:val="21"/>
                      <w:szCs w:val="21"/>
                      <w:highlight w:val="none"/>
                    </w:rPr>
                    <w:t>万金花园西南侧以及新城御景北侧）进行疏浚，修建生态堤坝护坡，硬化河底，长度约605米；</w:t>
                  </w:r>
                  <w:r>
                    <w:rPr>
                      <w:rFonts w:hint="eastAsia" w:ascii="Times New Roman" w:hAnsi="Times New Roman" w:eastAsia="宋体" w:cs="Times New Roman"/>
                      <w:b w:val="0"/>
                      <w:bCs w:val="0"/>
                      <w:color w:val="3B3B3B"/>
                      <w:sz w:val="21"/>
                      <w:szCs w:val="21"/>
                      <w:highlight w:val="none"/>
                      <w:lang w:eastAsia="zh-CN"/>
                    </w:rPr>
                    <w:t>（</w:t>
                  </w:r>
                  <w:r>
                    <w:rPr>
                      <w:rFonts w:hint="default" w:ascii="Times New Roman" w:hAnsi="Times New Roman" w:eastAsia="宋体" w:cs="Times New Roman"/>
                      <w:b w:val="0"/>
                      <w:bCs w:val="0"/>
                      <w:color w:val="3B3B3B"/>
                      <w:sz w:val="21"/>
                      <w:szCs w:val="21"/>
                      <w:highlight w:val="none"/>
                    </w:rPr>
                    <w:t>金线河-漳南灌渠段）进行改造，长度约999m。主要包括河底清淤、河底硬化防护、两岸筑堤以及两岸生态防护等。</w:t>
                  </w:r>
                </w:p>
              </w:tc>
              <w:tc>
                <w:tcPr>
                  <w:tcW w:w="2090" w:type="dxa"/>
                  <w:tcBorders>
                    <w:top w:val="single" w:color="auto" w:sz="4" w:space="0"/>
                    <w:bottom w:val="single" w:color="auto" w:sz="4" w:space="0"/>
                  </w:tcBorders>
                  <w:vAlign w:val="center"/>
                </w:tcPr>
                <w:p w14:paraId="534F48D1">
                  <w:pPr>
                    <w:pStyle w:val="12"/>
                    <w:spacing w:line="240" w:lineRule="auto"/>
                    <w:jc w:val="both"/>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b w:val="0"/>
                      <w:bCs w:val="0"/>
                      <w:color w:val="3B3B3B"/>
                      <w:sz w:val="21"/>
                      <w:szCs w:val="21"/>
                      <w:highlight w:val="none"/>
                      <w:lang w:eastAsia="zh-CN"/>
                    </w:rPr>
                    <w:t>总体施工长度减少，取消修建</w:t>
                  </w:r>
                  <w:r>
                    <w:rPr>
                      <w:rFonts w:hint="default" w:ascii="Times New Roman" w:hAnsi="Times New Roman" w:eastAsia="宋体" w:cs="Times New Roman"/>
                      <w:b w:val="0"/>
                      <w:bCs w:val="0"/>
                      <w:color w:val="000000"/>
                      <w:sz w:val="21"/>
                      <w:szCs w:val="21"/>
                      <w:highlight w:val="none"/>
                    </w:rPr>
                    <w:t>提升泵站。</w:t>
                  </w:r>
                </w:p>
              </w:tc>
            </w:tr>
            <w:tr w14:paraId="289FCC90">
              <w:tblPrEx>
                <w:tblBorders>
                  <w:top w:val="single" w:color="auto" w:sz="12" w:space="0"/>
                  <w:left w:val="none" w:color="auto" w:sz="0" w:space="0"/>
                  <w:bottom w:val="single" w:color="auto" w:sz="4" w:space="0"/>
                  <w:right w:val="none" w:color="auto" w:sz="0" w:space="0"/>
                  <w:insideH w:val="none" w:color="auto" w:sz="0" w:space="0"/>
                  <w:insideV w:val="single" w:color="auto" w:sz="4" w:space="0"/>
                </w:tblBorders>
                <w:tblCellMar>
                  <w:top w:w="0" w:type="dxa"/>
                  <w:left w:w="108" w:type="dxa"/>
                  <w:bottom w:w="0" w:type="dxa"/>
                  <w:right w:w="108" w:type="dxa"/>
                </w:tblCellMar>
              </w:tblPrEx>
              <w:tc>
                <w:tcPr>
                  <w:tcW w:w="2088" w:type="dxa"/>
                  <w:tcBorders>
                    <w:top w:val="single" w:color="auto" w:sz="4" w:space="0"/>
                    <w:bottom w:val="single" w:color="auto" w:sz="4" w:space="0"/>
                  </w:tcBorders>
                  <w:vAlign w:val="center"/>
                </w:tcPr>
                <w:p w14:paraId="273775D7">
                  <w:pPr>
                    <w:pStyle w:val="12"/>
                    <w:spacing w:line="240" w:lineRule="auto"/>
                    <w:jc w:val="both"/>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lang w:val="en-US" w:eastAsia="zh-CN"/>
                    </w:rPr>
                    <w:t>胜利渠武旺段流向金线河</w:t>
                  </w:r>
                </w:p>
              </w:tc>
              <w:tc>
                <w:tcPr>
                  <w:tcW w:w="2088" w:type="dxa"/>
                  <w:tcBorders>
                    <w:top w:val="single" w:color="auto" w:sz="4" w:space="0"/>
                    <w:bottom w:val="single" w:color="auto" w:sz="4" w:space="0"/>
                  </w:tcBorders>
                  <w:vAlign w:val="center"/>
                </w:tcPr>
                <w:p w14:paraId="4FA14B5D">
                  <w:pPr>
                    <w:pStyle w:val="12"/>
                    <w:spacing w:line="240" w:lineRule="auto"/>
                    <w:jc w:val="both"/>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rPr>
                    <w:t>新建直径1.5米混凝土排水暗涵，长900米。需进行1800 平方米路面开挖及恢复。新增2套流量监测设备。</w:t>
                  </w:r>
                </w:p>
              </w:tc>
              <w:tc>
                <w:tcPr>
                  <w:tcW w:w="2090" w:type="dxa"/>
                  <w:tcBorders>
                    <w:top w:val="single" w:color="auto" w:sz="4" w:space="0"/>
                    <w:bottom w:val="single" w:color="auto" w:sz="4" w:space="0"/>
                  </w:tcBorders>
                  <w:vAlign w:val="center"/>
                </w:tcPr>
                <w:p w14:paraId="15E29357">
                  <w:pPr>
                    <w:pStyle w:val="12"/>
                    <w:spacing w:line="240" w:lineRule="auto"/>
                    <w:jc w:val="both"/>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 w:val="0"/>
                      <w:bCs w:val="0"/>
                      <w:color w:val="3B3B3B"/>
                      <w:sz w:val="21"/>
                      <w:szCs w:val="21"/>
                      <w:highlight w:val="none"/>
                    </w:rPr>
                    <w:t>新建d1500钢筋混凝土排水管道，长1007米。</w:t>
                  </w:r>
                </w:p>
              </w:tc>
              <w:tc>
                <w:tcPr>
                  <w:tcW w:w="2090" w:type="dxa"/>
                  <w:tcBorders>
                    <w:top w:val="single" w:color="auto" w:sz="4" w:space="0"/>
                    <w:bottom w:val="single" w:color="auto" w:sz="4" w:space="0"/>
                  </w:tcBorders>
                  <w:vAlign w:val="center"/>
                </w:tcPr>
                <w:p w14:paraId="4BC2F037">
                  <w:pPr>
                    <w:pStyle w:val="12"/>
                    <w:spacing w:line="240" w:lineRule="auto"/>
                    <w:jc w:val="both"/>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施工</w:t>
                  </w:r>
                  <w:r>
                    <w:rPr>
                      <w:rFonts w:hint="eastAsia" w:ascii="Times New Roman" w:hAnsi="Times New Roman" w:eastAsia="宋体" w:cs="Times New Roman"/>
                      <w:color w:val="auto"/>
                      <w:sz w:val="21"/>
                      <w:szCs w:val="21"/>
                      <w:highlight w:val="none"/>
                      <w:vertAlign w:val="baseline"/>
                      <w:lang w:val="en-US" w:eastAsia="zh-CN"/>
                    </w:rPr>
                    <w:t>长度</w:t>
                  </w:r>
                  <w:r>
                    <w:rPr>
                      <w:rFonts w:hint="eastAsia" w:cs="Times New Roman"/>
                      <w:color w:val="auto"/>
                      <w:sz w:val="21"/>
                      <w:szCs w:val="21"/>
                      <w:highlight w:val="none"/>
                      <w:vertAlign w:val="baseline"/>
                      <w:lang w:val="en-US" w:eastAsia="zh-CN"/>
                    </w:rPr>
                    <w:t>减少</w:t>
                  </w:r>
                  <w:r>
                    <w:rPr>
                      <w:rFonts w:hint="eastAsia" w:ascii="Times New Roman" w:hAnsi="Times New Roman" w:eastAsia="宋体" w:cs="Times New Roman"/>
                      <w:color w:val="auto"/>
                      <w:sz w:val="21"/>
                      <w:szCs w:val="21"/>
                      <w:highlight w:val="none"/>
                      <w:vertAlign w:val="baseline"/>
                      <w:lang w:val="en-US" w:eastAsia="zh-CN"/>
                    </w:rPr>
                    <w:t>，取消</w:t>
                  </w:r>
                  <w:r>
                    <w:rPr>
                      <w:rFonts w:hint="eastAsia" w:cs="Times New Roman"/>
                      <w:color w:val="auto"/>
                      <w:sz w:val="21"/>
                      <w:szCs w:val="21"/>
                      <w:highlight w:val="none"/>
                      <w:vertAlign w:val="baseline"/>
                      <w:lang w:val="en-US" w:eastAsia="zh-CN"/>
                    </w:rPr>
                    <w:t>建设</w:t>
                  </w:r>
                  <w:r>
                    <w:rPr>
                      <w:rFonts w:hint="eastAsia" w:ascii="Times New Roman" w:hAnsi="Times New Roman" w:eastAsia="宋体" w:cs="Times New Roman"/>
                      <w:color w:val="auto"/>
                      <w:sz w:val="21"/>
                      <w:szCs w:val="21"/>
                      <w:highlight w:val="none"/>
                      <w:vertAlign w:val="baseline"/>
                      <w:lang w:val="en-US" w:eastAsia="zh-CN"/>
                    </w:rPr>
                    <w:t>流量监测设备。</w:t>
                  </w:r>
                </w:p>
              </w:tc>
            </w:tr>
            <w:tr w14:paraId="3A7F2B70">
              <w:tblPrEx>
                <w:tblBorders>
                  <w:top w:val="single" w:color="auto" w:sz="12" w:space="0"/>
                  <w:left w:val="none" w:color="auto" w:sz="0" w:space="0"/>
                  <w:bottom w:val="single" w:color="auto" w:sz="4" w:space="0"/>
                  <w:right w:val="none" w:color="auto" w:sz="0" w:space="0"/>
                  <w:insideH w:val="none" w:color="auto" w:sz="0" w:space="0"/>
                  <w:insideV w:val="single" w:color="auto" w:sz="4" w:space="0"/>
                </w:tblBorders>
                <w:tblCellMar>
                  <w:top w:w="0" w:type="dxa"/>
                  <w:left w:w="108" w:type="dxa"/>
                  <w:bottom w:w="0" w:type="dxa"/>
                  <w:right w:w="108" w:type="dxa"/>
                </w:tblCellMar>
              </w:tblPrEx>
              <w:tc>
                <w:tcPr>
                  <w:tcW w:w="2088" w:type="dxa"/>
                  <w:tcBorders>
                    <w:top w:val="single" w:color="auto" w:sz="4" w:space="0"/>
                    <w:bottom w:val="single" w:color="auto" w:sz="4" w:space="0"/>
                  </w:tcBorders>
                  <w:vAlign w:val="center"/>
                </w:tcPr>
                <w:p w14:paraId="50ED41ED">
                  <w:pPr>
                    <w:pStyle w:val="12"/>
                    <w:spacing w:line="240" w:lineRule="auto"/>
                    <w:jc w:val="both"/>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lang w:val="en-US" w:eastAsia="zh-CN"/>
                    </w:rPr>
                    <w:t>胜利渠西夏寒段流向安阳河</w:t>
                  </w:r>
                </w:p>
              </w:tc>
              <w:tc>
                <w:tcPr>
                  <w:tcW w:w="2088" w:type="dxa"/>
                  <w:tcBorders>
                    <w:top w:val="single" w:color="auto" w:sz="4" w:space="0"/>
                    <w:bottom w:val="single" w:color="auto" w:sz="4" w:space="0"/>
                  </w:tcBorders>
                  <w:vAlign w:val="center"/>
                </w:tcPr>
                <w:p w14:paraId="0E29D2CE">
                  <w:pPr>
                    <w:pStyle w:val="12"/>
                    <w:spacing w:line="240" w:lineRule="auto"/>
                    <w:jc w:val="both"/>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rPr>
                    <w:t>新建直径1.5米混凝土排水暗涵，长2000 米。需进行200 平方米路面开挖及恢复，以及 3800平方米耕地开挖及恢复。新增 1 套流量监测设备。</w:t>
                  </w:r>
                </w:p>
              </w:tc>
              <w:tc>
                <w:tcPr>
                  <w:tcW w:w="2090" w:type="dxa"/>
                  <w:tcBorders>
                    <w:top w:val="single" w:color="auto" w:sz="4" w:space="0"/>
                    <w:bottom w:val="single" w:color="auto" w:sz="4" w:space="0"/>
                  </w:tcBorders>
                  <w:vAlign w:val="center"/>
                </w:tcPr>
                <w:p w14:paraId="2F9C0EDB">
                  <w:pPr>
                    <w:pStyle w:val="12"/>
                    <w:spacing w:line="240" w:lineRule="auto"/>
                    <w:jc w:val="both"/>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 w:val="0"/>
                      <w:bCs w:val="0"/>
                      <w:color w:val="3B3B3B"/>
                      <w:sz w:val="21"/>
                      <w:szCs w:val="21"/>
                      <w:highlight w:val="none"/>
                    </w:rPr>
                    <w:t>新建1.5米×1.5 米排水暗涵及d1500钢筋混凝土排水管道，长1319米。</w:t>
                  </w:r>
                </w:p>
              </w:tc>
              <w:tc>
                <w:tcPr>
                  <w:tcW w:w="2090" w:type="dxa"/>
                  <w:tcBorders>
                    <w:top w:val="single" w:color="auto" w:sz="4" w:space="0"/>
                    <w:bottom w:val="single" w:color="auto" w:sz="4" w:space="0"/>
                  </w:tcBorders>
                  <w:vAlign w:val="center"/>
                </w:tcPr>
                <w:p w14:paraId="79993D00">
                  <w:pPr>
                    <w:pStyle w:val="12"/>
                    <w:spacing w:line="240" w:lineRule="auto"/>
                    <w:jc w:val="both"/>
                    <w:rPr>
                      <w:rFonts w:hint="default"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施工</w:t>
                  </w:r>
                  <w:r>
                    <w:rPr>
                      <w:rFonts w:hint="eastAsia" w:ascii="Times New Roman" w:hAnsi="Times New Roman" w:eastAsia="宋体" w:cs="Times New Roman"/>
                      <w:color w:val="auto"/>
                      <w:sz w:val="21"/>
                      <w:szCs w:val="21"/>
                      <w:highlight w:val="none"/>
                      <w:vertAlign w:val="baseline"/>
                      <w:lang w:val="en-US" w:eastAsia="zh-CN"/>
                    </w:rPr>
                    <w:t>长度</w:t>
                  </w:r>
                  <w:r>
                    <w:rPr>
                      <w:rFonts w:hint="eastAsia" w:cs="Times New Roman"/>
                      <w:color w:val="auto"/>
                      <w:sz w:val="21"/>
                      <w:szCs w:val="21"/>
                      <w:highlight w:val="none"/>
                      <w:vertAlign w:val="baseline"/>
                      <w:lang w:val="en-US" w:eastAsia="zh-CN"/>
                    </w:rPr>
                    <w:t>减少</w:t>
                  </w:r>
                  <w:r>
                    <w:rPr>
                      <w:rFonts w:hint="eastAsia" w:ascii="Times New Roman" w:hAnsi="Times New Roman" w:eastAsia="宋体" w:cs="Times New Roman"/>
                      <w:color w:val="auto"/>
                      <w:sz w:val="21"/>
                      <w:szCs w:val="21"/>
                      <w:highlight w:val="none"/>
                      <w:vertAlign w:val="baseline"/>
                      <w:lang w:val="en-US" w:eastAsia="zh-CN"/>
                    </w:rPr>
                    <w:t>，取消</w:t>
                  </w:r>
                  <w:r>
                    <w:rPr>
                      <w:rFonts w:hint="eastAsia" w:cs="Times New Roman"/>
                      <w:color w:val="auto"/>
                      <w:sz w:val="21"/>
                      <w:szCs w:val="21"/>
                      <w:highlight w:val="none"/>
                      <w:vertAlign w:val="baseline"/>
                      <w:lang w:val="en-US" w:eastAsia="zh-CN"/>
                    </w:rPr>
                    <w:t>建设</w:t>
                  </w:r>
                  <w:r>
                    <w:rPr>
                      <w:rFonts w:hint="default" w:ascii="Times New Roman" w:hAnsi="Times New Roman" w:eastAsia="宋体" w:cs="Times New Roman"/>
                      <w:b w:val="0"/>
                      <w:bCs w:val="0"/>
                      <w:color w:val="000000"/>
                      <w:sz w:val="21"/>
                      <w:szCs w:val="21"/>
                      <w:highlight w:val="none"/>
                    </w:rPr>
                    <w:t>流量监测设备。</w:t>
                  </w:r>
                </w:p>
              </w:tc>
            </w:tr>
            <w:tr w14:paraId="332021CE">
              <w:tblPrEx>
                <w:tblBorders>
                  <w:top w:val="single" w:color="auto" w:sz="12" w:space="0"/>
                  <w:left w:val="none" w:color="auto" w:sz="0" w:space="0"/>
                  <w:bottom w:val="single" w:color="auto" w:sz="4" w:space="0"/>
                  <w:right w:val="none" w:color="auto" w:sz="0" w:space="0"/>
                  <w:insideH w:val="none" w:color="auto" w:sz="0" w:space="0"/>
                  <w:insideV w:val="single" w:color="auto" w:sz="4" w:space="0"/>
                </w:tblBorders>
                <w:tblCellMar>
                  <w:top w:w="0" w:type="dxa"/>
                  <w:left w:w="108" w:type="dxa"/>
                  <w:bottom w:w="0" w:type="dxa"/>
                  <w:right w:w="108" w:type="dxa"/>
                </w:tblCellMar>
              </w:tblPrEx>
              <w:tc>
                <w:tcPr>
                  <w:tcW w:w="2088" w:type="dxa"/>
                  <w:tcBorders>
                    <w:top w:val="single" w:color="auto" w:sz="4" w:space="0"/>
                    <w:bottom w:val="single" w:color="auto" w:sz="12" w:space="0"/>
                  </w:tcBorders>
                  <w:vAlign w:val="center"/>
                </w:tcPr>
                <w:p w14:paraId="2BB5B884">
                  <w:pPr>
                    <w:pStyle w:val="12"/>
                    <w:spacing w:line="240" w:lineRule="auto"/>
                    <w:jc w:val="both"/>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lang w:val="en-US" w:eastAsia="zh-CN"/>
                    </w:rPr>
                    <w:t>胜利渠跨金线河段</w:t>
                  </w:r>
                </w:p>
              </w:tc>
              <w:tc>
                <w:tcPr>
                  <w:tcW w:w="2088" w:type="dxa"/>
                  <w:tcBorders>
                    <w:top w:val="single" w:color="auto" w:sz="4" w:space="0"/>
                    <w:bottom w:val="single" w:color="auto" w:sz="12" w:space="0"/>
                  </w:tcBorders>
                  <w:vAlign w:val="center"/>
                </w:tcPr>
                <w:p w14:paraId="2AD8FC51">
                  <w:pPr>
                    <w:pStyle w:val="12"/>
                    <w:spacing w:line="240" w:lineRule="auto"/>
                    <w:jc w:val="both"/>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 w:val="0"/>
                      <w:bCs w:val="0"/>
                      <w:color w:val="000000"/>
                      <w:sz w:val="21"/>
                      <w:szCs w:val="21"/>
                      <w:highlight w:val="none"/>
                    </w:rPr>
                    <w:t>由地上明渠改为地下暗渠，渠深1.5米，宽3 米，长30米。</w:t>
                  </w:r>
                </w:p>
              </w:tc>
              <w:tc>
                <w:tcPr>
                  <w:tcW w:w="2090" w:type="dxa"/>
                  <w:tcBorders>
                    <w:top w:val="single" w:color="auto" w:sz="4" w:space="0"/>
                    <w:bottom w:val="single" w:color="auto" w:sz="12" w:space="0"/>
                  </w:tcBorders>
                  <w:vAlign w:val="center"/>
                </w:tcPr>
                <w:p w14:paraId="5CD28031">
                  <w:pPr>
                    <w:pStyle w:val="12"/>
                    <w:spacing w:line="240" w:lineRule="auto"/>
                    <w:jc w:val="both"/>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b w:val="0"/>
                      <w:bCs w:val="0"/>
                      <w:color w:val="3B3B3B"/>
                      <w:sz w:val="21"/>
                      <w:szCs w:val="21"/>
                      <w:highlight w:val="none"/>
                    </w:rPr>
                    <w:t>由地上明渠改为地下暗渠，渠深1.5 米，宽3米，长约30米。</w:t>
                  </w:r>
                </w:p>
              </w:tc>
              <w:tc>
                <w:tcPr>
                  <w:tcW w:w="2090" w:type="dxa"/>
                  <w:tcBorders>
                    <w:top w:val="single" w:color="auto" w:sz="4" w:space="0"/>
                    <w:bottom w:val="single" w:color="auto" w:sz="12" w:space="0"/>
                  </w:tcBorders>
                  <w:vAlign w:val="center"/>
                </w:tcPr>
                <w:p w14:paraId="763356DA">
                  <w:pPr>
                    <w:pStyle w:val="12"/>
                    <w:spacing w:line="240" w:lineRule="auto"/>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相符</w:t>
                  </w:r>
                </w:p>
              </w:tc>
            </w:tr>
          </w:tbl>
          <w:p w14:paraId="79ACBD76">
            <w:pPr>
              <w:pStyle w:val="12"/>
              <w:rPr>
                <w:rFonts w:hint="default" w:ascii="Times New Roman" w:hAnsi="Times New Roman" w:cs="Times New Roman" w:eastAsiaTheme="minorEastAsia"/>
                <w:color w:val="auto"/>
                <w:sz w:val="24"/>
                <w:szCs w:val="24"/>
                <w:highlight w:val="none"/>
                <w:lang w:val="en-US" w:eastAsia="zh-CN"/>
              </w:rPr>
            </w:pPr>
          </w:p>
          <w:p w14:paraId="77597F52">
            <w:pPr>
              <w:pStyle w:val="12"/>
              <w:rPr>
                <w:rFonts w:hint="default" w:ascii="Times New Roman" w:hAnsi="Times New Roman" w:cs="Times New Roman" w:eastAsiaTheme="minorEastAsia"/>
                <w:color w:val="auto"/>
                <w:sz w:val="24"/>
                <w:szCs w:val="24"/>
                <w:highlight w:val="none"/>
                <w:lang w:val="en-US" w:eastAsia="zh-CN"/>
              </w:rPr>
            </w:pPr>
          </w:p>
          <w:p w14:paraId="3938D17C">
            <w:pPr>
              <w:pStyle w:val="12"/>
              <w:rPr>
                <w:rFonts w:hint="default" w:ascii="Times New Roman" w:hAnsi="Times New Roman" w:cs="Times New Roman" w:eastAsiaTheme="minorEastAsia"/>
                <w:color w:val="auto"/>
                <w:sz w:val="24"/>
                <w:szCs w:val="24"/>
                <w:highlight w:val="none"/>
                <w:lang w:val="en-US" w:eastAsia="zh-CN"/>
              </w:rPr>
            </w:pPr>
          </w:p>
          <w:p w14:paraId="1FAFB372">
            <w:pPr>
              <w:pStyle w:val="12"/>
              <w:rPr>
                <w:rFonts w:hint="default" w:ascii="Times New Roman" w:hAnsi="Times New Roman" w:cs="Times New Roman" w:eastAsiaTheme="minorEastAsia"/>
                <w:color w:val="auto"/>
                <w:sz w:val="24"/>
                <w:szCs w:val="24"/>
                <w:highlight w:val="none"/>
                <w:lang w:val="en-US" w:eastAsia="zh-CN"/>
              </w:rPr>
            </w:pPr>
          </w:p>
          <w:p w14:paraId="458B92C2">
            <w:pPr>
              <w:pStyle w:val="12"/>
              <w:rPr>
                <w:rFonts w:hint="default" w:ascii="Times New Roman" w:hAnsi="Times New Roman" w:cs="Times New Roman" w:eastAsiaTheme="minorEastAsia"/>
                <w:color w:val="auto"/>
                <w:sz w:val="24"/>
                <w:szCs w:val="24"/>
                <w:highlight w:val="none"/>
                <w:lang w:val="en-US" w:eastAsia="zh-CN"/>
              </w:rPr>
            </w:pPr>
          </w:p>
          <w:p w14:paraId="6DA76E5D">
            <w:pPr>
              <w:pStyle w:val="12"/>
              <w:rPr>
                <w:rFonts w:hint="default" w:ascii="Times New Roman" w:hAnsi="Times New Roman" w:cs="Times New Roman" w:eastAsiaTheme="minorEastAsia"/>
                <w:color w:val="auto"/>
                <w:sz w:val="24"/>
                <w:szCs w:val="24"/>
                <w:highlight w:val="none"/>
                <w:lang w:val="en-US" w:eastAsia="zh-CN"/>
              </w:rPr>
            </w:pPr>
          </w:p>
          <w:p w14:paraId="6DAE3C03">
            <w:pPr>
              <w:pStyle w:val="12"/>
              <w:rPr>
                <w:rFonts w:hint="default" w:ascii="Times New Roman" w:hAnsi="Times New Roman" w:cs="Times New Roman" w:eastAsiaTheme="minorEastAsia"/>
                <w:color w:val="auto"/>
                <w:sz w:val="24"/>
                <w:szCs w:val="24"/>
                <w:highlight w:val="none"/>
                <w:lang w:val="en-US" w:eastAsia="zh-CN"/>
              </w:rPr>
            </w:pPr>
          </w:p>
          <w:p w14:paraId="28530248">
            <w:pPr>
              <w:pStyle w:val="12"/>
              <w:rPr>
                <w:rFonts w:hint="default" w:ascii="Times New Roman" w:hAnsi="Times New Roman" w:cs="Times New Roman" w:eastAsiaTheme="minorEastAsia"/>
                <w:color w:val="auto"/>
                <w:sz w:val="24"/>
                <w:szCs w:val="24"/>
                <w:highlight w:val="none"/>
                <w:lang w:val="en-US" w:eastAsia="zh-CN"/>
              </w:rPr>
            </w:pPr>
          </w:p>
          <w:p w14:paraId="2DE523F7">
            <w:pPr>
              <w:pStyle w:val="12"/>
              <w:rPr>
                <w:rFonts w:hint="default" w:ascii="Times New Roman" w:hAnsi="Times New Roman" w:cs="Times New Roman" w:eastAsiaTheme="minorEastAsia"/>
                <w:color w:val="auto"/>
                <w:sz w:val="24"/>
                <w:szCs w:val="24"/>
                <w:highlight w:val="none"/>
                <w:lang w:val="en-US" w:eastAsia="zh-CN"/>
              </w:rPr>
            </w:pPr>
          </w:p>
          <w:p w14:paraId="7907D059">
            <w:pPr>
              <w:pStyle w:val="12"/>
              <w:rPr>
                <w:rFonts w:hint="default" w:ascii="Times New Roman" w:hAnsi="Times New Roman" w:cs="Times New Roman" w:eastAsiaTheme="minorEastAsia"/>
                <w:color w:val="auto"/>
                <w:sz w:val="24"/>
                <w:szCs w:val="24"/>
                <w:highlight w:val="none"/>
                <w:lang w:val="en-US" w:eastAsia="zh-CN"/>
              </w:rPr>
            </w:pPr>
          </w:p>
          <w:p w14:paraId="7F3A622D">
            <w:pPr>
              <w:pStyle w:val="12"/>
              <w:rPr>
                <w:rFonts w:hint="default" w:ascii="Times New Roman" w:hAnsi="Times New Roman" w:cs="Times New Roman" w:eastAsiaTheme="minorEastAsia"/>
                <w:color w:val="auto"/>
                <w:sz w:val="24"/>
                <w:szCs w:val="24"/>
                <w:highlight w:val="none"/>
                <w:lang w:val="en-US" w:eastAsia="zh-CN"/>
              </w:rPr>
            </w:pPr>
          </w:p>
          <w:p w14:paraId="1C0254E5">
            <w:pPr>
              <w:pStyle w:val="12"/>
              <w:rPr>
                <w:rFonts w:hint="default" w:ascii="Times New Roman" w:hAnsi="Times New Roman" w:cs="Times New Roman" w:eastAsiaTheme="minorEastAsia"/>
                <w:color w:val="auto"/>
                <w:sz w:val="24"/>
                <w:szCs w:val="24"/>
                <w:highlight w:val="none"/>
                <w:lang w:val="en-US" w:eastAsia="zh-CN"/>
              </w:rPr>
            </w:pPr>
          </w:p>
          <w:p w14:paraId="193F1048">
            <w:pPr>
              <w:pStyle w:val="12"/>
              <w:rPr>
                <w:rFonts w:hint="default" w:ascii="Times New Roman" w:hAnsi="Times New Roman" w:cs="Times New Roman" w:eastAsiaTheme="minorEastAsia"/>
                <w:color w:val="auto"/>
                <w:sz w:val="24"/>
                <w:szCs w:val="24"/>
                <w:highlight w:val="none"/>
                <w:lang w:val="en-US" w:eastAsia="zh-CN"/>
              </w:rPr>
            </w:pPr>
          </w:p>
          <w:p w14:paraId="4598C916">
            <w:pPr>
              <w:pStyle w:val="12"/>
              <w:rPr>
                <w:rFonts w:hint="default" w:ascii="Times New Roman" w:hAnsi="Times New Roman" w:cs="Times New Roman" w:eastAsiaTheme="minorEastAsia"/>
                <w:color w:val="auto"/>
                <w:sz w:val="24"/>
                <w:szCs w:val="24"/>
                <w:highlight w:val="none"/>
                <w:lang w:val="en-US" w:eastAsia="zh-CN"/>
              </w:rPr>
            </w:pPr>
          </w:p>
          <w:p w14:paraId="69E441FF">
            <w:pPr>
              <w:pStyle w:val="12"/>
              <w:rPr>
                <w:rFonts w:hint="default" w:ascii="Times New Roman" w:hAnsi="Times New Roman" w:cs="Times New Roman" w:eastAsiaTheme="minorEastAsia"/>
                <w:color w:val="auto"/>
                <w:sz w:val="24"/>
                <w:szCs w:val="24"/>
                <w:highlight w:val="none"/>
                <w:lang w:val="en-US" w:eastAsia="zh-CN"/>
              </w:rPr>
            </w:pPr>
          </w:p>
          <w:p w14:paraId="7FBB7D2C">
            <w:pPr>
              <w:pStyle w:val="12"/>
              <w:rPr>
                <w:rFonts w:hint="default" w:ascii="Times New Roman" w:hAnsi="Times New Roman" w:cs="Times New Roman" w:eastAsiaTheme="minorEastAsia"/>
                <w:color w:val="auto"/>
                <w:sz w:val="24"/>
                <w:szCs w:val="24"/>
                <w:highlight w:val="none"/>
                <w:lang w:val="en-US" w:eastAsia="zh-CN"/>
              </w:rPr>
            </w:pPr>
          </w:p>
          <w:p w14:paraId="7AE2C112">
            <w:pPr>
              <w:pStyle w:val="12"/>
              <w:rPr>
                <w:rFonts w:hint="default" w:ascii="Times New Roman" w:hAnsi="Times New Roman" w:cs="Times New Roman" w:eastAsiaTheme="minorEastAsia"/>
                <w:color w:val="auto"/>
                <w:sz w:val="24"/>
                <w:szCs w:val="24"/>
                <w:highlight w:val="none"/>
                <w:lang w:val="en-US" w:eastAsia="zh-CN"/>
              </w:rPr>
            </w:pPr>
          </w:p>
          <w:p w14:paraId="485417C7">
            <w:pPr>
              <w:pStyle w:val="12"/>
              <w:rPr>
                <w:rFonts w:hint="default" w:ascii="Times New Roman" w:hAnsi="Times New Roman" w:cs="Times New Roman" w:eastAsiaTheme="minorEastAsia"/>
                <w:color w:val="auto"/>
                <w:sz w:val="24"/>
                <w:szCs w:val="24"/>
                <w:highlight w:val="none"/>
                <w:lang w:val="en-US" w:eastAsia="zh-CN"/>
              </w:rPr>
            </w:pPr>
          </w:p>
          <w:p w14:paraId="2F70BD28">
            <w:pPr>
              <w:pStyle w:val="12"/>
              <w:rPr>
                <w:rFonts w:hint="default" w:ascii="Times New Roman" w:hAnsi="Times New Roman" w:cs="Times New Roman" w:eastAsiaTheme="minorEastAsia"/>
                <w:color w:val="auto"/>
                <w:sz w:val="24"/>
                <w:szCs w:val="24"/>
                <w:highlight w:val="none"/>
                <w:lang w:val="en-US" w:eastAsia="zh-CN"/>
              </w:rPr>
            </w:pPr>
          </w:p>
          <w:p w14:paraId="031215E5">
            <w:pPr>
              <w:pStyle w:val="12"/>
              <w:rPr>
                <w:rFonts w:hint="default" w:ascii="Times New Roman" w:hAnsi="Times New Roman" w:cs="Times New Roman" w:eastAsiaTheme="minorEastAsia"/>
                <w:color w:val="auto"/>
                <w:sz w:val="24"/>
                <w:szCs w:val="24"/>
                <w:highlight w:val="none"/>
                <w:lang w:val="en-US" w:eastAsia="zh-CN"/>
              </w:rPr>
            </w:pPr>
          </w:p>
          <w:p w14:paraId="377F5ADC">
            <w:pPr>
              <w:pStyle w:val="12"/>
              <w:rPr>
                <w:rFonts w:hint="default" w:ascii="Times New Roman" w:hAnsi="Times New Roman" w:cs="Times New Roman" w:eastAsiaTheme="minorEastAsia"/>
                <w:color w:val="auto"/>
                <w:sz w:val="24"/>
                <w:szCs w:val="24"/>
                <w:highlight w:val="none"/>
                <w:lang w:val="en-US" w:eastAsia="zh-CN"/>
              </w:rPr>
            </w:pPr>
          </w:p>
          <w:p w14:paraId="717AC8DA">
            <w:pPr>
              <w:pStyle w:val="12"/>
              <w:rPr>
                <w:rFonts w:hint="default" w:ascii="Times New Roman" w:hAnsi="Times New Roman" w:cs="Times New Roman" w:eastAsiaTheme="minorEastAsia"/>
                <w:color w:val="auto"/>
                <w:sz w:val="24"/>
                <w:szCs w:val="24"/>
                <w:highlight w:val="none"/>
                <w:lang w:val="en-US" w:eastAsia="zh-CN"/>
              </w:rPr>
            </w:pPr>
          </w:p>
        </w:tc>
      </w:tr>
    </w:tbl>
    <w:p w14:paraId="210D56D6">
      <w:pPr>
        <w:spacing w:line="360" w:lineRule="auto"/>
        <w:outlineLvl w:val="9"/>
        <w:rPr>
          <w:rFonts w:eastAsia="黑体"/>
          <w:sz w:val="30"/>
          <w:highlight w:val="none"/>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3136C1B9">
      <w:pPr>
        <w:pStyle w:val="15"/>
        <w:jc w:val="center"/>
        <w:outlineLvl w:val="0"/>
        <w:rPr>
          <w:rFonts w:ascii="黑体" w:hAnsi="黑体" w:eastAsia="黑体"/>
          <w:snapToGrid w:val="0"/>
          <w:sz w:val="30"/>
          <w:szCs w:val="30"/>
          <w:highlight w:val="none"/>
        </w:rPr>
      </w:pPr>
      <w:bookmarkStart w:id="6" w:name="_Toc27856"/>
      <w:r>
        <w:rPr>
          <w:rFonts w:hint="eastAsia" w:ascii="黑体" w:hAnsi="黑体" w:eastAsia="黑体"/>
          <w:snapToGrid w:val="0"/>
          <w:sz w:val="30"/>
          <w:szCs w:val="30"/>
          <w:highlight w:val="none"/>
        </w:rPr>
        <w:t>二、建设内容</w:t>
      </w:r>
      <w:bookmarkEnd w:id="6"/>
    </w:p>
    <w:tbl>
      <w:tblPr>
        <w:tblStyle w:val="18"/>
        <w:tblW w:w="955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9126"/>
      </w:tblGrid>
      <w:tr w14:paraId="03A534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7" w:hRule="atLeast"/>
          <w:jc w:val="center"/>
        </w:trPr>
        <w:tc>
          <w:tcPr>
            <w:tcW w:w="449" w:type="dxa"/>
            <w:noWrap w:val="0"/>
            <w:vAlign w:val="center"/>
          </w:tcPr>
          <w:p w14:paraId="05E60F1C">
            <w:pPr>
              <w:adjustRightInd w:val="0"/>
              <w:snapToGrid w:val="0"/>
              <w:jc w:val="center"/>
              <w:rPr>
                <w:rFonts w:ascii="宋体" w:hAnsi="宋体" w:cs="宋体"/>
                <w:kern w:val="0"/>
                <w:szCs w:val="21"/>
                <w:highlight w:val="none"/>
              </w:rPr>
            </w:pPr>
            <w:r>
              <w:rPr>
                <w:rFonts w:hint="eastAsia" w:ascii="宋体" w:hAnsi="宋体" w:cs="宋体"/>
                <w:kern w:val="0"/>
                <w:sz w:val="24"/>
                <w:szCs w:val="24"/>
                <w:highlight w:val="none"/>
              </w:rPr>
              <w:t>地理位置</w:t>
            </w:r>
          </w:p>
        </w:tc>
        <w:tc>
          <w:tcPr>
            <w:tcW w:w="9109" w:type="dxa"/>
            <w:noWrap w:val="0"/>
            <w:vAlign w:val="center"/>
          </w:tcPr>
          <w:p w14:paraId="31E046E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 w:val="0"/>
                <w:bCs w:val="0"/>
                <w:kern w:val="0"/>
                <w:sz w:val="24"/>
                <w:szCs w:val="24"/>
                <w:highlight w:val="none"/>
                <w:lang w:val="en-US" w:eastAsia="zh-CN"/>
              </w:rPr>
            </w:pPr>
            <w:r>
              <w:rPr>
                <w:rFonts w:hint="eastAsia" w:cs="Times New Roman"/>
                <w:b w:val="0"/>
                <w:bCs w:val="0"/>
                <w:kern w:val="0"/>
                <w:sz w:val="24"/>
                <w:szCs w:val="24"/>
                <w:highlight w:val="none"/>
                <w:lang w:val="en-US" w:eastAsia="zh-CN"/>
              </w:rPr>
              <w:t>（1）</w:t>
            </w:r>
            <w:r>
              <w:rPr>
                <w:rFonts w:hint="default" w:ascii="Times New Roman" w:hAnsi="Times New Roman" w:cs="Times New Roman"/>
                <w:b w:val="0"/>
                <w:bCs w:val="0"/>
                <w:kern w:val="0"/>
                <w:sz w:val="24"/>
                <w:szCs w:val="24"/>
                <w:highlight w:val="none"/>
                <w:lang w:val="en-US" w:eastAsia="zh-CN"/>
              </w:rPr>
              <w:t>老万金渠</w:t>
            </w:r>
            <w:r>
              <w:rPr>
                <w:rFonts w:hint="eastAsia" w:cs="Times New Roman"/>
                <w:b w:val="0"/>
                <w:bCs w:val="0"/>
                <w:kern w:val="0"/>
                <w:sz w:val="24"/>
                <w:szCs w:val="24"/>
                <w:highlight w:val="none"/>
                <w:lang w:val="en-US" w:eastAsia="zh-CN"/>
              </w:rPr>
              <w:t>曲沟段</w:t>
            </w:r>
          </w:p>
          <w:p w14:paraId="6CC184C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b w:val="0"/>
                <w:bCs w:val="0"/>
                <w:kern w:val="0"/>
                <w:sz w:val="24"/>
                <w:szCs w:val="24"/>
                <w:highlight w:val="none"/>
                <w:lang w:val="en-US" w:eastAsia="zh-CN"/>
              </w:rPr>
            </w:pPr>
            <w:r>
              <w:rPr>
                <w:rFonts w:hint="default" w:ascii="Times New Roman" w:hAnsi="Times New Roman" w:cs="Times New Roman"/>
                <w:b w:val="0"/>
                <w:bCs w:val="0"/>
                <w:kern w:val="0"/>
                <w:sz w:val="24"/>
                <w:szCs w:val="24"/>
                <w:highlight w:val="none"/>
                <w:lang w:val="en-US" w:eastAsia="zh-CN"/>
              </w:rPr>
              <w:t>建设地点</w:t>
            </w:r>
            <w:r>
              <w:rPr>
                <w:rFonts w:hint="eastAsia" w:cs="Times New Roman"/>
                <w:b w:val="0"/>
                <w:bCs w:val="0"/>
                <w:kern w:val="0"/>
                <w:sz w:val="24"/>
                <w:szCs w:val="24"/>
                <w:highlight w:val="none"/>
                <w:lang w:val="en-US" w:eastAsia="zh-CN"/>
              </w:rPr>
              <w:t>：</w:t>
            </w:r>
            <w:r>
              <w:rPr>
                <w:rFonts w:hint="default" w:ascii="Times New Roman" w:hAnsi="Times New Roman" w:cs="Times New Roman"/>
                <w:b w:val="0"/>
                <w:bCs w:val="0"/>
                <w:kern w:val="0"/>
                <w:sz w:val="24"/>
                <w:szCs w:val="24"/>
                <w:highlight w:val="none"/>
                <w:lang w:val="en-US" w:eastAsia="zh-CN"/>
              </w:rPr>
              <w:t>自</w:t>
            </w:r>
            <w:r>
              <w:rPr>
                <w:rFonts w:hint="eastAsia" w:ascii="Times New Roman" w:hAnsi="Times New Roman" w:cs="Times New Roman"/>
                <w:b w:val="0"/>
                <w:bCs w:val="0"/>
                <w:sz w:val="24"/>
                <w:szCs w:val="24"/>
                <w:highlight w:val="none"/>
                <w:lang w:val="en-US" w:eastAsia="zh-CN"/>
              </w:rPr>
              <w:t>安阳市殷都区</w:t>
            </w:r>
            <w:r>
              <w:rPr>
                <w:rFonts w:hint="default" w:ascii="Times New Roman" w:hAnsi="Times New Roman" w:cs="Times New Roman"/>
                <w:b w:val="0"/>
                <w:bCs w:val="0"/>
                <w:kern w:val="0"/>
                <w:sz w:val="24"/>
                <w:szCs w:val="24"/>
                <w:highlight w:val="none"/>
                <w:lang w:val="en-US" w:eastAsia="zh-CN"/>
              </w:rPr>
              <w:t>曲沟镇曲沟镇万金花园南侧，向西至金线河</w:t>
            </w:r>
            <w:r>
              <w:rPr>
                <w:rFonts w:hint="eastAsia" w:cs="Times New Roman"/>
                <w:b w:val="0"/>
                <w:bCs w:val="0"/>
                <w:kern w:val="0"/>
                <w:sz w:val="24"/>
                <w:szCs w:val="24"/>
                <w:highlight w:val="none"/>
                <w:lang w:val="en-US" w:eastAsia="zh-CN"/>
              </w:rPr>
              <w:t>。</w:t>
            </w:r>
          </w:p>
          <w:p w14:paraId="7C6DBA07">
            <w:pPr>
              <w:pStyle w:val="23"/>
              <w:spacing w:line="360" w:lineRule="auto"/>
              <w:ind w:firstLine="480" w:firstLineChars="200"/>
              <w:rPr>
                <w:rFonts w:hint="default" w:ascii="Times New Roman" w:hAnsi="Times New Roman" w:cs="Times New Roman"/>
                <w:b w:val="0"/>
                <w:bCs w:val="0"/>
                <w:sz w:val="24"/>
                <w:szCs w:val="24"/>
                <w:highlight w:val="none"/>
                <w:lang w:val="en-US" w:eastAsia="zh-CN"/>
              </w:rPr>
            </w:pPr>
            <w:r>
              <w:rPr>
                <w:rFonts w:hint="eastAsia" w:ascii="Times New Roman" w:hAnsi="Times New Roman" w:cs="Times New Roman"/>
                <w:b w:val="0"/>
                <w:bCs w:val="0"/>
                <w:sz w:val="24"/>
                <w:szCs w:val="24"/>
                <w:highlight w:val="none"/>
                <w:lang w:val="en-US" w:eastAsia="zh-CN"/>
              </w:rPr>
              <w:t>（2）</w:t>
            </w:r>
            <w:r>
              <w:rPr>
                <w:rFonts w:hint="default" w:ascii="Times New Roman" w:hAnsi="Times New Roman" w:cs="Times New Roman"/>
                <w:b w:val="0"/>
                <w:bCs w:val="0"/>
                <w:sz w:val="24"/>
                <w:szCs w:val="24"/>
                <w:highlight w:val="none"/>
                <w:lang w:val="en-US" w:eastAsia="zh-CN"/>
              </w:rPr>
              <w:t>胜利渠武旺段流向金线河</w:t>
            </w:r>
          </w:p>
          <w:p w14:paraId="07250C2A">
            <w:pPr>
              <w:pStyle w:val="23"/>
              <w:spacing w:line="360" w:lineRule="auto"/>
              <w:ind w:firstLine="480" w:firstLineChars="200"/>
              <w:rPr>
                <w:rFonts w:hint="default" w:ascii="Times New Roman" w:hAnsi="Times New Roman" w:cs="Times New Roman"/>
                <w:b w:val="0"/>
                <w:bCs w:val="0"/>
                <w:sz w:val="24"/>
                <w:szCs w:val="24"/>
                <w:highlight w:val="none"/>
                <w:lang w:val="en-US" w:eastAsia="zh-CN"/>
              </w:rPr>
            </w:pPr>
            <w:r>
              <w:rPr>
                <w:rFonts w:hint="default" w:ascii="Times New Roman" w:hAnsi="Times New Roman" w:cs="Times New Roman"/>
                <w:b w:val="0"/>
                <w:bCs w:val="0"/>
                <w:sz w:val="24"/>
                <w:szCs w:val="24"/>
                <w:highlight w:val="none"/>
                <w:lang w:val="en-US" w:eastAsia="zh-CN"/>
              </w:rPr>
              <w:t>建设地点</w:t>
            </w:r>
            <w:r>
              <w:rPr>
                <w:rFonts w:hint="eastAsia" w:ascii="Times New Roman" w:hAnsi="Times New Roman" w:cs="Times New Roman"/>
                <w:b w:val="0"/>
                <w:bCs w:val="0"/>
                <w:sz w:val="24"/>
                <w:szCs w:val="24"/>
                <w:highlight w:val="none"/>
                <w:lang w:val="en-US" w:eastAsia="zh-CN"/>
              </w:rPr>
              <w:t>：</w:t>
            </w:r>
            <w:r>
              <w:rPr>
                <w:rFonts w:hint="default" w:ascii="Times New Roman" w:hAnsi="Times New Roman" w:cs="Times New Roman"/>
                <w:b w:val="0"/>
                <w:bCs w:val="0"/>
                <w:sz w:val="24"/>
                <w:szCs w:val="24"/>
                <w:highlight w:val="none"/>
                <w:lang w:val="en-US" w:eastAsia="zh-CN"/>
              </w:rPr>
              <w:t>从</w:t>
            </w:r>
            <w:r>
              <w:rPr>
                <w:rFonts w:hint="eastAsia" w:ascii="Times New Roman" w:hAnsi="Times New Roman" w:cs="Times New Roman"/>
                <w:b w:val="0"/>
                <w:bCs w:val="0"/>
                <w:sz w:val="24"/>
                <w:szCs w:val="24"/>
                <w:highlight w:val="none"/>
                <w:lang w:val="en-US" w:eastAsia="zh-CN"/>
              </w:rPr>
              <w:t>安阳市殷都区</w:t>
            </w:r>
            <w:r>
              <w:rPr>
                <w:rFonts w:hint="default" w:ascii="Times New Roman" w:hAnsi="Times New Roman" w:cs="Times New Roman"/>
                <w:b w:val="0"/>
                <w:bCs w:val="0"/>
                <w:kern w:val="0"/>
                <w:sz w:val="24"/>
                <w:szCs w:val="24"/>
                <w:highlight w:val="none"/>
                <w:lang w:val="en-US" w:eastAsia="zh-CN"/>
              </w:rPr>
              <w:t>曲沟镇</w:t>
            </w:r>
            <w:r>
              <w:rPr>
                <w:rFonts w:hint="default" w:ascii="Times New Roman" w:hAnsi="Times New Roman" w:cs="Times New Roman"/>
                <w:b w:val="0"/>
                <w:bCs w:val="0"/>
                <w:sz w:val="24"/>
                <w:szCs w:val="24"/>
                <w:highlight w:val="none"/>
                <w:lang w:val="en-US" w:eastAsia="zh-CN"/>
              </w:rPr>
              <w:t>武旺村向东穿西夏寒村至金线河</w:t>
            </w:r>
            <w:r>
              <w:rPr>
                <w:rFonts w:hint="eastAsia" w:ascii="Times New Roman" w:hAnsi="Times New Roman" w:cs="Times New Roman"/>
                <w:b w:val="0"/>
                <w:bCs w:val="0"/>
                <w:sz w:val="24"/>
                <w:szCs w:val="24"/>
                <w:highlight w:val="none"/>
                <w:lang w:val="en-US" w:eastAsia="zh-CN"/>
              </w:rPr>
              <w:t>。</w:t>
            </w:r>
          </w:p>
          <w:p w14:paraId="0F65B42F">
            <w:pPr>
              <w:pStyle w:val="23"/>
              <w:numPr>
                <w:ilvl w:val="0"/>
                <w:numId w:val="0"/>
              </w:numPr>
              <w:spacing w:line="360" w:lineRule="auto"/>
              <w:ind w:left="0" w:leftChars="0" w:firstLine="480" w:firstLineChars="200"/>
              <w:rPr>
                <w:rFonts w:hint="default" w:ascii="Times New Roman" w:hAnsi="Times New Roman" w:cs="Times New Roman"/>
                <w:b w:val="0"/>
                <w:bCs w:val="0"/>
                <w:sz w:val="24"/>
                <w:szCs w:val="24"/>
                <w:highlight w:val="none"/>
                <w:lang w:val="en-US" w:eastAsia="zh-CN"/>
              </w:rPr>
            </w:pPr>
            <w:r>
              <w:rPr>
                <w:rFonts w:hint="eastAsia" w:ascii="Times New Roman" w:hAnsi="Times New Roman" w:cs="Times New Roman"/>
                <w:b w:val="0"/>
                <w:bCs w:val="0"/>
                <w:color w:val="000000"/>
                <w:kern w:val="2"/>
                <w:sz w:val="24"/>
                <w:szCs w:val="24"/>
                <w:highlight w:val="none"/>
                <w:lang w:val="en-US" w:eastAsia="zh-CN" w:bidi="ar-SA"/>
              </w:rPr>
              <w:t>（3）</w:t>
            </w:r>
            <w:r>
              <w:rPr>
                <w:rFonts w:hint="default" w:ascii="Times New Roman" w:hAnsi="Times New Roman" w:cs="Times New Roman"/>
                <w:b w:val="0"/>
                <w:bCs w:val="0"/>
                <w:sz w:val="24"/>
                <w:szCs w:val="24"/>
                <w:highlight w:val="none"/>
                <w:lang w:val="en-US" w:eastAsia="zh-CN"/>
              </w:rPr>
              <w:t>胜利渠西夏寒段流向安阳河</w:t>
            </w:r>
          </w:p>
          <w:p w14:paraId="6BB45A4F">
            <w:pPr>
              <w:pStyle w:val="23"/>
              <w:numPr>
                <w:ilvl w:val="0"/>
                <w:numId w:val="0"/>
              </w:numPr>
              <w:spacing w:line="360" w:lineRule="auto"/>
              <w:ind w:leftChars="0" w:firstLine="480" w:firstLineChars="200"/>
              <w:rPr>
                <w:rFonts w:hint="default" w:ascii="Times New Roman" w:hAnsi="Times New Roman" w:cs="Times New Roman"/>
                <w:b w:val="0"/>
                <w:bCs w:val="0"/>
                <w:sz w:val="24"/>
                <w:szCs w:val="24"/>
                <w:highlight w:val="none"/>
                <w:lang w:val="en-US" w:eastAsia="zh-CN"/>
              </w:rPr>
            </w:pPr>
            <w:r>
              <w:rPr>
                <w:rFonts w:hint="default" w:ascii="Times New Roman" w:hAnsi="Times New Roman" w:cs="Times New Roman"/>
                <w:b w:val="0"/>
                <w:bCs w:val="0"/>
                <w:sz w:val="24"/>
                <w:szCs w:val="24"/>
                <w:highlight w:val="none"/>
                <w:lang w:val="en-US" w:eastAsia="zh-CN"/>
              </w:rPr>
              <w:t>建设地点</w:t>
            </w:r>
            <w:r>
              <w:rPr>
                <w:rFonts w:hint="eastAsia" w:ascii="Times New Roman" w:hAnsi="Times New Roman" w:cs="Times New Roman"/>
                <w:b w:val="0"/>
                <w:bCs w:val="0"/>
                <w:sz w:val="24"/>
                <w:szCs w:val="24"/>
                <w:highlight w:val="none"/>
                <w:lang w:val="en-US" w:eastAsia="zh-CN"/>
              </w:rPr>
              <w:t>：</w:t>
            </w:r>
            <w:r>
              <w:rPr>
                <w:rFonts w:hint="default" w:ascii="Times New Roman" w:hAnsi="Times New Roman" w:cs="Times New Roman"/>
                <w:b w:val="0"/>
                <w:bCs w:val="0"/>
                <w:sz w:val="24"/>
                <w:szCs w:val="24"/>
                <w:highlight w:val="none"/>
                <w:lang w:val="en-US" w:eastAsia="zh-CN"/>
              </w:rPr>
              <w:t>由</w:t>
            </w:r>
            <w:r>
              <w:rPr>
                <w:rFonts w:hint="eastAsia" w:ascii="Times New Roman" w:hAnsi="Times New Roman" w:cs="Times New Roman"/>
                <w:b w:val="0"/>
                <w:bCs w:val="0"/>
                <w:sz w:val="24"/>
                <w:szCs w:val="24"/>
                <w:highlight w:val="none"/>
                <w:lang w:val="en-US" w:eastAsia="zh-CN"/>
              </w:rPr>
              <w:t>安阳市殷都区</w:t>
            </w:r>
            <w:r>
              <w:rPr>
                <w:rFonts w:hint="default" w:ascii="Times New Roman" w:hAnsi="Times New Roman" w:cs="Times New Roman"/>
                <w:b w:val="0"/>
                <w:bCs w:val="0"/>
                <w:kern w:val="0"/>
                <w:sz w:val="24"/>
                <w:szCs w:val="24"/>
                <w:highlight w:val="none"/>
                <w:lang w:val="en-US" w:eastAsia="zh-CN"/>
              </w:rPr>
              <w:t>曲沟镇曲沟镇</w:t>
            </w:r>
            <w:r>
              <w:rPr>
                <w:rFonts w:hint="default" w:ascii="Times New Roman" w:hAnsi="Times New Roman" w:cs="Times New Roman"/>
                <w:b w:val="0"/>
                <w:bCs w:val="0"/>
                <w:sz w:val="24"/>
                <w:szCs w:val="24"/>
                <w:highlight w:val="none"/>
                <w:lang w:val="en-US" w:eastAsia="zh-CN"/>
              </w:rPr>
              <w:t>西夏寒村北广场，</w:t>
            </w:r>
            <w:r>
              <w:rPr>
                <w:rFonts w:hint="eastAsia" w:ascii="Times New Roman" w:hAnsi="Times New Roman" w:cs="Times New Roman"/>
                <w:b w:val="0"/>
                <w:bCs w:val="0"/>
                <w:sz w:val="24"/>
                <w:szCs w:val="24"/>
                <w:highlight w:val="none"/>
                <w:lang w:val="en-US" w:eastAsia="zh-CN"/>
              </w:rPr>
              <w:t>沿</w:t>
            </w:r>
            <w:r>
              <w:rPr>
                <w:rFonts w:hint="default" w:ascii="Times New Roman" w:hAnsi="Times New Roman" w:cs="Times New Roman"/>
                <w:b w:val="0"/>
                <w:bCs w:val="0"/>
                <w:sz w:val="24"/>
                <w:szCs w:val="24"/>
                <w:highlight w:val="none"/>
                <w:lang w:val="en-US" w:eastAsia="zh-CN"/>
              </w:rPr>
              <w:t>现有村庄道路向北至安阳河</w:t>
            </w:r>
            <w:r>
              <w:rPr>
                <w:rFonts w:hint="eastAsia" w:ascii="Times New Roman" w:hAnsi="Times New Roman" w:cs="Times New Roman"/>
                <w:b w:val="0"/>
                <w:bCs w:val="0"/>
                <w:sz w:val="24"/>
                <w:szCs w:val="24"/>
                <w:highlight w:val="none"/>
                <w:lang w:val="en-US" w:eastAsia="zh-CN"/>
              </w:rPr>
              <w:t>。</w:t>
            </w:r>
          </w:p>
          <w:p w14:paraId="536C03B9">
            <w:pPr>
              <w:pStyle w:val="23"/>
              <w:numPr>
                <w:ilvl w:val="0"/>
                <w:numId w:val="0"/>
              </w:numPr>
              <w:spacing w:line="360" w:lineRule="auto"/>
              <w:ind w:left="0" w:leftChars="0" w:firstLine="480" w:firstLineChars="200"/>
              <w:rPr>
                <w:rFonts w:hint="default" w:ascii="Times New Roman" w:hAnsi="Times New Roman" w:cs="Times New Roman"/>
                <w:b w:val="0"/>
                <w:bCs w:val="0"/>
                <w:sz w:val="24"/>
                <w:szCs w:val="24"/>
                <w:highlight w:val="none"/>
                <w:lang w:val="en-US" w:eastAsia="zh-CN"/>
              </w:rPr>
            </w:pPr>
            <w:r>
              <w:rPr>
                <w:rFonts w:hint="eastAsia" w:ascii="Times New Roman" w:hAnsi="Times New Roman" w:cs="Times New Roman"/>
                <w:b w:val="0"/>
                <w:bCs w:val="0"/>
                <w:color w:val="000000"/>
                <w:kern w:val="2"/>
                <w:sz w:val="24"/>
                <w:szCs w:val="24"/>
                <w:highlight w:val="none"/>
                <w:lang w:val="en-US" w:eastAsia="zh-CN" w:bidi="ar-SA"/>
              </w:rPr>
              <w:t>（4）</w:t>
            </w:r>
            <w:r>
              <w:rPr>
                <w:rFonts w:hint="default" w:ascii="Times New Roman" w:hAnsi="Times New Roman" w:cs="Times New Roman"/>
                <w:b w:val="0"/>
                <w:bCs w:val="0"/>
                <w:sz w:val="24"/>
                <w:szCs w:val="24"/>
                <w:highlight w:val="none"/>
                <w:lang w:val="en-US" w:eastAsia="zh-CN"/>
              </w:rPr>
              <w:t>胜利渠跨金线河段</w:t>
            </w:r>
          </w:p>
          <w:p w14:paraId="2F5F67BE">
            <w:pPr>
              <w:pStyle w:val="23"/>
              <w:numPr>
                <w:ilvl w:val="0"/>
                <w:numId w:val="0"/>
              </w:numPr>
              <w:spacing w:line="360" w:lineRule="auto"/>
              <w:ind w:leftChars="0" w:firstLine="480" w:firstLineChars="200"/>
              <w:rPr>
                <w:rFonts w:hint="default"/>
                <w:highlight w:val="none"/>
                <w:lang w:val="en-US" w:eastAsia="zh-CN"/>
              </w:rPr>
            </w:pPr>
            <w:r>
              <w:rPr>
                <w:rFonts w:hint="default" w:ascii="Times New Roman" w:hAnsi="Times New Roman" w:cs="Times New Roman"/>
                <w:b w:val="0"/>
                <w:bCs w:val="0"/>
                <w:sz w:val="24"/>
                <w:szCs w:val="24"/>
                <w:highlight w:val="none"/>
                <w:lang w:val="en-US" w:eastAsia="zh-CN"/>
              </w:rPr>
              <w:t>建设地点</w:t>
            </w:r>
            <w:r>
              <w:rPr>
                <w:rFonts w:hint="eastAsia" w:ascii="Times New Roman" w:hAnsi="Times New Roman" w:cs="Times New Roman"/>
                <w:b w:val="0"/>
                <w:bCs w:val="0"/>
                <w:sz w:val="24"/>
                <w:szCs w:val="24"/>
                <w:highlight w:val="none"/>
                <w:lang w:val="en-US" w:eastAsia="zh-CN"/>
              </w:rPr>
              <w:t>：安阳市殷都区</w:t>
            </w:r>
            <w:r>
              <w:rPr>
                <w:rFonts w:hint="default" w:ascii="Times New Roman" w:hAnsi="Times New Roman" w:cs="Times New Roman"/>
                <w:b w:val="0"/>
                <w:bCs w:val="0"/>
                <w:kern w:val="0"/>
                <w:sz w:val="24"/>
                <w:szCs w:val="24"/>
                <w:highlight w:val="none"/>
                <w:lang w:val="en-US" w:eastAsia="zh-CN"/>
              </w:rPr>
              <w:t>曲沟镇曲沟镇</w:t>
            </w:r>
            <w:r>
              <w:rPr>
                <w:rFonts w:hint="default" w:ascii="Times New Roman" w:hAnsi="Times New Roman" w:cs="Times New Roman"/>
                <w:b w:val="0"/>
                <w:bCs w:val="0"/>
                <w:sz w:val="24"/>
                <w:szCs w:val="24"/>
                <w:highlight w:val="none"/>
                <w:lang w:val="en-US" w:eastAsia="zh-CN"/>
              </w:rPr>
              <w:t>东夏寒村西。</w:t>
            </w:r>
          </w:p>
        </w:tc>
      </w:tr>
      <w:tr w14:paraId="5AC2DD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9" w:type="dxa"/>
            <w:noWrap w:val="0"/>
            <w:vAlign w:val="center"/>
          </w:tcPr>
          <w:p w14:paraId="28075DF5">
            <w:pPr>
              <w:adjustRightInd w:val="0"/>
              <w:snapToGrid w:val="0"/>
              <w:jc w:val="center"/>
              <w:rPr>
                <w:rFonts w:ascii="宋体" w:hAnsi="宋体" w:cs="宋体"/>
                <w:kern w:val="0"/>
                <w:szCs w:val="21"/>
                <w:highlight w:val="none"/>
              </w:rPr>
            </w:pPr>
            <w:r>
              <w:rPr>
                <w:rFonts w:hint="eastAsia" w:ascii="宋体" w:hAnsi="宋体" w:cs="宋体"/>
                <w:kern w:val="0"/>
                <w:sz w:val="24"/>
                <w:szCs w:val="24"/>
                <w:highlight w:val="none"/>
              </w:rPr>
              <w:t>项目组成及规模</w:t>
            </w:r>
          </w:p>
        </w:tc>
        <w:tc>
          <w:tcPr>
            <w:tcW w:w="9109" w:type="dxa"/>
            <w:noWrap w:val="0"/>
            <w:vAlign w:val="center"/>
          </w:tcPr>
          <w:p w14:paraId="38EC1440">
            <w:pPr>
              <w:numPr>
                <w:ilvl w:val="0"/>
                <w:numId w:val="0"/>
              </w:numPr>
              <w:adjustRightInd w:val="0"/>
              <w:snapToGrid w:val="0"/>
              <w:spacing w:line="360" w:lineRule="auto"/>
              <w:jc w:val="both"/>
              <w:rPr>
                <w:rFonts w:hint="default" w:ascii="Times New Roman" w:hAnsi="Times New Roman" w:cs="Times New Roman"/>
                <w:b/>
                <w:bCs/>
                <w:kern w:val="0"/>
                <w:sz w:val="24"/>
                <w:szCs w:val="24"/>
                <w:highlight w:val="none"/>
                <w:lang w:val="en-US" w:eastAsia="zh-CN"/>
              </w:rPr>
            </w:pPr>
            <w:r>
              <w:rPr>
                <w:rFonts w:hint="default" w:ascii="Times New Roman" w:hAnsi="Times New Roman" w:eastAsia="宋体" w:cs="Times New Roman"/>
                <w:b/>
                <w:bCs/>
                <w:kern w:val="0"/>
                <w:sz w:val="24"/>
                <w:szCs w:val="24"/>
                <w:highlight w:val="none"/>
                <w:lang w:val="en-US" w:eastAsia="zh-CN" w:bidi="ar-SA"/>
              </w:rPr>
              <w:t>1</w:t>
            </w:r>
            <w:r>
              <w:rPr>
                <w:rFonts w:hint="eastAsia" w:cs="Times New Roman"/>
                <w:b/>
                <w:bCs/>
                <w:kern w:val="0"/>
                <w:sz w:val="24"/>
                <w:szCs w:val="24"/>
                <w:highlight w:val="none"/>
                <w:lang w:val="en-US" w:eastAsia="zh-CN" w:bidi="ar-SA"/>
              </w:rPr>
              <w:t>.</w:t>
            </w:r>
            <w:r>
              <w:rPr>
                <w:rFonts w:hint="default" w:ascii="Times New Roman" w:hAnsi="Times New Roman" w:cs="Times New Roman"/>
                <w:b/>
                <w:bCs/>
                <w:kern w:val="0"/>
                <w:sz w:val="24"/>
                <w:szCs w:val="24"/>
                <w:highlight w:val="none"/>
                <w:lang w:val="en-US" w:eastAsia="zh-CN"/>
              </w:rPr>
              <w:t>工程任务及相应的建设内容</w:t>
            </w:r>
          </w:p>
          <w:p w14:paraId="3A15939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sz w:val="24"/>
                <w:szCs w:val="24"/>
                <w:highlight w:val="none"/>
                <w:lang w:val="en-US" w:eastAsia="zh-CN"/>
              </w:rPr>
            </w:pPr>
            <w:r>
              <w:rPr>
                <w:rFonts w:hint="default" w:ascii="Times New Roman" w:hAnsi="Times New Roman" w:cs="Times New Roman"/>
                <w:sz w:val="24"/>
                <w:szCs w:val="24"/>
                <w:highlight w:val="none"/>
                <w:lang w:val="en-US" w:eastAsia="zh-CN"/>
              </w:rPr>
              <w:t>根据《中华人民共和国环境保护法</w:t>
            </w:r>
            <w:r>
              <w:rPr>
                <w:rFonts w:hint="eastAsia" w:cs="Times New Roman"/>
                <w:sz w:val="24"/>
                <w:szCs w:val="24"/>
                <w:highlight w:val="none"/>
                <w:lang w:val="en-US" w:eastAsia="zh-CN"/>
              </w:rPr>
              <w:t>》《</w:t>
            </w:r>
            <w:r>
              <w:rPr>
                <w:rFonts w:hint="default" w:ascii="Times New Roman" w:hAnsi="Times New Roman" w:cs="Times New Roman"/>
                <w:sz w:val="24"/>
                <w:szCs w:val="24"/>
                <w:highlight w:val="none"/>
                <w:lang w:val="en-US" w:eastAsia="zh-CN"/>
              </w:rPr>
              <w:t>中华人民共和国环境影响评价法》和国务院第682号令的要求，本项目须进行环境影响评价。依据《建设项目环境影响评价分类管理名录（2021年版）》（部令第16号），本项目属于</w:t>
            </w:r>
            <w:r>
              <w:rPr>
                <w:rFonts w:hint="eastAsia" w:cs="Times New Roman"/>
                <w:sz w:val="24"/>
                <w:szCs w:val="24"/>
                <w:highlight w:val="none"/>
                <w:lang w:val="en-US" w:eastAsia="zh-CN"/>
              </w:rPr>
              <w:t>“</w:t>
            </w:r>
            <w:r>
              <w:rPr>
                <w:rFonts w:hint="default" w:ascii="Times New Roman" w:hAnsi="Times New Roman" w:cs="Times New Roman"/>
                <w:sz w:val="24"/>
                <w:szCs w:val="24"/>
                <w:highlight w:val="none"/>
                <w:lang w:val="en-US" w:eastAsia="zh-CN"/>
              </w:rPr>
              <w:t>五十一、水利-127防洪除涝工程</w:t>
            </w:r>
            <w:r>
              <w:rPr>
                <w:rFonts w:hint="eastAsia" w:cs="Times New Roman"/>
                <w:sz w:val="24"/>
                <w:szCs w:val="24"/>
                <w:highlight w:val="none"/>
                <w:lang w:val="en-US" w:eastAsia="zh-CN"/>
              </w:rPr>
              <w:t>”</w:t>
            </w:r>
            <w:r>
              <w:rPr>
                <w:rFonts w:hint="default" w:ascii="Times New Roman" w:hAnsi="Times New Roman" w:cs="Times New Roman"/>
                <w:sz w:val="24"/>
                <w:szCs w:val="24"/>
                <w:highlight w:val="none"/>
                <w:lang w:val="en-US" w:eastAsia="zh-CN"/>
              </w:rPr>
              <w:t>中的</w:t>
            </w:r>
            <w:r>
              <w:rPr>
                <w:rFonts w:hint="eastAsia" w:cs="Times New Roman"/>
                <w:sz w:val="24"/>
                <w:szCs w:val="24"/>
                <w:highlight w:val="none"/>
                <w:lang w:val="en-US" w:eastAsia="zh-CN"/>
              </w:rPr>
              <w:t>“</w:t>
            </w:r>
            <w:r>
              <w:rPr>
                <w:rFonts w:hint="default" w:ascii="Times New Roman" w:hAnsi="Times New Roman" w:cs="Times New Roman"/>
                <w:sz w:val="24"/>
                <w:szCs w:val="24"/>
                <w:highlight w:val="none"/>
                <w:lang w:val="en-US" w:eastAsia="zh-CN"/>
              </w:rPr>
              <w:t>其他（小型沟渠的护坡除外；城镇排涝河流水闸、排涝泵站除外）</w:t>
            </w:r>
            <w:r>
              <w:rPr>
                <w:rFonts w:hint="eastAsia" w:cs="Times New Roman"/>
                <w:sz w:val="24"/>
                <w:szCs w:val="24"/>
                <w:highlight w:val="none"/>
                <w:lang w:val="en-US" w:eastAsia="zh-CN"/>
              </w:rPr>
              <w:t>”</w:t>
            </w:r>
            <w:r>
              <w:rPr>
                <w:rFonts w:hint="default" w:ascii="Times New Roman" w:hAnsi="Times New Roman" w:cs="Times New Roman"/>
                <w:sz w:val="24"/>
                <w:szCs w:val="24"/>
                <w:highlight w:val="none"/>
                <w:lang w:val="en-US" w:eastAsia="zh-CN"/>
              </w:rPr>
              <w:t>，应该编制环境影响报告表。受建设单位委托，我公司承担了该项目的环境影响评价工作。接受委托后，经现场踏勘、收集相关资料的基础上，本着</w:t>
            </w:r>
            <w:r>
              <w:rPr>
                <w:rFonts w:hint="eastAsia" w:cs="Times New Roman"/>
                <w:sz w:val="24"/>
                <w:szCs w:val="24"/>
                <w:highlight w:val="none"/>
                <w:lang w:val="en-US" w:eastAsia="zh-CN"/>
              </w:rPr>
              <w:t>“</w:t>
            </w:r>
            <w:r>
              <w:rPr>
                <w:rFonts w:hint="default" w:ascii="Times New Roman" w:hAnsi="Times New Roman" w:cs="Times New Roman"/>
                <w:sz w:val="24"/>
                <w:szCs w:val="24"/>
                <w:highlight w:val="none"/>
                <w:lang w:val="en-US" w:eastAsia="zh-CN"/>
              </w:rPr>
              <w:t>科学、公正、客观</w:t>
            </w:r>
            <w:r>
              <w:rPr>
                <w:rFonts w:hint="eastAsia" w:cs="Times New Roman"/>
                <w:sz w:val="24"/>
                <w:szCs w:val="24"/>
                <w:highlight w:val="none"/>
                <w:lang w:val="en-US" w:eastAsia="zh-CN"/>
              </w:rPr>
              <w:t>”</w:t>
            </w:r>
            <w:r>
              <w:rPr>
                <w:rFonts w:hint="default" w:ascii="Times New Roman" w:hAnsi="Times New Roman" w:cs="Times New Roman"/>
                <w:sz w:val="24"/>
                <w:szCs w:val="24"/>
                <w:highlight w:val="none"/>
                <w:lang w:val="en-US" w:eastAsia="zh-CN"/>
              </w:rPr>
              <w:t>的原则，编制完成了该项目环境影响报告表。</w:t>
            </w:r>
          </w:p>
          <w:p w14:paraId="4113E7E4">
            <w:pPr>
              <w:bidi w:val="0"/>
              <w:spacing w:line="360" w:lineRule="auto"/>
              <w:ind w:firstLine="482" w:firstLineChars="200"/>
              <w:rPr>
                <w:rFonts w:hint="eastAsia"/>
                <w:b/>
                <w:bCs/>
                <w:sz w:val="24"/>
                <w:szCs w:val="24"/>
                <w:highlight w:val="none"/>
                <w:lang w:val="en-US" w:eastAsia="zh-CN"/>
              </w:rPr>
            </w:pPr>
            <w:r>
              <w:rPr>
                <w:rFonts w:hint="eastAsia"/>
                <w:b/>
                <w:bCs/>
                <w:sz w:val="24"/>
                <w:szCs w:val="24"/>
                <w:highlight w:val="none"/>
                <w:lang w:val="en-US" w:eastAsia="zh-CN"/>
              </w:rPr>
              <w:t>1.1工程任务</w:t>
            </w:r>
          </w:p>
          <w:p w14:paraId="3744354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通过本项目建设，能够有效提升项目范围内老万金渠和胜利渠的防洪能力，进而很大程度上消除项目地周围常见的洪涝灾害隐患，并且能够改善周边生态环境，有利于人民安居乐业，有较好的社会经济效益。</w:t>
            </w:r>
          </w:p>
          <w:p w14:paraId="028C07F6">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sz w:val="24"/>
                <w:szCs w:val="24"/>
                <w:highlight w:val="none"/>
                <w:lang w:val="en-US" w:eastAsia="zh-CN"/>
              </w:rPr>
            </w:pPr>
            <w:r>
              <w:rPr>
                <w:rFonts w:hint="eastAsia"/>
                <w:b/>
                <w:bCs/>
                <w:sz w:val="24"/>
                <w:szCs w:val="24"/>
                <w:highlight w:val="none"/>
                <w:lang w:val="en-US" w:eastAsia="zh-CN"/>
              </w:rPr>
              <w:t>1.2建设内容</w:t>
            </w:r>
          </w:p>
          <w:p w14:paraId="6DA23B6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（1）万金渠（</w:t>
            </w:r>
            <w:r>
              <w:rPr>
                <w:rFonts w:hint="default" w:ascii="Times New Roman" w:hAnsi="Times New Roman" w:eastAsia="宋体" w:cs="Times New Roman"/>
                <w:b w:val="0"/>
                <w:bCs w:val="0"/>
                <w:color w:val="3B3B3B"/>
                <w:sz w:val="24"/>
                <w:szCs w:val="24"/>
                <w:highlight w:val="none"/>
              </w:rPr>
              <w:t>万金花园西南侧以及新城御景北侧</w:t>
            </w:r>
            <w:r>
              <w:rPr>
                <w:rFonts w:hint="eastAsia" w:cs="Times New Roman"/>
                <w:b w:val="0"/>
                <w:bCs w:val="0"/>
                <w:color w:val="3B3B3B"/>
                <w:sz w:val="24"/>
                <w:szCs w:val="24"/>
                <w:highlight w:val="none"/>
                <w:lang w:eastAsia="zh-CN"/>
              </w:rPr>
              <w:t>段</w:t>
            </w:r>
            <w:r>
              <w:rPr>
                <w:rFonts w:hint="default" w:ascii="Times New Roman" w:hAnsi="Times New Roman" w:eastAsia="宋体" w:cs="Times New Roman"/>
                <w:b w:val="0"/>
                <w:bCs w:val="0"/>
                <w:color w:val="3B3B3B"/>
                <w:sz w:val="24"/>
                <w:szCs w:val="24"/>
                <w:highlight w:val="none"/>
              </w:rPr>
              <w:t>）进行疏浚，修建生态堤坝护坡，硬化河底，长度约605米；</w:t>
            </w:r>
            <w:r>
              <w:rPr>
                <w:rFonts w:hint="eastAsia" w:ascii="Times New Roman" w:hAnsi="Times New Roman" w:eastAsia="宋体" w:cs="Times New Roman"/>
                <w:b w:val="0"/>
                <w:bCs w:val="0"/>
                <w:color w:val="3B3B3B"/>
                <w:sz w:val="24"/>
                <w:szCs w:val="24"/>
                <w:highlight w:val="none"/>
                <w:lang w:eastAsia="zh-CN"/>
              </w:rPr>
              <w:t>（</w:t>
            </w:r>
            <w:r>
              <w:rPr>
                <w:rFonts w:hint="default" w:ascii="Times New Roman" w:hAnsi="Times New Roman" w:eastAsia="宋体" w:cs="Times New Roman"/>
                <w:b w:val="0"/>
                <w:bCs w:val="0"/>
                <w:color w:val="3B3B3B"/>
                <w:sz w:val="24"/>
                <w:szCs w:val="24"/>
                <w:highlight w:val="none"/>
              </w:rPr>
              <w:t>金线河-漳南灌渠段）进行改造，长度约999m。主要包括河底清淤、河底硬化防护、两岸筑堤以及两岸生态防护等。</w:t>
            </w:r>
          </w:p>
          <w:p w14:paraId="7AAE70C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（2）胜利渠武旺段流向金线河，</w:t>
            </w:r>
            <w:r>
              <w:rPr>
                <w:rFonts w:hint="default" w:ascii="Times New Roman" w:hAnsi="Times New Roman" w:eastAsia="宋体" w:cs="Times New Roman"/>
                <w:b w:val="0"/>
                <w:bCs w:val="0"/>
                <w:color w:val="3B3B3B"/>
                <w:sz w:val="24"/>
                <w:szCs w:val="24"/>
                <w:highlight w:val="none"/>
              </w:rPr>
              <w:t>新建d1500钢筋混凝土排水管道，长1007米。</w:t>
            </w:r>
          </w:p>
          <w:p w14:paraId="28A156A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（3）胜利渠西夏寒段流向安阳河（从西夏寒村北广场，向北沿道路一侧至安阳河），</w:t>
            </w:r>
            <w:r>
              <w:rPr>
                <w:rFonts w:hint="default" w:ascii="Times New Roman" w:hAnsi="Times New Roman" w:eastAsia="宋体" w:cs="Times New Roman"/>
                <w:b w:val="0"/>
                <w:bCs w:val="0"/>
                <w:color w:val="3B3B3B"/>
                <w:sz w:val="24"/>
                <w:szCs w:val="24"/>
                <w:highlight w:val="none"/>
              </w:rPr>
              <w:t>新建1.5米×1.5 米排水暗涵及d1500钢筋混凝土排水管道，长1319 米。</w:t>
            </w:r>
          </w:p>
          <w:p w14:paraId="6C6C6B6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highlight w:val="none"/>
                <w:lang w:val="en-US" w:eastAsia="zh-CN"/>
              </w:rPr>
            </w:pPr>
            <w:r>
              <w:rPr>
                <w:rFonts w:hint="eastAsia"/>
                <w:sz w:val="24"/>
                <w:szCs w:val="24"/>
                <w:highlight w:val="none"/>
                <w:lang w:val="en-US" w:eastAsia="zh-CN"/>
              </w:rPr>
              <w:t>（4）胜利渠跨金线河段，由地上明渠改为地下暗渠，渠深1.5米，宽3米，长30米。</w:t>
            </w:r>
          </w:p>
          <w:p w14:paraId="679D1586">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b/>
                <w:bCs/>
                <w:sz w:val="24"/>
                <w:szCs w:val="24"/>
                <w:highlight w:val="none"/>
                <w:lang w:val="en-US" w:eastAsia="zh-CN"/>
              </w:rPr>
            </w:pPr>
            <w:r>
              <w:rPr>
                <w:rFonts w:hint="eastAsia" w:ascii="Times New Roman" w:hAnsi="Times New Roman" w:eastAsia="宋体" w:cs="Times New Roman"/>
                <w:b/>
                <w:bCs/>
                <w:kern w:val="2"/>
                <w:sz w:val="24"/>
                <w:szCs w:val="24"/>
                <w:highlight w:val="none"/>
                <w:lang w:val="en-US" w:eastAsia="zh-CN" w:bidi="ar-SA"/>
              </w:rPr>
              <w:t>2</w:t>
            </w:r>
            <w:r>
              <w:rPr>
                <w:rFonts w:hint="eastAsia" w:cs="Times New Roman"/>
                <w:b/>
                <w:bCs/>
                <w:kern w:val="2"/>
                <w:sz w:val="24"/>
                <w:szCs w:val="24"/>
                <w:highlight w:val="none"/>
                <w:lang w:val="en-US" w:eastAsia="zh-CN" w:bidi="ar-SA"/>
              </w:rPr>
              <w:t>.</w:t>
            </w:r>
            <w:r>
              <w:rPr>
                <w:rFonts w:hint="eastAsia"/>
                <w:b/>
                <w:bCs/>
                <w:sz w:val="24"/>
                <w:szCs w:val="24"/>
                <w:highlight w:val="none"/>
                <w:lang w:val="en-US" w:eastAsia="zh-CN"/>
              </w:rPr>
              <w:t>主体工程</w:t>
            </w:r>
          </w:p>
          <w:p w14:paraId="4510585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sz w:val="24"/>
                <w:szCs w:val="24"/>
                <w:highlight w:val="none"/>
                <w:lang w:val="en-US" w:eastAsia="zh-CN"/>
              </w:rPr>
            </w:pPr>
            <w:r>
              <w:rPr>
                <w:rFonts w:ascii="宋体" w:hAnsi="宋体" w:eastAsia="宋体" w:cs="宋体"/>
                <w:b w:val="0"/>
                <w:bCs w:val="0"/>
                <w:color w:val="000000"/>
                <w:sz w:val="24"/>
                <w:szCs w:val="24"/>
                <w:highlight w:val="none"/>
              </w:rPr>
              <w:t>本工程</w:t>
            </w:r>
            <w:r>
              <w:rPr>
                <w:rFonts w:hint="eastAsia" w:ascii="宋体" w:hAnsi="宋体" w:eastAsia="宋体" w:cs="宋体"/>
                <w:b w:val="0"/>
                <w:bCs w:val="0"/>
                <w:color w:val="000000"/>
                <w:sz w:val="24"/>
                <w:szCs w:val="24"/>
                <w:highlight w:val="none"/>
                <w:lang w:eastAsia="zh-CN"/>
              </w:rPr>
              <w:t>河道治理工程为在</w:t>
            </w:r>
            <w:r>
              <w:rPr>
                <w:rFonts w:ascii="宋体" w:hAnsi="宋体" w:eastAsia="宋体" w:cs="宋体"/>
                <w:b w:val="0"/>
                <w:bCs w:val="0"/>
                <w:color w:val="000000"/>
                <w:sz w:val="24"/>
                <w:szCs w:val="24"/>
                <w:highlight w:val="none"/>
              </w:rPr>
              <w:t>原址上进行</w:t>
            </w:r>
            <w:r>
              <w:rPr>
                <w:rFonts w:hint="eastAsia" w:ascii="宋体" w:hAnsi="宋体" w:eastAsia="宋体" w:cs="宋体"/>
                <w:b w:val="0"/>
                <w:bCs w:val="0"/>
                <w:color w:val="000000"/>
                <w:sz w:val="24"/>
                <w:szCs w:val="24"/>
                <w:highlight w:val="none"/>
                <w:lang w:eastAsia="zh-CN"/>
              </w:rPr>
              <w:t>整理和修建</w:t>
            </w:r>
            <w:r>
              <w:rPr>
                <w:rFonts w:ascii="宋体" w:hAnsi="宋体" w:eastAsia="宋体" w:cs="宋体"/>
                <w:b w:val="0"/>
                <w:bCs w:val="0"/>
                <w:color w:val="000000"/>
                <w:sz w:val="24"/>
                <w:szCs w:val="24"/>
                <w:highlight w:val="none"/>
              </w:rPr>
              <w:t>，</w:t>
            </w:r>
            <w:r>
              <w:rPr>
                <w:rFonts w:hint="eastAsia" w:ascii="宋体" w:hAnsi="宋体" w:eastAsia="宋体" w:cs="宋体"/>
                <w:b w:val="0"/>
                <w:bCs w:val="0"/>
                <w:color w:val="000000"/>
                <w:sz w:val="24"/>
                <w:szCs w:val="24"/>
                <w:highlight w:val="none"/>
                <w:lang w:eastAsia="zh-CN"/>
              </w:rPr>
              <w:t>排水暗涵和暗渠均为地下工程，</w:t>
            </w:r>
            <w:r>
              <w:rPr>
                <w:rFonts w:ascii="宋体" w:hAnsi="宋体" w:eastAsia="宋体" w:cs="宋体"/>
                <w:b w:val="0"/>
                <w:bCs w:val="0"/>
                <w:color w:val="000000"/>
                <w:sz w:val="24"/>
                <w:szCs w:val="24"/>
                <w:highlight w:val="none"/>
              </w:rPr>
              <w:t>修复范围为</w:t>
            </w:r>
            <w:r>
              <w:rPr>
                <w:rFonts w:hint="eastAsia" w:ascii="宋体" w:hAnsi="宋体" w:cs="宋体"/>
                <w:b w:val="0"/>
                <w:bCs w:val="0"/>
                <w:color w:val="000000"/>
                <w:sz w:val="24"/>
                <w:szCs w:val="24"/>
                <w:highlight w:val="none"/>
                <w:lang w:eastAsia="zh-CN"/>
              </w:rPr>
              <w:t>万金渠</w:t>
            </w:r>
            <w:r>
              <w:rPr>
                <w:rFonts w:hint="default" w:ascii="Times New Roman" w:hAnsi="Times New Roman" w:eastAsia="宋体" w:cs="Times New Roman"/>
                <w:b w:val="0"/>
                <w:bCs w:val="0"/>
                <w:color w:val="3B3B3B"/>
                <w:sz w:val="24"/>
                <w:szCs w:val="24"/>
                <w:highlight w:val="none"/>
              </w:rPr>
              <w:t>万金花园西南侧以及新城御景北侧</w:t>
            </w:r>
            <w:r>
              <w:rPr>
                <w:rFonts w:hint="eastAsia" w:cs="Times New Roman"/>
                <w:b w:val="0"/>
                <w:bCs w:val="0"/>
                <w:color w:val="3B3B3B"/>
                <w:sz w:val="24"/>
                <w:szCs w:val="24"/>
                <w:highlight w:val="none"/>
                <w:lang w:eastAsia="zh-CN"/>
              </w:rPr>
              <w:t>段</w:t>
            </w:r>
            <w:r>
              <w:rPr>
                <w:rFonts w:hint="default" w:ascii="Times New Roman" w:hAnsi="Times New Roman" w:eastAsia="宋体" w:cs="Times New Roman"/>
                <w:b w:val="0"/>
                <w:bCs w:val="0"/>
                <w:color w:val="3B3B3B"/>
                <w:sz w:val="24"/>
                <w:szCs w:val="24"/>
                <w:highlight w:val="none"/>
              </w:rPr>
              <w:t>进行疏浚，修建生态堤坝护坡，硬化河底，长度约605米；金线河-漳南灌渠段进行改造，长度约999m。主要包括河底清淤、河底硬化防护、两岸筑堤以及两岸生态防护等</w:t>
            </w:r>
            <w:r>
              <w:rPr>
                <w:rFonts w:hint="eastAsia"/>
                <w:sz w:val="24"/>
                <w:szCs w:val="24"/>
                <w:highlight w:val="none"/>
                <w:lang w:val="en-US" w:eastAsia="zh-CN"/>
              </w:rPr>
              <w:t>；胜利渠武旺段流向金线河段</w:t>
            </w:r>
            <w:r>
              <w:rPr>
                <w:rFonts w:hint="default" w:ascii="Times New Roman" w:hAnsi="Times New Roman" w:eastAsia="宋体" w:cs="Times New Roman"/>
                <w:b w:val="0"/>
                <w:bCs w:val="0"/>
                <w:color w:val="3B3B3B"/>
                <w:sz w:val="24"/>
                <w:szCs w:val="24"/>
                <w:highlight w:val="none"/>
              </w:rPr>
              <w:t>新建d1500钢筋混凝土排水管道，长1007米</w:t>
            </w:r>
            <w:r>
              <w:rPr>
                <w:rFonts w:hint="eastAsia"/>
                <w:sz w:val="24"/>
                <w:szCs w:val="24"/>
                <w:highlight w:val="none"/>
                <w:lang w:val="en-US" w:eastAsia="zh-CN"/>
              </w:rPr>
              <w:t>；胜利渠西夏寒段流向安阳河</w:t>
            </w:r>
            <w:r>
              <w:rPr>
                <w:rFonts w:hint="default" w:ascii="Times New Roman" w:hAnsi="Times New Roman" w:eastAsia="宋体" w:cs="Times New Roman"/>
                <w:b w:val="0"/>
                <w:bCs w:val="0"/>
                <w:color w:val="3B3B3B"/>
                <w:sz w:val="24"/>
                <w:szCs w:val="24"/>
                <w:highlight w:val="none"/>
              </w:rPr>
              <w:t>新建1.5米×1.5米排水暗涵及d1500钢筋混凝土排水管道，长1319 米</w:t>
            </w:r>
            <w:r>
              <w:rPr>
                <w:rFonts w:hint="eastAsia"/>
                <w:sz w:val="24"/>
                <w:szCs w:val="24"/>
                <w:highlight w:val="none"/>
                <w:lang w:val="en-US" w:eastAsia="zh-CN"/>
              </w:rPr>
              <w:t>；胜利渠跨金线河段</w:t>
            </w:r>
            <w:r>
              <w:rPr>
                <w:rFonts w:hint="default" w:ascii="Times New Roman" w:hAnsi="Times New Roman" w:eastAsia="宋体" w:cs="Times New Roman"/>
                <w:b w:val="0"/>
                <w:bCs w:val="0"/>
                <w:color w:val="3B3B3B"/>
                <w:sz w:val="24"/>
                <w:szCs w:val="24"/>
                <w:highlight w:val="none"/>
              </w:rPr>
              <w:t>由地上明渠改为地下暗渠，渠深1.5米，宽3米，长约30米。</w:t>
            </w:r>
          </w:p>
          <w:p w14:paraId="5BE454FE">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b/>
                <w:bCs/>
                <w:sz w:val="24"/>
                <w:szCs w:val="24"/>
                <w:highlight w:val="none"/>
                <w:lang w:val="en-US" w:eastAsia="zh-CN"/>
              </w:rPr>
            </w:pPr>
            <w:r>
              <w:rPr>
                <w:rFonts w:hint="eastAsia" w:ascii="Times New Roman" w:hAnsi="Times New Roman" w:eastAsia="宋体" w:cs="Times New Roman"/>
                <w:b/>
                <w:bCs/>
                <w:kern w:val="2"/>
                <w:sz w:val="24"/>
                <w:szCs w:val="24"/>
                <w:highlight w:val="none"/>
                <w:lang w:val="en-US" w:eastAsia="zh-CN" w:bidi="ar-SA"/>
              </w:rPr>
              <w:t>3</w:t>
            </w:r>
            <w:r>
              <w:rPr>
                <w:rFonts w:hint="eastAsia" w:cs="Times New Roman"/>
                <w:b/>
                <w:bCs/>
                <w:kern w:val="2"/>
                <w:sz w:val="24"/>
                <w:szCs w:val="24"/>
                <w:highlight w:val="none"/>
                <w:lang w:val="en-US" w:eastAsia="zh-CN" w:bidi="ar-SA"/>
              </w:rPr>
              <w:t>.</w:t>
            </w:r>
            <w:r>
              <w:rPr>
                <w:rFonts w:hint="eastAsia"/>
                <w:b/>
                <w:bCs/>
                <w:sz w:val="24"/>
                <w:szCs w:val="24"/>
                <w:highlight w:val="none"/>
                <w:lang w:val="en-US" w:eastAsia="zh-CN"/>
              </w:rPr>
              <w:t>辅助工程</w:t>
            </w:r>
          </w:p>
          <w:p w14:paraId="2499A09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b/>
                <w:bCs/>
                <w:sz w:val="24"/>
                <w:szCs w:val="24"/>
                <w:highlight w:val="none"/>
                <w:lang w:val="en-US" w:eastAsia="zh-CN"/>
              </w:rPr>
            </w:pPr>
            <w:r>
              <w:rPr>
                <w:rFonts w:hint="eastAsia"/>
                <w:b/>
                <w:bCs/>
                <w:sz w:val="24"/>
                <w:szCs w:val="24"/>
                <w:highlight w:val="none"/>
                <w:lang w:val="en-US" w:eastAsia="zh-CN"/>
              </w:rPr>
              <w:t>3.1施工条件</w:t>
            </w:r>
          </w:p>
          <w:p w14:paraId="50ED4C31">
            <w:pPr>
              <w:pStyle w:val="23"/>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b w:val="0"/>
                <w:bCs/>
                <w:highlight w:val="none"/>
                <w:lang w:val="en-US" w:eastAsia="zh-CN"/>
              </w:rPr>
            </w:pPr>
            <w:r>
              <w:rPr>
                <w:rFonts w:hint="eastAsia" w:ascii="宋体" w:hAnsi="宋体" w:eastAsia="宋体" w:cs="宋体"/>
                <w:b w:val="0"/>
                <w:bCs w:val="0"/>
                <w:color w:val="000000"/>
                <w:sz w:val="24"/>
                <w:szCs w:val="24"/>
                <w:highlight w:val="none"/>
                <w:lang w:eastAsia="zh-CN"/>
              </w:rPr>
              <w:t>本</w:t>
            </w:r>
            <w:r>
              <w:rPr>
                <w:rFonts w:hint="eastAsia" w:ascii="宋体" w:hAnsi="宋体" w:eastAsia="宋体" w:cs="宋体"/>
                <w:b w:val="0"/>
                <w:bCs w:val="0"/>
                <w:color w:val="000000"/>
                <w:sz w:val="24"/>
                <w:szCs w:val="24"/>
                <w:highlight w:val="none"/>
              </w:rPr>
              <w:t>项目建设场区地势平坦，交通便利，能够进行多种机械同时施工作业</w:t>
            </w:r>
            <w:r>
              <w:rPr>
                <w:rFonts w:hint="eastAsia" w:ascii="宋体" w:hAnsi="宋体" w:eastAsia="宋体" w:cs="宋体"/>
                <w:b w:val="0"/>
                <w:bCs w:val="0"/>
                <w:color w:val="000000"/>
                <w:sz w:val="24"/>
                <w:szCs w:val="24"/>
                <w:highlight w:val="none"/>
                <w:lang w:eastAsia="zh-CN"/>
              </w:rPr>
              <w:t>；</w:t>
            </w:r>
            <w:r>
              <w:rPr>
                <w:rFonts w:hint="eastAsia"/>
                <w:b w:val="0"/>
                <w:bCs/>
                <w:highlight w:val="none"/>
                <w:lang w:val="en-US" w:eastAsia="zh-CN"/>
              </w:rPr>
              <w:t>项目区域周边道路网较为完善，基本上能够满足项目交通需求；所需建筑材料可通过就近建材市场采购；用水从市政道路引入给水管道，可满足本项目的用水需求。</w:t>
            </w:r>
          </w:p>
          <w:p w14:paraId="33B8B5F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b/>
                <w:bCs/>
                <w:sz w:val="24"/>
                <w:szCs w:val="24"/>
                <w:highlight w:val="none"/>
                <w:lang w:val="en-US" w:eastAsia="zh-CN"/>
              </w:rPr>
            </w:pPr>
            <w:r>
              <w:rPr>
                <w:rFonts w:hint="eastAsia"/>
                <w:b/>
                <w:bCs/>
                <w:sz w:val="24"/>
                <w:szCs w:val="24"/>
                <w:highlight w:val="none"/>
                <w:lang w:val="en-US" w:eastAsia="zh-CN"/>
              </w:rPr>
              <w:t>3.2原料选择</w:t>
            </w:r>
          </w:p>
          <w:p w14:paraId="3503E99B">
            <w:pPr>
              <w:pStyle w:val="12"/>
              <w:spacing w:line="360" w:lineRule="auto"/>
              <w:ind w:firstLine="480" w:firstLineChars="200"/>
              <w:rPr>
                <w:rFonts w:hint="eastAsia" w:ascii="宋体" w:hAnsi="宋体" w:eastAsia="宋体" w:cs="Times New Roman"/>
                <w:b w:val="0"/>
                <w:bCs/>
                <w:color w:val="000000"/>
                <w:kern w:val="2"/>
                <w:sz w:val="24"/>
                <w:szCs w:val="24"/>
                <w:highlight w:val="none"/>
                <w:lang w:val="en-US" w:eastAsia="zh-CN" w:bidi="ar-SA"/>
              </w:rPr>
            </w:pPr>
            <w:r>
              <w:rPr>
                <w:rFonts w:hint="default" w:ascii="宋体" w:hAnsi="宋体" w:eastAsia="宋体" w:cs="Times New Roman"/>
                <w:b w:val="0"/>
                <w:bCs/>
                <w:color w:val="000000"/>
                <w:kern w:val="2"/>
                <w:sz w:val="24"/>
                <w:szCs w:val="24"/>
                <w:highlight w:val="none"/>
                <w:lang w:val="en-US" w:eastAsia="zh-CN" w:bidi="ar-SA"/>
              </w:rPr>
              <w:t>本项目所需土料可选用本场对</w:t>
            </w:r>
            <w:r>
              <w:rPr>
                <w:rFonts w:hint="eastAsia" w:ascii="宋体" w:hAnsi="宋体" w:cs="Times New Roman"/>
                <w:b w:val="0"/>
                <w:bCs/>
                <w:color w:val="000000"/>
                <w:kern w:val="2"/>
                <w:sz w:val="24"/>
                <w:szCs w:val="24"/>
                <w:highlight w:val="none"/>
                <w:lang w:val="en-US" w:eastAsia="zh-CN" w:bidi="ar-SA"/>
              </w:rPr>
              <w:t>渠道</w:t>
            </w:r>
            <w:r>
              <w:rPr>
                <w:rFonts w:hint="default" w:ascii="宋体" w:hAnsi="宋体" w:eastAsia="宋体" w:cs="Times New Roman"/>
                <w:b w:val="0"/>
                <w:bCs/>
                <w:color w:val="000000"/>
                <w:kern w:val="2"/>
                <w:sz w:val="24"/>
                <w:szCs w:val="24"/>
                <w:highlight w:val="none"/>
                <w:lang w:val="en-US" w:eastAsia="zh-CN" w:bidi="ar-SA"/>
              </w:rPr>
              <w:t>开挖的土料；砂料</w:t>
            </w:r>
            <w:r>
              <w:rPr>
                <w:rFonts w:hint="eastAsia" w:ascii="宋体" w:hAnsi="宋体" w:eastAsia="宋体" w:cs="Times New Roman"/>
                <w:b w:val="0"/>
                <w:bCs/>
                <w:color w:val="000000"/>
                <w:kern w:val="2"/>
                <w:sz w:val="24"/>
                <w:szCs w:val="24"/>
                <w:highlight w:val="none"/>
                <w:lang w:val="en-US" w:eastAsia="zh-CN" w:bidi="ar-SA"/>
              </w:rPr>
              <w:t>和石料从就近市场购买</w:t>
            </w:r>
            <w:r>
              <w:rPr>
                <w:rFonts w:hint="default" w:ascii="宋体" w:hAnsi="宋体" w:eastAsia="宋体" w:cs="Times New Roman"/>
                <w:b w:val="0"/>
                <w:bCs/>
                <w:color w:val="000000"/>
                <w:kern w:val="2"/>
                <w:sz w:val="24"/>
                <w:szCs w:val="24"/>
                <w:highlight w:val="none"/>
                <w:lang w:val="en-US" w:eastAsia="zh-CN" w:bidi="ar-SA"/>
              </w:rPr>
              <w:t>。根据安阳同类工程，天然建材均满足工程要求。</w:t>
            </w:r>
          </w:p>
          <w:p w14:paraId="6935375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b/>
                <w:bCs/>
                <w:sz w:val="24"/>
                <w:szCs w:val="24"/>
                <w:highlight w:val="none"/>
                <w:lang w:val="en-US" w:eastAsia="zh-CN"/>
              </w:rPr>
            </w:pPr>
            <w:r>
              <w:rPr>
                <w:rFonts w:hint="eastAsia"/>
                <w:b/>
                <w:bCs/>
                <w:sz w:val="24"/>
                <w:szCs w:val="24"/>
                <w:highlight w:val="none"/>
                <w:lang w:val="en-US" w:eastAsia="zh-CN"/>
              </w:rPr>
              <w:t>3.3施工导流</w:t>
            </w:r>
          </w:p>
          <w:p w14:paraId="5657A8F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kern w:val="2"/>
                <w:sz w:val="24"/>
                <w:szCs w:val="24"/>
                <w:highlight w:val="none"/>
                <w:u w:val="none" w:color="auto"/>
                <w:lang w:val="en-US" w:eastAsia="zh-CN" w:bidi="ar-SA"/>
              </w:rPr>
            </w:pPr>
            <w:r>
              <w:rPr>
                <w:rFonts w:hint="eastAsia" w:ascii="宋体" w:hAnsi="宋体" w:cs="Times New Roman"/>
                <w:b w:val="0"/>
                <w:bCs/>
                <w:color w:val="000000"/>
                <w:kern w:val="2"/>
                <w:sz w:val="24"/>
                <w:szCs w:val="24"/>
                <w:highlight w:val="none"/>
                <w:lang w:val="en-US" w:eastAsia="zh-CN" w:bidi="ar-SA"/>
              </w:rPr>
              <w:t>本项目施工期</w:t>
            </w:r>
            <w:r>
              <w:rPr>
                <w:rFonts w:hint="default" w:ascii="宋体" w:hAnsi="宋体" w:eastAsia="宋体" w:cs="Times New Roman"/>
                <w:b w:val="0"/>
                <w:bCs/>
                <w:color w:val="000000"/>
                <w:kern w:val="2"/>
                <w:sz w:val="24"/>
                <w:szCs w:val="24"/>
                <w:highlight w:val="none"/>
                <w:lang w:val="en-US" w:eastAsia="zh-CN" w:bidi="ar-SA"/>
              </w:rPr>
              <w:t>在河道内修建围堰，将河水排出，使河道干燥。围堰的修建需要考虑到河道的形状和大小，以及施工期间的水流情况。通常采用土石围堰或钢板围堰等材料进行修建。工</w:t>
            </w:r>
            <w:r>
              <w:rPr>
                <w:rFonts w:hint="default" w:ascii="Times New Roman" w:hAnsi="Times New Roman" w:eastAsia="宋体" w:cs="Times New Roman"/>
                <w:b w:val="0"/>
                <w:bCs w:val="0"/>
                <w:color w:val="auto"/>
                <w:kern w:val="2"/>
                <w:sz w:val="24"/>
                <w:szCs w:val="24"/>
                <w:highlight w:val="none"/>
                <w:u w:val="none" w:color="auto"/>
                <w:lang w:val="en-US" w:eastAsia="zh-CN" w:bidi="ar-SA"/>
              </w:rPr>
              <w:t>程施工时可结合施工排水疏排施工期洪水，并根据各沟道的具体情况，制定施工期的防洪撤离方案，确保施工安全。</w:t>
            </w:r>
          </w:p>
          <w:p w14:paraId="3979908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b/>
                <w:bCs/>
                <w:sz w:val="24"/>
                <w:szCs w:val="24"/>
                <w:highlight w:val="none"/>
                <w:lang w:val="en-US" w:eastAsia="zh-CN"/>
              </w:rPr>
            </w:pPr>
            <w:r>
              <w:rPr>
                <w:rFonts w:hint="eastAsia"/>
                <w:b/>
                <w:bCs/>
                <w:sz w:val="24"/>
                <w:szCs w:val="24"/>
                <w:highlight w:val="none"/>
                <w:lang w:val="en-US" w:eastAsia="zh-CN"/>
              </w:rPr>
              <w:t>3.4搬迁安置</w:t>
            </w:r>
          </w:p>
          <w:p w14:paraId="688AD1E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本项目不涉及征收土地和房屋拆迁及赔偿。</w:t>
            </w:r>
          </w:p>
          <w:p w14:paraId="59FB9B1E">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b/>
                <w:bCs/>
                <w:sz w:val="24"/>
                <w:szCs w:val="24"/>
                <w:highlight w:val="none"/>
                <w:lang w:val="en-US" w:eastAsia="zh-CN"/>
              </w:rPr>
            </w:pPr>
            <w:r>
              <w:rPr>
                <w:rFonts w:hint="eastAsia" w:ascii="Times New Roman" w:hAnsi="Times New Roman" w:eastAsia="宋体" w:cs="Times New Roman"/>
                <w:b/>
                <w:bCs/>
                <w:kern w:val="2"/>
                <w:sz w:val="24"/>
                <w:szCs w:val="24"/>
                <w:highlight w:val="none"/>
                <w:lang w:val="en-US" w:eastAsia="zh-CN" w:bidi="ar-SA"/>
              </w:rPr>
              <w:t>4</w:t>
            </w:r>
            <w:r>
              <w:rPr>
                <w:rFonts w:hint="eastAsia" w:cs="Times New Roman"/>
                <w:b/>
                <w:bCs/>
                <w:kern w:val="2"/>
                <w:sz w:val="24"/>
                <w:szCs w:val="24"/>
                <w:highlight w:val="none"/>
                <w:lang w:val="en-US" w:eastAsia="zh-CN" w:bidi="ar-SA"/>
              </w:rPr>
              <w:t>.</w:t>
            </w:r>
            <w:r>
              <w:rPr>
                <w:rFonts w:hint="eastAsia"/>
                <w:b/>
                <w:bCs/>
                <w:sz w:val="24"/>
                <w:szCs w:val="24"/>
                <w:highlight w:val="none"/>
                <w:lang w:val="en-US" w:eastAsia="zh-CN"/>
              </w:rPr>
              <w:t>环保工程</w:t>
            </w:r>
          </w:p>
          <w:p w14:paraId="155777AB">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本项目环保工程见下表。</w:t>
            </w:r>
          </w:p>
          <w:p w14:paraId="6401121F">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textAlignment w:val="auto"/>
              <w:rPr>
                <w:rFonts w:hint="eastAsia"/>
                <w:sz w:val="24"/>
                <w:szCs w:val="24"/>
                <w:highlight w:val="none"/>
                <w:lang w:val="en-US" w:eastAsia="zh-CN"/>
              </w:rPr>
            </w:pPr>
          </w:p>
          <w:p w14:paraId="2B1B61FA">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textAlignment w:val="auto"/>
              <w:rPr>
                <w:rFonts w:hint="eastAsia"/>
                <w:sz w:val="24"/>
                <w:szCs w:val="24"/>
                <w:highlight w:val="none"/>
                <w:lang w:val="en-US" w:eastAsia="zh-CN"/>
              </w:rPr>
            </w:pPr>
          </w:p>
          <w:p w14:paraId="00786208">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b/>
                <w:bCs/>
                <w:highlight w:val="none"/>
                <w:lang w:val="en-US" w:eastAsia="zh-CN"/>
              </w:rPr>
            </w:pPr>
            <w:r>
              <w:rPr>
                <w:rFonts w:hint="eastAsia"/>
                <w:b/>
                <w:bCs/>
                <w:highlight w:val="none"/>
                <w:lang w:val="en-US" w:eastAsia="zh-CN"/>
              </w:rPr>
              <w:t>环保工程一览表</w:t>
            </w:r>
          </w:p>
          <w:tbl>
            <w:tblPr>
              <w:tblStyle w:val="19"/>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02"/>
              <w:gridCol w:w="1675"/>
              <w:gridCol w:w="5728"/>
            </w:tblGrid>
            <w:tr w14:paraId="0535ED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43" w:type="pct"/>
                  <w:tcBorders>
                    <w:tl2br w:val="nil"/>
                    <w:tr2bl w:val="nil"/>
                  </w:tcBorders>
                  <w:vAlign w:val="center"/>
                </w:tcPr>
                <w:p w14:paraId="59E89006">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sz w:val="21"/>
                      <w:szCs w:val="21"/>
                      <w:highlight w:val="none"/>
                      <w:vertAlign w:val="baseline"/>
                      <w:lang w:val="en-US" w:eastAsia="zh-CN"/>
                    </w:rPr>
                  </w:pPr>
                  <w:r>
                    <w:rPr>
                      <w:rFonts w:hint="default" w:ascii="Times New Roman" w:hAnsi="Times New Roman" w:cs="Times New Roman" w:eastAsiaTheme="minorEastAsia"/>
                      <w:b/>
                      <w:bCs/>
                      <w:sz w:val="21"/>
                      <w:szCs w:val="21"/>
                      <w:highlight w:val="none"/>
                      <w:vertAlign w:val="baseline"/>
                      <w:lang w:val="en-US" w:eastAsia="zh-CN"/>
                    </w:rPr>
                    <w:t>污染物类别</w:t>
                  </w:r>
                </w:p>
              </w:tc>
              <w:tc>
                <w:tcPr>
                  <w:tcW w:w="940" w:type="pct"/>
                  <w:tcBorders>
                    <w:tl2br w:val="nil"/>
                    <w:tr2bl w:val="nil"/>
                  </w:tcBorders>
                  <w:vAlign w:val="center"/>
                </w:tcPr>
                <w:p w14:paraId="21E39284">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sz w:val="21"/>
                      <w:szCs w:val="21"/>
                      <w:highlight w:val="none"/>
                      <w:vertAlign w:val="baseline"/>
                      <w:lang w:val="en-US" w:eastAsia="zh-CN"/>
                    </w:rPr>
                  </w:pPr>
                  <w:r>
                    <w:rPr>
                      <w:rFonts w:hint="default" w:ascii="Times New Roman" w:hAnsi="Times New Roman" w:cs="Times New Roman" w:eastAsiaTheme="minorEastAsia"/>
                      <w:b/>
                      <w:bCs/>
                      <w:sz w:val="21"/>
                      <w:szCs w:val="21"/>
                      <w:highlight w:val="none"/>
                      <w:vertAlign w:val="baseline"/>
                      <w:lang w:val="en-US" w:eastAsia="zh-CN"/>
                    </w:rPr>
                    <w:t>污染物名称</w:t>
                  </w:r>
                </w:p>
              </w:tc>
              <w:tc>
                <w:tcPr>
                  <w:tcW w:w="3215" w:type="pct"/>
                  <w:tcBorders>
                    <w:tl2br w:val="nil"/>
                    <w:tr2bl w:val="nil"/>
                  </w:tcBorders>
                  <w:vAlign w:val="center"/>
                </w:tcPr>
                <w:p w14:paraId="5390F987">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sz w:val="21"/>
                      <w:szCs w:val="21"/>
                      <w:highlight w:val="none"/>
                      <w:vertAlign w:val="baseline"/>
                      <w:lang w:val="en-US" w:eastAsia="zh-CN"/>
                    </w:rPr>
                  </w:pPr>
                  <w:r>
                    <w:rPr>
                      <w:rFonts w:hint="default" w:ascii="Times New Roman" w:hAnsi="Times New Roman" w:cs="Times New Roman" w:eastAsiaTheme="minorEastAsia"/>
                      <w:b/>
                      <w:bCs/>
                      <w:sz w:val="21"/>
                      <w:szCs w:val="21"/>
                      <w:highlight w:val="none"/>
                      <w:vertAlign w:val="baseline"/>
                      <w:lang w:val="en-US" w:eastAsia="zh-CN"/>
                    </w:rPr>
                    <w:t>污染物治理措施</w:t>
                  </w:r>
                </w:p>
              </w:tc>
            </w:tr>
            <w:tr w14:paraId="23D16C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0" w:hRule="atLeast"/>
              </w:trPr>
              <w:tc>
                <w:tcPr>
                  <w:tcW w:w="843" w:type="pct"/>
                  <w:vMerge w:val="restart"/>
                  <w:tcBorders>
                    <w:tl2br w:val="nil"/>
                    <w:tr2bl w:val="nil"/>
                  </w:tcBorders>
                  <w:vAlign w:val="center"/>
                </w:tcPr>
                <w:p w14:paraId="299ACDED">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废气</w:t>
                  </w:r>
                </w:p>
              </w:tc>
              <w:tc>
                <w:tcPr>
                  <w:tcW w:w="940" w:type="pct"/>
                  <w:tcBorders>
                    <w:tl2br w:val="nil"/>
                    <w:tr2bl w:val="nil"/>
                  </w:tcBorders>
                  <w:vAlign w:val="center"/>
                </w:tcPr>
                <w:p w14:paraId="06A2E189">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起风、施工扬尘</w:t>
                  </w:r>
                </w:p>
              </w:tc>
              <w:tc>
                <w:tcPr>
                  <w:tcW w:w="3215" w:type="pct"/>
                  <w:tcBorders>
                    <w:tl2br w:val="nil"/>
                    <w:tr2bl w:val="nil"/>
                  </w:tcBorders>
                  <w:vAlign w:val="center"/>
                </w:tcPr>
                <w:p w14:paraId="4246A03F">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kern w:val="0"/>
                      <w:sz w:val="21"/>
                      <w:szCs w:val="21"/>
                      <w:highlight w:val="none"/>
                      <w:vertAlign w:val="baseline"/>
                      <w:lang w:val="en-US" w:eastAsia="zh-CN"/>
                    </w:rPr>
                    <w:t>施工场地每天定期洒水，防止浮尘产生；在大风日要加大洒水量及洒水次数；施工场地内运输通道及时清扫、洒水</w:t>
                  </w:r>
                  <w:r>
                    <w:rPr>
                      <w:rFonts w:hint="eastAsia" w:ascii="Times New Roman" w:hAnsi="Times New Roman" w:cs="Times New Roman"/>
                      <w:kern w:val="0"/>
                      <w:sz w:val="21"/>
                      <w:szCs w:val="21"/>
                      <w:highlight w:val="none"/>
                      <w:vertAlign w:val="baseline"/>
                      <w:lang w:val="en-US" w:eastAsia="zh-CN"/>
                    </w:rPr>
                    <w:t>。</w:t>
                  </w:r>
                </w:p>
              </w:tc>
            </w:tr>
            <w:tr w14:paraId="4F1ACE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843" w:type="pct"/>
                  <w:vMerge w:val="continue"/>
                  <w:tcBorders>
                    <w:tl2br w:val="nil"/>
                    <w:tr2bl w:val="nil"/>
                  </w:tcBorders>
                  <w:vAlign w:val="center"/>
                </w:tcPr>
                <w:p w14:paraId="3C6E5D55">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highlight w:val="none"/>
                      <w:vertAlign w:val="baseline"/>
                      <w:lang w:val="en-US" w:eastAsia="zh-CN"/>
                    </w:rPr>
                  </w:pPr>
                </w:p>
              </w:tc>
              <w:tc>
                <w:tcPr>
                  <w:tcW w:w="940" w:type="pct"/>
                  <w:tcBorders>
                    <w:tl2br w:val="nil"/>
                    <w:tr2bl w:val="nil"/>
                  </w:tcBorders>
                  <w:vAlign w:val="center"/>
                </w:tcPr>
                <w:p w14:paraId="10A16CB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车辆运输扬尘</w:t>
                  </w:r>
                </w:p>
              </w:tc>
              <w:tc>
                <w:tcPr>
                  <w:tcW w:w="3215" w:type="pct"/>
                  <w:tcBorders>
                    <w:tl2br w:val="nil"/>
                    <w:tr2bl w:val="nil"/>
                  </w:tcBorders>
                  <w:vAlign w:val="center"/>
                </w:tcPr>
                <w:p w14:paraId="7C362781">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kern w:val="0"/>
                      <w:sz w:val="21"/>
                      <w:szCs w:val="21"/>
                      <w:highlight w:val="none"/>
                      <w:vertAlign w:val="baseline"/>
                      <w:lang w:val="en-US" w:eastAsia="zh-CN"/>
                    </w:rPr>
                    <w:t>运输车进入施工场地低速或限速行驶</w:t>
                  </w:r>
                  <w:r>
                    <w:rPr>
                      <w:rFonts w:hint="eastAsia" w:ascii="Times New Roman" w:hAnsi="Times New Roman" w:cs="Times New Roman"/>
                      <w:kern w:val="0"/>
                      <w:sz w:val="21"/>
                      <w:szCs w:val="21"/>
                      <w:highlight w:val="none"/>
                      <w:vertAlign w:val="baseline"/>
                      <w:lang w:val="en-US" w:eastAsia="zh-CN"/>
                    </w:rPr>
                    <w:t>，</w:t>
                  </w:r>
                  <w:r>
                    <w:rPr>
                      <w:rFonts w:hint="default" w:ascii="Times New Roman" w:hAnsi="Times New Roman" w:cs="Times New Roman" w:eastAsiaTheme="minorEastAsia"/>
                      <w:b w:val="0"/>
                      <w:bCs w:val="0"/>
                      <w:color w:val="000000"/>
                      <w:sz w:val="21"/>
                      <w:szCs w:val="21"/>
                      <w:highlight w:val="none"/>
                    </w:rPr>
                    <w:t>控制施工运输车辆的车速，使之小于40km/h，以减少道路二次扬尘产生</w:t>
                  </w:r>
                  <w:r>
                    <w:rPr>
                      <w:rFonts w:hint="eastAsia" w:cs="Times New Roman" w:eastAsiaTheme="minorEastAsia"/>
                      <w:b w:val="0"/>
                      <w:bCs w:val="0"/>
                      <w:color w:val="000000"/>
                      <w:sz w:val="21"/>
                      <w:szCs w:val="21"/>
                      <w:highlight w:val="none"/>
                      <w:lang w:eastAsia="zh-CN"/>
                    </w:rPr>
                    <w:t>。</w:t>
                  </w:r>
                </w:p>
              </w:tc>
            </w:tr>
            <w:tr w14:paraId="26E40F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843" w:type="pct"/>
                  <w:vMerge w:val="continue"/>
                  <w:tcBorders>
                    <w:tl2br w:val="nil"/>
                    <w:tr2bl w:val="nil"/>
                  </w:tcBorders>
                  <w:vAlign w:val="center"/>
                </w:tcPr>
                <w:p w14:paraId="12CA9A85">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highlight w:val="none"/>
                      <w:vertAlign w:val="baseline"/>
                      <w:lang w:val="en-US" w:eastAsia="zh-CN"/>
                    </w:rPr>
                  </w:pPr>
                </w:p>
              </w:tc>
              <w:tc>
                <w:tcPr>
                  <w:tcW w:w="940" w:type="pct"/>
                  <w:tcBorders>
                    <w:tl2br w:val="nil"/>
                    <w:tr2bl w:val="nil"/>
                  </w:tcBorders>
                  <w:vAlign w:val="center"/>
                </w:tcPr>
                <w:p w14:paraId="71CD1A8E">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汽车尾气</w:t>
                  </w:r>
                </w:p>
              </w:tc>
              <w:tc>
                <w:tcPr>
                  <w:tcW w:w="3215" w:type="pct"/>
                  <w:tcBorders>
                    <w:tl2br w:val="nil"/>
                    <w:tr2bl w:val="nil"/>
                  </w:tcBorders>
                  <w:vAlign w:val="center"/>
                </w:tcPr>
                <w:p w14:paraId="0E5D29C2">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eastAsiaTheme="minorEastAsia"/>
                      <w:b w:val="0"/>
                      <w:bCs w:val="0"/>
                      <w:color w:val="000000"/>
                      <w:sz w:val="21"/>
                      <w:szCs w:val="21"/>
                      <w:highlight w:val="none"/>
                    </w:rPr>
                  </w:pPr>
                  <w:r>
                    <w:rPr>
                      <w:rFonts w:hint="default" w:ascii="Times New Roman" w:hAnsi="Times New Roman" w:cs="Times New Roman" w:eastAsiaTheme="minorEastAsia"/>
                      <w:b w:val="0"/>
                      <w:bCs w:val="0"/>
                      <w:color w:val="000000"/>
                      <w:sz w:val="21"/>
                      <w:szCs w:val="21"/>
                      <w:highlight w:val="none"/>
                    </w:rPr>
                    <w:t>使用合格的施工车辆，保证汽车尾气达到国家规定的排放标准要求。</w:t>
                  </w:r>
                </w:p>
              </w:tc>
            </w:tr>
            <w:tr w14:paraId="4E6239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843" w:type="pct"/>
                  <w:vMerge w:val="continue"/>
                  <w:tcBorders>
                    <w:tl2br w:val="nil"/>
                    <w:tr2bl w:val="nil"/>
                  </w:tcBorders>
                  <w:vAlign w:val="center"/>
                </w:tcPr>
                <w:p w14:paraId="4013827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highlight w:val="none"/>
                      <w:vertAlign w:val="baseline"/>
                      <w:lang w:val="en-US" w:eastAsia="zh-CN"/>
                    </w:rPr>
                  </w:pPr>
                </w:p>
              </w:tc>
              <w:tc>
                <w:tcPr>
                  <w:tcW w:w="940" w:type="pct"/>
                  <w:tcBorders>
                    <w:tl2br w:val="nil"/>
                    <w:tr2bl w:val="nil"/>
                  </w:tcBorders>
                  <w:vAlign w:val="center"/>
                </w:tcPr>
                <w:p w14:paraId="55A47AFC">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eastAsia" w:cs="Times New Roman" w:eastAsiaTheme="minorEastAsia"/>
                      <w:sz w:val="21"/>
                      <w:szCs w:val="21"/>
                      <w:highlight w:val="none"/>
                      <w:vertAlign w:val="baseline"/>
                      <w:lang w:val="en-US" w:eastAsia="zh-CN"/>
                    </w:rPr>
                    <w:t>恶臭气体</w:t>
                  </w:r>
                </w:p>
              </w:tc>
              <w:tc>
                <w:tcPr>
                  <w:tcW w:w="3215" w:type="pct"/>
                  <w:tcBorders>
                    <w:tl2br w:val="nil"/>
                    <w:tr2bl w:val="nil"/>
                  </w:tcBorders>
                  <w:vAlign w:val="center"/>
                </w:tcPr>
                <w:p w14:paraId="74C55B0F">
                  <w:pPr>
                    <w:spacing w:beforeLines="0" w:afterLines="0" w:line="240" w:lineRule="auto"/>
                    <w:ind w:firstLine="420" w:firstLineChars="200"/>
                    <w:rPr>
                      <w:rFonts w:hint="default" w:ascii="Times New Roman" w:hAnsi="Times New Roman" w:cs="Times New Roman" w:eastAsiaTheme="minorEastAsia"/>
                      <w:b w:val="0"/>
                      <w:bCs w:val="0"/>
                      <w:color w:val="000000"/>
                      <w:sz w:val="21"/>
                      <w:szCs w:val="21"/>
                      <w:highlight w:val="none"/>
                    </w:rPr>
                  </w:pPr>
                  <w:r>
                    <w:rPr>
                      <w:rFonts w:hint="default" w:ascii="Times New Roman" w:hAnsi="Times New Roman" w:eastAsia="宋体" w:cs="Times New Roman"/>
                      <w:sz w:val="21"/>
                      <w:szCs w:val="21"/>
                      <w:highlight w:val="none"/>
                    </w:rPr>
                    <w:t>工时尽量缩短工期，减少淤泥在现场的停留时间</w:t>
                  </w:r>
                  <w:r>
                    <w:rPr>
                      <w:rFonts w:hint="eastAsia" w:cs="Times New Roman"/>
                      <w:sz w:val="21"/>
                      <w:szCs w:val="21"/>
                      <w:highlight w:val="none"/>
                      <w:lang w:eastAsia="zh-CN"/>
                    </w:rPr>
                    <w:t>；</w:t>
                  </w:r>
                  <w:r>
                    <w:rPr>
                      <w:rFonts w:hint="default" w:ascii="Times New Roman" w:hAnsi="Times New Roman" w:eastAsia="宋体" w:cs="Times New Roman"/>
                      <w:sz w:val="21"/>
                      <w:szCs w:val="21"/>
                      <w:highlight w:val="none"/>
                    </w:rPr>
                    <w:t>运输淤泥时运输车辆密闭，污泥运输时要避开城市中心区，避开运输高峰期，尽量减少臭气对运输线路附近大气环境的影响。</w:t>
                  </w:r>
                </w:p>
              </w:tc>
            </w:tr>
            <w:tr w14:paraId="6A8914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843" w:type="pct"/>
                  <w:vMerge w:val="restart"/>
                  <w:tcBorders>
                    <w:tl2br w:val="nil"/>
                    <w:tr2bl w:val="nil"/>
                  </w:tcBorders>
                  <w:vAlign w:val="center"/>
                </w:tcPr>
                <w:p w14:paraId="1475F707">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废水</w:t>
                  </w:r>
                </w:p>
              </w:tc>
              <w:tc>
                <w:tcPr>
                  <w:tcW w:w="940" w:type="pct"/>
                  <w:tcBorders>
                    <w:tl2br w:val="nil"/>
                    <w:tr2bl w:val="nil"/>
                  </w:tcBorders>
                  <w:vAlign w:val="center"/>
                </w:tcPr>
                <w:p w14:paraId="58A49A37">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生活污水</w:t>
                  </w:r>
                </w:p>
              </w:tc>
              <w:tc>
                <w:tcPr>
                  <w:tcW w:w="3215" w:type="pct"/>
                  <w:tcBorders>
                    <w:tl2br w:val="nil"/>
                    <w:tr2bl w:val="nil"/>
                  </w:tcBorders>
                  <w:vAlign w:val="center"/>
                </w:tcPr>
                <w:p w14:paraId="1C2CCE2F">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kern w:val="0"/>
                      <w:sz w:val="21"/>
                      <w:szCs w:val="21"/>
                      <w:highlight w:val="none"/>
                      <w:vertAlign w:val="baseline"/>
                      <w:lang w:val="en-US" w:eastAsia="zh-CN"/>
                    </w:rPr>
                    <w:t>修建</w:t>
                  </w:r>
                  <w:r>
                    <w:rPr>
                      <w:rFonts w:hint="eastAsia" w:cs="Times New Roman"/>
                      <w:kern w:val="0"/>
                      <w:sz w:val="21"/>
                      <w:szCs w:val="21"/>
                      <w:highlight w:val="none"/>
                      <w:vertAlign w:val="baseline"/>
                      <w:lang w:val="en-US" w:eastAsia="zh-CN"/>
                    </w:rPr>
                    <w:t>临时</w:t>
                  </w:r>
                  <w:r>
                    <w:rPr>
                      <w:rFonts w:hint="eastAsia" w:ascii="Times New Roman" w:hAnsi="Times New Roman" w:cs="Times New Roman"/>
                      <w:kern w:val="0"/>
                      <w:sz w:val="21"/>
                      <w:szCs w:val="21"/>
                      <w:highlight w:val="none"/>
                      <w:vertAlign w:val="baseline"/>
                      <w:lang w:val="en-US" w:eastAsia="zh-CN"/>
                    </w:rPr>
                    <w:t>化粪池</w:t>
                  </w:r>
                  <w:r>
                    <w:rPr>
                      <w:rFonts w:hint="default" w:ascii="Times New Roman" w:hAnsi="Times New Roman" w:cs="Times New Roman"/>
                      <w:kern w:val="0"/>
                      <w:sz w:val="21"/>
                      <w:szCs w:val="21"/>
                      <w:highlight w:val="none"/>
                      <w:vertAlign w:val="baseline"/>
                      <w:lang w:val="en-US" w:eastAsia="zh-CN"/>
                    </w:rPr>
                    <w:t>，供施工期使用，定期清掏不外排。</w:t>
                  </w:r>
                </w:p>
              </w:tc>
            </w:tr>
            <w:tr w14:paraId="54DA27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843" w:type="pct"/>
                  <w:vMerge w:val="continue"/>
                  <w:tcBorders>
                    <w:tl2br w:val="nil"/>
                    <w:tr2bl w:val="nil"/>
                  </w:tcBorders>
                  <w:vAlign w:val="center"/>
                </w:tcPr>
                <w:p w14:paraId="0211B100">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highlight w:val="none"/>
                      <w:vertAlign w:val="baseline"/>
                      <w:lang w:val="en-US" w:eastAsia="zh-CN"/>
                    </w:rPr>
                  </w:pPr>
                </w:p>
              </w:tc>
              <w:tc>
                <w:tcPr>
                  <w:tcW w:w="940" w:type="pct"/>
                  <w:tcBorders>
                    <w:tl2br w:val="nil"/>
                    <w:tr2bl w:val="nil"/>
                  </w:tcBorders>
                  <w:vAlign w:val="center"/>
                </w:tcPr>
                <w:p w14:paraId="1DF8EBFC">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施工废水</w:t>
                  </w:r>
                </w:p>
              </w:tc>
              <w:tc>
                <w:tcPr>
                  <w:tcW w:w="3215" w:type="pct"/>
                  <w:tcBorders>
                    <w:tl2br w:val="nil"/>
                    <w:tr2bl w:val="nil"/>
                  </w:tcBorders>
                  <w:vAlign w:val="center"/>
                </w:tcPr>
                <w:p w14:paraId="656154A2">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kern w:val="0"/>
                      <w:sz w:val="21"/>
                      <w:szCs w:val="21"/>
                      <w:highlight w:val="none"/>
                      <w:vertAlign w:val="baseline"/>
                      <w:lang w:val="en-US" w:eastAsia="zh-CN"/>
                    </w:rPr>
                    <w:t>修建临时沉淀池，废水经沉淀后用于施工场地和道路喷洒抑尘，不外排。</w:t>
                  </w:r>
                </w:p>
              </w:tc>
            </w:tr>
            <w:tr w14:paraId="62FA2E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843" w:type="pct"/>
                  <w:vMerge w:val="continue"/>
                  <w:tcBorders>
                    <w:tl2br w:val="nil"/>
                    <w:tr2bl w:val="nil"/>
                  </w:tcBorders>
                  <w:vAlign w:val="center"/>
                </w:tcPr>
                <w:p w14:paraId="248C4933">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highlight w:val="none"/>
                      <w:vertAlign w:val="baseline"/>
                      <w:lang w:val="en-US" w:eastAsia="zh-CN"/>
                    </w:rPr>
                  </w:pPr>
                </w:p>
              </w:tc>
              <w:tc>
                <w:tcPr>
                  <w:tcW w:w="940" w:type="pct"/>
                  <w:tcBorders>
                    <w:tl2br w:val="nil"/>
                    <w:tr2bl w:val="nil"/>
                  </w:tcBorders>
                  <w:vAlign w:val="center"/>
                </w:tcPr>
                <w:p w14:paraId="389F0C70">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eastAsia" w:cs="Times New Roman" w:eastAsiaTheme="minorEastAsia"/>
                      <w:sz w:val="21"/>
                      <w:szCs w:val="21"/>
                      <w:highlight w:val="none"/>
                      <w:vertAlign w:val="baseline"/>
                      <w:lang w:val="en-US" w:eastAsia="zh-CN"/>
                    </w:rPr>
                    <w:t>淤泥渗滤水</w:t>
                  </w:r>
                </w:p>
              </w:tc>
              <w:tc>
                <w:tcPr>
                  <w:tcW w:w="3215" w:type="pct"/>
                  <w:tcBorders>
                    <w:tl2br w:val="nil"/>
                    <w:tr2bl w:val="nil"/>
                  </w:tcBorders>
                  <w:vAlign w:val="center"/>
                </w:tcPr>
                <w:p w14:paraId="0CDFCD1D">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kern w:val="0"/>
                      <w:sz w:val="21"/>
                      <w:szCs w:val="21"/>
                      <w:highlight w:val="none"/>
                      <w:vertAlign w:val="baseline"/>
                      <w:lang w:val="en-US" w:eastAsia="zh-CN"/>
                    </w:rPr>
                  </w:pPr>
                  <w:r>
                    <w:rPr>
                      <w:rFonts w:hint="eastAsia" w:ascii="Times New Roman" w:hAnsi="Times New Roman" w:cs="Times New Roman"/>
                      <w:sz w:val="21"/>
                      <w:szCs w:val="21"/>
                      <w:highlight w:val="none"/>
                      <w:lang w:val="en-US" w:eastAsia="zh-CN"/>
                    </w:rPr>
                    <w:t>经</w:t>
                  </w:r>
                  <w:r>
                    <w:rPr>
                      <w:rFonts w:hint="default" w:ascii="Times New Roman" w:hAnsi="Times New Roman" w:cs="Times New Roman"/>
                      <w:sz w:val="21"/>
                      <w:szCs w:val="21"/>
                      <w:highlight w:val="none"/>
                      <w:lang w:val="en-US" w:eastAsia="zh-CN"/>
                    </w:rPr>
                    <w:t>收集后排入沉淀池沉淀处理后，用作周边洒水绿化。</w:t>
                  </w:r>
                </w:p>
              </w:tc>
            </w:tr>
            <w:tr w14:paraId="103FF7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8" w:hRule="atLeast"/>
              </w:trPr>
              <w:tc>
                <w:tcPr>
                  <w:tcW w:w="843" w:type="pct"/>
                  <w:tcBorders>
                    <w:tl2br w:val="nil"/>
                    <w:tr2bl w:val="nil"/>
                  </w:tcBorders>
                  <w:vAlign w:val="center"/>
                </w:tcPr>
                <w:p w14:paraId="41A8ABFB">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噪声</w:t>
                  </w:r>
                </w:p>
              </w:tc>
              <w:tc>
                <w:tcPr>
                  <w:tcW w:w="940" w:type="pct"/>
                  <w:tcBorders>
                    <w:tl2br w:val="nil"/>
                    <w:tr2bl w:val="nil"/>
                  </w:tcBorders>
                  <w:vAlign w:val="center"/>
                </w:tcPr>
                <w:p w14:paraId="22D32022">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施工机械噪声</w:t>
                  </w:r>
                </w:p>
              </w:tc>
              <w:tc>
                <w:tcPr>
                  <w:tcW w:w="3215" w:type="pct"/>
                  <w:tcBorders>
                    <w:tl2br w:val="nil"/>
                    <w:tr2bl w:val="nil"/>
                  </w:tcBorders>
                  <w:vAlign w:val="center"/>
                </w:tcPr>
                <w:p w14:paraId="4601A256">
                  <w:pPr>
                    <w:keepNext w:val="0"/>
                    <w:keepLines w:val="0"/>
                    <w:widowControl/>
                    <w:suppressLineNumbers w:val="0"/>
                    <w:ind w:firstLine="420" w:firstLineChars="200"/>
                    <w:jc w:val="both"/>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b w:val="0"/>
                      <w:bCs w:val="0"/>
                      <w:color w:val="000000"/>
                      <w:kern w:val="0"/>
                      <w:sz w:val="21"/>
                      <w:szCs w:val="21"/>
                      <w:highlight w:val="none"/>
                      <w:lang w:val="en-US" w:eastAsia="zh-CN" w:bidi="ar"/>
                    </w:rPr>
                    <w:t>选择低噪声设备，从源头上减少噪声的产生。同时，对设备进行定期维护和保养，防止由于设备老化或损坏而产生更多的噪声。</w:t>
                  </w:r>
                  <w:r>
                    <w:rPr>
                      <w:rFonts w:hint="default" w:ascii="Times New Roman" w:hAnsi="Times New Roman" w:cs="Times New Roman" w:eastAsiaTheme="minorEastAsia"/>
                      <w:b w:val="0"/>
                      <w:bCs w:val="0"/>
                      <w:color w:val="000000"/>
                      <w:sz w:val="21"/>
                      <w:szCs w:val="21"/>
                      <w:highlight w:val="none"/>
                    </w:rPr>
                    <w:t>合理规划道路和作业区域，尽量避免对周边居民产生影响</w:t>
                  </w:r>
                  <w:r>
                    <w:rPr>
                      <w:rFonts w:hint="default" w:ascii="Times New Roman" w:hAnsi="Times New Roman" w:cs="Times New Roman" w:eastAsiaTheme="minorEastAsia"/>
                      <w:b w:val="0"/>
                      <w:bCs w:val="0"/>
                      <w:color w:val="000000"/>
                      <w:sz w:val="21"/>
                      <w:szCs w:val="21"/>
                      <w:highlight w:val="none"/>
                      <w:lang w:eastAsia="zh-CN"/>
                    </w:rPr>
                    <w:t>；</w:t>
                  </w:r>
                  <w:r>
                    <w:rPr>
                      <w:rFonts w:hint="default" w:ascii="Times New Roman" w:hAnsi="Times New Roman" w:cs="Times New Roman" w:eastAsiaTheme="minorEastAsia"/>
                      <w:b w:val="0"/>
                      <w:bCs w:val="0"/>
                      <w:color w:val="000000"/>
                      <w:sz w:val="21"/>
                      <w:szCs w:val="21"/>
                      <w:highlight w:val="none"/>
                    </w:rPr>
                    <w:t>严格控制施工时间及施工方式，禁止在夜间进行高噪声的施工作业。</w:t>
                  </w:r>
                </w:p>
              </w:tc>
            </w:tr>
            <w:tr w14:paraId="78848A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43" w:type="pct"/>
                  <w:vMerge w:val="restart"/>
                  <w:tcBorders>
                    <w:tl2br w:val="nil"/>
                    <w:tr2bl w:val="nil"/>
                  </w:tcBorders>
                  <w:vAlign w:val="center"/>
                </w:tcPr>
                <w:p w14:paraId="28A1C2D1">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固废</w:t>
                  </w:r>
                </w:p>
              </w:tc>
              <w:tc>
                <w:tcPr>
                  <w:tcW w:w="940" w:type="pct"/>
                  <w:tcBorders>
                    <w:tl2br w:val="nil"/>
                    <w:tr2bl w:val="nil"/>
                  </w:tcBorders>
                  <w:vAlign w:val="center"/>
                </w:tcPr>
                <w:p w14:paraId="79529456">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生活垃圾</w:t>
                  </w:r>
                </w:p>
              </w:tc>
              <w:tc>
                <w:tcPr>
                  <w:tcW w:w="3215" w:type="pct"/>
                  <w:tcBorders>
                    <w:tl2br w:val="nil"/>
                    <w:tr2bl w:val="nil"/>
                  </w:tcBorders>
                  <w:vAlign w:val="center"/>
                </w:tcPr>
                <w:p w14:paraId="7E90FABC">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b w:val="0"/>
                      <w:bCs w:val="0"/>
                      <w:color w:val="000000"/>
                      <w:sz w:val="21"/>
                      <w:szCs w:val="21"/>
                      <w:highlight w:val="none"/>
                    </w:rPr>
                    <w:t>本项目</w:t>
                  </w:r>
                  <w:r>
                    <w:rPr>
                      <w:rFonts w:hint="default" w:ascii="Times New Roman" w:hAnsi="Times New Roman" w:cs="Times New Roman"/>
                      <w:kern w:val="0"/>
                      <w:sz w:val="21"/>
                      <w:szCs w:val="21"/>
                      <w:highlight w:val="none"/>
                      <w:vertAlign w:val="baseline"/>
                      <w:lang w:val="en-US" w:eastAsia="zh-CN"/>
                    </w:rPr>
                    <w:t>生活垃圾集中处理后</w:t>
                  </w:r>
                  <w:r>
                    <w:rPr>
                      <w:rFonts w:hint="default" w:ascii="Times New Roman" w:hAnsi="Times New Roman" w:cs="Times New Roman" w:eastAsiaTheme="minorEastAsia"/>
                      <w:b w:val="0"/>
                      <w:bCs w:val="0"/>
                      <w:color w:val="000000"/>
                      <w:sz w:val="21"/>
                      <w:szCs w:val="21"/>
                      <w:highlight w:val="none"/>
                    </w:rPr>
                    <w:t>由环卫部门运至垃圾填埋场进行填埋。</w:t>
                  </w:r>
                </w:p>
              </w:tc>
            </w:tr>
            <w:tr w14:paraId="07F1D1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5" w:hRule="atLeast"/>
              </w:trPr>
              <w:tc>
                <w:tcPr>
                  <w:tcW w:w="843" w:type="pct"/>
                  <w:vMerge w:val="continue"/>
                  <w:tcBorders>
                    <w:tl2br w:val="nil"/>
                    <w:tr2bl w:val="nil"/>
                  </w:tcBorders>
                  <w:vAlign w:val="center"/>
                </w:tcPr>
                <w:p w14:paraId="558CA3F9">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highlight w:val="none"/>
                      <w:vertAlign w:val="baseline"/>
                      <w:lang w:val="en-US" w:eastAsia="zh-CN"/>
                    </w:rPr>
                  </w:pPr>
                </w:p>
              </w:tc>
              <w:tc>
                <w:tcPr>
                  <w:tcW w:w="940" w:type="pct"/>
                  <w:tcBorders>
                    <w:tl2br w:val="nil"/>
                    <w:tr2bl w:val="nil"/>
                  </w:tcBorders>
                  <w:vAlign w:val="center"/>
                </w:tcPr>
                <w:p w14:paraId="6F84417A">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施工垃圾</w:t>
                  </w:r>
                </w:p>
              </w:tc>
              <w:tc>
                <w:tcPr>
                  <w:tcW w:w="3215" w:type="pct"/>
                  <w:tcBorders>
                    <w:tl2br w:val="nil"/>
                    <w:tr2bl w:val="nil"/>
                  </w:tcBorders>
                  <w:vAlign w:val="center"/>
                </w:tcPr>
                <w:p w14:paraId="7E039BE0">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eastAsia"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b w:val="0"/>
                      <w:bCs w:val="0"/>
                      <w:color w:val="000000"/>
                      <w:sz w:val="21"/>
                      <w:szCs w:val="21"/>
                      <w:highlight w:val="none"/>
                    </w:rPr>
                    <w:t>按</w:t>
                  </w:r>
                  <w:r>
                    <w:rPr>
                      <w:rFonts w:hint="eastAsia" w:cs="Times New Roman" w:eastAsiaTheme="minorEastAsia"/>
                      <w:b w:val="0"/>
                      <w:bCs w:val="0"/>
                      <w:color w:val="000000"/>
                      <w:sz w:val="21"/>
                      <w:szCs w:val="21"/>
                      <w:highlight w:val="none"/>
                      <w:lang w:eastAsia="zh-CN"/>
                    </w:rPr>
                    <w:t>建筑垃圾</w:t>
                  </w:r>
                  <w:r>
                    <w:rPr>
                      <w:rFonts w:hint="default" w:ascii="Times New Roman" w:hAnsi="Times New Roman" w:cs="Times New Roman" w:eastAsiaTheme="minorEastAsia"/>
                      <w:b w:val="0"/>
                      <w:bCs w:val="0"/>
                      <w:color w:val="000000"/>
                      <w:sz w:val="21"/>
                      <w:szCs w:val="21"/>
                      <w:highlight w:val="none"/>
                    </w:rPr>
                    <w:t>当地环卫部门的要求，运至指定地点</w:t>
                  </w:r>
                  <w:r>
                    <w:rPr>
                      <w:rFonts w:hint="eastAsia" w:cs="Times New Roman" w:eastAsiaTheme="minorEastAsia"/>
                      <w:b w:val="0"/>
                      <w:bCs w:val="0"/>
                      <w:color w:val="000000"/>
                      <w:sz w:val="21"/>
                      <w:szCs w:val="21"/>
                      <w:highlight w:val="none"/>
                      <w:lang w:eastAsia="zh-CN"/>
                    </w:rPr>
                    <w:t>进行</w:t>
                  </w:r>
                  <w:r>
                    <w:rPr>
                      <w:rFonts w:hint="default" w:ascii="Times New Roman" w:hAnsi="Times New Roman" w:cs="Times New Roman" w:eastAsiaTheme="minorEastAsia"/>
                      <w:b w:val="0"/>
                      <w:bCs w:val="0"/>
                      <w:color w:val="000000"/>
                      <w:sz w:val="21"/>
                      <w:szCs w:val="21"/>
                      <w:highlight w:val="none"/>
                    </w:rPr>
                    <w:t>填埋。为防止外运过程中沿途遗洒及扬尘对周围环境的影响，要求建筑垃圾外运时应用苫布覆盖，以防沿途遗洒，并按当地有关部门的要求，经指定路线运至指定地点，严禁乱倒乱放</w:t>
                  </w:r>
                  <w:r>
                    <w:rPr>
                      <w:rFonts w:hint="eastAsia" w:cs="Times New Roman" w:eastAsiaTheme="minorEastAsia"/>
                      <w:b w:val="0"/>
                      <w:bCs w:val="0"/>
                      <w:color w:val="000000"/>
                      <w:sz w:val="21"/>
                      <w:szCs w:val="21"/>
                      <w:highlight w:val="none"/>
                      <w:lang w:eastAsia="zh-CN"/>
                    </w:rPr>
                    <w:t>；剩余土方堆放在临时堆场里，由政府部门资源化处理；</w:t>
                  </w:r>
                  <w:r>
                    <w:rPr>
                      <w:rFonts w:hint="eastAsia" w:ascii="Times New Roman" w:hAnsi="Times New Roman" w:cs="Times New Roman" w:eastAsiaTheme="minorEastAsia"/>
                      <w:b w:val="0"/>
                      <w:bCs w:val="0"/>
                      <w:color w:val="000000"/>
                      <w:sz w:val="21"/>
                      <w:szCs w:val="21"/>
                      <w:highlight w:val="none"/>
                      <w:lang w:val="en-US" w:eastAsia="zh-CN"/>
                    </w:rPr>
                    <w:t>疏浚</w:t>
                  </w:r>
                  <w:r>
                    <w:rPr>
                      <w:rFonts w:hint="eastAsia" w:ascii="Times New Roman" w:hAnsi="Times New Roman" w:cs="Times New Roman" w:eastAsiaTheme="minorEastAsia"/>
                      <w:b w:val="0"/>
                      <w:bCs w:val="0"/>
                      <w:color w:val="000000"/>
                      <w:sz w:val="21"/>
                      <w:szCs w:val="21"/>
                      <w:highlight w:val="none"/>
                      <w:lang w:eastAsia="zh-CN"/>
                    </w:rPr>
                    <w:t>产生</w:t>
                  </w:r>
                  <w:r>
                    <w:rPr>
                      <w:rFonts w:hint="eastAsia" w:ascii="Times New Roman" w:hAnsi="Times New Roman" w:cs="Times New Roman" w:eastAsiaTheme="minorEastAsia"/>
                      <w:b w:val="0"/>
                      <w:bCs w:val="0"/>
                      <w:color w:val="000000"/>
                      <w:sz w:val="21"/>
                      <w:szCs w:val="21"/>
                      <w:highlight w:val="none"/>
                    </w:rPr>
                    <w:t>的淤泥</w:t>
                  </w:r>
                  <w:r>
                    <w:rPr>
                      <w:rFonts w:hint="eastAsia" w:ascii="Times New Roman" w:hAnsi="Times New Roman" w:cs="Times New Roman" w:eastAsiaTheme="minorEastAsia"/>
                      <w:b w:val="0"/>
                      <w:bCs w:val="0"/>
                      <w:color w:val="000000"/>
                      <w:sz w:val="21"/>
                      <w:szCs w:val="21"/>
                      <w:highlight w:val="none"/>
                      <w:lang w:eastAsia="zh-CN"/>
                    </w:rPr>
                    <w:t>符合要求的直接</w:t>
                  </w:r>
                  <w:r>
                    <w:rPr>
                      <w:rFonts w:hint="eastAsia" w:ascii="Times New Roman" w:hAnsi="Times New Roman" w:cs="Times New Roman" w:eastAsiaTheme="minorEastAsia"/>
                      <w:b w:val="0"/>
                      <w:bCs w:val="0"/>
                      <w:color w:val="000000"/>
                      <w:sz w:val="21"/>
                      <w:szCs w:val="21"/>
                      <w:highlight w:val="none"/>
                    </w:rPr>
                    <w:t>还林，还田利用</w:t>
                  </w:r>
                  <w:r>
                    <w:rPr>
                      <w:rFonts w:hint="eastAsia" w:ascii="Times New Roman" w:hAnsi="Times New Roman" w:cs="Times New Roman" w:eastAsiaTheme="minorEastAsia"/>
                      <w:b w:val="0"/>
                      <w:bCs w:val="0"/>
                      <w:color w:val="000000"/>
                      <w:sz w:val="21"/>
                      <w:szCs w:val="21"/>
                      <w:highlight w:val="none"/>
                      <w:lang w:eastAsia="zh-CN"/>
                    </w:rPr>
                    <w:t>，不符合要求的</w:t>
                  </w:r>
                  <w:r>
                    <w:rPr>
                      <w:rFonts w:hint="default" w:ascii="Times New Roman" w:hAnsi="Times New Roman" w:cs="Times New Roman" w:eastAsiaTheme="minorEastAsia"/>
                      <w:b w:val="0"/>
                      <w:bCs w:val="0"/>
                      <w:color w:val="000000"/>
                      <w:sz w:val="21"/>
                      <w:szCs w:val="21"/>
                      <w:highlight w:val="none"/>
                      <w:lang w:val="en-US" w:eastAsia="zh-CN"/>
                    </w:rPr>
                    <w:t>运输到</w:t>
                  </w:r>
                  <w:r>
                    <w:rPr>
                      <w:rFonts w:hint="eastAsia" w:ascii="Times New Roman" w:hAnsi="Times New Roman" w:cs="Times New Roman" w:eastAsiaTheme="minorEastAsia"/>
                      <w:b w:val="0"/>
                      <w:bCs w:val="0"/>
                      <w:color w:val="000000"/>
                      <w:sz w:val="21"/>
                      <w:szCs w:val="21"/>
                      <w:highlight w:val="none"/>
                      <w:lang w:val="en-US" w:eastAsia="zh-CN"/>
                    </w:rPr>
                    <w:t>建筑</w:t>
                  </w:r>
                  <w:r>
                    <w:rPr>
                      <w:rFonts w:hint="default" w:ascii="Times New Roman" w:hAnsi="Times New Roman" w:cs="Times New Roman" w:eastAsiaTheme="minorEastAsia"/>
                      <w:b w:val="0"/>
                      <w:bCs w:val="0"/>
                      <w:color w:val="000000"/>
                      <w:sz w:val="21"/>
                      <w:szCs w:val="21"/>
                      <w:highlight w:val="none"/>
                      <w:lang w:val="en-US" w:eastAsia="zh-CN"/>
                    </w:rPr>
                    <w:t>垃圾</w:t>
                  </w:r>
                  <w:r>
                    <w:rPr>
                      <w:rFonts w:hint="eastAsia" w:ascii="Times New Roman" w:hAnsi="Times New Roman" w:cs="Times New Roman" w:eastAsiaTheme="minorEastAsia"/>
                      <w:b w:val="0"/>
                      <w:bCs w:val="0"/>
                      <w:color w:val="000000"/>
                      <w:sz w:val="21"/>
                      <w:szCs w:val="21"/>
                      <w:highlight w:val="none"/>
                      <w:lang w:val="en-US" w:eastAsia="zh-CN"/>
                    </w:rPr>
                    <w:t>填埋厂</w:t>
                  </w:r>
                  <w:r>
                    <w:rPr>
                      <w:rFonts w:hint="default" w:ascii="Times New Roman" w:hAnsi="Times New Roman" w:cs="Times New Roman" w:eastAsiaTheme="minorEastAsia"/>
                      <w:b w:val="0"/>
                      <w:bCs w:val="0"/>
                      <w:color w:val="000000"/>
                      <w:sz w:val="21"/>
                      <w:szCs w:val="21"/>
                      <w:highlight w:val="none"/>
                      <w:lang w:val="en-US" w:eastAsia="zh-CN"/>
                    </w:rPr>
                    <w:t>进行</w:t>
                  </w:r>
                  <w:r>
                    <w:rPr>
                      <w:rFonts w:hint="eastAsia" w:ascii="Times New Roman" w:hAnsi="Times New Roman" w:cs="Times New Roman" w:eastAsiaTheme="minorEastAsia"/>
                      <w:b w:val="0"/>
                      <w:bCs w:val="0"/>
                      <w:color w:val="000000"/>
                      <w:sz w:val="21"/>
                      <w:szCs w:val="21"/>
                      <w:highlight w:val="none"/>
                      <w:lang w:val="en-US" w:eastAsia="zh-CN"/>
                    </w:rPr>
                    <w:t>处置。</w:t>
                  </w:r>
                </w:p>
              </w:tc>
            </w:tr>
            <w:tr w14:paraId="0F9C76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43" w:type="pct"/>
                  <w:tcBorders>
                    <w:tl2br w:val="nil"/>
                    <w:tr2bl w:val="nil"/>
                  </w:tcBorders>
                  <w:vAlign w:val="center"/>
                </w:tcPr>
                <w:p w14:paraId="75B45EDC">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生态</w:t>
                  </w:r>
                </w:p>
              </w:tc>
              <w:tc>
                <w:tcPr>
                  <w:tcW w:w="940" w:type="pct"/>
                  <w:tcBorders>
                    <w:tl2br w:val="nil"/>
                    <w:tr2bl w:val="nil"/>
                  </w:tcBorders>
                  <w:vAlign w:val="center"/>
                </w:tcPr>
                <w:p w14:paraId="297B40DA">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sz w:val="21"/>
                      <w:szCs w:val="21"/>
                      <w:highlight w:val="none"/>
                      <w:vertAlign w:val="baseline"/>
                      <w:lang w:val="en-US" w:eastAsia="zh-CN"/>
                    </w:rPr>
                    <w:t>水土保持及绿化</w:t>
                  </w:r>
                </w:p>
              </w:tc>
              <w:tc>
                <w:tcPr>
                  <w:tcW w:w="3215" w:type="pct"/>
                  <w:tcBorders>
                    <w:tl2br w:val="nil"/>
                    <w:tr2bl w:val="nil"/>
                  </w:tcBorders>
                  <w:vAlign w:val="center"/>
                </w:tcPr>
                <w:p w14:paraId="21D3D74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cs="Times New Roman" w:eastAsiaTheme="minorEastAsia"/>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0"/>
                      <w:sz w:val="21"/>
                      <w:szCs w:val="21"/>
                      <w:highlight w:val="none"/>
                      <w:vertAlign w:val="baseline"/>
                      <w:lang w:val="en-US" w:eastAsia="zh-CN"/>
                      <w14:textFill>
                        <w14:solidFill>
                          <w14:schemeClr w14:val="tx1"/>
                        </w14:solidFill>
                      </w14:textFill>
                    </w:rPr>
                    <w:t>施工期间加强施工人员的各类卫生管理，避免生活污水的直接排放，减少水体污染；做好工程完工后生态环境的恢复工作，以尽量减少植被破坏及水土流失。</w:t>
                  </w:r>
                </w:p>
                <w:p w14:paraId="7D8DD98C">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cs="Times New Roman" w:eastAsiaTheme="minorEastAsia"/>
                      <w:sz w:val="21"/>
                      <w:szCs w:val="21"/>
                      <w:highlight w:val="none"/>
                      <w:vertAlign w:val="baseline"/>
                      <w:lang w:val="en-US" w:eastAsia="zh-CN"/>
                    </w:rPr>
                  </w:pPr>
                  <w:r>
                    <w:rPr>
                      <w:rFonts w:hint="default" w:ascii="Times New Roman" w:hAnsi="Times New Roman" w:cs="Times New Roman" w:eastAsiaTheme="minorEastAsia"/>
                      <w:color w:val="000000" w:themeColor="text1"/>
                      <w:kern w:val="0"/>
                      <w:sz w:val="21"/>
                      <w:szCs w:val="21"/>
                      <w:highlight w:val="none"/>
                      <w:vertAlign w:val="baseline"/>
                      <w:lang w:val="en-US" w:eastAsia="zh-CN"/>
                      <w14:textFill>
                        <w14:solidFill>
                          <w14:schemeClr w14:val="tx1"/>
                        </w14:solidFill>
                      </w14:textFill>
                    </w:rPr>
                    <w:t>合理安排施工时段和方式，减少对动物的影响。并力求避免在晨昏及夜间施工；严格控制施工范围、禁止越界施工；施工场地要安排合理，布局紧凑，加强施工人员的环保教育；重点施工区域和主要影响区域增加巡护频率。</w:t>
                  </w:r>
                </w:p>
              </w:tc>
            </w:tr>
          </w:tbl>
          <w:p w14:paraId="45A500A9">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b/>
                <w:bCs/>
                <w:sz w:val="24"/>
                <w:szCs w:val="24"/>
                <w:highlight w:val="none"/>
                <w:lang w:val="en-US" w:eastAsia="zh-CN"/>
              </w:rPr>
            </w:pPr>
            <w:r>
              <w:rPr>
                <w:rFonts w:hint="eastAsia" w:ascii="Times New Roman" w:hAnsi="Times New Roman" w:eastAsia="宋体" w:cs="Times New Roman"/>
                <w:b/>
                <w:bCs/>
                <w:kern w:val="2"/>
                <w:sz w:val="24"/>
                <w:szCs w:val="24"/>
                <w:highlight w:val="none"/>
                <w:lang w:val="en-US" w:eastAsia="zh-CN" w:bidi="ar-SA"/>
              </w:rPr>
              <w:t>5</w:t>
            </w:r>
            <w:r>
              <w:rPr>
                <w:rFonts w:hint="eastAsia" w:cs="Times New Roman"/>
                <w:b/>
                <w:bCs/>
                <w:kern w:val="2"/>
                <w:sz w:val="24"/>
                <w:szCs w:val="24"/>
                <w:highlight w:val="none"/>
                <w:lang w:val="en-US" w:eastAsia="zh-CN" w:bidi="ar-SA"/>
              </w:rPr>
              <w:t>.</w:t>
            </w:r>
            <w:r>
              <w:rPr>
                <w:rFonts w:hint="eastAsia"/>
                <w:b/>
                <w:bCs/>
                <w:sz w:val="24"/>
                <w:szCs w:val="24"/>
                <w:highlight w:val="none"/>
                <w:lang w:val="en-US" w:eastAsia="zh-CN"/>
              </w:rPr>
              <w:t>依托工程</w:t>
            </w:r>
          </w:p>
          <w:p w14:paraId="0D5A8F2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highlight w:val="none"/>
                <w:lang w:val="en-US" w:eastAsia="zh-CN"/>
              </w:rPr>
            </w:pPr>
            <w:r>
              <w:rPr>
                <w:rFonts w:hint="eastAsia"/>
                <w:sz w:val="24"/>
                <w:szCs w:val="24"/>
                <w:highlight w:val="none"/>
                <w:lang w:val="en-US" w:eastAsia="zh-CN"/>
              </w:rPr>
              <w:t>本项目河道治理依托原有河道的走向和规模。</w:t>
            </w:r>
          </w:p>
          <w:p w14:paraId="7A9C6D2B">
            <w:pPr>
              <w:numPr>
                <w:ilvl w:val="0"/>
                <w:numId w:val="0"/>
              </w:numPr>
              <w:bidi w:val="0"/>
              <w:spacing w:line="360" w:lineRule="auto"/>
              <w:ind w:left="0" w:leftChars="0" w:firstLine="0" w:firstLineChars="0"/>
              <w:rPr>
                <w:rFonts w:hint="eastAsia"/>
                <w:b/>
                <w:bCs/>
                <w:sz w:val="24"/>
                <w:szCs w:val="24"/>
                <w:highlight w:val="none"/>
                <w:lang w:val="en-US" w:eastAsia="zh-CN"/>
              </w:rPr>
            </w:pPr>
            <w:r>
              <w:rPr>
                <w:rFonts w:hint="eastAsia" w:ascii="Times New Roman" w:hAnsi="Times New Roman" w:eastAsia="宋体" w:cs="Times New Roman"/>
                <w:b/>
                <w:bCs/>
                <w:kern w:val="2"/>
                <w:sz w:val="24"/>
                <w:szCs w:val="24"/>
                <w:highlight w:val="none"/>
                <w:lang w:val="en-US" w:eastAsia="zh-CN" w:bidi="ar-SA"/>
              </w:rPr>
              <w:t>6.</w:t>
            </w:r>
            <w:r>
              <w:rPr>
                <w:rFonts w:hint="eastAsia"/>
                <w:b/>
                <w:bCs/>
                <w:sz w:val="24"/>
                <w:szCs w:val="24"/>
                <w:highlight w:val="none"/>
                <w:lang w:val="en-US" w:eastAsia="zh-CN"/>
              </w:rPr>
              <w:t>临时工程</w:t>
            </w:r>
          </w:p>
          <w:p w14:paraId="04AC9E54">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val="en-US" w:eastAsia="zh-CN"/>
              </w:rPr>
              <w:t>6.1</w:t>
            </w:r>
            <w:r>
              <w:rPr>
                <w:rFonts w:hint="default" w:ascii="Times New Roman" w:hAnsi="Times New Roman" w:eastAsia="宋体" w:cs="Times New Roman"/>
                <w:b/>
                <w:bCs/>
                <w:color w:val="auto"/>
                <w:sz w:val="24"/>
                <w:szCs w:val="24"/>
                <w:highlight w:val="none"/>
              </w:rPr>
              <w:t>施工营地</w:t>
            </w:r>
          </w:p>
          <w:p w14:paraId="1125F5F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项目不设施工营地，施工人员租用</w:t>
            </w:r>
            <w:r>
              <w:rPr>
                <w:rFonts w:hint="eastAsia" w:ascii="Times New Roman" w:hAnsi="Times New Roman" w:eastAsia="宋体" w:cs="Times New Roman"/>
                <w:color w:val="auto"/>
                <w:sz w:val="24"/>
                <w:szCs w:val="24"/>
                <w:highlight w:val="none"/>
                <w:lang w:eastAsia="zh-CN"/>
              </w:rPr>
              <w:t>周边村民</w:t>
            </w:r>
            <w:r>
              <w:rPr>
                <w:rFonts w:hint="default" w:ascii="Times New Roman" w:hAnsi="Times New Roman" w:eastAsia="宋体" w:cs="Times New Roman"/>
                <w:color w:val="auto"/>
                <w:sz w:val="24"/>
                <w:szCs w:val="24"/>
                <w:highlight w:val="none"/>
              </w:rPr>
              <w:t>的</w:t>
            </w:r>
            <w:r>
              <w:rPr>
                <w:rFonts w:hint="default" w:ascii="Times New Roman" w:hAnsi="Times New Roman" w:eastAsia="宋体" w:cs="Times New Roman"/>
                <w:color w:val="auto"/>
                <w:sz w:val="24"/>
                <w:szCs w:val="24"/>
                <w:highlight w:val="none"/>
                <w:lang w:eastAsia="zh-CN"/>
              </w:rPr>
              <w:t>房屋</w:t>
            </w:r>
            <w:r>
              <w:rPr>
                <w:rFonts w:hint="default" w:ascii="Times New Roman" w:hAnsi="Times New Roman" w:eastAsia="宋体" w:cs="Times New Roman"/>
                <w:color w:val="auto"/>
                <w:sz w:val="24"/>
                <w:szCs w:val="24"/>
                <w:highlight w:val="none"/>
              </w:rPr>
              <w:t>办公生活。</w:t>
            </w:r>
          </w:p>
          <w:p w14:paraId="5928770E">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val="en-US" w:eastAsia="zh-CN"/>
              </w:rPr>
              <w:t>6.2</w:t>
            </w:r>
            <w:r>
              <w:rPr>
                <w:rFonts w:hint="default" w:ascii="Times New Roman" w:hAnsi="Times New Roman" w:eastAsia="宋体" w:cs="Times New Roman"/>
                <w:b/>
                <w:bCs/>
                <w:color w:val="auto"/>
                <w:sz w:val="24"/>
                <w:szCs w:val="24"/>
                <w:highlight w:val="none"/>
              </w:rPr>
              <w:t>临时堆料场</w:t>
            </w:r>
          </w:p>
          <w:p w14:paraId="0823CC2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项目不设置堆料场，施工材料现买现用，运至施工现场后，临时堆放在</w:t>
            </w:r>
            <w:r>
              <w:rPr>
                <w:rFonts w:hint="eastAsia" w:cs="Times New Roman"/>
                <w:color w:val="auto"/>
                <w:sz w:val="24"/>
                <w:szCs w:val="24"/>
                <w:highlight w:val="none"/>
                <w:lang w:eastAsia="zh-CN"/>
              </w:rPr>
              <w:t>施工道路与河道</w:t>
            </w:r>
            <w:r>
              <w:rPr>
                <w:rFonts w:hint="default" w:ascii="Times New Roman" w:hAnsi="Times New Roman" w:eastAsia="宋体" w:cs="Times New Roman"/>
                <w:color w:val="auto"/>
                <w:sz w:val="24"/>
                <w:szCs w:val="24"/>
                <w:highlight w:val="none"/>
              </w:rPr>
              <w:t>两</w:t>
            </w:r>
            <w:r>
              <w:rPr>
                <w:rFonts w:hint="default" w:ascii="Times New Roman" w:hAnsi="Times New Roman" w:eastAsia="宋体" w:cs="Times New Roman"/>
                <w:color w:val="auto"/>
                <w:sz w:val="24"/>
                <w:szCs w:val="24"/>
                <w:highlight w:val="none"/>
                <w:lang w:eastAsia="zh-CN"/>
              </w:rPr>
              <w:t>侧。</w:t>
            </w:r>
          </w:p>
          <w:p w14:paraId="2EEEE99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val="en-US" w:eastAsia="zh-CN"/>
              </w:rPr>
              <w:t>6.3</w:t>
            </w:r>
            <w:r>
              <w:rPr>
                <w:rFonts w:hint="default" w:ascii="Times New Roman" w:hAnsi="Times New Roman" w:eastAsia="宋体" w:cs="Times New Roman"/>
                <w:b/>
                <w:bCs/>
                <w:color w:val="auto"/>
                <w:sz w:val="24"/>
                <w:szCs w:val="24"/>
                <w:highlight w:val="none"/>
              </w:rPr>
              <w:t>临时堆土场</w:t>
            </w:r>
          </w:p>
          <w:p w14:paraId="3B02E41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color w:val="auto"/>
                <w:sz w:val="24"/>
                <w:szCs w:val="24"/>
                <w:highlight w:val="none"/>
                <w:lang w:eastAsia="zh-CN"/>
              </w:rPr>
            </w:pPr>
            <w:r>
              <w:rPr>
                <w:rFonts w:hint="eastAsia" w:cs="Times New Roman"/>
                <w:color w:val="auto"/>
                <w:sz w:val="24"/>
                <w:szCs w:val="24"/>
                <w:highlight w:val="none"/>
                <w:lang w:eastAsia="zh-CN"/>
              </w:rPr>
              <w:t>本项目分段施工，</w:t>
            </w:r>
            <w:r>
              <w:rPr>
                <w:rFonts w:hint="default" w:ascii="Times New Roman" w:hAnsi="Times New Roman" w:eastAsia="宋体" w:cs="Times New Roman"/>
                <w:color w:val="auto"/>
                <w:sz w:val="24"/>
                <w:szCs w:val="24"/>
                <w:highlight w:val="none"/>
              </w:rPr>
              <w:t>项目土堆当天施工，当天回填，</w:t>
            </w:r>
            <w:r>
              <w:rPr>
                <w:rFonts w:hint="eastAsia" w:cs="Times New Roman"/>
                <w:color w:val="auto"/>
                <w:sz w:val="24"/>
                <w:szCs w:val="24"/>
                <w:highlight w:val="none"/>
                <w:lang w:eastAsia="zh-CN"/>
              </w:rPr>
              <w:t>开挖多余土方临时放置在</w:t>
            </w:r>
            <w:r>
              <w:rPr>
                <w:rFonts w:hint="default" w:ascii="Times New Roman" w:hAnsi="Times New Roman" w:eastAsia="宋体" w:cs="Times New Roman"/>
                <w:color w:val="auto"/>
                <w:sz w:val="24"/>
                <w:szCs w:val="24"/>
                <w:highlight w:val="none"/>
              </w:rPr>
              <w:t>沿着</w:t>
            </w:r>
            <w:r>
              <w:rPr>
                <w:rFonts w:hint="eastAsia" w:cs="Times New Roman"/>
                <w:color w:val="auto"/>
                <w:sz w:val="24"/>
                <w:szCs w:val="24"/>
                <w:highlight w:val="none"/>
                <w:lang w:eastAsia="zh-CN"/>
              </w:rPr>
              <w:t>胜利渠西夏寒段</w:t>
            </w:r>
            <w:r>
              <w:rPr>
                <w:rFonts w:hint="default" w:ascii="Times New Roman" w:hAnsi="Times New Roman" w:eastAsia="宋体" w:cs="Times New Roman"/>
                <w:color w:val="auto"/>
                <w:sz w:val="24"/>
                <w:szCs w:val="24"/>
                <w:highlight w:val="none"/>
              </w:rPr>
              <w:t>开挖</w:t>
            </w:r>
            <w:r>
              <w:rPr>
                <w:rFonts w:hint="eastAsia" w:cs="Times New Roman"/>
                <w:color w:val="auto"/>
                <w:sz w:val="24"/>
                <w:szCs w:val="24"/>
                <w:highlight w:val="none"/>
                <w:lang w:eastAsia="zh-CN"/>
              </w:rPr>
              <w:t>路线旁的水泥路面</w:t>
            </w:r>
            <w:r>
              <w:rPr>
                <w:rFonts w:hint="default" w:ascii="Times New Roman" w:hAnsi="Times New Roman" w:eastAsia="宋体" w:cs="Times New Roman"/>
                <w:color w:val="auto"/>
                <w:sz w:val="24"/>
                <w:szCs w:val="24"/>
                <w:highlight w:val="none"/>
              </w:rPr>
              <w:t>设置临时的</w:t>
            </w:r>
            <w:r>
              <w:rPr>
                <w:rFonts w:hint="eastAsia" w:cs="Times New Roman"/>
                <w:color w:val="auto"/>
                <w:sz w:val="24"/>
                <w:szCs w:val="24"/>
                <w:highlight w:val="none"/>
                <w:lang w:val="en-US" w:eastAsia="zh-CN"/>
              </w:rPr>
              <w:t>2000m</w:t>
            </w:r>
            <w:r>
              <w:rPr>
                <w:rFonts w:hint="eastAsia" w:cs="Times New Roman"/>
                <w:color w:val="auto"/>
                <w:sz w:val="24"/>
                <w:szCs w:val="24"/>
                <w:highlight w:val="none"/>
                <w:vertAlign w:val="superscript"/>
                <w:lang w:val="en-US" w:eastAsia="zh-CN"/>
              </w:rPr>
              <w:t>2</w:t>
            </w:r>
            <w:r>
              <w:rPr>
                <w:rFonts w:hint="default" w:ascii="Times New Roman" w:hAnsi="Times New Roman" w:eastAsia="宋体" w:cs="Times New Roman"/>
                <w:color w:val="auto"/>
                <w:sz w:val="24"/>
                <w:szCs w:val="24"/>
                <w:highlight w:val="none"/>
              </w:rPr>
              <w:t>堆场</w:t>
            </w:r>
            <w:r>
              <w:rPr>
                <w:rFonts w:hint="eastAsia" w:cs="Times New Roman"/>
                <w:color w:val="auto"/>
                <w:sz w:val="24"/>
                <w:szCs w:val="24"/>
                <w:highlight w:val="none"/>
                <w:lang w:eastAsia="zh-CN"/>
              </w:rPr>
              <w:t>内</w:t>
            </w: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eastAsia="zh-CN"/>
              </w:rPr>
              <w:t>本项目总体回填量大于开挖量，能消耗所有开挖土方。当施工结束后临时堆土场不再使用。</w:t>
            </w:r>
            <w:r>
              <w:rPr>
                <w:rFonts w:hint="eastAsia" w:ascii="Times New Roman" w:hAnsi="Times New Roman" w:eastAsia="宋体" w:cs="Times New Roman"/>
                <w:color w:val="auto"/>
                <w:sz w:val="24"/>
                <w:szCs w:val="24"/>
                <w:highlight w:val="none"/>
                <w:lang w:eastAsia="zh-CN"/>
              </w:rPr>
              <w:t>土方堆放时，应采取覆盖防尘网等防尘措施，并定时洒水，保持土壤湿润</w:t>
            </w:r>
            <w:r>
              <w:rPr>
                <w:rFonts w:hint="eastAsia" w:ascii="Times New Roman" w:hAnsi="Times New Roman" w:cs="Times New Roman"/>
                <w:color w:val="auto"/>
                <w:sz w:val="24"/>
                <w:szCs w:val="24"/>
                <w:highlight w:val="none"/>
                <w:lang w:eastAsia="zh-CN"/>
              </w:rPr>
              <w:t>。</w:t>
            </w:r>
          </w:p>
          <w:p w14:paraId="4A2E0E63">
            <w:pPr>
              <w:pStyle w:val="12"/>
              <w:rPr>
                <w:rFonts w:hint="default"/>
                <w:highlight w:val="none"/>
              </w:rPr>
            </w:pPr>
            <w:r>
              <w:rPr>
                <w:highlight w:val="none"/>
              </w:rPr>
              <w:drawing>
                <wp:inline distT="0" distB="0" distL="114300" distR="114300">
                  <wp:extent cx="5639435" cy="3527425"/>
                  <wp:effectExtent l="0" t="0" r="18415" b="1587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2"/>
                          <a:stretch>
                            <a:fillRect/>
                          </a:stretch>
                        </pic:blipFill>
                        <pic:spPr>
                          <a:xfrm>
                            <a:off x="0" y="0"/>
                            <a:ext cx="5639435" cy="3527425"/>
                          </a:xfrm>
                          <a:prstGeom prst="rect">
                            <a:avLst/>
                          </a:prstGeom>
                          <a:noFill/>
                          <a:ln>
                            <a:noFill/>
                          </a:ln>
                        </pic:spPr>
                      </pic:pic>
                    </a:graphicData>
                  </a:graphic>
                </wp:inline>
              </w:drawing>
            </w:r>
          </w:p>
          <w:p w14:paraId="2AED99F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临时堆土场图</w:t>
            </w:r>
          </w:p>
          <w:p w14:paraId="445DA348">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24"/>
                <w:highlight w:val="none"/>
              </w:rPr>
            </w:pPr>
            <w:r>
              <w:rPr>
                <w:rFonts w:hint="eastAsia" w:ascii="Times New Roman" w:hAnsi="Times New Roman" w:eastAsia="宋体" w:cs="Times New Roman"/>
                <w:b/>
                <w:bCs/>
                <w:color w:val="auto"/>
                <w:sz w:val="24"/>
                <w:szCs w:val="24"/>
                <w:highlight w:val="none"/>
                <w:lang w:val="en-US" w:eastAsia="zh-CN"/>
              </w:rPr>
              <w:t>6.4</w:t>
            </w:r>
            <w:r>
              <w:rPr>
                <w:rFonts w:hint="default" w:ascii="Times New Roman" w:hAnsi="Times New Roman" w:eastAsia="宋体" w:cs="Times New Roman"/>
                <w:b/>
                <w:bCs/>
                <w:color w:val="auto"/>
                <w:sz w:val="24"/>
                <w:szCs w:val="24"/>
                <w:highlight w:val="none"/>
              </w:rPr>
              <w:t>施工便道</w:t>
            </w:r>
          </w:p>
          <w:p w14:paraId="3F4701C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项目施工便道依托城镇内</w:t>
            </w:r>
            <w:r>
              <w:rPr>
                <w:rFonts w:hint="default" w:ascii="Times New Roman" w:hAnsi="Times New Roman" w:eastAsia="宋体" w:cs="Times New Roman"/>
                <w:color w:val="auto"/>
                <w:sz w:val="24"/>
                <w:szCs w:val="24"/>
                <w:highlight w:val="none"/>
                <w:lang w:eastAsia="zh-CN"/>
              </w:rPr>
              <w:t>现有</w:t>
            </w:r>
            <w:r>
              <w:rPr>
                <w:rFonts w:hint="default" w:ascii="Times New Roman" w:hAnsi="Times New Roman" w:eastAsia="宋体" w:cs="Times New Roman"/>
                <w:color w:val="auto"/>
                <w:sz w:val="24"/>
                <w:szCs w:val="24"/>
                <w:highlight w:val="none"/>
              </w:rPr>
              <w:t>道路，不另设。由于项目施工过程中的很多不确定因素，若在今后项目施工中建设施工便道，则施工便道的管控要求如下</w:t>
            </w:r>
            <w:r>
              <w:rPr>
                <w:rFonts w:hint="eastAsia" w:cs="Times New Roman"/>
                <w:color w:val="auto"/>
                <w:sz w:val="24"/>
                <w:szCs w:val="24"/>
                <w:highlight w:val="none"/>
                <w:lang w:eastAsia="zh-CN"/>
              </w:rPr>
              <w:t>：</w:t>
            </w:r>
          </w:p>
          <w:p w14:paraId="5E7E0FD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①施工便道不得占用基本农田、河流等环境敏感点</w:t>
            </w:r>
            <w:r>
              <w:rPr>
                <w:rFonts w:hint="default" w:ascii="Times New Roman" w:hAnsi="Times New Roman" w:eastAsia="宋体" w:cs="Times New Roman"/>
                <w:color w:val="auto"/>
                <w:sz w:val="24"/>
                <w:szCs w:val="24"/>
                <w:highlight w:val="none"/>
                <w:lang w:eastAsia="zh-CN"/>
              </w:rPr>
              <w:t>；</w:t>
            </w:r>
          </w:p>
          <w:p w14:paraId="7238BC0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②施工便道的选择路线应以减少植被破坏为首要原则，尽量利用现有道路，新建道</w:t>
            </w:r>
            <w:r>
              <w:rPr>
                <w:rFonts w:hint="default" w:ascii="Times New Roman" w:hAnsi="Times New Roman" w:eastAsia="宋体" w:cs="Times New Roman"/>
                <w:color w:val="auto"/>
                <w:sz w:val="24"/>
                <w:szCs w:val="24"/>
                <w:highlight w:val="none"/>
                <w:lang w:eastAsia="zh-CN"/>
              </w:rPr>
              <w:t>路必须避让敏感点，严格控制边界。</w:t>
            </w:r>
          </w:p>
          <w:p w14:paraId="5C7F0672">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6.5临时</w:t>
            </w:r>
            <w:r>
              <w:rPr>
                <w:rFonts w:hint="eastAsia" w:cs="Times New Roman"/>
                <w:b/>
                <w:bCs/>
                <w:color w:val="auto"/>
                <w:sz w:val="24"/>
                <w:szCs w:val="24"/>
                <w:highlight w:val="none"/>
                <w:lang w:val="en-US" w:eastAsia="zh-CN"/>
              </w:rPr>
              <w:t>化粪池和</w:t>
            </w:r>
            <w:r>
              <w:rPr>
                <w:rFonts w:hint="eastAsia" w:ascii="Times New Roman" w:hAnsi="Times New Roman" w:eastAsia="宋体" w:cs="Times New Roman"/>
                <w:b/>
                <w:bCs/>
                <w:color w:val="auto"/>
                <w:sz w:val="24"/>
                <w:szCs w:val="24"/>
                <w:highlight w:val="none"/>
                <w:lang w:val="en-US" w:eastAsia="zh-CN"/>
              </w:rPr>
              <w:t>沉淀池</w:t>
            </w:r>
          </w:p>
          <w:p w14:paraId="0D8F53CA">
            <w:pPr>
              <w:pStyle w:val="17"/>
              <w:ind w:firstLine="480" w:firstLineChars="200"/>
              <w:rPr>
                <w:rFonts w:hint="default"/>
                <w:highlight w:val="none"/>
                <w:lang w:eastAsia="zh-CN"/>
              </w:rPr>
            </w:pPr>
            <w:r>
              <w:rPr>
                <w:rFonts w:hint="eastAsia" w:cs="Times New Roman"/>
                <w:b w:val="0"/>
                <w:bCs w:val="0"/>
                <w:color w:val="auto"/>
                <w:sz w:val="24"/>
                <w:szCs w:val="24"/>
                <w:highlight w:val="none"/>
                <w:lang w:val="en-US" w:eastAsia="zh-CN"/>
              </w:rPr>
              <w:t>本项目化粪池和</w:t>
            </w:r>
            <w:r>
              <w:rPr>
                <w:rFonts w:hint="eastAsia" w:ascii="Times New Roman" w:hAnsi="Times New Roman" w:eastAsia="宋体" w:cs="Times New Roman"/>
                <w:b w:val="0"/>
                <w:bCs w:val="0"/>
                <w:color w:val="auto"/>
                <w:sz w:val="24"/>
                <w:szCs w:val="24"/>
                <w:highlight w:val="none"/>
                <w:lang w:val="en-US" w:eastAsia="zh-CN"/>
              </w:rPr>
              <w:t>沉淀池</w:t>
            </w:r>
            <w:r>
              <w:rPr>
                <w:rFonts w:hint="eastAsia" w:cs="Times New Roman"/>
                <w:b w:val="0"/>
                <w:bCs w:val="0"/>
                <w:color w:val="auto"/>
                <w:sz w:val="24"/>
                <w:szCs w:val="24"/>
                <w:highlight w:val="none"/>
                <w:lang w:val="en-US" w:eastAsia="zh-CN"/>
              </w:rPr>
              <w:t>设置在各施工场界中段位置，</w:t>
            </w:r>
            <w:r>
              <w:rPr>
                <w:rFonts w:hint="eastAsia" w:cs="Times New Roman"/>
                <w:color w:val="auto"/>
                <w:sz w:val="24"/>
                <w:szCs w:val="24"/>
                <w:highlight w:val="none"/>
                <w:lang w:eastAsia="zh-CN"/>
              </w:rPr>
              <w:t>占地位置不涉及建设内容。</w:t>
            </w:r>
          </w:p>
          <w:p w14:paraId="4CC8DC4C">
            <w:pPr>
              <w:pStyle w:val="12"/>
              <w:numPr>
                <w:ilvl w:val="0"/>
                <w:numId w:val="0"/>
              </w:numPr>
              <w:spacing w:line="360" w:lineRule="auto"/>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7.土石方平衡分析</w:t>
            </w:r>
          </w:p>
          <w:p w14:paraId="32B72FF7">
            <w:pPr>
              <w:pStyle w:val="12"/>
              <w:numPr>
                <w:ilvl w:val="0"/>
                <w:numId w:val="0"/>
              </w:numPr>
              <w:spacing w:line="360" w:lineRule="auto"/>
              <w:ind w:firstLine="480" w:firstLineChars="200"/>
              <w:rPr>
                <w:rFonts w:hint="eastAsia"/>
                <w:sz w:val="24"/>
                <w:szCs w:val="24"/>
                <w:highlight w:val="none"/>
                <w:vertAlign w:val="baseline"/>
                <w:lang w:val="en-US" w:eastAsia="zh-CN"/>
              </w:rPr>
            </w:pPr>
            <w:r>
              <w:rPr>
                <w:rFonts w:hint="eastAsia"/>
                <w:sz w:val="24"/>
                <w:szCs w:val="24"/>
                <w:highlight w:val="none"/>
                <w:lang w:val="en-US" w:eastAsia="zh-CN"/>
              </w:rPr>
              <w:t>本项目预计开挖总量为66949.36m</w:t>
            </w:r>
            <w:r>
              <w:rPr>
                <w:rFonts w:hint="eastAsia"/>
                <w:sz w:val="24"/>
                <w:szCs w:val="24"/>
                <w:highlight w:val="none"/>
                <w:vertAlign w:val="superscript"/>
                <w:lang w:val="en-US" w:eastAsia="zh-CN"/>
              </w:rPr>
              <w:t>3</w:t>
            </w:r>
            <w:r>
              <w:rPr>
                <w:rFonts w:hint="eastAsia"/>
                <w:sz w:val="24"/>
                <w:szCs w:val="24"/>
                <w:highlight w:val="none"/>
                <w:vertAlign w:val="baseline"/>
                <w:lang w:val="en-US" w:eastAsia="zh-CN"/>
              </w:rPr>
              <w:t>，项目回填土方量合计82203.675</w:t>
            </w:r>
            <w:r>
              <w:rPr>
                <w:rFonts w:hint="eastAsia"/>
                <w:sz w:val="24"/>
                <w:szCs w:val="24"/>
                <w:highlight w:val="none"/>
                <w:lang w:val="en-US" w:eastAsia="zh-CN"/>
              </w:rPr>
              <w:t>m</w:t>
            </w:r>
            <w:r>
              <w:rPr>
                <w:rFonts w:hint="eastAsia"/>
                <w:sz w:val="24"/>
                <w:szCs w:val="24"/>
                <w:highlight w:val="none"/>
                <w:vertAlign w:val="superscript"/>
                <w:lang w:val="en-US" w:eastAsia="zh-CN"/>
              </w:rPr>
              <w:t>3</w:t>
            </w:r>
            <w:r>
              <w:rPr>
                <w:rFonts w:hint="eastAsia"/>
                <w:sz w:val="24"/>
                <w:szCs w:val="24"/>
                <w:highlight w:val="none"/>
                <w:vertAlign w:val="baseline"/>
                <w:lang w:val="en-US" w:eastAsia="zh-CN"/>
              </w:rPr>
              <w:t>（自然方）。需外购土方15254.315</w:t>
            </w:r>
            <w:r>
              <w:rPr>
                <w:rFonts w:hint="eastAsia"/>
                <w:sz w:val="24"/>
                <w:szCs w:val="24"/>
                <w:highlight w:val="none"/>
                <w:lang w:val="en-US" w:eastAsia="zh-CN"/>
              </w:rPr>
              <w:t>m</w:t>
            </w:r>
            <w:r>
              <w:rPr>
                <w:rFonts w:hint="eastAsia"/>
                <w:sz w:val="24"/>
                <w:szCs w:val="24"/>
                <w:highlight w:val="none"/>
                <w:vertAlign w:val="superscript"/>
                <w:lang w:val="en-US" w:eastAsia="zh-CN"/>
              </w:rPr>
              <w:t>3</w:t>
            </w:r>
            <w:r>
              <w:rPr>
                <w:rFonts w:hint="eastAsia"/>
                <w:sz w:val="24"/>
                <w:szCs w:val="24"/>
                <w:highlight w:val="none"/>
                <w:vertAlign w:val="baseline"/>
                <w:lang w:val="en-US" w:eastAsia="zh-CN"/>
              </w:rPr>
              <w:t>。</w:t>
            </w:r>
          </w:p>
          <w:p w14:paraId="17F47A6C">
            <w:pPr>
              <w:pStyle w:val="12"/>
              <w:numPr>
                <w:ilvl w:val="0"/>
                <w:numId w:val="0"/>
              </w:numPr>
              <w:spacing w:line="360" w:lineRule="auto"/>
              <w:jc w:val="center"/>
              <w:rPr>
                <w:rFonts w:hint="eastAsia"/>
                <w:b/>
                <w:bCs/>
                <w:sz w:val="21"/>
                <w:szCs w:val="21"/>
                <w:highlight w:val="none"/>
                <w:vertAlign w:val="baseline"/>
                <w:lang w:val="en-US" w:eastAsia="zh-CN"/>
              </w:rPr>
            </w:pPr>
            <w:r>
              <w:rPr>
                <w:rFonts w:hint="eastAsia"/>
                <w:b/>
                <w:bCs/>
                <w:sz w:val="21"/>
                <w:szCs w:val="21"/>
                <w:highlight w:val="none"/>
                <w:vertAlign w:val="baseline"/>
                <w:lang w:val="en-US" w:eastAsia="zh-CN"/>
              </w:rPr>
              <w:t>土方工程量一览表</w:t>
            </w:r>
          </w:p>
          <w:tbl>
            <w:tblPr>
              <w:tblStyle w:val="19"/>
              <w:tblW w:w="0" w:type="auto"/>
              <w:tblInd w:w="5" w:type="dxa"/>
              <w:tblBorders>
                <w:top w:val="single" w:color="auto" w:sz="12" w:space="0"/>
                <w:left w:val="none" w:color="auto" w:sz="0" w:space="0"/>
                <w:bottom w:val="single" w:color="auto" w:sz="4" w:space="0"/>
                <w:right w:val="none" w:color="auto" w:sz="0" w:space="0"/>
                <w:insideH w:val="none" w:color="auto" w:sz="0" w:space="0"/>
                <w:insideV w:val="single" w:color="auto" w:sz="4" w:space="0"/>
              </w:tblBorders>
              <w:tblLayout w:type="autofit"/>
              <w:tblCellMar>
                <w:top w:w="0" w:type="dxa"/>
                <w:left w:w="108" w:type="dxa"/>
                <w:bottom w:w="0" w:type="dxa"/>
                <w:right w:w="108" w:type="dxa"/>
              </w:tblCellMar>
            </w:tblPr>
            <w:tblGrid>
              <w:gridCol w:w="2966"/>
              <w:gridCol w:w="2967"/>
              <w:gridCol w:w="2967"/>
            </w:tblGrid>
            <w:tr w14:paraId="0C2E1C2B">
              <w:tblPrEx>
                <w:tblBorders>
                  <w:top w:val="single" w:color="auto" w:sz="12" w:space="0"/>
                  <w:left w:val="none" w:color="auto" w:sz="0" w:space="0"/>
                  <w:bottom w:val="single" w:color="auto" w:sz="4" w:space="0"/>
                  <w:right w:val="none" w:color="auto" w:sz="0" w:space="0"/>
                  <w:insideH w:val="none" w:color="auto" w:sz="0" w:space="0"/>
                  <w:insideV w:val="single" w:color="auto" w:sz="4" w:space="0"/>
                </w:tblBorders>
                <w:tblCellMar>
                  <w:top w:w="0" w:type="dxa"/>
                  <w:left w:w="108" w:type="dxa"/>
                  <w:bottom w:w="0" w:type="dxa"/>
                  <w:right w:w="108" w:type="dxa"/>
                </w:tblCellMar>
              </w:tblPrEx>
              <w:tc>
                <w:tcPr>
                  <w:tcW w:w="2966" w:type="dxa"/>
                  <w:tcBorders>
                    <w:bottom w:val="single" w:color="auto" w:sz="4" w:space="0"/>
                  </w:tcBorders>
                  <w:vAlign w:val="center"/>
                </w:tcPr>
                <w:p w14:paraId="388DC268">
                  <w:pPr>
                    <w:pStyle w:val="12"/>
                    <w:numPr>
                      <w:ilvl w:val="0"/>
                      <w:numId w:val="0"/>
                    </w:numPr>
                    <w:spacing w:line="360" w:lineRule="auto"/>
                    <w:jc w:val="center"/>
                    <w:rPr>
                      <w:rFonts w:hint="default" w:ascii="Times New Roman" w:hAnsi="Times New Roman" w:eastAsia="宋体" w:cs="Times New Roman"/>
                      <w:b/>
                      <w:bCs/>
                      <w:sz w:val="21"/>
                      <w:szCs w:val="21"/>
                      <w:highlight w:val="none"/>
                      <w:vertAlign w:val="baseline"/>
                      <w:lang w:val="en-US" w:eastAsia="zh-CN"/>
                    </w:rPr>
                  </w:pPr>
                  <w:r>
                    <w:rPr>
                      <w:rFonts w:hint="eastAsia" w:ascii="Times New Roman" w:hAnsi="Times New Roman" w:eastAsia="宋体" w:cs="Times New Roman"/>
                      <w:b/>
                      <w:bCs/>
                      <w:sz w:val="21"/>
                      <w:szCs w:val="21"/>
                      <w:highlight w:val="none"/>
                      <w:vertAlign w:val="baseline"/>
                      <w:lang w:val="en-US" w:eastAsia="zh-CN"/>
                    </w:rPr>
                    <w:t>施工位置</w:t>
                  </w:r>
                </w:p>
              </w:tc>
              <w:tc>
                <w:tcPr>
                  <w:tcW w:w="2967" w:type="dxa"/>
                  <w:tcBorders>
                    <w:bottom w:val="single" w:color="auto" w:sz="4" w:space="0"/>
                  </w:tcBorders>
                  <w:vAlign w:val="center"/>
                </w:tcPr>
                <w:p w14:paraId="6BA89F62">
                  <w:pPr>
                    <w:pStyle w:val="12"/>
                    <w:numPr>
                      <w:ilvl w:val="0"/>
                      <w:numId w:val="0"/>
                    </w:numPr>
                    <w:spacing w:line="360" w:lineRule="auto"/>
                    <w:jc w:val="center"/>
                    <w:rPr>
                      <w:rFonts w:hint="default" w:ascii="Times New Roman" w:hAnsi="Times New Roman" w:eastAsia="宋体" w:cs="Times New Roman"/>
                      <w:b/>
                      <w:bCs/>
                      <w:sz w:val="21"/>
                      <w:szCs w:val="21"/>
                      <w:highlight w:val="none"/>
                      <w:vertAlign w:val="baseline"/>
                      <w:lang w:val="en-US" w:eastAsia="zh-CN"/>
                    </w:rPr>
                  </w:pPr>
                  <w:r>
                    <w:rPr>
                      <w:rFonts w:hint="default" w:ascii="Times New Roman" w:hAnsi="Times New Roman" w:eastAsia="宋体" w:cs="Times New Roman"/>
                      <w:b/>
                      <w:bCs/>
                      <w:sz w:val="21"/>
                      <w:szCs w:val="21"/>
                      <w:highlight w:val="none"/>
                      <w:vertAlign w:val="baseline"/>
                      <w:lang w:val="en-US" w:eastAsia="zh-CN"/>
                    </w:rPr>
                    <w:t>挖方</w:t>
                  </w:r>
                  <w:r>
                    <w:rPr>
                      <w:rFonts w:hint="eastAsia" w:ascii="Times New Roman" w:hAnsi="Times New Roman" w:eastAsia="宋体" w:cs="Times New Roman"/>
                      <w:b/>
                      <w:bCs/>
                      <w:sz w:val="21"/>
                      <w:szCs w:val="21"/>
                      <w:highlight w:val="none"/>
                      <w:vertAlign w:val="baseline"/>
                      <w:lang w:val="en-US" w:eastAsia="zh-CN"/>
                    </w:rPr>
                    <w:t>（</w:t>
                  </w:r>
                  <w:r>
                    <w:rPr>
                      <w:rFonts w:hint="eastAsia"/>
                      <w:b/>
                      <w:bCs/>
                      <w:sz w:val="24"/>
                      <w:szCs w:val="24"/>
                      <w:highlight w:val="none"/>
                      <w:lang w:val="en-US" w:eastAsia="zh-CN"/>
                    </w:rPr>
                    <w:t>m</w:t>
                  </w:r>
                  <w:r>
                    <w:rPr>
                      <w:rFonts w:hint="eastAsia"/>
                      <w:b/>
                      <w:bCs/>
                      <w:sz w:val="24"/>
                      <w:szCs w:val="24"/>
                      <w:highlight w:val="none"/>
                      <w:vertAlign w:val="superscript"/>
                      <w:lang w:val="en-US" w:eastAsia="zh-CN"/>
                    </w:rPr>
                    <w:t>3</w:t>
                  </w:r>
                  <w:r>
                    <w:rPr>
                      <w:rFonts w:hint="eastAsia" w:ascii="Times New Roman" w:hAnsi="Times New Roman" w:eastAsia="宋体" w:cs="Times New Roman"/>
                      <w:b/>
                      <w:bCs/>
                      <w:sz w:val="21"/>
                      <w:szCs w:val="21"/>
                      <w:highlight w:val="none"/>
                      <w:vertAlign w:val="baseline"/>
                      <w:lang w:val="en-US" w:eastAsia="zh-CN"/>
                    </w:rPr>
                    <w:t>）</w:t>
                  </w:r>
                </w:p>
              </w:tc>
              <w:tc>
                <w:tcPr>
                  <w:tcW w:w="2967" w:type="dxa"/>
                  <w:tcBorders>
                    <w:bottom w:val="single" w:color="auto" w:sz="4" w:space="0"/>
                  </w:tcBorders>
                  <w:vAlign w:val="center"/>
                </w:tcPr>
                <w:p w14:paraId="3A4C9871">
                  <w:pPr>
                    <w:pStyle w:val="12"/>
                    <w:numPr>
                      <w:ilvl w:val="0"/>
                      <w:numId w:val="0"/>
                    </w:numPr>
                    <w:spacing w:line="360" w:lineRule="auto"/>
                    <w:jc w:val="center"/>
                    <w:rPr>
                      <w:rFonts w:hint="default" w:ascii="Times New Roman" w:hAnsi="Times New Roman" w:eastAsia="宋体" w:cs="Times New Roman"/>
                      <w:b/>
                      <w:bCs/>
                      <w:sz w:val="21"/>
                      <w:szCs w:val="21"/>
                      <w:highlight w:val="none"/>
                      <w:vertAlign w:val="baseline"/>
                      <w:lang w:val="en-US" w:eastAsia="zh-CN"/>
                    </w:rPr>
                  </w:pPr>
                  <w:r>
                    <w:rPr>
                      <w:rFonts w:hint="default" w:ascii="Times New Roman" w:hAnsi="Times New Roman" w:eastAsia="宋体" w:cs="Times New Roman"/>
                      <w:b/>
                      <w:bCs/>
                      <w:sz w:val="21"/>
                      <w:szCs w:val="21"/>
                      <w:highlight w:val="none"/>
                      <w:vertAlign w:val="baseline"/>
                      <w:lang w:val="en-US" w:eastAsia="zh-CN"/>
                    </w:rPr>
                    <w:t>填方</w:t>
                  </w:r>
                  <w:r>
                    <w:rPr>
                      <w:rFonts w:hint="eastAsia" w:ascii="Times New Roman" w:hAnsi="Times New Roman" w:eastAsia="宋体" w:cs="Times New Roman"/>
                      <w:b/>
                      <w:bCs/>
                      <w:sz w:val="21"/>
                      <w:szCs w:val="21"/>
                      <w:highlight w:val="none"/>
                      <w:vertAlign w:val="baseline"/>
                      <w:lang w:val="en-US" w:eastAsia="zh-CN"/>
                    </w:rPr>
                    <w:t>（</w:t>
                  </w:r>
                  <w:r>
                    <w:rPr>
                      <w:rFonts w:hint="eastAsia"/>
                      <w:b/>
                      <w:bCs/>
                      <w:sz w:val="24"/>
                      <w:szCs w:val="24"/>
                      <w:highlight w:val="none"/>
                      <w:lang w:val="en-US" w:eastAsia="zh-CN"/>
                    </w:rPr>
                    <w:t>m</w:t>
                  </w:r>
                  <w:r>
                    <w:rPr>
                      <w:rFonts w:hint="eastAsia"/>
                      <w:b/>
                      <w:bCs/>
                      <w:sz w:val="24"/>
                      <w:szCs w:val="24"/>
                      <w:highlight w:val="none"/>
                      <w:vertAlign w:val="superscript"/>
                      <w:lang w:val="en-US" w:eastAsia="zh-CN"/>
                    </w:rPr>
                    <w:t>3</w:t>
                  </w:r>
                  <w:r>
                    <w:rPr>
                      <w:rFonts w:hint="eastAsia" w:ascii="Times New Roman" w:hAnsi="Times New Roman" w:eastAsia="宋体" w:cs="Times New Roman"/>
                      <w:b/>
                      <w:bCs/>
                      <w:sz w:val="21"/>
                      <w:szCs w:val="21"/>
                      <w:highlight w:val="none"/>
                      <w:vertAlign w:val="baseline"/>
                      <w:lang w:val="en-US" w:eastAsia="zh-CN"/>
                    </w:rPr>
                    <w:t>）</w:t>
                  </w:r>
                </w:p>
              </w:tc>
            </w:tr>
            <w:tr w14:paraId="1657EC1E">
              <w:tblPrEx>
                <w:tblBorders>
                  <w:top w:val="single" w:color="auto" w:sz="12" w:space="0"/>
                  <w:left w:val="none" w:color="auto" w:sz="0" w:space="0"/>
                  <w:bottom w:val="single" w:color="auto" w:sz="4" w:space="0"/>
                  <w:right w:val="none" w:color="auto" w:sz="0" w:space="0"/>
                  <w:insideH w:val="none" w:color="auto" w:sz="0" w:space="0"/>
                  <w:insideV w:val="single" w:color="auto" w:sz="4" w:space="0"/>
                </w:tblBorders>
                <w:tblCellMar>
                  <w:top w:w="0" w:type="dxa"/>
                  <w:left w:w="108" w:type="dxa"/>
                  <w:bottom w:w="0" w:type="dxa"/>
                  <w:right w:w="108" w:type="dxa"/>
                </w:tblCellMar>
              </w:tblPrEx>
              <w:tc>
                <w:tcPr>
                  <w:tcW w:w="2966" w:type="dxa"/>
                  <w:tcBorders>
                    <w:top w:val="single" w:color="auto" w:sz="4" w:space="0"/>
                    <w:bottom w:val="single" w:color="auto" w:sz="4" w:space="0"/>
                  </w:tcBorders>
                  <w:vAlign w:val="center"/>
                </w:tcPr>
                <w:p w14:paraId="1A11E47C">
                  <w:pPr>
                    <w:pStyle w:val="12"/>
                    <w:numPr>
                      <w:ilvl w:val="0"/>
                      <w:numId w:val="0"/>
                    </w:numPr>
                    <w:spacing w:line="360" w:lineRule="auto"/>
                    <w:jc w:val="center"/>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胜利渠武旺至金线河段</w:t>
                  </w:r>
                </w:p>
              </w:tc>
              <w:tc>
                <w:tcPr>
                  <w:tcW w:w="2967" w:type="dxa"/>
                  <w:tcBorders>
                    <w:top w:val="single" w:color="auto" w:sz="4" w:space="0"/>
                    <w:bottom w:val="single" w:color="auto" w:sz="4" w:space="0"/>
                  </w:tcBorders>
                  <w:vAlign w:val="center"/>
                </w:tcPr>
                <w:p w14:paraId="63E5A7A3">
                  <w:pPr>
                    <w:pStyle w:val="12"/>
                    <w:numPr>
                      <w:ilvl w:val="0"/>
                      <w:numId w:val="0"/>
                    </w:numPr>
                    <w:spacing w:line="360" w:lineRule="auto"/>
                    <w:jc w:val="center"/>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20355</w:t>
                  </w:r>
                </w:p>
              </w:tc>
              <w:tc>
                <w:tcPr>
                  <w:tcW w:w="2967" w:type="dxa"/>
                  <w:tcBorders>
                    <w:top w:val="single" w:color="auto" w:sz="4" w:space="0"/>
                    <w:bottom w:val="single" w:color="auto" w:sz="4" w:space="0"/>
                  </w:tcBorders>
                  <w:vAlign w:val="center"/>
                </w:tcPr>
                <w:p w14:paraId="6E26E639">
                  <w:pPr>
                    <w:pStyle w:val="12"/>
                    <w:numPr>
                      <w:ilvl w:val="0"/>
                      <w:numId w:val="0"/>
                    </w:numPr>
                    <w:spacing w:line="360" w:lineRule="auto"/>
                    <w:jc w:val="center"/>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15223</w:t>
                  </w:r>
                </w:p>
              </w:tc>
            </w:tr>
            <w:tr w14:paraId="004C8395">
              <w:tblPrEx>
                <w:tblBorders>
                  <w:top w:val="single" w:color="auto" w:sz="12" w:space="0"/>
                  <w:left w:val="none" w:color="auto" w:sz="0" w:space="0"/>
                  <w:bottom w:val="single" w:color="auto" w:sz="4" w:space="0"/>
                  <w:right w:val="none" w:color="auto" w:sz="0" w:space="0"/>
                  <w:insideH w:val="none" w:color="auto" w:sz="0" w:space="0"/>
                  <w:insideV w:val="single" w:color="auto" w:sz="4" w:space="0"/>
                </w:tblBorders>
                <w:tblCellMar>
                  <w:top w:w="0" w:type="dxa"/>
                  <w:left w:w="108" w:type="dxa"/>
                  <w:bottom w:w="0" w:type="dxa"/>
                  <w:right w:w="108" w:type="dxa"/>
                </w:tblCellMar>
              </w:tblPrEx>
              <w:tc>
                <w:tcPr>
                  <w:tcW w:w="2966" w:type="dxa"/>
                  <w:tcBorders>
                    <w:top w:val="single" w:color="auto" w:sz="4" w:space="0"/>
                    <w:bottom w:val="single" w:color="auto" w:sz="4" w:space="0"/>
                  </w:tcBorders>
                  <w:vAlign w:val="center"/>
                </w:tcPr>
                <w:p w14:paraId="7C2F69A7">
                  <w:pPr>
                    <w:pStyle w:val="12"/>
                    <w:numPr>
                      <w:ilvl w:val="0"/>
                      <w:numId w:val="0"/>
                    </w:numPr>
                    <w:spacing w:line="360" w:lineRule="auto"/>
                    <w:jc w:val="center"/>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胜利渠西夏寒至安阳河段</w:t>
                  </w:r>
                </w:p>
              </w:tc>
              <w:tc>
                <w:tcPr>
                  <w:tcW w:w="2967" w:type="dxa"/>
                  <w:tcBorders>
                    <w:top w:val="single" w:color="auto" w:sz="4" w:space="0"/>
                    <w:bottom w:val="single" w:color="auto" w:sz="4" w:space="0"/>
                  </w:tcBorders>
                  <w:vAlign w:val="center"/>
                </w:tcPr>
                <w:p w14:paraId="10A0EF9F">
                  <w:pPr>
                    <w:pStyle w:val="12"/>
                    <w:numPr>
                      <w:ilvl w:val="0"/>
                      <w:numId w:val="0"/>
                    </w:numPr>
                    <w:spacing w:line="360" w:lineRule="auto"/>
                    <w:jc w:val="center"/>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22651</w:t>
                  </w:r>
                </w:p>
              </w:tc>
              <w:tc>
                <w:tcPr>
                  <w:tcW w:w="2967" w:type="dxa"/>
                  <w:tcBorders>
                    <w:top w:val="single" w:color="auto" w:sz="4" w:space="0"/>
                    <w:bottom w:val="single" w:color="auto" w:sz="4" w:space="0"/>
                  </w:tcBorders>
                  <w:vAlign w:val="center"/>
                </w:tcPr>
                <w:p w14:paraId="75B19244">
                  <w:pPr>
                    <w:pStyle w:val="12"/>
                    <w:numPr>
                      <w:ilvl w:val="0"/>
                      <w:numId w:val="0"/>
                    </w:numPr>
                    <w:spacing w:line="360" w:lineRule="auto"/>
                    <w:jc w:val="center"/>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15303</w:t>
                  </w:r>
                </w:p>
              </w:tc>
            </w:tr>
            <w:tr w14:paraId="60EBE8BF">
              <w:tblPrEx>
                <w:tblBorders>
                  <w:top w:val="single" w:color="auto" w:sz="12" w:space="0"/>
                  <w:left w:val="none" w:color="auto" w:sz="0" w:space="0"/>
                  <w:bottom w:val="single" w:color="auto" w:sz="4" w:space="0"/>
                  <w:right w:val="none" w:color="auto" w:sz="0" w:space="0"/>
                  <w:insideH w:val="none" w:color="auto" w:sz="0" w:space="0"/>
                  <w:insideV w:val="single" w:color="auto" w:sz="4" w:space="0"/>
                </w:tblBorders>
                <w:tblCellMar>
                  <w:top w:w="0" w:type="dxa"/>
                  <w:left w:w="108" w:type="dxa"/>
                  <w:bottom w:w="0" w:type="dxa"/>
                  <w:right w:w="108" w:type="dxa"/>
                </w:tblCellMar>
              </w:tblPrEx>
              <w:tc>
                <w:tcPr>
                  <w:tcW w:w="2966" w:type="dxa"/>
                  <w:tcBorders>
                    <w:top w:val="single" w:color="auto" w:sz="4" w:space="0"/>
                    <w:bottom w:val="single" w:color="auto" w:sz="4" w:space="0"/>
                  </w:tcBorders>
                  <w:vAlign w:val="center"/>
                </w:tcPr>
                <w:p w14:paraId="3DCC2B47">
                  <w:pPr>
                    <w:pStyle w:val="12"/>
                    <w:numPr>
                      <w:ilvl w:val="0"/>
                      <w:numId w:val="0"/>
                    </w:numPr>
                    <w:spacing w:line="360" w:lineRule="auto"/>
                    <w:jc w:val="center"/>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老万金渠(漳南灌渠以东)</w:t>
                  </w:r>
                </w:p>
              </w:tc>
              <w:tc>
                <w:tcPr>
                  <w:tcW w:w="2967" w:type="dxa"/>
                  <w:tcBorders>
                    <w:top w:val="single" w:color="auto" w:sz="4" w:space="0"/>
                    <w:bottom w:val="single" w:color="auto" w:sz="4" w:space="0"/>
                  </w:tcBorders>
                  <w:vAlign w:val="center"/>
                </w:tcPr>
                <w:p w14:paraId="3F5F9EA2">
                  <w:pPr>
                    <w:pStyle w:val="12"/>
                    <w:numPr>
                      <w:ilvl w:val="0"/>
                      <w:numId w:val="0"/>
                    </w:numPr>
                    <w:spacing w:line="360" w:lineRule="auto"/>
                    <w:jc w:val="center"/>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15060</w:t>
                  </w:r>
                </w:p>
              </w:tc>
              <w:tc>
                <w:tcPr>
                  <w:tcW w:w="2967" w:type="dxa"/>
                  <w:tcBorders>
                    <w:top w:val="single" w:color="auto" w:sz="4" w:space="0"/>
                    <w:bottom w:val="single" w:color="auto" w:sz="4" w:space="0"/>
                  </w:tcBorders>
                  <w:vAlign w:val="center"/>
                </w:tcPr>
                <w:p w14:paraId="1A61EBD4">
                  <w:pPr>
                    <w:pStyle w:val="12"/>
                    <w:numPr>
                      <w:ilvl w:val="0"/>
                      <w:numId w:val="0"/>
                    </w:numPr>
                    <w:spacing w:line="360" w:lineRule="auto"/>
                    <w:jc w:val="center"/>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14877</w:t>
                  </w:r>
                </w:p>
              </w:tc>
            </w:tr>
            <w:tr w14:paraId="2E8F399F">
              <w:tblPrEx>
                <w:tblBorders>
                  <w:top w:val="single" w:color="auto" w:sz="12" w:space="0"/>
                  <w:left w:val="none" w:color="auto" w:sz="0" w:space="0"/>
                  <w:bottom w:val="single" w:color="auto" w:sz="4" w:space="0"/>
                  <w:right w:val="none" w:color="auto" w:sz="0" w:space="0"/>
                  <w:insideH w:val="none" w:color="auto" w:sz="0" w:space="0"/>
                  <w:insideV w:val="single" w:color="auto" w:sz="4" w:space="0"/>
                </w:tblBorders>
                <w:tblCellMar>
                  <w:top w:w="0" w:type="dxa"/>
                  <w:left w:w="108" w:type="dxa"/>
                  <w:bottom w:w="0" w:type="dxa"/>
                  <w:right w:w="108" w:type="dxa"/>
                </w:tblCellMar>
              </w:tblPrEx>
              <w:tc>
                <w:tcPr>
                  <w:tcW w:w="2966" w:type="dxa"/>
                  <w:tcBorders>
                    <w:top w:val="single" w:color="auto" w:sz="4" w:space="0"/>
                    <w:bottom w:val="single" w:color="auto" w:sz="4" w:space="0"/>
                  </w:tcBorders>
                  <w:vAlign w:val="center"/>
                </w:tcPr>
                <w:p w14:paraId="1F47FB8C">
                  <w:pPr>
                    <w:pStyle w:val="12"/>
                    <w:numPr>
                      <w:ilvl w:val="0"/>
                      <w:numId w:val="0"/>
                    </w:numPr>
                    <w:spacing w:line="360" w:lineRule="auto"/>
                    <w:jc w:val="center"/>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老万金渠(漳南灌渠以西)</w:t>
                  </w:r>
                </w:p>
              </w:tc>
              <w:tc>
                <w:tcPr>
                  <w:tcW w:w="2967" w:type="dxa"/>
                  <w:tcBorders>
                    <w:top w:val="single" w:color="auto" w:sz="4" w:space="0"/>
                    <w:bottom w:val="single" w:color="auto" w:sz="4" w:space="0"/>
                  </w:tcBorders>
                  <w:vAlign w:val="center"/>
                </w:tcPr>
                <w:p w14:paraId="3C9E3A2A">
                  <w:pPr>
                    <w:pStyle w:val="12"/>
                    <w:numPr>
                      <w:ilvl w:val="0"/>
                      <w:numId w:val="0"/>
                    </w:numPr>
                    <w:spacing w:line="360" w:lineRule="auto"/>
                    <w:jc w:val="center"/>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8883.36</w:t>
                  </w:r>
                </w:p>
              </w:tc>
              <w:tc>
                <w:tcPr>
                  <w:tcW w:w="2967" w:type="dxa"/>
                  <w:tcBorders>
                    <w:top w:val="single" w:color="auto" w:sz="4" w:space="0"/>
                    <w:bottom w:val="single" w:color="auto" w:sz="4" w:space="0"/>
                  </w:tcBorders>
                  <w:vAlign w:val="center"/>
                </w:tcPr>
                <w:p w14:paraId="60C14BA8">
                  <w:pPr>
                    <w:pStyle w:val="12"/>
                    <w:numPr>
                      <w:ilvl w:val="0"/>
                      <w:numId w:val="0"/>
                    </w:numPr>
                    <w:spacing w:line="360" w:lineRule="auto"/>
                    <w:jc w:val="center"/>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eastAsia="宋体" w:cs="Times New Roman"/>
                      <w:b w:val="0"/>
                      <w:bCs w:val="0"/>
                      <w:sz w:val="21"/>
                      <w:szCs w:val="21"/>
                      <w:highlight w:val="none"/>
                      <w:vertAlign w:val="baseline"/>
                      <w:lang w:val="en-US" w:eastAsia="zh-CN"/>
                    </w:rPr>
                    <w:t>36800.675</w:t>
                  </w:r>
                </w:p>
              </w:tc>
            </w:tr>
            <w:tr w14:paraId="35B522BE">
              <w:tblPrEx>
                <w:tblBorders>
                  <w:top w:val="single" w:color="auto" w:sz="12" w:space="0"/>
                  <w:left w:val="none" w:color="auto" w:sz="0" w:space="0"/>
                  <w:bottom w:val="single" w:color="auto" w:sz="4" w:space="0"/>
                  <w:right w:val="none" w:color="auto" w:sz="0" w:space="0"/>
                  <w:insideH w:val="none" w:color="auto" w:sz="0" w:space="0"/>
                  <w:insideV w:val="single" w:color="auto" w:sz="4" w:space="0"/>
                </w:tblBorders>
                <w:tblCellMar>
                  <w:top w:w="0" w:type="dxa"/>
                  <w:left w:w="108" w:type="dxa"/>
                  <w:bottom w:w="0" w:type="dxa"/>
                  <w:right w:w="108" w:type="dxa"/>
                </w:tblCellMar>
              </w:tblPrEx>
              <w:tc>
                <w:tcPr>
                  <w:tcW w:w="2966" w:type="dxa"/>
                  <w:tcBorders>
                    <w:top w:val="single" w:color="auto" w:sz="4" w:space="0"/>
                    <w:bottom w:val="single" w:color="auto" w:sz="12" w:space="0"/>
                  </w:tcBorders>
                  <w:vAlign w:val="center"/>
                </w:tcPr>
                <w:p w14:paraId="09F35DBB">
                  <w:pPr>
                    <w:pStyle w:val="12"/>
                    <w:numPr>
                      <w:ilvl w:val="0"/>
                      <w:numId w:val="0"/>
                    </w:numPr>
                    <w:spacing w:line="360" w:lineRule="auto"/>
                    <w:jc w:val="center"/>
                    <w:rPr>
                      <w:rFonts w:hint="default" w:ascii="Times New Roman" w:hAnsi="Times New Roman" w:eastAsia="宋体" w:cs="Times New Roman"/>
                      <w:b w:val="0"/>
                      <w:bCs w:val="0"/>
                      <w:sz w:val="21"/>
                      <w:szCs w:val="21"/>
                      <w:highlight w:val="none"/>
                      <w:vertAlign w:val="baseline"/>
                      <w:lang w:val="en-US" w:eastAsia="zh-CN"/>
                    </w:rPr>
                  </w:pPr>
                  <w:r>
                    <w:rPr>
                      <w:rFonts w:hint="eastAsia" w:cs="Times New Roman"/>
                      <w:b w:val="0"/>
                      <w:bCs w:val="0"/>
                      <w:sz w:val="21"/>
                      <w:szCs w:val="21"/>
                      <w:highlight w:val="none"/>
                      <w:vertAlign w:val="baseline"/>
                      <w:lang w:val="en-US" w:eastAsia="zh-CN"/>
                    </w:rPr>
                    <w:t>总量（</w:t>
                  </w:r>
                  <w:r>
                    <w:rPr>
                      <w:rFonts w:hint="eastAsia"/>
                      <w:sz w:val="24"/>
                      <w:szCs w:val="24"/>
                      <w:highlight w:val="none"/>
                      <w:lang w:val="en-US" w:eastAsia="zh-CN"/>
                    </w:rPr>
                    <w:t>m</w:t>
                  </w:r>
                  <w:r>
                    <w:rPr>
                      <w:rFonts w:hint="eastAsia"/>
                      <w:sz w:val="24"/>
                      <w:szCs w:val="24"/>
                      <w:highlight w:val="none"/>
                      <w:vertAlign w:val="superscript"/>
                      <w:lang w:val="en-US" w:eastAsia="zh-CN"/>
                    </w:rPr>
                    <w:t>3</w:t>
                  </w:r>
                  <w:r>
                    <w:rPr>
                      <w:rFonts w:hint="eastAsia" w:cs="Times New Roman"/>
                      <w:b w:val="0"/>
                      <w:bCs w:val="0"/>
                      <w:sz w:val="21"/>
                      <w:szCs w:val="21"/>
                      <w:highlight w:val="none"/>
                      <w:vertAlign w:val="baseline"/>
                      <w:lang w:val="en-US" w:eastAsia="zh-CN"/>
                    </w:rPr>
                    <w:t>）</w:t>
                  </w:r>
                </w:p>
              </w:tc>
              <w:tc>
                <w:tcPr>
                  <w:tcW w:w="2967" w:type="dxa"/>
                  <w:tcBorders>
                    <w:top w:val="single" w:color="auto" w:sz="4" w:space="0"/>
                    <w:bottom w:val="single" w:color="auto" w:sz="12" w:space="0"/>
                  </w:tcBorders>
                  <w:vAlign w:val="center"/>
                </w:tcPr>
                <w:p w14:paraId="3CFD3FEB">
                  <w:pPr>
                    <w:pStyle w:val="12"/>
                    <w:numPr>
                      <w:ilvl w:val="0"/>
                      <w:numId w:val="0"/>
                    </w:numPr>
                    <w:spacing w:line="360" w:lineRule="auto"/>
                    <w:jc w:val="center"/>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hAnsi="Times New Roman" w:eastAsia="宋体" w:cs="Times New Roman"/>
                      <w:b w:val="0"/>
                      <w:bCs w:val="0"/>
                      <w:sz w:val="21"/>
                      <w:szCs w:val="21"/>
                      <w:highlight w:val="none"/>
                      <w:vertAlign w:val="baseline"/>
                      <w:lang w:val="en-US" w:eastAsia="zh-CN"/>
                    </w:rPr>
                    <w:t>66949.36</w:t>
                  </w:r>
                </w:p>
              </w:tc>
              <w:tc>
                <w:tcPr>
                  <w:tcW w:w="2967" w:type="dxa"/>
                  <w:tcBorders>
                    <w:top w:val="single" w:color="auto" w:sz="4" w:space="0"/>
                    <w:bottom w:val="single" w:color="auto" w:sz="12" w:space="0"/>
                  </w:tcBorders>
                  <w:vAlign w:val="center"/>
                </w:tcPr>
                <w:p w14:paraId="118E949D">
                  <w:pPr>
                    <w:pStyle w:val="12"/>
                    <w:numPr>
                      <w:ilvl w:val="0"/>
                      <w:numId w:val="0"/>
                    </w:numPr>
                    <w:spacing w:line="360" w:lineRule="auto"/>
                    <w:jc w:val="center"/>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hAnsi="Times New Roman" w:eastAsia="宋体" w:cs="Times New Roman"/>
                      <w:b w:val="0"/>
                      <w:bCs w:val="0"/>
                      <w:sz w:val="21"/>
                      <w:szCs w:val="21"/>
                      <w:highlight w:val="none"/>
                      <w:vertAlign w:val="baseline"/>
                      <w:lang w:val="en-US" w:eastAsia="zh-CN"/>
                    </w:rPr>
                    <w:t>822</w:t>
                  </w:r>
                  <w:r>
                    <w:rPr>
                      <w:rFonts w:hint="eastAsia" w:cs="Times New Roman"/>
                      <w:b w:val="0"/>
                      <w:bCs w:val="0"/>
                      <w:sz w:val="21"/>
                      <w:szCs w:val="21"/>
                      <w:highlight w:val="none"/>
                      <w:vertAlign w:val="baseline"/>
                      <w:lang w:val="en-US" w:eastAsia="zh-CN"/>
                    </w:rPr>
                    <w:t>0</w:t>
                  </w:r>
                  <w:r>
                    <w:rPr>
                      <w:rFonts w:hint="eastAsia" w:ascii="Times New Roman" w:hAnsi="Times New Roman" w:eastAsia="宋体" w:cs="Times New Roman"/>
                      <w:b w:val="0"/>
                      <w:bCs w:val="0"/>
                      <w:sz w:val="21"/>
                      <w:szCs w:val="21"/>
                      <w:highlight w:val="none"/>
                      <w:vertAlign w:val="baseline"/>
                      <w:lang w:val="en-US" w:eastAsia="zh-CN"/>
                    </w:rPr>
                    <w:t>3.675</w:t>
                  </w:r>
                </w:p>
              </w:tc>
            </w:tr>
          </w:tbl>
          <w:p w14:paraId="7DDD0234">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textAlignment w:val="auto"/>
              <w:rPr>
                <w:rFonts w:hint="default" w:ascii="Times New Roman" w:hAnsi="Times New Roman" w:eastAsia="宋体" w:cs="Times New Roman"/>
                <w:color w:val="auto"/>
                <w:sz w:val="24"/>
                <w:szCs w:val="24"/>
                <w:highlight w:val="none"/>
              </w:rPr>
            </w:pPr>
            <w:r>
              <w:rPr>
                <w:rFonts w:hint="eastAsia" w:cs="Times New Roman"/>
                <w:b/>
                <w:bCs/>
                <w:kern w:val="2"/>
                <w:sz w:val="24"/>
                <w:szCs w:val="24"/>
                <w:highlight w:val="none"/>
                <w:vertAlign w:val="baseline"/>
                <w:lang w:val="en-US" w:eastAsia="zh-CN" w:bidi="ar-SA"/>
              </w:rPr>
              <w:t>8</w:t>
            </w:r>
            <w:r>
              <w:rPr>
                <w:rFonts w:hint="eastAsia" w:ascii="Times New Roman" w:hAnsi="Times New Roman" w:eastAsia="宋体" w:cs="Times New Roman"/>
                <w:b/>
                <w:bCs/>
                <w:kern w:val="2"/>
                <w:sz w:val="24"/>
                <w:szCs w:val="24"/>
                <w:highlight w:val="none"/>
                <w:vertAlign w:val="baseline"/>
                <w:lang w:val="en-US" w:eastAsia="zh-CN" w:bidi="ar-SA"/>
              </w:rPr>
              <w:t>.</w:t>
            </w:r>
            <w:r>
              <w:rPr>
                <w:rFonts w:hint="eastAsia"/>
                <w:b/>
                <w:bCs/>
                <w:sz w:val="24"/>
                <w:szCs w:val="24"/>
                <w:highlight w:val="none"/>
                <w:vertAlign w:val="baseline"/>
                <w:lang w:val="en-US" w:eastAsia="zh-CN"/>
              </w:rPr>
              <w:t>建设规模及主要工程参数</w:t>
            </w:r>
          </w:p>
          <w:p w14:paraId="5C569D8A">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textAlignment w:val="auto"/>
              <w:rPr>
                <w:rFonts w:hint="eastAsia"/>
                <w:sz w:val="24"/>
                <w:szCs w:val="24"/>
                <w:highlight w:val="none"/>
                <w:vertAlign w:val="baseline"/>
                <w:lang w:val="en-US" w:eastAsia="zh-CN"/>
              </w:rPr>
            </w:pPr>
            <w:r>
              <w:rPr>
                <w:rFonts w:hint="eastAsia"/>
                <w:sz w:val="24"/>
                <w:szCs w:val="24"/>
                <w:highlight w:val="none"/>
                <w:vertAlign w:val="baseline"/>
                <w:lang w:val="en-US" w:eastAsia="zh-CN"/>
              </w:rPr>
              <w:t>本项目主要工程参数见下表：</w:t>
            </w:r>
          </w:p>
          <w:p w14:paraId="10663E5F">
            <w:pPr>
              <w:keepNext w:val="0"/>
              <w:keepLines w:val="0"/>
              <w:pageBreakBefore w:val="0"/>
              <w:widowControl w:val="0"/>
              <w:numPr>
                <w:ilvl w:val="0"/>
                <w:numId w:val="0"/>
              </w:numPr>
              <w:kinsoku/>
              <w:wordWrap/>
              <w:overflowPunct/>
              <w:topLinePunct w:val="0"/>
              <w:autoSpaceDE/>
              <w:autoSpaceDN/>
              <w:bidi w:val="0"/>
              <w:adjustRightInd/>
              <w:snapToGrid w:val="0"/>
              <w:spacing w:line="240" w:lineRule="auto"/>
              <w:jc w:val="center"/>
              <w:textAlignment w:val="auto"/>
              <w:rPr>
                <w:rFonts w:hint="eastAsia"/>
                <w:b/>
                <w:bCs/>
                <w:sz w:val="21"/>
                <w:szCs w:val="21"/>
                <w:highlight w:val="none"/>
                <w:vertAlign w:val="baseline"/>
                <w:lang w:val="en-US" w:eastAsia="zh-CN"/>
              </w:rPr>
            </w:pPr>
            <w:r>
              <w:rPr>
                <w:rFonts w:hint="default" w:ascii="Times New Roman" w:hAnsi="Times New Roman" w:eastAsia="宋体" w:cs="Times New Roman"/>
                <w:b/>
                <w:bCs/>
                <w:sz w:val="21"/>
                <w:szCs w:val="21"/>
                <w:highlight w:val="none"/>
                <w:vertAlign w:val="baseline"/>
                <w:lang w:val="en-US" w:eastAsia="zh-CN"/>
              </w:rPr>
              <w:t>建设规模及主要工程参数</w:t>
            </w:r>
          </w:p>
          <w:tbl>
            <w:tblPr>
              <w:tblStyle w:val="42"/>
              <w:tblW w:w="4997" w:type="pct"/>
              <w:tblInd w:w="7" w:type="dxa"/>
              <w:tblBorders>
                <w:top w:val="single" w:color="3B3B3B" w:sz="12" w:space="0"/>
                <w:left w:val="none" w:color="auto" w:sz="0" w:space="0"/>
                <w:bottom w:val="single" w:color="3B3B3B" w:sz="6" w:space="0"/>
                <w:right w:val="none" w:color="auto" w:sz="0" w:space="0"/>
                <w:insideH w:val="none" w:color="auto" w:sz="0" w:space="0"/>
                <w:insideV w:val="none" w:color="auto" w:sz="0" w:space="0"/>
              </w:tblBorders>
              <w:tblLayout w:type="autofit"/>
              <w:tblCellMar>
                <w:top w:w="0" w:type="dxa"/>
                <w:left w:w="0" w:type="dxa"/>
                <w:bottom w:w="0" w:type="dxa"/>
                <w:right w:w="0" w:type="dxa"/>
              </w:tblCellMar>
            </w:tblPr>
            <w:tblGrid>
              <w:gridCol w:w="453"/>
              <w:gridCol w:w="2196"/>
              <w:gridCol w:w="4"/>
              <w:gridCol w:w="1973"/>
              <w:gridCol w:w="638"/>
              <w:gridCol w:w="1035"/>
              <w:gridCol w:w="2606"/>
            </w:tblGrid>
            <w:tr w14:paraId="04E9F891">
              <w:tblPrEx>
                <w:tblBorders>
                  <w:top w:val="single" w:color="3B3B3B" w:sz="12" w:space="0"/>
                  <w:left w:val="none" w:color="auto" w:sz="0" w:space="0"/>
                  <w:bottom w:val="single" w:color="3B3B3B" w:sz="6" w:space="0"/>
                  <w:right w:val="none" w:color="auto" w:sz="0" w:space="0"/>
                  <w:insideH w:val="none" w:color="auto" w:sz="0" w:space="0"/>
                  <w:insideV w:val="none" w:color="auto" w:sz="0" w:space="0"/>
                </w:tblBorders>
                <w:tblCellMar>
                  <w:top w:w="0" w:type="dxa"/>
                  <w:left w:w="0" w:type="dxa"/>
                  <w:bottom w:w="0" w:type="dxa"/>
                  <w:right w:w="0" w:type="dxa"/>
                </w:tblCellMar>
              </w:tblPrEx>
              <w:trPr>
                <w:trHeight w:val="383" w:hRule="atLeast"/>
              </w:trPr>
              <w:tc>
                <w:tcPr>
                  <w:tcW w:w="5000" w:type="pct"/>
                  <w:gridSpan w:val="7"/>
                  <w:tcBorders>
                    <w:bottom w:val="single" w:color="3B3B3B" w:sz="6" w:space="0"/>
                  </w:tcBorders>
                  <w:vAlign w:val="center"/>
                </w:tcPr>
                <w:p w14:paraId="2708BE57">
                  <w:pPr>
                    <w:pStyle w:val="41"/>
                    <w:spacing w:before="78" w:line="228" w:lineRule="auto"/>
                    <w:ind w:left="114"/>
                    <w:jc w:val="both"/>
                    <w:rPr>
                      <w:rFonts w:hint="eastAsia" w:ascii="Times New Roman" w:hAnsi="Times New Roman" w:eastAsia="宋体" w:cs="Times New Roman"/>
                      <w:b w:val="0"/>
                      <w:bCs w:val="0"/>
                      <w:sz w:val="21"/>
                      <w:szCs w:val="21"/>
                      <w:highlight w:val="none"/>
                      <w:lang w:eastAsia="zh-CN"/>
                    </w:rPr>
                  </w:pPr>
                  <w:r>
                    <w:rPr>
                      <w:rFonts w:hint="default" w:ascii="Times New Roman" w:hAnsi="Times New Roman" w:eastAsia="宋体" w:cs="Times New Roman"/>
                      <w:b w:val="0"/>
                      <w:bCs w:val="0"/>
                      <w:color w:val="3B3B3B"/>
                      <w:spacing w:val="9"/>
                      <w:sz w:val="21"/>
                      <w:szCs w:val="21"/>
                      <w:highlight w:val="none"/>
                      <w14:textOutline w14:w="3788" w14:cap="flat" w14:cmpd="sng">
                        <w14:solidFill>
                          <w14:srgbClr w14:val="3B3B3B"/>
                        </w14:solidFill>
                        <w14:prstDash w14:val="solid"/>
                        <w14:miter w14:val="0"/>
                      </w14:textOutline>
                    </w:rPr>
                    <w:t>一、胜利渠武旺至金线河</w:t>
                  </w:r>
                  <w:r>
                    <w:rPr>
                      <w:rFonts w:hint="eastAsia" w:ascii="Times New Roman" w:hAnsi="Times New Roman" w:cs="Times New Roman"/>
                      <w:b w:val="0"/>
                      <w:bCs w:val="0"/>
                      <w:color w:val="3B3B3B"/>
                      <w:spacing w:val="9"/>
                      <w:sz w:val="21"/>
                      <w:szCs w:val="21"/>
                      <w:highlight w:val="none"/>
                      <w:lang w:eastAsia="zh-CN"/>
                      <w14:textOutline w14:w="3788" w14:cap="flat" w14:cmpd="sng">
                        <w14:solidFill>
                          <w14:srgbClr w14:val="3B3B3B"/>
                        </w14:solidFill>
                        <w14:prstDash w14:val="solid"/>
                        <w14:miter w14:val="0"/>
                      </w14:textOutline>
                    </w:rPr>
                    <w:t>段</w:t>
                  </w:r>
                </w:p>
              </w:tc>
            </w:tr>
            <w:tr w14:paraId="0412385E">
              <w:tblPrEx>
                <w:tblBorders>
                  <w:top w:val="single" w:color="3B3B3B" w:sz="12" w:space="0"/>
                  <w:left w:val="none" w:color="auto" w:sz="0" w:space="0"/>
                  <w:bottom w:val="single" w:color="3B3B3B" w:sz="6" w:space="0"/>
                  <w:right w:val="none" w:color="auto" w:sz="0" w:space="0"/>
                  <w:insideH w:val="none" w:color="auto" w:sz="0" w:space="0"/>
                  <w:insideV w:val="none" w:color="auto" w:sz="0" w:space="0"/>
                </w:tblBorders>
                <w:tblCellMar>
                  <w:top w:w="0" w:type="dxa"/>
                  <w:left w:w="0" w:type="dxa"/>
                  <w:bottom w:w="0" w:type="dxa"/>
                  <w:right w:w="0" w:type="dxa"/>
                </w:tblCellMar>
              </w:tblPrEx>
              <w:trPr>
                <w:trHeight w:val="381" w:hRule="atLeast"/>
              </w:trPr>
              <w:tc>
                <w:tcPr>
                  <w:tcW w:w="255" w:type="pct"/>
                  <w:tcBorders>
                    <w:top w:val="single" w:color="3B3B3B" w:sz="6" w:space="0"/>
                    <w:bottom w:val="single" w:color="3B3B3B" w:sz="6" w:space="0"/>
                    <w:right w:val="single" w:color="3B3B3B" w:sz="6" w:space="0"/>
                  </w:tcBorders>
                  <w:vAlign w:val="center"/>
                </w:tcPr>
                <w:p w14:paraId="1987ECA0">
                  <w:pPr>
                    <w:pStyle w:val="41"/>
                    <w:spacing w:before="79" w:line="228" w:lineRule="auto"/>
                    <w:jc w:val="both"/>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3"/>
                      <w:sz w:val="21"/>
                      <w:szCs w:val="21"/>
                      <w:highlight w:val="none"/>
                    </w:rPr>
                    <w:t>编号</w:t>
                  </w:r>
                </w:p>
              </w:tc>
              <w:tc>
                <w:tcPr>
                  <w:tcW w:w="1235" w:type="pct"/>
                  <w:gridSpan w:val="2"/>
                  <w:tcBorders>
                    <w:top w:val="single" w:color="3B3B3B" w:sz="6" w:space="0"/>
                    <w:left w:val="single" w:color="3B3B3B" w:sz="6" w:space="0"/>
                    <w:bottom w:val="single" w:color="3B3B3B" w:sz="6" w:space="0"/>
                    <w:right w:val="single" w:color="3B3B3B" w:sz="6" w:space="0"/>
                  </w:tcBorders>
                  <w:vAlign w:val="center"/>
                </w:tcPr>
                <w:p w14:paraId="37709395">
                  <w:pPr>
                    <w:pStyle w:val="41"/>
                    <w:spacing w:before="79" w:line="230"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3"/>
                      <w:sz w:val="21"/>
                      <w:szCs w:val="21"/>
                      <w:highlight w:val="none"/>
                    </w:rPr>
                    <w:t>名称</w:t>
                  </w:r>
                </w:p>
              </w:tc>
              <w:tc>
                <w:tcPr>
                  <w:tcW w:w="1107" w:type="pct"/>
                  <w:tcBorders>
                    <w:top w:val="single" w:color="3B3B3B" w:sz="6" w:space="0"/>
                    <w:left w:val="single" w:color="3B3B3B" w:sz="6" w:space="0"/>
                    <w:bottom w:val="single" w:color="3B3B3B" w:sz="6" w:space="0"/>
                    <w:right w:val="single" w:color="3B3B3B" w:sz="6" w:space="0"/>
                  </w:tcBorders>
                  <w:vAlign w:val="center"/>
                </w:tcPr>
                <w:p w14:paraId="50E61051">
                  <w:pPr>
                    <w:pStyle w:val="41"/>
                    <w:spacing w:before="79" w:line="228"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4"/>
                      <w:sz w:val="21"/>
                      <w:szCs w:val="21"/>
                      <w:highlight w:val="none"/>
                    </w:rPr>
                    <w:t>规格</w:t>
                  </w:r>
                </w:p>
              </w:tc>
              <w:tc>
                <w:tcPr>
                  <w:tcW w:w="358" w:type="pct"/>
                  <w:tcBorders>
                    <w:top w:val="single" w:color="3B3B3B" w:sz="6" w:space="0"/>
                    <w:left w:val="single" w:color="3B3B3B" w:sz="6" w:space="0"/>
                    <w:bottom w:val="single" w:color="3B3B3B" w:sz="6" w:space="0"/>
                    <w:right w:val="single" w:color="3B3B3B" w:sz="6" w:space="0"/>
                  </w:tcBorders>
                  <w:vAlign w:val="center"/>
                </w:tcPr>
                <w:p w14:paraId="0435FBC0">
                  <w:pPr>
                    <w:pStyle w:val="41"/>
                    <w:spacing w:before="80" w:line="228"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3"/>
                      <w:sz w:val="21"/>
                      <w:szCs w:val="21"/>
                      <w:highlight w:val="none"/>
                    </w:rPr>
                    <w:t>单位</w:t>
                  </w:r>
                </w:p>
              </w:tc>
              <w:tc>
                <w:tcPr>
                  <w:tcW w:w="581" w:type="pct"/>
                  <w:tcBorders>
                    <w:top w:val="single" w:color="3B3B3B" w:sz="6" w:space="0"/>
                    <w:left w:val="single" w:color="3B3B3B" w:sz="6" w:space="0"/>
                    <w:bottom w:val="single" w:color="3B3B3B" w:sz="6" w:space="0"/>
                    <w:right w:val="single" w:color="3B3B3B" w:sz="6" w:space="0"/>
                  </w:tcBorders>
                  <w:vAlign w:val="center"/>
                </w:tcPr>
                <w:p w14:paraId="1939A6C1">
                  <w:pPr>
                    <w:pStyle w:val="41"/>
                    <w:spacing w:before="79" w:line="228"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3"/>
                      <w:sz w:val="21"/>
                      <w:szCs w:val="21"/>
                      <w:highlight w:val="none"/>
                    </w:rPr>
                    <w:t>数量</w:t>
                  </w:r>
                </w:p>
              </w:tc>
              <w:tc>
                <w:tcPr>
                  <w:tcW w:w="1462" w:type="pct"/>
                  <w:tcBorders>
                    <w:top w:val="single" w:color="3B3B3B" w:sz="6" w:space="0"/>
                    <w:left w:val="single" w:color="3B3B3B" w:sz="6" w:space="0"/>
                    <w:bottom w:val="single" w:color="3B3B3B" w:sz="6" w:space="0"/>
                  </w:tcBorders>
                  <w:vAlign w:val="center"/>
                </w:tcPr>
                <w:p w14:paraId="6DA17F8F">
                  <w:pPr>
                    <w:pStyle w:val="41"/>
                    <w:spacing w:before="79" w:line="229"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3"/>
                      <w:sz w:val="21"/>
                      <w:szCs w:val="21"/>
                      <w:highlight w:val="none"/>
                    </w:rPr>
                    <w:t>备注</w:t>
                  </w:r>
                </w:p>
              </w:tc>
            </w:tr>
            <w:tr w14:paraId="2DE8D7BB">
              <w:tblPrEx>
                <w:tblBorders>
                  <w:top w:val="single" w:color="3B3B3B" w:sz="12" w:space="0"/>
                  <w:left w:val="none" w:color="auto" w:sz="0" w:space="0"/>
                  <w:bottom w:val="single" w:color="3B3B3B" w:sz="6" w:space="0"/>
                  <w:right w:val="none" w:color="auto" w:sz="0" w:space="0"/>
                  <w:insideH w:val="none" w:color="auto" w:sz="0" w:space="0"/>
                  <w:insideV w:val="none" w:color="auto" w:sz="0" w:space="0"/>
                </w:tblBorders>
                <w:tblCellMar>
                  <w:top w:w="0" w:type="dxa"/>
                  <w:left w:w="0" w:type="dxa"/>
                  <w:bottom w:w="0" w:type="dxa"/>
                  <w:right w:w="0" w:type="dxa"/>
                </w:tblCellMar>
              </w:tblPrEx>
              <w:trPr>
                <w:trHeight w:val="383" w:hRule="atLeast"/>
              </w:trPr>
              <w:tc>
                <w:tcPr>
                  <w:tcW w:w="255" w:type="pct"/>
                  <w:tcBorders>
                    <w:top w:val="single" w:color="3B3B3B" w:sz="6" w:space="0"/>
                    <w:bottom w:val="single" w:color="3B3B3B" w:sz="6" w:space="0"/>
                    <w:right w:val="single" w:color="3B3B3B" w:sz="6" w:space="0"/>
                  </w:tcBorders>
                  <w:vAlign w:val="center"/>
                </w:tcPr>
                <w:p w14:paraId="19E2FA3A">
                  <w:pPr>
                    <w:pStyle w:val="41"/>
                    <w:spacing w:before="120" w:line="187"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z w:val="21"/>
                      <w:szCs w:val="21"/>
                      <w:highlight w:val="none"/>
                    </w:rPr>
                    <w:t>1</w:t>
                  </w:r>
                </w:p>
              </w:tc>
              <w:tc>
                <w:tcPr>
                  <w:tcW w:w="1235" w:type="pct"/>
                  <w:gridSpan w:val="2"/>
                  <w:tcBorders>
                    <w:top w:val="single" w:color="3B3B3B" w:sz="6" w:space="0"/>
                    <w:left w:val="single" w:color="3B3B3B" w:sz="6" w:space="0"/>
                    <w:bottom w:val="single" w:color="3B3B3B" w:sz="6" w:space="0"/>
                    <w:right w:val="single" w:color="3B3B3B" w:sz="6" w:space="0"/>
                  </w:tcBorders>
                  <w:vAlign w:val="center"/>
                </w:tcPr>
                <w:p w14:paraId="67553868">
                  <w:pPr>
                    <w:pStyle w:val="41"/>
                    <w:spacing w:before="82" w:line="228" w:lineRule="auto"/>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color w:val="3B3B3B"/>
                      <w:sz w:val="21"/>
                      <w:szCs w:val="21"/>
                      <w:highlight w:val="none"/>
                    </w:rPr>
                    <w:t>混凝土排水管道</w:t>
                  </w:r>
                </w:p>
              </w:tc>
              <w:tc>
                <w:tcPr>
                  <w:tcW w:w="1107" w:type="pct"/>
                  <w:tcBorders>
                    <w:top w:val="single" w:color="3B3B3B" w:sz="6" w:space="0"/>
                    <w:left w:val="single" w:color="3B3B3B" w:sz="6" w:space="0"/>
                    <w:bottom w:val="single" w:color="3B3B3B" w:sz="6" w:space="0"/>
                    <w:right w:val="single" w:color="3B3B3B" w:sz="6" w:space="0"/>
                  </w:tcBorders>
                  <w:vAlign w:val="center"/>
                </w:tcPr>
                <w:p w14:paraId="3966F5E0">
                  <w:pPr>
                    <w:pStyle w:val="41"/>
                    <w:spacing w:before="117" w:line="191" w:lineRule="auto"/>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d1.5m</w:t>
                  </w:r>
                </w:p>
              </w:tc>
              <w:tc>
                <w:tcPr>
                  <w:tcW w:w="358" w:type="pct"/>
                  <w:tcBorders>
                    <w:top w:val="single" w:color="3B3B3B" w:sz="6" w:space="0"/>
                    <w:left w:val="single" w:color="3B3B3B" w:sz="6" w:space="0"/>
                    <w:bottom w:val="single" w:color="3B3B3B" w:sz="6" w:space="0"/>
                    <w:right w:val="single" w:color="3B3B3B" w:sz="6" w:space="0"/>
                  </w:tcBorders>
                  <w:vAlign w:val="center"/>
                </w:tcPr>
                <w:p w14:paraId="1C2D3851">
                  <w:pPr>
                    <w:pStyle w:val="41"/>
                    <w:spacing w:before="165" w:line="158" w:lineRule="exact"/>
                    <w:jc w:val="center"/>
                    <w:rPr>
                      <w:rFonts w:hint="eastAsia"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m</w:t>
                  </w:r>
                </w:p>
              </w:tc>
              <w:tc>
                <w:tcPr>
                  <w:tcW w:w="581" w:type="pct"/>
                  <w:tcBorders>
                    <w:top w:val="single" w:color="3B3B3B" w:sz="6" w:space="0"/>
                    <w:left w:val="single" w:color="3B3B3B" w:sz="6" w:space="0"/>
                    <w:bottom w:val="single" w:color="3B3B3B" w:sz="6" w:space="0"/>
                    <w:right w:val="single" w:color="3B3B3B" w:sz="6" w:space="0"/>
                  </w:tcBorders>
                  <w:vAlign w:val="center"/>
                </w:tcPr>
                <w:p w14:paraId="5CDB9398">
                  <w:pPr>
                    <w:pStyle w:val="41"/>
                    <w:spacing w:before="120" w:line="188" w:lineRule="auto"/>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1007</w:t>
                  </w:r>
                </w:p>
              </w:tc>
              <w:tc>
                <w:tcPr>
                  <w:tcW w:w="1462" w:type="pct"/>
                  <w:tcBorders>
                    <w:top w:val="single" w:color="3B3B3B" w:sz="6" w:space="0"/>
                    <w:left w:val="single" w:color="3B3B3B" w:sz="6" w:space="0"/>
                    <w:bottom w:val="single" w:color="3B3B3B" w:sz="6" w:space="0"/>
                  </w:tcBorders>
                  <w:vAlign w:val="center"/>
                </w:tcPr>
                <w:p w14:paraId="24DC7F3A">
                  <w:pPr>
                    <w:pStyle w:val="41"/>
                    <w:spacing w:before="82" w:line="228" w:lineRule="auto"/>
                    <w:jc w:val="center"/>
                    <w:rPr>
                      <w:rFonts w:hint="eastAsia"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w:t>
                  </w:r>
                </w:p>
              </w:tc>
            </w:tr>
            <w:tr w14:paraId="408B4BAF">
              <w:tblPrEx>
                <w:tblBorders>
                  <w:top w:val="single" w:color="3B3B3B" w:sz="12" w:space="0"/>
                  <w:left w:val="none" w:color="auto" w:sz="0" w:space="0"/>
                  <w:bottom w:val="single" w:color="3B3B3B" w:sz="6" w:space="0"/>
                  <w:right w:val="none" w:color="auto" w:sz="0" w:space="0"/>
                  <w:insideH w:val="none" w:color="auto" w:sz="0" w:space="0"/>
                  <w:insideV w:val="none" w:color="auto" w:sz="0" w:space="0"/>
                </w:tblBorders>
                <w:tblCellMar>
                  <w:top w:w="0" w:type="dxa"/>
                  <w:left w:w="0" w:type="dxa"/>
                  <w:bottom w:w="0" w:type="dxa"/>
                  <w:right w:w="0" w:type="dxa"/>
                </w:tblCellMar>
              </w:tblPrEx>
              <w:trPr>
                <w:trHeight w:val="383" w:hRule="atLeast"/>
              </w:trPr>
              <w:tc>
                <w:tcPr>
                  <w:tcW w:w="5000" w:type="pct"/>
                  <w:gridSpan w:val="7"/>
                  <w:tcBorders>
                    <w:top w:val="single" w:color="3B3B3B" w:sz="6" w:space="0"/>
                    <w:bottom w:val="single" w:color="3B3B3B" w:sz="6" w:space="0"/>
                  </w:tcBorders>
                  <w:vAlign w:val="center"/>
                </w:tcPr>
                <w:p w14:paraId="0631B083">
                  <w:pPr>
                    <w:pStyle w:val="41"/>
                    <w:spacing w:before="81" w:line="228" w:lineRule="auto"/>
                    <w:ind w:left="114"/>
                    <w:jc w:val="both"/>
                    <w:rPr>
                      <w:rFonts w:hint="eastAsia" w:ascii="Times New Roman" w:hAnsi="Times New Roman" w:eastAsia="宋体" w:cs="Times New Roman"/>
                      <w:b w:val="0"/>
                      <w:bCs w:val="0"/>
                      <w:sz w:val="21"/>
                      <w:szCs w:val="21"/>
                      <w:highlight w:val="none"/>
                      <w:lang w:eastAsia="zh-CN"/>
                    </w:rPr>
                  </w:pPr>
                  <w:r>
                    <w:rPr>
                      <w:rFonts w:hint="default" w:ascii="Times New Roman" w:hAnsi="Times New Roman" w:eastAsia="宋体" w:cs="Times New Roman"/>
                      <w:b w:val="0"/>
                      <w:bCs w:val="0"/>
                      <w:color w:val="3B3B3B"/>
                      <w:spacing w:val="9"/>
                      <w:sz w:val="21"/>
                      <w:szCs w:val="21"/>
                      <w:highlight w:val="none"/>
                      <w14:textOutline w14:w="3788" w14:cap="flat" w14:cmpd="sng">
                        <w14:solidFill>
                          <w14:srgbClr w14:val="3B3B3B"/>
                        </w14:solidFill>
                        <w14:prstDash w14:val="solid"/>
                        <w14:miter w14:val="0"/>
                      </w14:textOutline>
                    </w:rPr>
                    <w:t>二、胜利渠西夏寒至安阳河</w:t>
                  </w:r>
                  <w:r>
                    <w:rPr>
                      <w:rFonts w:hint="eastAsia" w:ascii="Times New Roman" w:hAnsi="Times New Roman" w:cs="Times New Roman"/>
                      <w:b w:val="0"/>
                      <w:bCs w:val="0"/>
                      <w:color w:val="3B3B3B"/>
                      <w:spacing w:val="9"/>
                      <w:sz w:val="21"/>
                      <w:szCs w:val="21"/>
                      <w:highlight w:val="none"/>
                      <w:lang w:eastAsia="zh-CN"/>
                      <w14:textOutline w14:w="3788" w14:cap="flat" w14:cmpd="sng">
                        <w14:solidFill>
                          <w14:srgbClr w14:val="3B3B3B"/>
                        </w14:solidFill>
                        <w14:prstDash w14:val="solid"/>
                        <w14:miter w14:val="0"/>
                      </w14:textOutline>
                    </w:rPr>
                    <w:t>段</w:t>
                  </w:r>
                </w:p>
              </w:tc>
            </w:tr>
            <w:tr w14:paraId="63DC027C">
              <w:tblPrEx>
                <w:tblBorders>
                  <w:top w:val="single" w:color="3B3B3B" w:sz="12" w:space="0"/>
                  <w:left w:val="none" w:color="auto" w:sz="0" w:space="0"/>
                  <w:bottom w:val="single" w:color="3B3B3B" w:sz="6" w:space="0"/>
                  <w:right w:val="none" w:color="auto" w:sz="0" w:space="0"/>
                  <w:insideH w:val="none" w:color="auto" w:sz="0" w:space="0"/>
                  <w:insideV w:val="none" w:color="auto" w:sz="0" w:space="0"/>
                </w:tblBorders>
                <w:tblCellMar>
                  <w:top w:w="0" w:type="dxa"/>
                  <w:left w:w="0" w:type="dxa"/>
                  <w:bottom w:w="0" w:type="dxa"/>
                  <w:right w:w="0" w:type="dxa"/>
                </w:tblCellMar>
              </w:tblPrEx>
              <w:trPr>
                <w:trHeight w:val="381" w:hRule="atLeast"/>
              </w:trPr>
              <w:tc>
                <w:tcPr>
                  <w:tcW w:w="255" w:type="pct"/>
                  <w:tcBorders>
                    <w:top w:val="single" w:color="3B3B3B" w:sz="6" w:space="0"/>
                    <w:bottom w:val="single" w:color="3B3B3B" w:sz="6" w:space="0"/>
                    <w:right w:val="single" w:color="3B3B3B" w:sz="6" w:space="0"/>
                  </w:tcBorders>
                  <w:vAlign w:val="center"/>
                </w:tcPr>
                <w:p w14:paraId="67A8F4B1">
                  <w:pPr>
                    <w:pStyle w:val="41"/>
                    <w:spacing w:before="81" w:line="228" w:lineRule="auto"/>
                    <w:jc w:val="both"/>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3"/>
                      <w:sz w:val="21"/>
                      <w:szCs w:val="21"/>
                      <w:highlight w:val="none"/>
                    </w:rPr>
                    <w:t>编号</w:t>
                  </w:r>
                </w:p>
              </w:tc>
              <w:tc>
                <w:tcPr>
                  <w:tcW w:w="1235" w:type="pct"/>
                  <w:gridSpan w:val="2"/>
                  <w:tcBorders>
                    <w:top w:val="single" w:color="3B3B3B" w:sz="6" w:space="0"/>
                    <w:left w:val="single" w:color="3B3B3B" w:sz="6" w:space="0"/>
                    <w:bottom w:val="single" w:color="3B3B3B" w:sz="6" w:space="0"/>
                    <w:right w:val="single" w:color="3B3B3B" w:sz="6" w:space="0"/>
                  </w:tcBorders>
                  <w:vAlign w:val="center"/>
                </w:tcPr>
                <w:p w14:paraId="30E80D80">
                  <w:pPr>
                    <w:pStyle w:val="41"/>
                    <w:spacing w:before="81" w:line="230"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3"/>
                      <w:sz w:val="21"/>
                      <w:szCs w:val="21"/>
                      <w:highlight w:val="none"/>
                    </w:rPr>
                    <w:t>名称</w:t>
                  </w:r>
                </w:p>
              </w:tc>
              <w:tc>
                <w:tcPr>
                  <w:tcW w:w="1107" w:type="pct"/>
                  <w:tcBorders>
                    <w:top w:val="single" w:color="3B3B3B" w:sz="6" w:space="0"/>
                    <w:left w:val="single" w:color="3B3B3B" w:sz="6" w:space="0"/>
                    <w:bottom w:val="single" w:color="3B3B3B" w:sz="6" w:space="0"/>
                    <w:right w:val="single" w:color="3B3B3B" w:sz="6" w:space="0"/>
                  </w:tcBorders>
                  <w:vAlign w:val="center"/>
                </w:tcPr>
                <w:p w14:paraId="5A5F90C0">
                  <w:pPr>
                    <w:pStyle w:val="41"/>
                    <w:spacing w:before="81" w:line="228"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4"/>
                      <w:sz w:val="21"/>
                      <w:szCs w:val="21"/>
                      <w:highlight w:val="none"/>
                    </w:rPr>
                    <w:t>规格</w:t>
                  </w:r>
                </w:p>
              </w:tc>
              <w:tc>
                <w:tcPr>
                  <w:tcW w:w="358" w:type="pct"/>
                  <w:tcBorders>
                    <w:top w:val="single" w:color="3B3B3B" w:sz="6" w:space="0"/>
                    <w:left w:val="single" w:color="3B3B3B" w:sz="6" w:space="0"/>
                    <w:bottom w:val="single" w:color="3B3B3B" w:sz="6" w:space="0"/>
                    <w:right w:val="single" w:color="3B3B3B" w:sz="6" w:space="0"/>
                  </w:tcBorders>
                  <w:vAlign w:val="center"/>
                </w:tcPr>
                <w:p w14:paraId="73C160B4">
                  <w:pPr>
                    <w:pStyle w:val="41"/>
                    <w:spacing w:before="82" w:line="228"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3"/>
                      <w:sz w:val="21"/>
                      <w:szCs w:val="21"/>
                      <w:highlight w:val="none"/>
                    </w:rPr>
                    <w:t>单位</w:t>
                  </w:r>
                </w:p>
              </w:tc>
              <w:tc>
                <w:tcPr>
                  <w:tcW w:w="581" w:type="pct"/>
                  <w:tcBorders>
                    <w:top w:val="single" w:color="3B3B3B" w:sz="6" w:space="0"/>
                    <w:left w:val="single" w:color="3B3B3B" w:sz="6" w:space="0"/>
                    <w:bottom w:val="single" w:color="3B3B3B" w:sz="6" w:space="0"/>
                    <w:right w:val="single" w:color="3B3B3B" w:sz="6" w:space="0"/>
                  </w:tcBorders>
                  <w:vAlign w:val="center"/>
                </w:tcPr>
                <w:p w14:paraId="45AA833F">
                  <w:pPr>
                    <w:pStyle w:val="41"/>
                    <w:spacing w:before="81" w:line="228"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3"/>
                      <w:sz w:val="21"/>
                      <w:szCs w:val="21"/>
                      <w:highlight w:val="none"/>
                    </w:rPr>
                    <w:t>数量</w:t>
                  </w:r>
                </w:p>
              </w:tc>
              <w:tc>
                <w:tcPr>
                  <w:tcW w:w="1462" w:type="pct"/>
                  <w:tcBorders>
                    <w:top w:val="single" w:color="3B3B3B" w:sz="6" w:space="0"/>
                    <w:left w:val="single" w:color="3B3B3B" w:sz="6" w:space="0"/>
                    <w:bottom w:val="single" w:color="3B3B3B" w:sz="6" w:space="0"/>
                  </w:tcBorders>
                  <w:vAlign w:val="center"/>
                </w:tcPr>
                <w:p w14:paraId="38DF7B5D">
                  <w:pPr>
                    <w:pStyle w:val="41"/>
                    <w:spacing w:before="81" w:line="229"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3"/>
                      <w:sz w:val="21"/>
                      <w:szCs w:val="21"/>
                      <w:highlight w:val="none"/>
                    </w:rPr>
                    <w:t>备注</w:t>
                  </w:r>
                </w:p>
              </w:tc>
            </w:tr>
            <w:tr w14:paraId="456B033A">
              <w:tblPrEx>
                <w:tblBorders>
                  <w:top w:val="single" w:color="3B3B3B" w:sz="12" w:space="0"/>
                  <w:left w:val="none" w:color="auto" w:sz="0" w:space="0"/>
                  <w:bottom w:val="single" w:color="3B3B3B" w:sz="6" w:space="0"/>
                  <w:right w:val="none" w:color="auto" w:sz="0" w:space="0"/>
                  <w:insideH w:val="none" w:color="auto" w:sz="0" w:space="0"/>
                  <w:insideV w:val="none" w:color="auto" w:sz="0" w:space="0"/>
                </w:tblBorders>
                <w:tblCellMar>
                  <w:top w:w="0" w:type="dxa"/>
                  <w:left w:w="0" w:type="dxa"/>
                  <w:bottom w:w="0" w:type="dxa"/>
                  <w:right w:w="0" w:type="dxa"/>
                </w:tblCellMar>
              </w:tblPrEx>
              <w:trPr>
                <w:trHeight w:val="383" w:hRule="atLeast"/>
              </w:trPr>
              <w:tc>
                <w:tcPr>
                  <w:tcW w:w="255" w:type="pct"/>
                  <w:tcBorders>
                    <w:top w:val="single" w:color="3B3B3B" w:sz="6" w:space="0"/>
                    <w:bottom w:val="single" w:color="3B3B3B" w:sz="6" w:space="0"/>
                    <w:right w:val="single" w:color="3B3B3B" w:sz="6" w:space="0"/>
                  </w:tcBorders>
                  <w:vAlign w:val="center"/>
                </w:tcPr>
                <w:p w14:paraId="5031AF99">
                  <w:pPr>
                    <w:pStyle w:val="41"/>
                    <w:spacing w:before="122" w:line="187"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z w:val="21"/>
                      <w:szCs w:val="21"/>
                      <w:highlight w:val="none"/>
                    </w:rPr>
                    <w:t>1</w:t>
                  </w:r>
                </w:p>
              </w:tc>
              <w:tc>
                <w:tcPr>
                  <w:tcW w:w="1235" w:type="pct"/>
                  <w:gridSpan w:val="2"/>
                  <w:tcBorders>
                    <w:top w:val="single" w:color="3B3B3B" w:sz="6" w:space="0"/>
                    <w:left w:val="single" w:color="3B3B3B" w:sz="6" w:space="0"/>
                    <w:bottom w:val="single" w:color="3B3B3B" w:sz="6" w:space="0"/>
                    <w:right w:val="single" w:color="3B3B3B" w:sz="6" w:space="0"/>
                  </w:tcBorders>
                  <w:vAlign w:val="center"/>
                </w:tcPr>
                <w:p w14:paraId="076C5E29">
                  <w:pPr>
                    <w:pStyle w:val="41"/>
                    <w:spacing w:before="84" w:line="228" w:lineRule="auto"/>
                    <w:jc w:val="center"/>
                    <w:rPr>
                      <w:rFonts w:hint="default" w:ascii="Times New Roman" w:hAnsi="Times New Roman" w:eastAsia="宋体" w:cs="Times New Roman"/>
                      <w:b w:val="0"/>
                      <w:bCs w:val="0"/>
                      <w:sz w:val="21"/>
                      <w:szCs w:val="21"/>
                      <w:highlight w:val="none"/>
                      <w:lang w:eastAsia="zh-CN"/>
                    </w:rPr>
                  </w:pPr>
                  <w:r>
                    <w:rPr>
                      <w:rFonts w:hint="default" w:ascii="Times New Roman" w:hAnsi="Times New Roman" w:eastAsia="宋体" w:cs="Times New Roman"/>
                      <w:b w:val="0"/>
                      <w:bCs w:val="0"/>
                      <w:sz w:val="21"/>
                      <w:szCs w:val="21"/>
                      <w:highlight w:val="none"/>
                      <w:lang w:eastAsia="zh-CN"/>
                    </w:rPr>
                    <w:t>排水暗涵</w:t>
                  </w:r>
                </w:p>
              </w:tc>
              <w:tc>
                <w:tcPr>
                  <w:tcW w:w="1107" w:type="pct"/>
                  <w:tcBorders>
                    <w:top w:val="single" w:color="3B3B3B" w:sz="6" w:space="0"/>
                    <w:left w:val="single" w:color="3B3B3B" w:sz="6" w:space="0"/>
                    <w:bottom w:val="single" w:color="3B3B3B" w:sz="6" w:space="0"/>
                    <w:right w:val="single" w:color="3B3B3B" w:sz="6" w:space="0"/>
                  </w:tcBorders>
                  <w:vAlign w:val="center"/>
                </w:tcPr>
                <w:p w14:paraId="540039B4">
                  <w:pPr>
                    <w:pStyle w:val="41"/>
                    <w:spacing w:before="119" w:line="191"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lang w:val="en-US" w:eastAsia="zh-CN"/>
                    </w:rPr>
                    <w:t>1.5m×1.5m</w:t>
                  </w:r>
                </w:p>
              </w:tc>
              <w:tc>
                <w:tcPr>
                  <w:tcW w:w="358" w:type="pct"/>
                  <w:tcBorders>
                    <w:top w:val="single" w:color="3B3B3B" w:sz="6" w:space="0"/>
                    <w:left w:val="single" w:color="3B3B3B" w:sz="6" w:space="0"/>
                    <w:bottom w:val="single" w:color="3B3B3B" w:sz="6" w:space="0"/>
                    <w:right w:val="single" w:color="3B3B3B" w:sz="6" w:space="0"/>
                  </w:tcBorders>
                  <w:vAlign w:val="center"/>
                </w:tcPr>
                <w:p w14:paraId="6C96B41A">
                  <w:pPr>
                    <w:pStyle w:val="41"/>
                    <w:spacing w:before="167" w:line="158" w:lineRule="exact"/>
                    <w:jc w:val="center"/>
                    <w:rPr>
                      <w:rFonts w:hint="eastAsia"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m</w:t>
                  </w:r>
                </w:p>
              </w:tc>
              <w:tc>
                <w:tcPr>
                  <w:tcW w:w="581" w:type="pct"/>
                  <w:tcBorders>
                    <w:top w:val="single" w:color="3B3B3B" w:sz="6" w:space="0"/>
                    <w:left w:val="single" w:color="3B3B3B" w:sz="6" w:space="0"/>
                    <w:bottom w:val="single" w:color="3B3B3B" w:sz="6" w:space="0"/>
                    <w:right w:val="single" w:color="3B3B3B" w:sz="6" w:space="0"/>
                  </w:tcBorders>
                  <w:vAlign w:val="center"/>
                </w:tcPr>
                <w:p w14:paraId="49C5B910">
                  <w:pPr>
                    <w:pStyle w:val="41"/>
                    <w:spacing w:before="122" w:line="188"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lang w:val="en-US" w:eastAsia="zh-CN"/>
                    </w:rPr>
                    <w:t>1319</w:t>
                  </w:r>
                </w:p>
              </w:tc>
              <w:tc>
                <w:tcPr>
                  <w:tcW w:w="1462" w:type="pct"/>
                  <w:tcBorders>
                    <w:top w:val="single" w:color="3B3B3B" w:sz="6" w:space="0"/>
                    <w:left w:val="single" w:color="3B3B3B" w:sz="6" w:space="0"/>
                    <w:bottom w:val="single" w:color="3B3B3B" w:sz="6" w:space="0"/>
                  </w:tcBorders>
                  <w:vAlign w:val="center"/>
                </w:tcPr>
                <w:p w14:paraId="074A4DB3">
                  <w:pPr>
                    <w:pStyle w:val="41"/>
                    <w:spacing w:before="84" w:line="228" w:lineRule="auto"/>
                    <w:jc w:val="center"/>
                    <w:rPr>
                      <w:rFonts w:hint="eastAsia"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w:t>
                  </w:r>
                </w:p>
              </w:tc>
            </w:tr>
            <w:tr w14:paraId="4E9B6D4C">
              <w:tblPrEx>
                <w:tblBorders>
                  <w:top w:val="single" w:color="3B3B3B" w:sz="12" w:space="0"/>
                  <w:left w:val="none" w:color="auto" w:sz="0" w:space="0"/>
                  <w:bottom w:val="single" w:color="3B3B3B" w:sz="6" w:space="0"/>
                  <w:right w:val="none" w:color="auto" w:sz="0" w:space="0"/>
                  <w:insideH w:val="none" w:color="auto" w:sz="0" w:space="0"/>
                  <w:insideV w:val="none" w:color="auto" w:sz="0" w:space="0"/>
                </w:tblBorders>
                <w:tblCellMar>
                  <w:top w:w="0" w:type="dxa"/>
                  <w:left w:w="0" w:type="dxa"/>
                  <w:bottom w:w="0" w:type="dxa"/>
                  <w:right w:w="0" w:type="dxa"/>
                </w:tblCellMar>
              </w:tblPrEx>
              <w:trPr>
                <w:trHeight w:val="383" w:hRule="atLeast"/>
              </w:trPr>
              <w:tc>
                <w:tcPr>
                  <w:tcW w:w="5000" w:type="pct"/>
                  <w:gridSpan w:val="7"/>
                  <w:tcBorders>
                    <w:top w:val="single" w:color="3B3B3B" w:sz="6" w:space="0"/>
                    <w:bottom w:val="single" w:color="3B3B3B" w:sz="6" w:space="0"/>
                  </w:tcBorders>
                  <w:vAlign w:val="center"/>
                </w:tcPr>
                <w:p w14:paraId="0F18D1C0">
                  <w:pPr>
                    <w:pStyle w:val="41"/>
                    <w:spacing w:before="80" w:line="228" w:lineRule="auto"/>
                    <w:ind w:left="110"/>
                    <w:jc w:val="both"/>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9"/>
                      <w:sz w:val="21"/>
                      <w:szCs w:val="21"/>
                      <w:highlight w:val="none"/>
                      <w14:textOutline w14:w="3788" w14:cap="flat" w14:cmpd="sng">
                        <w14:solidFill>
                          <w14:srgbClr w14:val="3B3B3B"/>
                        </w14:solidFill>
                        <w14:prstDash w14:val="solid"/>
                        <w14:miter w14:val="0"/>
                      </w14:textOutline>
                    </w:rPr>
                    <w:t>三、胜利渠跨金线河段</w:t>
                  </w:r>
                </w:p>
              </w:tc>
            </w:tr>
            <w:tr w14:paraId="79F1AC23">
              <w:tblPrEx>
                <w:tblBorders>
                  <w:top w:val="single" w:color="3B3B3B" w:sz="12" w:space="0"/>
                  <w:left w:val="none" w:color="auto" w:sz="0" w:space="0"/>
                  <w:bottom w:val="single" w:color="3B3B3B" w:sz="6" w:space="0"/>
                  <w:right w:val="none" w:color="auto" w:sz="0" w:space="0"/>
                  <w:insideH w:val="none" w:color="auto" w:sz="0" w:space="0"/>
                  <w:insideV w:val="none" w:color="auto" w:sz="0" w:space="0"/>
                </w:tblBorders>
                <w:tblCellMar>
                  <w:top w:w="0" w:type="dxa"/>
                  <w:left w:w="0" w:type="dxa"/>
                  <w:bottom w:w="0" w:type="dxa"/>
                  <w:right w:w="0" w:type="dxa"/>
                </w:tblCellMar>
              </w:tblPrEx>
              <w:trPr>
                <w:trHeight w:val="381" w:hRule="atLeast"/>
              </w:trPr>
              <w:tc>
                <w:tcPr>
                  <w:tcW w:w="255" w:type="pct"/>
                  <w:tcBorders>
                    <w:top w:val="single" w:color="3B3B3B" w:sz="6" w:space="0"/>
                    <w:bottom w:val="single" w:color="3B3B3B" w:sz="6" w:space="0"/>
                    <w:right w:val="single" w:color="3B3B3B" w:sz="6" w:space="0"/>
                  </w:tcBorders>
                  <w:vAlign w:val="center"/>
                </w:tcPr>
                <w:p w14:paraId="45A9C9A3">
                  <w:pPr>
                    <w:pStyle w:val="41"/>
                    <w:spacing w:before="81" w:line="228"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3"/>
                      <w:sz w:val="21"/>
                      <w:szCs w:val="21"/>
                      <w:highlight w:val="none"/>
                    </w:rPr>
                    <w:t>编号</w:t>
                  </w:r>
                </w:p>
              </w:tc>
              <w:tc>
                <w:tcPr>
                  <w:tcW w:w="1233" w:type="pct"/>
                  <w:tcBorders>
                    <w:top w:val="single" w:color="3B3B3B" w:sz="6" w:space="0"/>
                    <w:left w:val="single" w:color="3B3B3B" w:sz="6" w:space="0"/>
                    <w:bottom w:val="single" w:color="3B3B3B" w:sz="6" w:space="0"/>
                    <w:right w:val="single" w:color="3B3B3B" w:sz="6" w:space="0"/>
                  </w:tcBorders>
                  <w:vAlign w:val="center"/>
                </w:tcPr>
                <w:p w14:paraId="1CD20065">
                  <w:pPr>
                    <w:pStyle w:val="41"/>
                    <w:spacing w:before="81" w:line="230"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3"/>
                      <w:sz w:val="21"/>
                      <w:szCs w:val="21"/>
                      <w:highlight w:val="none"/>
                    </w:rPr>
                    <w:t>名称</w:t>
                  </w:r>
                </w:p>
              </w:tc>
              <w:tc>
                <w:tcPr>
                  <w:tcW w:w="1110" w:type="pct"/>
                  <w:gridSpan w:val="2"/>
                  <w:tcBorders>
                    <w:top w:val="single" w:color="3B3B3B" w:sz="6" w:space="0"/>
                    <w:left w:val="single" w:color="3B3B3B" w:sz="6" w:space="0"/>
                    <w:bottom w:val="single" w:color="3B3B3B" w:sz="6" w:space="0"/>
                    <w:right w:val="single" w:color="3B3B3B" w:sz="6" w:space="0"/>
                  </w:tcBorders>
                  <w:vAlign w:val="center"/>
                </w:tcPr>
                <w:p w14:paraId="4F52CB39">
                  <w:pPr>
                    <w:pStyle w:val="41"/>
                    <w:spacing w:before="81" w:line="228"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4"/>
                      <w:sz w:val="21"/>
                      <w:szCs w:val="21"/>
                      <w:highlight w:val="none"/>
                    </w:rPr>
                    <w:t>规格</w:t>
                  </w:r>
                </w:p>
              </w:tc>
              <w:tc>
                <w:tcPr>
                  <w:tcW w:w="358" w:type="pct"/>
                  <w:tcBorders>
                    <w:top w:val="single" w:color="3B3B3B" w:sz="6" w:space="0"/>
                    <w:left w:val="single" w:color="3B3B3B" w:sz="6" w:space="0"/>
                    <w:bottom w:val="single" w:color="3B3B3B" w:sz="6" w:space="0"/>
                    <w:right w:val="single" w:color="3B3B3B" w:sz="6" w:space="0"/>
                  </w:tcBorders>
                  <w:vAlign w:val="center"/>
                </w:tcPr>
                <w:p w14:paraId="41ED2194">
                  <w:pPr>
                    <w:pStyle w:val="41"/>
                    <w:spacing w:before="82" w:line="228" w:lineRule="auto"/>
                    <w:ind w:left="116"/>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3"/>
                      <w:sz w:val="21"/>
                      <w:szCs w:val="21"/>
                      <w:highlight w:val="none"/>
                    </w:rPr>
                    <w:t>单位</w:t>
                  </w:r>
                </w:p>
              </w:tc>
              <w:tc>
                <w:tcPr>
                  <w:tcW w:w="581" w:type="pct"/>
                  <w:tcBorders>
                    <w:top w:val="single" w:color="3B3B3B" w:sz="6" w:space="0"/>
                    <w:left w:val="single" w:color="3B3B3B" w:sz="6" w:space="0"/>
                    <w:bottom w:val="single" w:color="3B3B3B" w:sz="6" w:space="0"/>
                    <w:right w:val="single" w:color="3B3B3B" w:sz="6" w:space="0"/>
                  </w:tcBorders>
                  <w:vAlign w:val="center"/>
                </w:tcPr>
                <w:p w14:paraId="70055095">
                  <w:pPr>
                    <w:pStyle w:val="41"/>
                    <w:spacing w:before="81" w:line="228"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3"/>
                      <w:sz w:val="21"/>
                      <w:szCs w:val="21"/>
                      <w:highlight w:val="none"/>
                    </w:rPr>
                    <w:t>数量</w:t>
                  </w:r>
                </w:p>
              </w:tc>
              <w:tc>
                <w:tcPr>
                  <w:tcW w:w="1462" w:type="pct"/>
                  <w:tcBorders>
                    <w:top w:val="single" w:color="3B3B3B" w:sz="6" w:space="0"/>
                    <w:left w:val="single" w:color="3B3B3B" w:sz="6" w:space="0"/>
                    <w:bottom w:val="single" w:color="3B3B3B" w:sz="6" w:space="0"/>
                  </w:tcBorders>
                  <w:vAlign w:val="center"/>
                </w:tcPr>
                <w:p w14:paraId="3888596C">
                  <w:pPr>
                    <w:pStyle w:val="41"/>
                    <w:spacing w:before="81" w:line="229"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3"/>
                      <w:sz w:val="21"/>
                      <w:szCs w:val="21"/>
                      <w:highlight w:val="none"/>
                    </w:rPr>
                    <w:t>备注</w:t>
                  </w:r>
                </w:p>
              </w:tc>
            </w:tr>
            <w:tr w14:paraId="0B0977FC">
              <w:tblPrEx>
                <w:tblBorders>
                  <w:top w:val="single" w:color="3B3B3B" w:sz="12" w:space="0"/>
                  <w:left w:val="none" w:color="auto" w:sz="0" w:space="0"/>
                  <w:bottom w:val="single" w:color="3B3B3B" w:sz="6" w:space="0"/>
                  <w:right w:val="none" w:color="auto" w:sz="0" w:space="0"/>
                  <w:insideH w:val="none" w:color="auto" w:sz="0" w:space="0"/>
                  <w:insideV w:val="none" w:color="auto" w:sz="0" w:space="0"/>
                </w:tblBorders>
                <w:tblCellMar>
                  <w:top w:w="0" w:type="dxa"/>
                  <w:left w:w="0" w:type="dxa"/>
                  <w:bottom w:w="0" w:type="dxa"/>
                  <w:right w:w="0" w:type="dxa"/>
                </w:tblCellMar>
              </w:tblPrEx>
              <w:trPr>
                <w:trHeight w:val="383" w:hRule="atLeast"/>
              </w:trPr>
              <w:tc>
                <w:tcPr>
                  <w:tcW w:w="255" w:type="pct"/>
                  <w:tcBorders>
                    <w:top w:val="single" w:color="3B3B3B" w:sz="6" w:space="0"/>
                    <w:bottom w:val="single" w:color="3B3B3B" w:sz="6" w:space="0"/>
                    <w:right w:val="single" w:color="3B3B3B" w:sz="6" w:space="0"/>
                  </w:tcBorders>
                  <w:vAlign w:val="center"/>
                </w:tcPr>
                <w:p w14:paraId="573BF668">
                  <w:pPr>
                    <w:spacing w:before="123" w:line="192"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z w:val="21"/>
                      <w:szCs w:val="21"/>
                      <w:highlight w:val="none"/>
                    </w:rPr>
                    <w:t>1</w:t>
                  </w:r>
                </w:p>
              </w:tc>
              <w:tc>
                <w:tcPr>
                  <w:tcW w:w="1233" w:type="pct"/>
                  <w:tcBorders>
                    <w:top w:val="single" w:color="3B3B3B" w:sz="6" w:space="0"/>
                    <w:left w:val="single" w:color="3B3B3B" w:sz="6" w:space="0"/>
                    <w:bottom w:val="single" w:color="3B3B3B" w:sz="6" w:space="0"/>
                    <w:right w:val="single" w:color="3B3B3B" w:sz="6" w:space="0"/>
                  </w:tcBorders>
                  <w:vAlign w:val="center"/>
                </w:tcPr>
                <w:p w14:paraId="1A079579">
                  <w:pPr>
                    <w:pStyle w:val="41"/>
                    <w:spacing w:before="84" w:line="228" w:lineRule="auto"/>
                    <w:jc w:val="center"/>
                    <w:rPr>
                      <w:rFonts w:hint="default" w:ascii="Times New Roman" w:hAnsi="Times New Roman" w:eastAsia="宋体" w:cs="Times New Roman"/>
                      <w:b w:val="0"/>
                      <w:bCs w:val="0"/>
                      <w:sz w:val="21"/>
                      <w:szCs w:val="21"/>
                      <w:highlight w:val="none"/>
                      <w:lang w:eastAsia="zh-CN"/>
                    </w:rPr>
                  </w:pPr>
                  <w:r>
                    <w:rPr>
                      <w:rFonts w:hint="default" w:ascii="Times New Roman" w:hAnsi="Times New Roman" w:eastAsia="宋体" w:cs="Times New Roman"/>
                      <w:b w:val="0"/>
                      <w:bCs w:val="0"/>
                      <w:sz w:val="21"/>
                      <w:szCs w:val="21"/>
                      <w:highlight w:val="none"/>
                      <w:lang w:eastAsia="zh-CN"/>
                    </w:rPr>
                    <w:t>地下暗渠</w:t>
                  </w:r>
                </w:p>
              </w:tc>
              <w:tc>
                <w:tcPr>
                  <w:tcW w:w="1110" w:type="pct"/>
                  <w:gridSpan w:val="2"/>
                  <w:tcBorders>
                    <w:top w:val="single" w:color="3B3B3B" w:sz="6" w:space="0"/>
                    <w:left w:val="single" w:color="3B3B3B" w:sz="6" w:space="0"/>
                    <w:bottom w:val="single" w:color="3B3B3B" w:sz="6" w:space="0"/>
                    <w:right w:val="single" w:color="3B3B3B" w:sz="6" w:space="0"/>
                  </w:tcBorders>
                  <w:vAlign w:val="center"/>
                </w:tcPr>
                <w:p w14:paraId="2601CAF1">
                  <w:pPr>
                    <w:spacing w:before="123" w:line="192" w:lineRule="auto"/>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sz w:val="21"/>
                      <w:szCs w:val="21"/>
                      <w:highlight w:val="none"/>
                      <w:lang w:val="en-US" w:eastAsia="zh-CN"/>
                    </w:rPr>
                    <w:t>1.5m×3m</w:t>
                  </w:r>
                </w:p>
              </w:tc>
              <w:tc>
                <w:tcPr>
                  <w:tcW w:w="358" w:type="pct"/>
                  <w:tcBorders>
                    <w:top w:val="single" w:color="3B3B3B" w:sz="6" w:space="0"/>
                    <w:left w:val="single" w:color="3B3B3B" w:sz="6" w:space="0"/>
                    <w:bottom w:val="single" w:color="3B3B3B" w:sz="6" w:space="0"/>
                    <w:right w:val="single" w:color="3B3B3B" w:sz="6" w:space="0"/>
                  </w:tcBorders>
                  <w:vAlign w:val="center"/>
                </w:tcPr>
                <w:p w14:paraId="18E0EBEA">
                  <w:pPr>
                    <w:pStyle w:val="41"/>
                    <w:spacing w:before="84" w:line="228" w:lineRule="auto"/>
                    <w:jc w:val="center"/>
                    <w:rPr>
                      <w:rFonts w:hint="eastAsia"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m</w:t>
                  </w:r>
                </w:p>
              </w:tc>
              <w:tc>
                <w:tcPr>
                  <w:tcW w:w="581" w:type="pct"/>
                  <w:tcBorders>
                    <w:top w:val="single" w:color="3B3B3B" w:sz="6" w:space="0"/>
                    <w:left w:val="single" w:color="3B3B3B" w:sz="6" w:space="0"/>
                    <w:bottom w:val="single" w:color="3B3B3B" w:sz="6" w:space="0"/>
                    <w:right w:val="single" w:color="3B3B3B" w:sz="6" w:space="0"/>
                  </w:tcBorders>
                  <w:vAlign w:val="center"/>
                </w:tcPr>
                <w:p w14:paraId="635BC5EB">
                  <w:pPr>
                    <w:spacing w:before="123" w:line="192"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sz w:val="21"/>
                      <w:szCs w:val="21"/>
                      <w:highlight w:val="none"/>
                      <w:lang w:val="en-US" w:eastAsia="zh-CN"/>
                    </w:rPr>
                    <w:t>30</w:t>
                  </w:r>
                </w:p>
              </w:tc>
              <w:tc>
                <w:tcPr>
                  <w:tcW w:w="1462" w:type="pct"/>
                  <w:tcBorders>
                    <w:top w:val="single" w:color="3B3B3B" w:sz="6" w:space="0"/>
                    <w:left w:val="single" w:color="3B3B3B" w:sz="6" w:space="0"/>
                    <w:bottom w:val="single" w:color="3B3B3B" w:sz="6" w:space="0"/>
                  </w:tcBorders>
                  <w:vAlign w:val="center"/>
                </w:tcPr>
                <w:p w14:paraId="5AC1CD32">
                  <w:pPr>
                    <w:pStyle w:val="41"/>
                    <w:spacing w:before="84" w:line="228" w:lineRule="auto"/>
                    <w:jc w:val="center"/>
                    <w:rPr>
                      <w:rFonts w:hint="eastAsia"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w:t>
                  </w:r>
                </w:p>
              </w:tc>
            </w:tr>
            <w:tr w14:paraId="724C1C10">
              <w:tblPrEx>
                <w:tblBorders>
                  <w:top w:val="single" w:color="3B3B3B" w:sz="12" w:space="0"/>
                  <w:left w:val="none" w:color="auto" w:sz="0" w:space="0"/>
                  <w:bottom w:val="single" w:color="3B3B3B" w:sz="6" w:space="0"/>
                  <w:right w:val="none" w:color="auto" w:sz="0" w:space="0"/>
                  <w:insideH w:val="none" w:color="auto" w:sz="0" w:space="0"/>
                  <w:insideV w:val="none" w:color="auto" w:sz="0" w:space="0"/>
                </w:tblBorders>
                <w:tblCellMar>
                  <w:top w:w="0" w:type="dxa"/>
                  <w:left w:w="0" w:type="dxa"/>
                  <w:bottom w:w="0" w:type="dxa"/>
                  <w:right w:w="0" w:type="dxa"/>
                </w:tblCellMar>
              </w:tblPrEx>
              <w:trPr>
                <w:trHeight w:val="323" w:hRule="atLeast"/>
              </w:trPr>
              <w:tc>
                <w:tcPr>
                  <w:tcW w:w="5000" w:type="pct"/>
                  <w:gridSpan w:val="7"/>
                  <w:tcBorders>
                    <w:top w:val="single" w:color="3B3B3B" w:sz="6" w:space="0"/>
                    <w:bottom w:val="single" w:color="3B3B3B" w:sz="6" w:space="0"/>
                  </w:tcBorders>
                  <w:vAlign w:val="center"/>
                </w:tcPr>
                <w:p w14:paraId="075B08FF">
                  <w:pPr>
                    <w:pStyle w:val="41"/>
                    <w:spacing w:before="55" w:line="228" w:lineRule="auto"/>
                    <w:ind w:left="130"/>
                    <w:jc w:val="both"/>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8"/>
                      <w:sz w:val="21"/>
                      <w:szCs w:val="21"/>
                      <w:highlight w:val="none"/>
                      <w14:textOutline w14:w="3788" w14:cap="flat" w14:cmpd="sng">
                        <w14:solidFill>
                          <w14:srgbClr w14:val="3B3B3B"/>
                        </w14:solidFill>
                        <w14:prstDash w14:val="solid"/>
                        <w14:miter w14:val="0"/>
                      </w14:textOutline>
                    </w:rPr>
                    <w:t>四、老万金渠</w:t>
                  </w:r>
                  <w:r>
                    <w:rPr>
                      <w:rFonts w:hint="default" w:ascii="Times New Roman" w:hAnsi="Times New Roman" w:eastAsia="宋体" w:cs="Times New Roman"/>
                      <w:b w:val="0"/>
                      <w:bCs w:val="0"/>
                      <w:color w:val="3B3B3B"/>
                      <w:spacing w:val="8"/>
                      <w:sz w:val="21"/>
                      <w:szCs w:val="21"/>
                      <w:highlight w:val="none"/>
                      <w14:textOutline w14:w="3175" w14:cap="flat" w14:cmpd="sng">
                        <w14:solidFill>
                          <w14:srgbClr w14:val="3B3B3B"/>
                        </w14:solidFill>
                        <w14:prstDash w14:val="solid"/>
                        <w14:miter w14:val="0"/>
                      </w14:textOutline>
                    </w:rPr>
                    <w:t>(</w:t>
                  </w:r>
                  <w:r>
                    <w:rPr>
                      <w:rFonts w:hint="default" w:ascii="Times New Roman" w:hAnsi="Times New Roman" w:eastAsia="宋体" w:cs="Times New Roman"/>
                      <w:b w:val="0"/>
                      <w:bCs w:val="0"/>
                      <w:color w:val="3B3B3B"/>
                      <w:spacing w:val="8"/>
                      <w:sz w:val="21"/>
                      <w:szCs w:val="21"/>
                      <w:highlight w:val="none"/>
                      <w14:textOutline w14:w="3788" w14:cap="flat" w14:cmpd="sng">
                        <w14:solidFill>
                          <w14:srgbClr w14:val="3B3B3B"/>
                        </w14:solidFill>
                        <w14:prstDash w14:val="solid"/>
                        <w14:miter w14:val="0"/>
                      </w14:textOutline>
                    </w:rPr>
                    <w:t>万金花园西南侧以及新城御景北侧</w:t>
                  </w:r>
                  <w:r>
                    <w:rPr>
                      <w:rFonts w:hint="eastAsia" w:ascii="Times New Roman" w:hAnsi="Times New Roman" w:eastAsia="宋体" w:cs="Times New Roman"/>
                      <w:b w:val="0"/>
                      <w:bCs w:val="0"/>
                      <w:color w:val="3B3B3B"/>
                      <w:spacing w:val="8"/>
                      <w:sz w:val="21"/>
                      <w:szCs w:val="21"/>
                      <w:highlight w:val="none"/>
                      <w:lang w:eastAsia="zh-CN"/>
                      <w14:textOutline w14:w="3788" w14:cap="flat" w14:cmpd="sng">
                        <w14:solidFill>
                          <w14:srgbClr w14:val="3B3B3B"/>
                        </w14:solidFill>
                        <w14:prstDash w14:val="solid"/>
                        <w14:miter w14:val="0"/>
                      </w14:textOutline>
                    </w:rPr>
                    <w:t>段</w:t>
                  </w:r>
                  <w:r>
                    <w:rPr>
                      <w:rFonts w:hint="default" w:ascii="Times New Roman" w:hAnsi="Times New Roman" w:eastAsia="宋体" w:cs="Times New Roman"/>
                      <w:b w:val="0"/>
                      <w:bCs w:val="0"/>
                      <w:color w:val="3B3B3B"/>
                      <w:spacing w:val="8"/>
                      <w:sz w:val="21"/>
                      <w:szCs w:val="21"/>
                      <w:highlight w:val="none"/>
                      <w14:textOutline w14:w="3175" w14:cap="flat" w14:cmpd="sng">
                        <w14:solidFill>
                          <w14:srgbClr w14:val="3B3B3B"/>
                        </w14:solidFill>
                        <w14:prstDash w14:val="solid"/>
                        <w14:miter w14:val="0"/>
                      </w14:textOutline>
                    </w:rPr>
                    <w:t>)</w:t>
                  </w:r>
                </w:p>
              </w:tc>
            </w:tr>
            <w:tr w14:paraId="5C611446">
              <w:tblPrEx>
                <w:tblBorders>
                  <w:top w:val="single" w:color="3B3B3B" w:sz="12" w:space="0"/>
                  <w:left w:val="none" w:color="auto" w:sz="0" w:space="0"/>
                  <w:bottom w:val="single" w:color="3B3B3B" w:sz="6" w:space="0"/>
                  <w:right w:val="none" w:color="auto" w:sz="0" w:space="0"/>
                  <w:insideH w:val="none" w:color="auto" w:sz="0" w:space="0"/>
                  <w:insideV w:val="none" w:color="auto" w:sz="0" w:space="0"/>
                </w:tblBorders>
                <w:tblCellMar>
                  <w:top w:w="0" w:type="dxa"/>
                  <w:left w:w="0" w:type="dxa"/>
                  <w:bottom w:w="0" w:type="dxa"/>
                  <w:right w:w="0" w:type="dxa"/>
                </w:tblCellMar>
              </w:tblPrEx>
              <w:trPr>
                <w:trHeight w:val="309" w:hRule="atLeast"/>
              </w:trPr>
              <w:tc>
                <w:tcPr>
                  <w:tcW w:w="255" w:type="pct"/>
                  <w:tcBorders>
                    <w:top w:val="single" w:color="3B3B3B" w:sz="6" w:space="0"/>
                    <w:bottom w:val="single" w:color="3B3B3B" w:sz="6" w:space="0"/>
                    <w:right w:val="single" w:color="3B3B3B" w:sz="6" w:space="0"/>
                  </w:tcBorders>
                  <w:vAlign w:val="center"/>
                </w:tcPr>
                <w:p w14:paraId="538A5D90">
                  <w:pPr>
                    <w:pStyle w:val="41"/>
                    <w:spacing w:before="48" w:line="229"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5"/>
                      <w:sz w:val="21"/>
                      <w:szCs w:val="21"/>
                      <w:highlight w:val="none"/>
                    </w:rPr>
                    <w:t>序号</w:t>
                  </w:r>
                </w:p>
              </w:tc>
              <w:tc>
                <w:tcPr>
                  <w:tcW w:w="1233" w:type="pct"/>
                  <w:tcBorders>
                    <w:top w:val="single" w:color="3B3B3B" w:sz="6" w:space="0"/>
                    <w:left w:val="single" w:color="3B3B3B" w:sz="6" w:space="0"/>
                    <w:bottom w:val="single" w:color="3B3B3B" w:sz="6" w:space="0"/>
                    <w:right w:val="single" w:color="3B3B3B" w:sz="6" w:space="0"/>
                  </w:tcBorders>
                  <w:vAlign w:val="center"/>
                </w:tcPr>
                <w:p w14:paraId="4C369278">
                  <w:pPr>
                    <w:pStyle w:val="41"/>
                    <w:spacing w:before="48" w:line="230"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3"/>
                      <w:sz w:val="21"/>
                      <w:szCs w:val="21"/>
                      <w:highlight w:val="none"/>
                    </w:rPr>
                    <w:t>名称</w:t>
                  </w:r>
                </w:p>
              </w:tc>
              <w:tc>
                <w:tcPr>
                  <w:tcW w:w="1110" w:type="pct"/>
                  <w:gridSpan w:val="2"/>
                  <w:tcBorders>
                    <w:top w:val="single" w:color="3B3B3B" w:sz="6" w:space="0"/>
                    <w:left w:val="single" w:color="3B3B3B" w:sz="6" w:space="0"/>
                    <w:bottom w:val="single" w:color="3B3B3B" w:sz="6" w:space="0"/>
                    <w:right w:val="single" w:color="3B3B3B" w:sz="6" w:space="0"/>
                  </w:tcBorders>
                  <w:vAlign w:val="center"/>
                </w:tcPr>
                <w:p w14:paraId="717B9291">
                  <w:pPr>
                    <w:pStyle w:val="41"/>
                    <w:spacing w:before="48" w:line="228"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4"/>
                      <w:sz w:val="21"/>
                      <w:szCs w:val="21"/>
                      <w:highlight w:val="none"/>
                    </w:rPr>
                    <w:t>规格</w:t>
                  </w:r>
                </w:p>
              </w:tc>
              <w:tc>
                <w:tcPr>
                  <w:tcW w:w="358" w:type="pct"/>
                  <w:tcBorders>
                    <w:top w:val="single" w:color="3B3B3B" w:sz="6" w:space="0"/>
                    <w:left w:val="single" w:color="3B3B3B" w:sz="6" w:space="0"/>
                    <w:bottom w:val="single" w:color="3B3B3B" w:sz="6" w:space="0"/>
                    <w:right w:val="single" w:color="3B3B3B" w:sz="6" w:space="0"/>
                  </w:tcBorders>
                  <w:vAlign w:val="center"/>
                </w:tcPr>
                <w:p w14:paraId="5588D6B3">
                  <w:pPr>
                    <w:pStyle w:val="41"/>
                    <w:spacing w:before="49" w:line="228"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3"/>
                      <w:sz w:val="21"/>
                      <w:szCs w:val="21"/>
                      <w:highlight w:val="none"/>
                    </w:rPr>
                    <w:t>单位</w:t>
                  </w:r>
                </w:p>
              </w:tc>
              <w:tc>
                <w:tcPr>
                  <w:tcW w:w="581" w:type="pct"/>
                  <w:tcBorders>
                    <w:top w:val="single" w:color="3B3B3B" w:sz="6" w:space="0"/>
                    <w:left w:val="single" w:color="3B3B3B" w:sz="6" w:space="0"/>
                    <w:bottom w:val="single" w:color="3B3B3B" w:sz="6" w:space="0"/>
                    <w:right w:val="single" w:color="3B3B3B" w:sz="6" w:space="0"/>
                  </w:tcBorders>
                  <w:vAlign w:val="center"/>
                </w:tcPr>
                <w:p w14:paraId="78143CD9">
                  <w:pPr>
                    <w:pStyle w:val="41"/>
                    <w:spacing w:before="48" w:line="228"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3"/>
                      <w:sz w:val="21"/>
                      <w:szCs w:val="21"/>
                      <w:highlight w:val="none"/>
                    </w:rPr>
                    <w:t>数量</w:t>
                  </w:r>
                </w:p>
              </w:tc>
              <w:tc>
                <w:tcPr>
                  <w:tcW w:w="1462" w:type="pct"/>
                  <w:tcBorders>
                    <w:top w:val="single" w:color="3B3B3B" w:sz="6" w:space="0"/>
                    <w:left w:val="single" w:color="3B3B3B" w:sz="6" w:space="0"/>
                    <w:bottom w:val="single" w:color="3B3B3B" w:sz="6" w:space="0"/>
                  </w:tcBorders>
                  <w:vAlign w:val="center"/>
                </w:tcPr>
                <w:p w14:paraId="38428DE9">
                  <w:pPr>
                    <w:pStyle w:val="41"/>
                    <w:spacing w:before="48" w:line="229"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3"/>
                      <w:sz w:val="21"/>
                      <w:szCs w:val="21"/>
                      <w:highlight w:val="none"/>
                    </w:rPr>
                    <w:t>备注</w:t>
                  </w:r>
                </w:p>
              </w:tc>
            </w:tr>
            <w:tr w14:paraId="2E8A8C89">
              <w:tblPrEx>
                <w:tblBorders>
                  <w:top w:val="single" w:color="3B3B3B" w:sz="12" w:space="0"/>
                  <w:left w:val="none" w:color="auto" w:sz="0" w:space="0"/>
                  <w:bottom w:val="single" w:color="3B3B3B" w:sz="6" w:space="0"/>
                  <w:right w:val="none" w:color="auto" w:sz="0" w:space="0"/>
                  <w:insideH w:val="none" w:color="auto" w:sz="0" w:space="0"/>
                  <w:insideV w:val="none" w:color="auto" w:sz="0" w:space="0"/>
                </w:tblBorders>
                <w:tblCellMar>
                  <w:top w:w="0" w:type="dxa"/>
                  <w:left w:w="0" w:type="dxa"/>
                  <w:bottom w:w="0" w:type="dxa"/>
                  <w:right w:w="0" w:type="dxa"/>
                </w:tblCellMar>
              </w:tblPrEx>
              <w:trPr>
                <w:trHeight w:val="385" w:hRule="atLeast"/>
              </w:trPr>
              <w:tc>
                <w:tcPr>
                  <w:tcW w:w="255" w:type="pct"/>
                  <w:tcBorders>
                    <w:top w:val="single" w:color="3B3B3B" w:sz="6" w:space="0"/>
                    <w:bottom w:val="single" w:color="3B3B3B" w:sz="6" w:space="0"/>
                    <w:right w:val="single" w:color="3B3B3B" w:sz="6" w:space="0"/>
                  </w:tcBorders>
                  <w:vAlign w:val="center"/>
                </w:tcPr>
                <w:p w14:paraId="2E12E6E8">
                  <w:pPr>
                    <w:spacing w:before="126" w:line="192"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z w:val="21"/>
                      <w:szCs w:val="21"/>
                      <w:highlight w:val="none"/>
                    </w:rPr>
                    <w:t>1</w:t>
                  </w:r>
                </w:p>
              </w:tc>
              <w:tc>
                <w:tcPr>
                  <w:tcW w:w="1233" w:type="pct"/>
                  <w:tcBorders>
                    <w:top w:val="single" w:color="3B3B3B" w:sz="6" w:space="0"/>
                    <w:left w:val="single" w:color="3B3B3B" w:sz="6" w:space="0"/>
                    <w:bottom w:val="single" w:color="3B3B3B" w:sz="6" w:space="0"/>
                    <w:right w:val="single" w:color="3B3B3B" w:sz="6" w:space="0"/>
                  </w:tcBorders>
                  <w:vAlign w:val="center"/>
                </w:tcPr>
                <w:p w14:paraId="146179B2">
                  <w:pPr>
                    <w:pStyle w:val="41"/>
                    <w:spacing w:before="87" w:line="228" w:lineRule="auto"/>
                    <w:jc w:val="center"/>
                    <w:rPr>
                      <w:rFonts w:hint="eastAsia" w:ascii="Times New Roman" w:hAnsi="Times New Roman" w:eastAsia="宋体" w:cs="Times New Roman"/>
                      <w:b w:val="0"/>
                      <w:bCs w:val="0"/>
                      <w:sz w:val="21"/>
                      <w:szCs w:val="21"/>
                      <w:highlight w:val="none"/>
                      <w:lang w:eastAsia="zh-CN"/>
                    </w:rPr>
                  </w:pPr>
                  <w:r>
                    <w:rPr>
                      <w:rFonts w:hint="default" w:ascii="Times New Roman" w:hAnsi="Times New Roman" w:eastAsia="宋体" w:cs="Times New Roman"/>
                      <w:b w:val="0"/>
                      <w:bCs w:val="0"/>
                      <w:color w:val="3B3B3B"/>
                      <w:spacing w:val="8"/>
                      <w:sz w:val="21"/>
                      <w:szCs w:val="21"/>
                      <w:highlight w:val="none"/>
                    </w:rPr>
                    <w:t>河道</w:t>
                  </w:r>
                  <w:r>
                    <w:rPr>
                      <w:rFonts w:hint="eastAsia" w:ascii="Times New Roman" w:hAnsi="Times New Roman" w:cs="Times New Roman"/>
                      <w:b w:val="0"/>
                      <w:bCs w:val="0"/>
                      <w:color w:val="3B3B3B"/>
                      <w:spacing w:val="8"/>
                      <w:sz w:val="21"/>
                      <w:szCs w:val="21"/>
                      <w:highlight w:val="none"/>
                      <w:lang w:eastAsia="zh-CN"/>
                    </w:rPr>
                    <w:t>疏浚</w:t>
                  </w:r>
                </w:p>
              </w:tc>
              <w:tc>
                <w:tcPr>
                  <w:tcW w:w="1110" w:type="pct"/>
                  <w:gridSpan w:val="2"/>
                  <w:tcBorders>
                    <w:top w:val="single" w:color="3B3B3B" w:sz="6" w:space="0"/>
                    <w:left w:val="single" w:color="3B3B3B" w:sz="6" w:space="0"/>
                    <w:bottom w:val="single" w:color="3B3B3B" w:sz="6" w:space="0"/>
                    <w:right w:val="single" w:color="3B3B3B" w:sz="6" w:space="0"/>
                  </w:tcBorders>
                  <w:vAlign w:val="center"/>
                </w:tcPr>
                <w:p w14:paraId="5BA9CEAC">
                  <w:pPr>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w:t>
                  </w:r>
                </w:p>
              </w:tc>
              <w:tc>
                <w:tcPr>
                  <w:tcW w:w="358" w:type="pct"/>
                  <w:tcBorders>
                    <w:top w:val="single" w:color="3B3B3B" w:sz="6" w:space="0"/>
                    <w:left w:val="single" w:color="3B3B3B" w:sz="6" w:space="0"/>
                    <w:bottom w:val="single" w:color="3B3B3B" w:sz="6" w:space="0"/>
                    <w:right w:val="single" w:color="3B3B3B" w:sz="6" w:space="0"/>
                  </w:tcBorders>
                  <w:vAlign w:val="center"/>
                </w:tcPr>
                <w:p w14:paraId="6C7226D3">
                  <w:pPr>
                    <w:spacing w:before="126" w:line="192" w:lineRule="auto"/>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sz w:val="21"/>
                      <w:szCs w:val="21"/>
                      <w:highlight w:val="none"/>
                      <w:lang w:val="en-US" w:eastAsia="zh-CN"/>
                    </w:rPr>
                    <w:t>m</w:t>
                  </w:r>
                </w:p>
              </w:tc>
              <w:tc>
                <w:tcPr>
                  <w:tcW w:w="581" w:type="pct"/>
                  <w:tcBorders>
                    <w:top w:val="single" w:color="3B3B3B" w:sz="6" w:space="0"/>
                    <w:left w:val="single" w:color="3B3B3B" w:sz="6" w:space="0"/>
                    <w:bottom w:val="single" w:color="3B3B3B" w:sz="6" w:space="0"/>
                    <w:right w:val="single" w:color="3B3B3B" w:sz="6" w:space="0"/>
                  </w:tcBorders>
                  <w:vAlign w:val="center"/>
                </w:tcPr>
                <w:p w14:paraId="77F187AB">
                  <w:pPr>
                    <w:spacing w:before="126" w:line="192" w:lineRule="auto"/>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sz w:val="21"/>
                      <w:szCs w:val="21"/>
                      <w:highlight w:val="none"/>
                      <w:lang w:val="en-US" w:eastAsia="zh-CN"/>
                    </w:rPr>
                    <w:t>605</w:t>
                  </w:r>
                </w:p>
              </w:tc>
              <w:tc>
                <w:tcPr>
                  <w:tcW w:w="1462" w:type="pct"/>
                  <w:tcBorders>
                    <w:top w:val="single" w:color="3B3B3B" w:sz="6" w:space="0"/>
                    <w:left w:val="single" w:color="3B3B3B" w:sz="6" w:space="0"/>
                    <w:bottom w:val="single" w:color="3B3B3B" w:sz="6" w:space="0"/>
                  </w:tcBorders>
                  <w:vAlign w:val="center"/>
                </w:tcPr>
                <w:p w14:paraId="27322446">
                  <w:pPr>
                    <w:jc w:val="center"/>
                    <w:rPr>
                      <w:rFonts w:hint="eastAsia"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w:t>
                  </w:r>
                </w:p>
              </w:tc>
            </w:tr>
            <w:tr w14:paraId="36371FB1">
              <w:tblPrEx>
                <w:tblBorders>
                  <w:top w:val="single" w:color="3B3B3B" w:sz="12" w:space="0"/>
                  <w:left w:val="none" w:color="auto" w:sz="0" w:space="0"/>
                  <w:bottom w:val="single" w:color="3B3B3B" w:sz="6" w:space="0"/>
                  <w:right w:val="none" w:color="auto" w:sz="0" w:space="0"/>
                  <w:insideH w:val="none" w:color="auto" w:sz="0" w:space="0"/>
                  <w:insideV w:val="none" w:color="auto" w:sz="0" w:space="0"/>
                </w:tblBorders>
                <w:tblCellMar>
                  <w:top w:w="0" w:type="dxa"/>
                  <w:left w:w="0" w:type="dxa"/>
                  <w:bottom w:w="0" w:type="dxa"/>
                  <w:right w:w="0" w:type="dxa"/>
                </w:tblCellMar>
              </w:tblPrEx>
              <w:trPr>
                <w:trHeight w:val="385" w:hRule="atLeast"/>
              </w:trPr>
              <w:tc>
                <w:tcPr>
                  <w:tcW w:w="255" w:type="pct"/>
                  <w:tcBorders>
                    <w:top w:val="single" w:color="3B3B3B" w:sz="6" w:space="0"/>
                    <w:bottom w:val="single" w:color="3B3B3B" w:sz="6" w:space="0"/>
                    <w:right w:val="single" w:color="3B3B3B" w:sz="6" w:space="0"/>
                  </w:tcBorders>
                  <w:vAlign w:val="center"/>
                </w:tcPr>
                <w:p w14:paraId="136FD005">
                  <w:pPr>
                    <w:spacing w:before="127" w:line="192"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z w:val="21"/>
                      <w:szCs w:val="21"/>
                      <w:highlight w:val="none"/>
                    </w:rPr>
                    <w:t>2</w:t>
                  </w:r>
                </w:p>
              </w:tc>
              <w:tc>
                <w:tcPr>
                  <w:tcW w:w="1233" w:type="pct"/>
                  <w:tcBorders>
                    <w:top w:val="single" w:color="3B3B3B" w:sz="6" w:space="0"/>
                    <w:left w:val="single" w:color="3B3B3B" w:sz="6" w:space="0"/>
                    <w:bottom w:val="single" w:color="3B3B3B" w:sz="6" w:space="0"/>
                    <w:right w:val="single" w:color="3B3B3B" w:sz="6" w:space="0"/>
                  </w:tcBorders>
                  <w:vAlign w:val="center"/>
                </w:tcPr>
                <w:p w14:paraId="2C110A71">
                  <w:pPr>
                    <w:pStyle w:val="41"/>
                    <w:spacing w:before="88" w:line="221"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6"/>
                      <w:sz w:val="21"/>
                      <w:szCs w:val="21"/>
                      <w:highlight w:val="none"/>
                    </w:rPr>
                    <w:t>河底防护</w:t>
                  </w:r>
                </w:p>
              </w:tc>
              <w:tc>
                <w:tcPr>
                  <w:tcW w:w="1110" w:type="pct"/>
                  <w:gridSpan w:val="2"/>
                  <w:tcBorders>
                    <w:top w:val="single" w:color="3B3B3B" w:sz="6" w:space="0"/>
                    <w:left w:val="single" w:color="3B3B3B" w:sz="6" w:space="0"/>
                    <w:bottom w:val="single" w:color="3B3B3B" w:sz="6" w:space="0"/>
                    <w:right w:val="single" w:color="3B3B3B" w:sz="6" w:space="0"/>
                  </w:tcBorders>
                  <w:vAlign w:val="center"/>
                </w:tcPr>
                <w:p w14:paraId="7B859032">
                  <w:pPr>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w:t>
                  </w:r>
                </w:p>
              </w:tc>
              <w:tc>
                <w:tcPr>
                  <w:tcW w:w="358" w:type="pct"/>
                  <w:tcBorders>
                    <w:top w:val="single" w:color="3B3B3B" w:sz="6" w:space="0"/>
                    <w:left w:val="single" w:color="3B3B3B" w:sz="6" w:space="0"/>
                    <w:bottom w:val="single" w:color="3B3B3B" w:sz="6" w:space="0"/>
                    <w:right w:val="single" w:color="3B3B3B" w:sz="6" w:space="0"/>
                  </w:tcBorders>
                  <w:vAlign w:val="center"/>
                </w:tcPr>
                <w:p w14:paraId="0E20D1C5">
                  <w:pPr>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sz w:val="21"/>
                      <w:szCs w:val="21"/>
                      <w:highlight w:val="none"/>
                      <w:lang w:val="en-US" w:eastAsia="zh-CN"/>
                    </w:rPr>
                    <w:t>m</w:t>
                  </w:r>
                </w:p>
              </w:tc>
              <w:tc>
                <w:tcPr>
                  <w:tcW w:w="581" w:type="pct"/>
                  <w:tcBorders>
                    <w:top w:val="single" w:color="3B3B3B" w:sz="6" w:space="0"/>
                    <w:left w:val="single" w:color="3B3B3B" w:sz="6" w:space="0"/>
                    <w:bottom w:val="single" w:color="3B3B3B" w:sz="6" w:space="0"/>
                    <w:right w:val="single" w:color="3B3B3B" w:sz="6" w:space="0"/>
                  </w:tcBorders>
                  <w:vAlign w:val="center"/>
                </w:tcPr>
                <w:p w14:paraId="6026706D">
                  <w:pPr>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sz w:val="21"/>
                      <w:szCs w:val="21"/>
                      <w:highlight w:val="none"/>
                      <w:lang w:val="en-US" w:eastAsia="zh-CN"/>
                    </w:rPr>
                    <w:t>605</w:t>
                  </w:r>
                </w:p>
              </w:tc>
              <w:tc>
                <w:tcPr>
                  <w:tcW w:w="1462" w:type="pct"/>
                  <w:tcBorders>
                    <w:top w:val="single" w:color="3B3B3B" w:sz="6" w:space="0"/>
                    <w:left w:val="single" w:color="3B3B3B" w:sz="6" w:space="0"/>
                    <w:bottom w:val="single" w:color="3B3B3B" w:sz="6" w:space="0"/>
                  </w:tcBorders>
                  <w:vAlign w:val="center"/>
                </w:tcPr>
                <w:p w14:paraId="741005AE">
                  <w:pPr>
                    <w:jc w:val="center"/>
                    <w:rPr>
                      <w:rFonts w:hint="eastAsia"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w:t>
                  </w:r>
                </w:p>
              </w:tc>
            </w:tr>
            <w:tr w14:paraId="12F4EE1D">
              <w:tblPrEx>
                <w:tblBorders>
                  <w:top w:val="single" w:color="3B3B3B" w:sz="12" w:space="0"/>
                  <w:left w:val="none" w:color="auto" w:sz="0" w:space="0"/>
                  <w:bottom w:val="single" w:color="3B3B3B" w:sz="6" w:space="0"/>
                  <w:right w:val="none" w:color="auto" w:sz="0" w:space="0"/>
                  <w:insideH w:val="none" w:color="auto" w:sz="0" w:space="0"/>
                  <w:insideV w:val="none" w:color="auto" w:sz="0" w:space="0"/>
                </w:tblBorders>
                <w:tblCellMar>
                  <w:top w:w="0" w:type="dxa"/>
                  <w:left w:w="0" w:type="dxa"/>
                  <w:bottom w:w="0" w:type="dxa"/>
                  <w:right w:w="0" w:type="dxa"/>
                </w:tblCellMar>
              </w:tblPrEx>
              <w:trPr>
                <w:trHeight w:val="385" w:hRule="atLeast"/>
              </w:trPr>
              <w:tc>
                <w:tcPr>
                  <w:tcW w:w="255" w:type="pct"/>
                  <w:tcBorders>
                    <w:top w:val="single" w:color="3B3B3B" w:sz="6" w:space="0"/>
                    <w:bottom w:val="single" w:color="3B3B3B" w:sz="6" w:space="0"/>
                    <w:right w:val="single" w:color="3B3B3B" w:sz="6" w:space="0"/>
                  </w:tcBorders>
                  <w:vAlign w:val="center"/>
                </w:tcPr>
                <w:p w14:paraId="0414F681">
                  <w:pPr>
                    <w:spacing w:before="130" w:line="192"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z w:val="21"/>
                      <w:szCs w:val="21"/>
                      <w:highlight w:val="none"/>
                    </w:rPr>
                    <w:t>3</w:t>
                  </w:r>
                </w:p>
              </w:tc>
              <w:tc>
                <w:tcPr>
                  <w:tcW w:w="1233" w:type="pct"/>
                  <w:tcBorders>
                    <w:top w:val="single" w:color="3B3B3B" w:sz="6" w:space="0"/>
                    <w:left w:val="single" w:color="3B3B3B" w:sz="6" w:space="0"/>
                    <w:bottom w:val="single" w:color="3B3B3B" w:sz="6" w:space="0"/>
                    <w:right w:val="single" w:color="3B3B3B" w:sz="6" w:space="0"/>
                  </w:tcBorders>
                  <w:vAlign w:val="center"/>
                </w:tcPr>
                <w:p w14:paraId="5ABFDA42">
                  <w:pPr>
                    <w:pStyle w:val="41"/>
                    <w:spacing w:before="91" w:line="228" w:lineRule="auto"/>
                    <w:jc w:val="center"/>
                    <w:rPr>
                      <w:rFonts w:hint="eastAsia" w:ascii="Times New Roman" w:hAnsi="Times New Roman" w:eastAsia="宋体" w:cs="Times New Roman"/>
                      <w:b w:val="0"/>
                      <w:bCs w:val="0"/>
                      <w:sz w:val="21"/>
                      <w:szCs w:val="21"/>
                      <w:highlight w:val="none"/>
                      <w:lang w:eastAsia="zh-CN"/>
                    </w:rPr>
                  </w:pPr>
                  <w:r>
                    <w:rPr>
                      <w:rFonts w:hint="eastAsia" w:ascii="Times New Roman" w:hAnsi="Times New Roman" w:cs="Times New Roman"/>
                      <w:b w:val="0"/>
                      <w:bCs w:val="0"/>
                      <w:sz w:val="21"/>
                      <w:szCs w:val="21"/>
                      <w:highlight w:val="none"/>
                      <w:lang w:eastAsia="zh-CN"/>
                    </w:rPr>
                    <w:t>生态堤坝</w:t>
                  </w:r>
                </w:p>
              </w:tc>
              <w:tc>
                <w:tcPr>
                  <w:tcW w:w="1110" w:type="pct"/>
                  <w:gridSpan w:val="2"/>
                  <w:tcBorders>
                    <w:top w:val="single" w:color="3B3B3B" w:sz="6" w:space="0"/>
                    <w:left w:val="single" w:color="3B3B3B" w:sz="6" w:space="0"/>
                    <w:bottom w:val="single" w:color="3B3B3B" w:sz="6" w:space="0"/>
                    <w:right w:val="single" w:color="3B3B3B" w:sz="6" w:space="0"/>
                  </w:tcBorders>
                  <w:vAlign w:val="center"/>
                </w:tcPr>
                <w:p w14:paraId="492790BB">
                  <w:pPr>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w:t>
                  </w:r>
                </w:p>
              </w:tc>
              <w:tc>
                <w:tcPr>
                  <w:tcW w:w="358" w:type="pct"/>
                  <w:tcBorders>
                    <w:top w:val="single" w:color="3B3B3B" w:sz="6" w:space="0"/>
                    <w:left w:val="single" w:color="3B3B3B" w:sz="6" w:space="0"/>
                    <w:bottom w:val="single" w:color="3B3B3B" w:sz="6" w:space="0"/>
                    <w:right w:val="single" w:color="3B3B3B" w:sz="6" w:space="0"/>
                  </w:tcBorders>
                  <w:vAlign w:val="center"/>
                </w:tcPr>
                <w:p w14:paraId="2D66D001">
                  <w:pPr>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sz w:val="21"/>
                      <w:szCs w:val="21"/>
                      <w:highlight w:val="none"/>
                      <w:lang w:val="en-US" w:eastAsia="zh-CN"/>
                    </w:rPr>
                    <w:t>m</w:t>
                  </w:r>
                </w:p>
              </w:tc>
              <w:tc>
                <w:tcPr>
                  <w:tcW w:w="581" w:type="pct"/>
                  <w:tcBorders>
                    <w:top w:val="single" w:color="3B3B3B" w:sz="6" w:space="0"/>
                    <w:left w:val="single" w:color="3B3B3B" w:sz="6" w:space="0"/>
                    <w:bottom w:val="single" w:color="3B3B3B" w:sz="6" w:space="0"/>
                    <w:right w:val="single" w:color="3B3B3B" w:sz="6" w:space="0"/>
                  </w:tcBorders>
                  <w:vAlign w:val="center"/>
                </w:tcPr>
                <w:p w14:paraId="6DC02586">
                  <w:pPr>
                    <w:jc w:val="center"/>
                    <w:rPr>
                      <w:rFonts w:hint="default" w:ascii="Times New Roman" w:hAnsi="Times New Roman" w:eastAsia="宋体" w:cs="Times New Roman"/>
                      <w:b w:val="0"/>
                      <w:bCs w:val="0"/>
                      <w:sz w:val="21"/>
                      <w:szCs w:val="21"/>
                      <w:highlight w:val="none"/>
                      <w:lang w:val="en-US" w:eastAsia="zh-CN"/>
                    </w:rPr>
                  </w:pPr>
                  <w:r>
                    <w:rPr>
                      <w:rFonts w:hint="eastAsia" w:cs="Times New Roman"/>
                      <w:b w:val="0"/>
                      <w:bCs w:val="0"/>
                      <w:sz w:val="21"/>
                      <w:szCs w:val="21"/>
                      <w:highlight w:val="none"/>
                      <w:lang w:val="en-US" w:eastAsia="zh-CN"/>
                    </w:rPr>
                    <w:t>605</w:t>
                  </w:r>
                </w:p>
              </w:tc>
              <w:tc>
                <w:tcPr>
                  <w:tcW w:w="1462" w:type="pct"/>
                  <w:tcBorders>
                    <w:top w:val="single" w:color="3B3B3B" w:sz="6" w:space="0"/>
                    <w:left w:val="single" w:color="3B3B3B" w:sz="6" w:space="0"/>
                    <w:bottom w:val="single" w:color="3B3B3B" w:sz="6" w:space="0"/>
                  </w:tcBorders>
                  <w:vAlign w:val="center"/>
                </w:tcPr>
                <w:p w14:paraId="061F12D5">
                  <w:pPr>
                    <w:jc w:val="center"/>
                    <w:rPr>
                      <w:rFonts w:hint="eastAsia"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w:t>
                  </w:r>
                </w:p>
              </w:tc>
            </w:tr>
            <w:tr w14:paraId="70E1127F">
              <w:tblPrEx>
                <w:tblBorders>
                  <w:top w:val="single" w:color="3B3B3B" w:sz="12" w:space="0"/>
                  <w:left w:val="none" w:color="auto" w:sz="0" w:space="0"/>
                  <w:bottom w:val="single" w:color="3B3B3B" w:sz="6" w:space="0"/>
                  <w:right w:val="none" w:color="auto" w:sz="0" w:space="0"/>
                  <w:insideH w:val="none" w:color="auto" w:sz="0" w:space="0"/>
                  <w:insideV w:val="none" w:color="auto" w:sz="0" w:space="0"/>
                </w:tblBorders>
                <w:tblCellMar>
                  <w:top w:w="0" w:type="dxa"/>
                  <w:left w:w="0" w:type="dxa"/>
                  <w:bottom w:w="0" w:type="dxa"/>
                  <w:right w:w="0" w:type="dxa"/>
                </w:tblCellMar>
              </w:tblPrEx>
              <w:trPr>
                <w:trHeight w:val="386" w:hRule="atLeast"/>
              </w:trPr>
              <w:tc>
                <w:tcPr>
                  <w:tcW w:w="5000" w:type="pct"/>
                  <w:gridSpan w:val="7"/>
                  <w:tcBorders>
                    <w:top w:val="single" w:color="3B3B3B" w:sz="6" w:space="0"/>
                    <w:bottom w:val="single" w:color="3B3B3B" w:sz="6" w:space="0"/>
                  </w:tcBorders>
                  <w:vAlign w:val="center"/>
                </w:tcPr>
                <w:p w14:paraId="01C58D74">
                  <w:pPr>
                    <w:pStyle w:val="41"/>
                    <w:spacing w:before="31" w:line="228" w:lineRule="auto"/>
                    <w:ind w:left="119"/>
                    <w:jc w:val="both"/>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pacing w:val="9"/>
                      <w:sz w:val="21"/>
                      <w:szCs w:val="21"/>
                      <w:highlight w:val="none"/>
                      <w14:textOutline w14:w="3788" w14:cap="flat" w14:cmpd="sng">
                        <w14:solidFill>
                          <w14:srgbClr w14:val="3B3B3B"/>
                        </w14:solidFill>
                        <w14:prstDash w14:val="solid"/>
                        <w14:miter w14:val="0"/>
                      </w14:textOutline>
                    </w:rPr>
                    <w:t>五、老万金渠</w:t>
                  </w:r>
                  <w:r>
                    <w:rPr>
                      <w:rFonts w:hint="default" w:ascii="Times New Roman" w:hAnsi="Times New Roman" w:eastAsia="宋体" w:cs="Times New Roman"/>
                      <w:b w:val="0"/>
                      <w:bCs w:val="0"/>
                      <w:color w:val="3B3B3B"/>
                      <w:spacing w:val="9"/>
                      <w:sz w:val="21"/>
                      <w:szCs w:val="21"/>
                      <w:highlight w:val="none"/>
                      <w14:textOutline w14:w="3175" w14:cap="flat" w14:cmpd="sng">
                        <w14:solidFill>
                          <w14:srgbClr w14:val="3B3B3B"/>
                        </w14:solidFill>
                        <w14:prstDash w14:val="solid"/>
                        <w14:miter w14:val="0"/>
                      </w14:textOutline>
                    </w:rPr>
                    <w:t>(</w:t>
                  </w:r>
                  <w:r>
                    <w:rPr>
                      <w:rFonts w:hint="default" w:ascii="Times New Roman" w:hAnsi="Times New Roman" w:eastAsia="宋体" w:cs="Times New Roman"/>
                      <w:b w:val="0"/>
                      <w:bCs w:val="0"/>
                      <w:color w:val="3B3B3B"/>
                      <w:spacing w:val="8"/>
                      <w:sz w:val="21"/>
                      <w:szCs w:val="21"/>
                      <w:highlight w:val="none"/>
                      <w14:textOutline w14:w="3788" w14:cap="flat" w14:cmpd="sng">
                        <w14:solidFill>
                          <w14:srgbClr w14:val="3B3B3B"/>
                        </w14:solidFill>
                        <w14:prstDash w14:val="solid"/>
                        <w14:miter w14:val="0"/>
                      </w14:textOutline>
                    </w:rPr>
                    <w:t>金线河-漳南灌渠段</w:t>
                  </w:r>
                  <w:r>
                    <w:rPr>
                      <w:rFonts w:hint="default" w:ascii="Times New Roman" w:hAnsi="Times New Roman" w:eastAsia="宋体" w:cs="Times New Roman"/>
                      <w:b w:val="0"/>
                      <w:bCs w:val="0"/>
                      <w:color w:val="3B3B3B"/>
                      <w:spacing w:val="9"/>
                      <w:sz w:val="21"/>
                      <w:szCs w:val="21"/>
                      <w:highlight w:val="none"/>
                      <w14:textOutline w14:w="3175" w14:cap="flat" w14:cmpd="sng">
                        <w14:solidFill>
                          <w14:srgbClr w14:val="3B3B3B"/>
                        </w14:solidFill>
                        <w14:prstDash w14:val="solid"/>
                        <w14:miter w14:val="0"/>
                      </w14:textOutline>
                    </w:rPr>
                    <w:t>)</w:t>
                  </w:r>
                </w:p>
              </w:tc>
            </w:tr>
            <w:tr w14:paraId="5EB2CE2F">
              <w:tblPrEx>
                <w:tblBorders>
                  <w:top w:val="single" w:color="3B3B3B" w:sz="12" w:space="0"/>
                  <w:left w:val="none" w:color="auto" w:sz="0" w:space="0"/>
                  <w:bottom w:val="single" w:color="3B3B3B" w:sz="6" w:space="0"/>
                  <w:right w:val="none" w:color="auto" w:sz="0" w:space="0"/>
                  <w:insideH w:val="none" w:color="auto" w:sz="0" w:space="0"/>
                  <w:insideV w:val="none" w:color="auto" w:sz="0" w:space="0"/>
                </w:tblBorders>
                <w:tblCellMar>
                  <w:top w:w="0" w:type="dxa"/>
                  <w:left w:w="0" w:type="dxa"/>
                  <w:bottom w:w="0" w:type="dxa"/>
                  <w:right w:w="0" w:type="dxa"/>
                </w:tblCellMar>
              </w:tblPrEx>
              <w:trPr>
                <w:trHeight w:val="386" w:hRule="atLeast"/>
              </w:trPr>
              <w:tc>
                <w:tcPr>
                  <w:tcW w:w="255" w:type="pct"/>
                  <w:tcBorders>
                    <w:top w:val="single" w:color="3B3B3B" w:sz="6" w:space="0"/>
                    <w:bottom w:val="single" w:color="3B3B3B" w:sz="6" w:space="0"/>
                    <w:right w:val="single" w:color="3B3B3B" w:sz="6" w:space="0"/>
                  </w:tcBorders>
                  <w:vAlign w:val="center"/>
                </w:tcPr>
                <w:p w14:paraId="1E67F249">
                  <w:pPr>
                    <w:pStyle w:val="41"/>
                    <w:spacing w:before="48" w:line="229" w:lineRule="auto"/>
                    <w:jc w:val="center"/>
                    <w:rPr>
                      <w:rFonts w:hint="eastAsia"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color w:val="3B3B3B"/>
                      <w:spacing w:val="5"/>
                      <w:sz w:val="21"/>
                      <w:szCs w:val="21"/>
                      <w:highlight w:val="none"/>
                    </w:rPr>
                    <w:t>序号</w:t>
                  </w:r>
                </w:p>
              </w:tc>
              <w:tc>
                <w:tcPr>
                  <w:tcW w:w="1233" w:type="pct"/>
                  <w:tcBorders>
                    <w:top w:val="single" w:color="3B3B3B" w:sz="6" w:space="0"/>
                    <w:left w:val="single" w:color="3B3B3B" w:sz="6" w:space="0"/>
                    <w:bottom w:val="single" w:color="3B3B3B" w:sz="6" w:space="0"/>
                    <w:right w:val="single" w:color="3B3B3B" w:sz="6" w:space="0"/>
                  </w:tcBorders>
                  <w:vAlign w:val="center"/>
                </w:tcPr>
                <w:p w14:paraId="609677C1">
                  <w:pPr>
                    <w:pStyle w:val="41"/>
                    <w:spacing w:before="48" w:line="230" w:lineRule="auto"/>
                    <w:jc w:val="center"/>
                    <w:rPr>
                      <w:rFonts w:hint="default" w:ascii="Times New Roman" w:hAnsi="Times New Roman" w:eastAsia="宋体" w:cs="Times New Roman"/>
                      <w:b w:val="0"/>
                      <w:bCs w:val="0"/>
                      <w:sz w:val="21"/>
                      <w:szCs w:val="21"/>
                      <w:highlight w:val="none"/>
                      <w:lang w:eastAsia="zh-CN"/>
                    </w:rPr>
                  </w:pPr>
                  <w:r>
                    <w:rPr>
                      <w:rFonts w:hint="default" w:ascii="Times New Roman" w:hAnsi="Times New Roman" w:eastAsia="宋体" w:cs="Times New Roman"/>
                      <w:b w:val="0"/>
                      <w:bCs w:val="0"/>
                      <w:color w:val="3B3B3B"/>
                      <w:spacing w:val="3"/>
                      <w:sz w:val="21"/>
                      <w:szCs w:val="21"/>
                      <w:highlight w:val="none"/>
                    </w:rPr>
                    <w:t>名称</w:t>
                  </w:r>
                </w:p>
              </w:tc>
              <w:tc>
                <w:tcPr>
                  <w:tcW w:w="1110" w:type="pct"/>
                  <w:gridSpan w:val="2"/>
                  <w:tcBorders>
                    <w:top w:val="single" w:color="3B3B3B" w:sz="6" w:space="0"/>
                    <w:left w:val="single" w:color="3B3B3B" w:sz="6" w:space="0"/>
                    <w:bottom w:val="single" w:color="3B3B3B" w:sz="6" w:space="0"/>
                    <w:right w:val="single" w:color="3B3B3B" w:sz="6" w:space="0"/>
                  </w:tcBorders>
                  <w:vAlign w:val="center"/>
                </w:tcPr>
                <w:p w14:paraId="79905B79">
                  <w:pPr>
                    <w:pStyle w:val="41"/>
                    <w:spacing w:before="48" w:line="228" w:lineRule="auto"/>
                    <w:jc w:val="center"/>
                    <w:rPr>
                      <w:rFonts w:hint="eastAsia"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color w:val="3B3B3B"/>
                      <w:spacing w:val="4"/>
                      <w:sz w:val="21"/>
                      <w:szCs w:val="21"/>
                      <w:highlight w:val="none"/>
                    </w:rPr>
                    <w:t>规格</w:t>
                  </w:r>
                </w:p>
              </w:tc>
              <w:tc>
                <w:tcPr>
                  <w:tcW w:w="358" w:type="pct"/>
                  <w:tcBorders>
                    <w:top w:val="single" w:color="3B3B3B" w:sz="6" w:space="0"/>
                    <w:left w:val="single" w:color="3B3B3B" w:sz="6" w:space="0"/>
                    <w:bottom w:val="single" w:color="3B3B3B" w:sz="6" w:space="0"/>
                    <w:right w:val="single" w:color="3B3B3B" w:sz="6" w:space="0"/>
                  </w:tcBorders>
                  <w:vAlign w:val="center"/>
                </w:tcPr>
                <w:p w14:paraId="0C61B96F">
                  <w:pPr>
                    <w:pStyle w:val="41"/>
                    <w:spacing w:before="49" w:line="228" w:lineRule="auto"/>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color w:val="3B3B3B"/>
                      <w:spacing w:val="3"/>
                      <w:sz w:val="21"/>
                      <w:szCs w:val="21"/>
                      <w:highlight w:val="none"/>
                    </w:rPr>
                    <w:t>单位</w:t>
                  </w:r>
                </w:p>
              </w:tc>
              <w:tc>
                <w:tcPr>
                  <w:tcW w:w="581" w:type="pct"/>
                  <w:tcBorders>
                    <w:top w:val="single" w:color="3B3B3B" w:sz="6" w:space="0"/>
                    <w:left w:val="single" w:color="3B3B3B" w:sz="6" w:space="0"/>
                    <w:bottom w:val="single" w:color="3B3B3B" w:sz="6" w:space="0"/>
                    <w:right w:val="single" w:color="3B3B3B" w:sz="6" w:space="0"/>
                  </w:tcBorders>
                  <w:vAlign w:val="center"/>
                </w:tcPr>
                <w:p w14:paraId="590447A9">
                  <w:pPr>
                    <w:pStyle w:val="41"/>
                    <w:spacing w:before="48" w:line="228" w:lineRule="auto"/>
                    <w:jc w:val="center"/>
                    <w:rPr>
                      <w:rFonts w:hint="eastAsia"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color w:val="3B3B3B"/>
                      <w:spacing w:val="3"/>
                      <w:sz w:val="21"/>
                      <w:szCs w:val="21"/>
                      <w:highlight w:val="none"/>
                    </w:rPr>
                    <w:t>数量</w:t>
                  </w:r>
                </w:p>
              </w:tc>
              <w:tc>
                <w:tcPr>
                  <w:tcW w:w="1462" w:type="pct"/>
                  <w:tcBorders>
                    <w:top w:val="single" w:color="3B3B3B" w:sz="6" w:space="0"/>
                    <w:left w:val="single" w:color="3B3B3B" w:sz="6" w:space="0"/>
                    <w:bottom w:val="single" w:color="3B3B3B" w:sz="6" w:space="0"/>
                  </w:tcBorders>
                  <w:vAlign w:val="center"/>
                </w:tcPr>
                <w:p w14:paraId="44C75E6F">
                  <w:pPr>
                    <w:pStyle w:val="41"/>
                    <w:spacing w:before="48" w:line="229" w:lineRule="auto"/>
                    <w:jc w:val="center"/>
                    <w:rPr>
                      <w:rFonts w:hint="eastAsia"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color w:val="3B3B3B"/>
                      <w:spacing w:val="3"/>
                      <w:sz w:val="21"/>
                      <w:szCs w:val="21"/>
                      <w:highlight w:val="none"/>
                    </w:rPr>
                    <w:t>备注</w:t>
                  </w:r>
                </w:p>
              </w:tc>
            </w:tr>
            <w:tr w14:paraId="2CCA4131">
              <w:tblPrEx>
                <w:tblBorders>
                  <w:top w:val="single" w:color="3B3B3B" w:sz="12" w:space="0"/>
                  <w:left w:val="none" w:color="auto" w:sz="0" w:space="0"/>
                  <w:bottom w:val="single" w:color="3B3B3B" w:sz="6" w:space="0"/>
                  <w:right w:val="none" w:color="auto" w:sz="0" w:space="0"/>
                  <w:insideH w:val="none" w:color="auto" w:sz="0" w:space="0"/>
                  <w:insideV w:val="none" w:color="auto" w:sz="0" w:space="0"/>
                </w:tblBorders>
                <w:tblCellMar>
                  <w:top w:w="0" w:type="dxa"/>
                  <w:left w:w="0" w:type="dxa"/>
                  <w:bottom w:w="0" w:type="dxa"/>
                  <w:right w:w="0" w:type="dxa"/>
                </w:tblCellMar>
              </w:tblPrEx>
              <w:trPr>
                <w:trHeight w:val="386" w:hRule="atLeast"/>
              </w:trPr>
              <w:tc>
                <w:tcPr>
                  <w:tcW w:w="255" w:type="pct"/>
                  <w:tcBorders>
                    <w:top w:val="single" w:color="3B3B3B" w:sz="6" w:space="0"/>
                    <w:bottom w:val="single" w:color="3B3B3B" w:sz="6" w:space="0"/>
                    <w:right w:val="single" w:color="3B3B3B" w:sz="6" w:space="0"/>
                  </w:tcBorders>
                  <w:vAlign w:val="center"/>
                </w:tcPr>
                <w:p w14:paraId="56267B23">
                  <w:pPr>
                    <w:spacing w:before="57" w:line="192" w:lineRule="auto"/>
                    <w:jc w:val="center"/>
                    <w:rPr>
                      <w:rFonts w:hint="eastAsia"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1</w:t>
                  </w:r>
                </w:p>
              </w:tc>
              <w:tc>
                <w:tcPr>
                  <w:tcW w:w="1233" w:type="pct"/>
                  <w:tcBorders>
                    <w:top w:val="single" w:color="3B3B3B" w:sz="6" w:space="0"/>
                    <w:left w:val="single" w:color="3B3B3B" w:sz="6" w:space="0"/>
                    <w:bottom w:val="single" w:color="3B3B3B" w:sz="6" w:space="0"/>
                    <w:right w:val="single" w:color="3B3B3B" w:sz="6" w:space="0"/>
                  </w:tcBorders>
                  <w:vAlign w:val="center"/>
                </w:tcPr>
                <w:p w14:paraId="2E439A34">
                  <w:pPr>
                    <w:pStyle w:val="41"/>
                    <w:spacing w:before="88" w:line="228" w:lineRule="auto"/>
                    <w:jc w:val="center"/>
                    <w:rPr>
                      <w:rFonts w:hint="default" w:ascii="Times New Roman" w:hAnsi="Times New Roman" w:eastAsia="宋体" w:cs="Times New Roman"/>
                      <w:b w:val="0"/>
                      <w:bCs w:val="0"/>
                      <w:sz w:val="21"/>
                      <w:szCs w:val="21"/>
                      <w:highlight w:val="none"/>
                      <w:lang w:eastAsia="zh-CN"/>
                    </w:rPr>
                  </w:pPr>
                  <w:r>
                    <w:rPr>
                      <w:rFonts w:hint="default" w:ascii="Times New Roman" w:hAnsi="Times New Roman" w:eastAsia="宋体" w:cs="Times New Roman"/>
                      <w:b w:val="0"/>
                      <w:bCs w:val="0"/>
                      <w:sz w:val="21"/>
                      <w:szCs w:val="21"/>
                      <w:highlight w:val="none"/>
                      <w:lang w:eastAsia="zh-CN"/>
                    </w:rPr>
                    <w:t>河底清淤</w:t>
                  </w:r>
                </w:p>
              </w:tc>
              <w:tc>
                <w:tcPr>
                  <w:tcW w:w="1110" w:type="pct"/>
                  <w:gridSpan w:val="2"/>
                  <w:tcBorders>
                    <w:top w:val="single" w:color="3B3B3B" w:sz="6" w:space="0"/>
                    <w:left w:val="single" w:color="3B3B3B" w:sz="6" w:space="0"/>
                    <w:bottom w:val="single" w:color="3B3B3B" w:sz="6" w:space="0"/>
                    <w:right w:val="single" w:color="3B3B3B" w:sz="6" w:space="0"/>
                  </w:tcBorders>
                  <w:vAlign w:val="center"/>
                </w:tcPr>
                <w:p w14:paraId="7EDE035F">
                  <w:pPr>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w:t>
                  </w:r>
                </w:p>
              </w:tc>
              <w:tc>
                <w:tcPr>
                  <w:tcW w:w="358" w:type="pct"/>
                  <w:tcBorders>
                    <w:top w:val="single" w:color="3B3B3B" w:sz="6" w:space="0"/>
                    <w:left w:val="single" w:color="3B3B3B" w:sz="6" w:space="0"/>
                    <w:bottom w:val="single" w:color="3B3B3B" w:sz="6" w:space="0"/>
                    <w:right w:val="single" w:color="3B3B3B" w:sz="6" w:space="0"/>
                  </w:tcBorders>
                  <w:vAlign w:val="center"/>
                </w:tcPr>
                <w:p w14:paraId="1EDAD90D">
                  <w:pPr>
                    <w:pStyle w:val="41"/>
                    <w:spacing w:before="88" w:line="270" w:lineRule="exact"/>
                    <w:jc w:val="center"/>
                    <w:rPr>
                      <w:rFonts w:hint="default" w:ascii="Times New Roman" w:hAnsi="Times New Roman" w:eastAsia="宋体" w:cs="Times New Roman"/>
                      <w:b w:val="0"/>
                      <w:bCs w:val="0"/>
                      <w:sz w:val="21"/>
                      <w:szCs w:val="21"/>
                      <w:highlight w:val="none"/>
                      <w:lang w:val="en-US" w:eastAsia="zh-CN"/>
                    </w:rPr>
                  </w:pPr>
                  <w:r>
                    <w:rPr>
                      <w:rFonts w:hint="default" w:ascii="Times New Roman" w:hAnsi="Times New Roman" w:eastAsia="宋体" w:cs="Times New Roman"/>
                      <w:b w:val="0"/>
                      <w:bCs w:val="0"/>
                      <w:sz w:val="21"/>
                      <w:szCs w:val="21"/>
                      <w:highlight w:val="none"/>
                      <w:lang w:val="en-US" w:eastAsia="zh-CN"/>
                    </w:rPr>
                    <w:t>m</w:t>
                  </w:r>
                </w:p>
              </w:tc>
              <w:tc>
                <w:tcPr>
                  <w:tcW w:w="581" w:type="pct"/>
                  <w:tcBorders>
                    <w:top w:val="single" w:color="3B3B3B" w:sz="6" w:space="0"/>
                    <w:left w:val="single" w:color="3B3B3B" w:sz="6" w:space="0"/>
                    <w:bottom w:val="single" w:color="3B3B3B" w:sz="6" w:space="0"/>
                    <w:right w:val="single" w:color="3B3B3B" w:sz="6" w:space="0"/>
                  </w:tcBorders>
                  <w:vAlign w:val="center"/>
                </w:tcPr>
                <w:p w14:paraId="47B7D655">
                  <w:pPr>
                    <w:pStyle w:val="41"/>
                    <w:spacing w:before="122" w:line="188" w:lineRule="auto"/>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999</w:t>
                  </w:r>
                </w:p>
              </w:tc>
              <w:tc>
                <w:tcPr>
                  <w:tcW w:w="1462" w:type="pct"/>
                  <w:tcBorders>
                    <w:top w:val="single" w:color="3B3B3B" w:sz="6" w:space="0"/>
                    <w:left w:val="single" w:color="3B3B3B" w:sz="6" w:space="0"/>
                    <w:bottom w:val="single" w:color="3B3B3B" w:sz="6" w:space="0"/>
                  </w:tcBorders>
                  <w:vAlign w:val="center"/>
                </w:tcPr>
                <w:p w14:paraId="666B07AE">
                  <w:pPr>
                    <w:jc w:val="center"/>
                    <w:rPr>
                      <w:rFonts w:hint="eastAsia"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w:t>
                  </w:r>
                </w:p>
              </w:tc>
            </w:tr>
            <w:tr w14:paraId="7D9199D8">
              <w:tblPrEx>
                <w:tblBorders>
                  <w:top w:val="single" w:color="3B3B3B" w:sz="12" w:space="0"/>
                  <w:left w:val="none" w:color="auto" w:sz="0" w:space="0"/>
                  <w:bottom w:val="single" w:color="3B3B3B" w:sz="6" w:space="0"/>
                  <w:right w:val="none" w:color="auto" w:sz="0" w:space="0"/>
                  <w:insideH w:val="none" w:color="auto" w:sz="0" w:space="0"/>
                  <w:insideV w:val="none" w:color="auto" w:sz="0" w:space="0"/>
                </w:tblBorders>
                <w:tblCellMar>
                  <w:top w:w="0" w:type="dxa"/>
                  <w:left w:w="0" w:type="dxa"/>
                  <w:bottom w:w="0" w:type="dxa"/>
                  <w:right w:w="0" w:type="dxa"/>
                </w:tblCellMar>
              </w:tblPrEx>
              <w:trPr>
                <w:trHeight w:val="384" w:hRule="atLeast"/>
              </w:trPr>
              <w:tc>
                <w:tcPr>
                  <w:tcW w:w="255" w:type="pct"/>
                  <w:tcBorders>
                    <w:top w:val="single" w:color="3B3B3B" w:sz="6" w:space="0"/>
                    <w:bottom w:val="single" w:color="3B3B3B" w:sz="6" w:space="0"/>
                    <w:right w:val="single" w:color="3B3B3B" w:sz="6" w:space="0"/>
                  </w:tcBorders>
                  <w:vAlign w:val="center"/>
                </w:tcPr>
                <w:p w14:paraId="32634469">
                  <w:pPr>
                    <w:spacing w:before="57" w:line="192" w:lineRule="auto"/>
                    <w:jc w:val="center"/>
                    <w:rPr>
                      <w:rFonts w:hint="eastAsia"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2</w:t>
                  </w:r>
                </w:p>
              </w:tc>
              <w:tc>
                <w:tcPr>
                  <w:tcW w:w="1233" w:type="pct"/>
                  <w:tcBorders>
                    <w:top w:val="single" w:color="3B3B3B" w:sz="6" w:space="0"/>
                    <w:left w:val="single" w:color="3B3B3B" w:sz="6" w:space="0"/>
                    <w:bottom w:val="single" w:color="3B3B3B" w:sz="6" w:space="0"/>
                    <w:right w:val="single" w:color="3B3B3B" w:sz="6" w:space="0"/>
                  </w:tcBorders>
                  <w:vAlign w:val="center"/>
                </w:tcPr>
                <w:p w14:paraId="14D35F47">
                  <w:pPr>
                    <w:pStyle w:val="41"/>
                    <w:spacing w:before="85" w:line="228" w:lineRule="auto"/>
                    <w:jc w:val="center"/>
                    <w:rPr>
                      <w:rFonts w:hint="eastAsia" w:ascii="Times New Roman" w:hAnsi="Times New Roman" w:eastAsia="宋体" w:cs="Times New Roman"/>
                      <w:b w:val="0"/>
                      <w:bCs w:val="0"/>
                      <w:sz w:val="21"/>
                      <w:szCs w:val="21"/>
                      <w:highlight w:val="none"/>
                      <w:lang w:eastAsia="zh-CN"/>
                    </w:rPr>
                  </w:pPr>
                  <w:r>
                    <w:rPr>
                      <w:rFonts w:hint="default" w:ascii="Times New Roman" w:hAnsi="Times New Roman" w:eastAsia="宋体" w:cs="Times New Roman"/>
                      <w:b w:val="0"/>
                      <w:bCs w:val="0"/>
                      <w:color w:val="3B3B3B"/>
                      <w:sz w:val="21"/>
                      <w:szCs w:val="21"/>
                      <w:highlight w:val="none"/>
                    </w:rPr>
                    <w:t>河底</w:t>
                  </w:r>
                  <w:r>
                    <w:rPr>
                      <w:rFonts w:hint="eastAsia" w:ascii="Times New Roman" w:hAnsi="Times New Roman" w:cs="Times New Roman"/>
                      <w:b w:val="0"/>
                      <w:bCs w:val="0"/>
                      <w:color w:val="3B3B3B"/>
                      <w:sz w:val="21"/>
                      <w:szCs w:val="21"/>
                      <w:highlight w:val="none"/>
                      <w:lang w:eastAsia="zh-CN"/>
                    </w:rPr>
                    <w:t>硬化防护</w:t>
                  </w:r>
                </w:p>
              </w:tc>
              <w:tc>
                <w:tcPr>
                  <w:tcW w:w="1110" w:type="pct"/>
                  <w:gridSpan w:val="2"/>
                  <w:tcBorders>
                    <w:top w:val="single" w:color="3B3B3B" w:sz="6" w:space="0"/>
                    <w:left w:val="single" w:color="3B3B3B" w:sz="6" w:space="0"/>
                    <w:bottom w:val="single" w:color="3B3B3B" w:sz="6" w:space="0"/>
                    <w:right w:val="single" w:color="3B3B3B" w:sz="6" w:space="0"/>
                  </w:tcBorders>
                  <w:vAlign w:val="center"/>
                </w:tcPr>
                <w:p w14:paraId="50CF8842">
                  <w:pPr>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w:t>
                  </w:r>
                </w:p>
              </w:tc>
              <w:tc>
                <w:tcPr>
                  <w:tcW w:w="358" w:type="pct"/>
                  <w:tcBorders>
                    <w:top w:val="single" w:color="3B3B3B" w:sz="6" w:space="0"/>
                    <w:left w:val="single" w:color="3B3B3B" w:sz="6" w:space="0"/>
                    <w:bottom w:val="single" w:color="3B3B3B" w:sz="6" w:space="0"/>
                    <w:right w:val="single" w:color="3B3B3B" w:sz="6" w:space="0"/>
                  </w:tcBorders>
                  <w:vAlign w:val="center"/>
                </w:tcPr>
                <w:p w14:paraId="18B7167B">
                  <w:pPr>
                    <w:pStyle w:val="41"/>
                    <w:spacing w:before="86" w:line="270" w:lineRule="exact"/>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m</w:t>
                  </w:r>
                </w:p>
              </w:tc>
              <w:tc>
                <w:tcPr>
                  <w:tcW w:w="581" w:type="pct"/>
                  <w:tcBorders>
                    <w:top w:val="single" w:color="3B3B3B" w:sz="6" w:space="0"/>
                    <w:left w:val="single" w:color="3B3B3B" w:sz="6" w:space="0"/>
                    <w:bottom w:val="single" w:color="3B3B3B" w:sz="6" w:space="0"/>
                    <w:right w:val="single" w:color="3B3B3B" w:sz="6" w:space="0"/>
                  </w:tcBorders>
                  <w:vAlign w:val="center"/>
                </w:tcPr>
                <w:p w14:paraId="2C6BC704">
                  <w:pPr>
                    <w:pStyle w:val="41"/>
                    <w:spacing w:before="121" w:line="187" w:lineRule="auto"/>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999</w:t>
                  </w:r>
                </w:p>
              </w:tc>
              <w:tc>
                <w:tcPr>
                  <w:tcW w:w="1462" w:type="pct"/>
                  <w:tcBorders>
                    <w:top w:val="single" w:color="3B3B3B" w:sz="6" w:space="0"/>
                    <w:left w:val="single" w:color="3B3B3B" w:sz="6" w:space="0"/>
                    <w:bottom w:val="single" w:color="3B3B3B" w:sz="6" w:space="0"/>
                  </w:tcBorders>
                  <w:vAlign w:val="center"/>
                </w:tcPr>
                <w:p w14:paraId="307E0077">
                  <w:pPr>
                    <w:jc w:val="center"/>
                    <w:rPr>
                      <w:rFonts w:hint="eastAsia"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w:t>
                  </w:r>
                </w:p>
              </w:tc>
            </w:tr>
            <w:tr w14:paraId="38766CE3">
              <w:tblPrEx>
                <w:tblBorders>
                  <w:top w:val="single" w:color="3B3B3B" w:sz="12" w:space="0"/>
                  <w:left w:val="none" w:color="auto" w:sz="0" w:space="0"/>
                  <w:bottom w:val="single" w:color="3B3B3B" w:sz="6" w:space="0"/>
                  <w:right w:val="none" w:color="auto" w:sz="0" w:space="0"/>
                  <w:insideH w:val="none" w:color="auto" w:sz="0" w:space="0"/>
                  <w:insideV w:val="none" w:color="auto" w:sz="0" w:space="0"/>
                </w:tblBorders>
                <w:tblCellMar>
                  <w:top w:w="0" w:type="dxa"/>
                  <w:left w:w="0" w:type="dxa"/>
                  <w:bottom w:w="0" w:type="dxa"/>
                  <w:right w:w="0" w:type="dxa"/>
                </w:tblCellMar>
              </w:tblPrEx>
              <w:trPr>
                <w:trHeight w:val="353" w:hRule="atLeast"/>
              </w:trPr>
              <w:tc>
                <w:tcPr>
                  <w:tcW w:w="255" w:type="pct"/>
                  <w:tcBorders>
                    <w:top w:val="single" w:color="3B3B3B" w:sz="6" w:space="0"/>
                    <w:bottom w:val="single" w:color="3B3B3B" w:sz="6" w:space="0"/>
                    <w:right w:val="single" w:color="3B3B3B" w:sz="6" w:space="0"/>
                  </w:tcBorders>
                  <w:vAlign w:val="center"/>
                </w:tcPr>
                <w:p w14:paraId="44B23BF0">
                  <w:pPr>
                    <w:spacing w:before="60" w:line="189" w:lineRule="auto"/>
                    <w:jc w:val="center"/>
                    <w:rPr>
                      <w:rFonts w:hint="eastAsia"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3</w:t>
                  </w:r>
                </w:p>
              </w:tc>
              <w:tc>
                <w:tcPr>
                  <w:tcW w:w="1233" w:type="pct"/>
                  <w:tcBorders>
                    <w:top w:val="single" w:color="3B3B3B" w:sz="6" w:space="0"/>
                    <w:left w:val="single" w:color="3B3B3B" w:sz="6" w:space="0"/>
                    <w:bottom w:val="single" w:color="3B3B3B" w:sz="6" w:space="0"/>
                    <w:right w:val="single" w:color="3B3B3B" w:sz="6" w:space="0"/>
                  </w:tcBorders>
                  <w:vAlign w:val="center"/>
                </w:tcPr>
                <w:p w14:paraId="4816A28A">
                  <w:pPr>
                    <w:pStyle w:val="41"/>
                    <w:spacing w:before="33" w:line="234" w:lineRule="auto"/>
                    <w:ind w:right="146"/>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z w:val="21"/>
                      <w:szCs w:val="21"/>
                      <w:highlight w:val="none"/>
                    </w:rPr>
                    <w:t>两岸筑堤</w:t>
                  </w:r>
                </w:p>
              </w:tc>
              <w:tc>
                <w:tcPr>
                  <w:tcW w:w="1110" w:type="pct"/>
                  <w:gridSpan w:val="2"/>
                  <w:tcBorders>
                    <w:top w:val="single" w:color="3B3B3B" w:sz="6" w:space="0"/>
                    <w:left w:val="single" w:color="3B3B3B" w:sz="6" w:space="0"/>
                    <w:bottom w:val="single" w:color="3B3B3B" w:sz="6" w:space="0"/>
                    <w:right w:val="single" w:color="3B3B3B" w:sz="6" w:space="0"/>
                  </w:tcBorders>
                  <w:vAlign w:val="center"/>
                </w:tcPr>
                <w:p w14:paraId="71710A1B">
                  <w:pPr>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w:t>
                  </w:r>
                </w:p>
              </w:tc>
              <w:tc>
                <w:tcPr>
                  <w:tcW w:w="358" w:type="pct"/>
                  <w:tcBorders>
                    <w:top w:val="single" w:color="3B3B3B" w:sz="6" w:space="0"/>
                    <w:left w:val="single" w:color="3B3B3B" w:sz="6" w:space="0"/>
                    <w:bottom w:val="single" w:color="3B3B3B" w:sz="6" w:space="0"/>
                    <w:right w:val="single" w:color="3B3B3B" w:sz="6" w:space="0"/>
                  </w:tcBorders>
                  <w:vAlign w:val="center"/>
                </w:tcPr>
                <w:p w14:paraId="0E1DDEEA">
                  <w:pPr>
                    <w:pStyle w:val="41"/>
                    <w:spacing w:before="170" w:line="270" w:lineRule="exact"/>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m</w:t>
                  </w:r>
                </w:p>
              </w:tc>
              <w:tc>
                <w:tcPr>
                  <w:tcW w:w="581" w:type="pct"/>
                  <w:tcBorders>
                    <w:top w:val="single" w:color="3B3B3B" w:sz="6" w:space="0"/>
                    <w:left w:val="single" w:color="3B3B3B" w:sz="6" w:space="0"/>
                    <w:bottom w:val="single" w:color="3B3B3B" w:sz="6" w:space="0"/>
                    <w:right w:val="single" w:color="3B3B3B" w:sz="6" w:space="0"/>
                  </w:tcBorders>
                  <w:vAlign w:val="center"/>
                </w:tcPr>
                <w:p w14:paraId="4C36F820">
                  <w:pPr>
                    <w:pStyle w:val="41"/>
                    <w:spacing w:before="204" w:line="187" w:lineRule="auto"/>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999</w:t>
                  </w:r>
                </w:p>
              </w:tc>
              <w:tc>
                <w:tcPr>
                  <w:tcW w:w="1462" w:type="pct"/>
                  <w:tcBorders>
                    <w:top w:val="single" w:color="3B3B3B" w:sz="6" w:space="0"/>
                    <w:left w:val="single" w:color="3B3B3B" w:sz="6" w:space="0"/>
                    <w:bottom w:val="single" w:color="3B3B3B" w:sz="6" w:space="0"/>
                  </w:tcBorders>
                  <w:vAlign w:val="center"/>
                </w:tcPr>
                <w:p w14:paraId="381D00A4">
                  <w:pPr>
                    <w:jc w:val="center"/>
                    <w:rPr>
                      <w:rFonts w:hint="eastAsia"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w:t>
                  </w:r>
                </w:p>
              </w:tc>
            </w:tr>
            <w:tr w14:paraId="18474FE1">
              <w:tblPrEx>
                <w:tblBorders>
                  <w:top w:val="single" w:color="3B3B3B" w:sz="12" w:space="0"/>
                  <w:left w:val="none" w:color="auto" w:sz="0" w:space="0"/>
                  <w:bottom w:val="single" w:color="3B3B3B" w:sz="6" w:space="0"/>
                  <w:right w:val="none" w:color="auto" w:sz="0" w:space="0"/>
                  <w:insideH w:val="none" w:color="auto" w:sz="0" w:space="0"/>
                  <w:insideV w:val="none" w:color="auto" w:sz="0" w:space="0"/>
                </w:tblBorders>
                <w:tblCellMar>
                  <w:top w:w="0" w:type="dxa"/>
                  <w:left w:w="0" w:type="dxa"/>
                  <w:bottom w:w="0" w:type="dxa"/>
                  <w:right w:w="0" w:type="dxa"/>
                </w:tblCellMar>
              </w:tblPrEx>
              <w:trPr>
                <w:trHeight w:val="384" w:hRule="atLeast"/>
              </w:trPr>
              <w:tc>
                <w:tcPr>
                  <w:tcW w:w="255" w:type="pct"/>
                  <w:tcBorders>
                    <w:top w:val="single" w:color="3B3B3B" w:sz="6" w:space="0"/>
                    <w:bottom w:val="single" w:color="3B3B3B" w:sz="12" w:space="0"/>
                    <w:right w:val="single" w:color="3B3B3B" w:sz="6" w:space="0"/>
                  </w:tcBorders>
                  <w:vAlign w:val="center"/>
                </w:tcPr>
                <w:p w14:paraId="4FAEA805">
                  <w:pPr>
                    <w:spacing w:before="55" w:line="192" w:lineRule="auto"/>
                    <w:jc w:val="center"/>
                    <w:rPr>
                      <w:rFonts w:hint="eastAsia"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4</w:t>
                  </w:r>
                </w:p>
              </w:tc>
              <w:tc>
                <w:tcPr>
                  <w:tcW w:w="1233" w:type="pct"/>
                  <w:tcBorders>
                    <w:top w:val="single" w:color="3B3B3B" w:sz="6" w:space="0"/>
                    <w:left w:val="single" w:color="3B3B3B" w:sz="6" w:space="0"/>
                    <w:bottom w:val="single" w:color="3B3B3B" w:sz="12" w:space="0"/>
                    <w:right w:val="single" w:color="3B3B3B" w:sz="6" w:space="0"/>
                  </w:tcBorders>
                  <w:vAlign w:val="center"/>
                </w:tcPr>
                <w:p w14:paraId="7CF20E30">
                  <w:pPr>
                    <w:pStyle w:val="41"/>
                    <w:spacing w:before="86" w:line="228" w:lineRule="auto"/>
                    <w:jc w:val="center"/>
                    <w:rPr>
                      <w:rFonts w:hint="default" w:ascii="Times New Roman" w:hAnsi="Times New Roman" w:eastAsia="宋体" w:cs="Times New Roman"/>
                      <w:b w:val="0"/>
                      <w:bCs w:val="0"/>
                      <w:sz w:val="21"/>
                      <w:szCs w:val="21"/>
                      <w:highlight w:val="none"/>
                    </w:rPr>
                  </w:pPr>
                  <w:r>
                    <w:rPr>
                      <w:rFonts w:hint="default" w:ascii="Times New Roman" w:hAnsi="Times New Roman" w:eastAsia="宋体" w:cs="Times New Roman"/>
                      <w:b w:val="0"/>
                      <w:bCs w:val="0"/>
                      <w:color w:val="3B3B3B"/>
                      <w:sz w:val="21"/>
                      <w:szCs w:val="21"/>
                      <w:highlight w:val="none"/>
                    </w:rPr>
                    <w:t>生态护岸</w:t>
                  </w:r>
                </w:p>
              </w:tc>
              <w:tc>
                <w:tcPr>
                  <w:tcW w:w="1110" w:type="pct"/>
                  <w:gridSpan w:val="2"/>
                  <w:tcBorders>
                    <w:top w:val="single" w:color="3B3B3B" w:sz="6" w:space="0"/>
                    <w:left w:val="single" w:color="3B3B3B" w:sz="6" w:space="0"/>
                    <w:bottom w:val="single" w:color="3B3B3B" w:sz="12" w:space="0"/>
                    <w:right w:val="single" w:color="3B3B3B" w:sz="6" w:space="0"/>
                  </w:tcBorders>
                  <w:vAlign w:val="center"/>
                </w:tcPr>
                <w:p w14:paraId="6D6374EE">
                  <w:pPr>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w:t>
                  </w:r>
                </w:p>
              </w:tc>
              <w:tc>
                <w:tcPr>
                  <w:tcW w:w="358" w:type="pct"/>
                  <w:tcBorders>
                    <w:top w:val="single" w:color="3B3B3B" w:sz="6" w:space="0"/>
                    <w:left w:val="single" w:color="3B3B3B" w:sz="6" w:space="0"/>
                    <w:bottom w:val="single" w:color="3B3B3B" w:sz="12" w:space="0"/>
                    <w:right w:val="single" w:color="3B3B3B" w:sz="6" w:space="0"/>
                  </w:tcBorders>
                  <w:vAlign w:val="center"/>
                </w:tcPr>
                <w:p w14:paraId="26E74C53">
                  <w:pPr>
                    <w:pStyle w:val="41"/>
                    <w:spacing w:before="86" w:line="270" w:lineRule="exact"/>
                    <w:jc w:val="center"/>
                    <w:rPr>
                      <w:rFonts w:hint="eastAsia"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m</w:t>
                  </w:r>
                </w:p>
              </w:tc>
              <w:tc>
                <w:tcPr>
                  <w:tcW w:w="581" w:type="pct"/>
                  <w:tcBorders>
                    <w:top w:val="single" w:color="3B3B3B" w:sz="6" w:space="0"/>
                    <w:left w:val="single" w:color="3B3B3B" w:sz="6" w:space="0"/>
                    <w:bottom w:val="single" w:color="3B3B3B" w:sz="12" w:space="0"/>
                    <w:right w:val="single" w:color="3B3B3B" w:sz="6" w:space="0"/>
                  </w:tcBorders>
                  <w:vAlign w:val="center"/>
                </w:tcPr>
                <w:p w14:paraId="14486E85">
                  <w:pPr>
                    <w:pStyle w:val="41"/>
                    <w:spacing w:before="120" w:line="188" w:lineRule="auto"/>
                    <w:jc w:val="center"/>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999</w:t>
                  </w:r>
                </w:p>
              </w:tc>
              <w:tc>
                <w:tcPr>
                  <w:tcW w:w="1462" w:type="pct"/>
                  <w:tcBorders>
                    <w:top w:val="single" w:color="3B3B3B" w:sz="6" w:space="0"/>
                    <w:left w:val="single" w:color="3B3B3B" w:sz="6" w:space="0"/>
                    <w:bottom w:val="single" w:color="3B3B3B" w:sz="12" w:space="0"/>
                  </w:tcBorders>
                  <w:vAlign w:val="center"/>
                </w:tcPr>
                <w:p w14:paraId="4212BDE0">
                  <w:pPr>
                    <w:jc w:val="center"/>
                    <w:rPr>
                      <w:rFonts w:hint="eastAsia" w:ascii="Times New Roman" w:hAnsi="Times New Roman" w:eastAsia="宋体" w:cs="Times New Roman"/>
                      <w:b w:val="0"/>
                      <w:bCs w:val="0"/>
                      <w:sz w:val="21"/>
                      <w:szCs w:val="21"/>
                      <w:highlight w:val="none"/>
                      <w:lang w:val="en-US" w:eastAsia="zh-CN"/>
                    </w:rPr>
                  </w:pPr>
                  <w:r>
                    <w:rPr>
                      <w:rFonts w:hint="eastAsia" w:ascii="Times New Roman" w:hAnsi="Times New Roman" w:eastAsia="宋体" w:cs="Times New Roman"/>
                      <w:b w:val="0"/>
                      <w:bCs w:val="0"/>
                      <w:sz w:val="21"/>
                      <w:szCs w:val="21"/>
                      <w:highlight w:val="none"/>
                      <w:lang w:val="en-US" w:eastAsia="zh-CN"/>
                    </w:rPr>
                    <w:t>/</w:t>
                  </w:r>
                </w:p>
              </w:tc>
            </w:tr>
          </w:tbl>
          <w:p w14:paraId="394415AE">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textAlignment w:val="auto"/>
              <w:rPr>
                <w:rFonts w:hint="default"/>
                <w:highlight w:val="none"/>
                <w:vertAlign w:val="baseline"/>
                <w:lang w:val="en-US" w:eastAsia="zh-CN"/>
              </w:rPr>
            </w:pPr>
          </w:p>
          <w:p w14:paraId="3CBD84CC">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textAlignment w:val="auto"/>
              <w:rPr>
                <w:rFonts w:hint="default"/>
                <w:highlight w:val="none"/>
                <w:vertAlign w:val="baseline"/>
                <w:lang w:val="en-US" w:eastAsia="zh-CN"/>
              </w:rPr>
            </w:pPr>
          </w:p>
          <w:p w14:paraId="6F208990">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textAlignment w:val="auto"/>
              <w:rPr>
                <w:rFonts w:hint="default"/>
                <w:highlight w:val="none"/>
                <w:vertAlign w:val="baseline"/>
                <w:lang w:val="en-US" w:eastAsia="zh-CN"/>
              </w:rPr>
            </w:pPr>
          </w:p>
          <w:p w14:paraId="490E59F3">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textAlignment w:val="auto"/>
              <w:rPr>
                <w:rFonts w:hint="default"/>
                <w:highlight w:val="none"/>
                <w:vertAlign w:val="baseline"/>
                <w:lang w:val="en-US" w:eastAsia="zh-CN"/>
              </w:rPr>
            </w:pPr>
          </w:p>
        </w:tc>
      </w:tr>
      <w:tr w14:paraId="753884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868" w:hRule="atLeast"/>
          <w:jc w:val="center"/>
        </w:trPr>
        <w:tc>
          <w:tcPr>
            <w:tcW w:w="449" w:type="dxa"/>
            <w:noWrap w:val="0"/>
            <w:vAlign w:val="center"/>
          </w:tcPr>
          <w:p w14:paraId="4E2D76E7">
            <w:pPr>
              <w:adjustRightInd w:val="0"/>
              <w:snapToGrid w:val="0"/>
              <w:spacing w:line="240" w:lineRule="auto"/>
              <w:jc w:val="center"/>
              <w:rPr>
                <w:rFonts w:hint="default" w:ascii="Times New Roman" w:hAnsi="Times New Roman" w:cs="Times New Roman" w:eastAsiaTheme="minorEastAsia"/>
                <w:kern w:val="0"/>
                <w:sz w:val="24"/>
                <w:szCs w:val="24"/>
                <w:highlight w:val="none"/>
              </w:rPr>
            </w:pPr>
            <w:r>
              <w:rPr>
                <w:rFonts w:hint="default" w:ascii="Times New Roman" w:hAnsi="Times New Roman" w:cs="Times New Roman" w:eastAsiaTheme="minorEastAsia"/>
                <w:kern w:val="0"/>
                <w:sz w:val="24"/>
                <w:szCs w:val="24"/>
                <w:highlight w:val="none"/>
              </w:rPr>
              <w:t>总平面及现场布置</w:t>
            </w:r>
          </w:p>
        </w:tc>
        <w:tc>
          <w:tcPr>
            <w:tcW w:w="9109" w:type="dxa"/>
            <w:noWrap w:val="0"/>
            <w:vAlign w:val="center"/>
          </w:tcPr>
          <w:p w14:paraId="7F7B3A0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rPr>
                <w:rFonts w:hint="default" w:ascii="Times New Roman" w:hAnsi="Times New Roman" w:cs="Times New Roman" w:eastAsiaTheme="minorEastAsia"/>
                <w:b/>
                <w:bCs/>
                <w:kern w:val="0"/>
                <w:sz w:val="24"/>
                <w:szCs w:val="24"/>
                <w:highlight w:val="none"/>
                <w:lang w:val="en-US" w:eastAsia="zh-CN"/>
              </w:rPr>
            </w:pPr>
            <w:r>
              <w:rPr>
                <w:rFonts w:hint="default" w:ascii="Times New Roman" w:hAnsi="Times New Roman" w:cs="Times New Roman" w:eastAsiaTheme="minorEastAsia"/>
                <w:b/>
                <w:bCs/>
                <w:kern w:val="0"/>
                <w:sz w:val="24"/>
                <w:szCs w:val="24"/>
                <w:highlight w:val="none"/>
                <w:lang w:val="en-US" w:eastAsia="zh-CN" w:bidi="ar-SA"/>
              </w:rPr>
              <w:t>1.</w:t>
            </w:r>
            <w:r>
              <w:rPr>
                <w:rFonts w:hint="default" w:ascii="Times New Roman" w:hAnsi="Times New Roman" w:cs="Times New Roman" w:eastAsiaTheme="minorEastAsia"/>
                <w:b/>
                <w:bCs/>
                <w:kern w:val="0"/>
                <w:sz w:val="24"/>
                <w:szCs w:val="24"/>
                <w:highlight w:val="none"/>
                <w:lang w:val="en-US" w:eastAsia="zh-CN"/>
              </w:rPr>
              <w:t>工程布局</w:t>
            </w:r>
          </w:p>
          <w:p w14:paraId="2954A44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b w:val="0"/>
                <w:bCs w:val="0"/>
                <w:kern w:val="0"/>
                <w:sz w:val="24"/>
                <w:szCs w:val="24"/>
                <w:highlight w:val="none"/>
                <w:lang w:val="en-US" w:eastAsia="zh-CN"/>
              </w:rPr>
            </w:pPr>
            <w:r>
              <w:rPr>
                <w:rFonts w:hint="default" w:ascii="Times New Roman" w:hAnsi="Times New Roman" w:cs="Times New Roman" w:eastAsiaTheme="minorEastAsia"/>
                <w:b w:val="0"/>
                <w:bCs w:val="0"/>
                <w:kern w:val="0"/>
                <w:sz w:val="24"/>
                <w:szCs w:val="24"/>
                <w:highlight w:val="none"/>
                <w:lang w:val="en-US" w:eastAsia="zh-CN"/>
              </w:rPr>
              <w:t>本项目可根据建设地点分为四个部分：</w:t>
            </w:r>
          </w:p>
          <w:p w14:paraId="4A58776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3B3B3B"/>
                <w:sz w:val="24"/>
                <w:szCs w:val="24"/>
                <w:highlight w:val="none"/>
              </w:rPr>
            </w:pPr>
            <w:r>
              <w:rPr>
                <w:rFonts w:hint="default" w:ascii="Times New Roman" w:hAnsi="Times New Roman" w:eastAsia="宋体" w:cs="Times New Roman"/>
                <w:b w:val="0"/>
                <w:bCs w:val="0"/>
                <w:color w:val="3B3B3B"/>
                <w:kern w:val="2"/>
                <w:sz w:val="24"/>
                <w:szCs w:val="24"/>
                <w:highlight w:val="none"/>
                <w:lang w:val="en-US" w:eastAsia="zh-CN" w:bidi="ar-SA"/>
              </w:rPr>
              <w:t>（1）</w:t>
            </w:r>
            <w:r>
              <w:rPr>
                <w:rFonts w:hint="default" w:ascii="Times New Roman" w:hAnsi="Times New Roman" w:cs="Times New Roman" w:eastAsiaTheme="minorEastAsia"/>
                <w:b w:val="0"/>
                <w:bCs w:val="0"/>
                <w:color w:val="000000"/>
                <w:sz w:val="24"/>
                <w:szCs w:val="24"/>
                <w:highlight w:val="none"/>
              </w:rPr>
              <w:t>老万金渠曲沟段</w:t>
            </w:r>
            <w:r>
              <w:rPr>
                <w:rFonts w:hint="default" w:ascii="Times New Roman" w:hAnsi="Times New Roman" w:cs="Times New Roman" w:eastAsiaTheme="minorEastAsia"/>
                <w:b w:val="0"/>
                <w:bCs w:val="0"/>
                <w:color w:val="000000"/>
                <w:sz w:val="24"/>
                <w:szCs w:val="24"/>
                <w:highlight w:val="none"/>
                <w:lang w:eastAsia="zh-CN"/>
              </w:rPr>
              <w:t>：</w:t>
            </w:r>
            <w:r>
              <w:rPr>
                <w:rFonts w:hint="eastAsia" w:ascii="Times New Roman" w:hAnsi="Times New Roman" w:eastAsia="宋体" w:cs="Times New Roman"/>
                <w:b w:val="0"/>
                <w:bCs w:val="0"/>
                <w:color w:val="3B3B3B"/>
                <w:sz w:val="24"/>
                <w:szCs w:val="24"/>
                <w:highlight w:val="none"/>
                <w:lang w:eastAsia="zh-CN"/>
              </w:rPr>
              <w:t>（</w:t>
            </w:r>
            <w:r>
              <w:rPr>
                <w:rFonts w:hint="default" w:ascii="Times New Roman" w:hAnsi="Times New Roman" w:eastAsia="宋体" w:cs="Times New Roman"/>
                <w:b w:val="0"/>
                <w:bCs w:val="0"/>
                <w:color w:val="3B3B3B"/>
                <w:sz w:val="24"/>
                <w:szCs w:val="24"/>
                <w:highlight w:val="none"/>
              </w:rPr>
              <w:t>万金花园西南侧以及新城御景北侧）进行疏浚，修建生态堤坝护坡，硬化河底，长度约605米；</w:t>
            </w:r>
            <w:r>
              <w:rPr>
                <w:rFonts w:hint="eastAsia" w:ascii="Times New Roman" w:hAnsi="Times New Roman" w:eastAsia="宋体" w:cs="Times New Roman"/>
                <w:b w:val="0"/>
                <w:bCs w:val="0"/>
                <w:color w:val="3B3B3B"/>
                <w:sz w:val="24"/>
                <w:szCs w:val="24"/>
                <w:highlight w:val="none"/>
                <w:lang w:eastAsia="zh-CN"/>
              </w:rPr>
              <w:t>（</w:t>
            </w:r>
            <w:r>
              <w:rPr>
                <w:rFonts w:hint="default" w:ascii="Times New Roman" w:hAnsi="Times New Roman" w:eastAsia="宋体" w:cs="Times New Roman"/>
                <w:b w:val="0"/>
                <w:bCs w:val="0"/>
                <w:color w:val="3B3B3B"/>
                <w:sz w:val="24"/>
                <w:szCs w:val="24"/>
                <w:highlight w:val="none"/>
              </w:rPr>
              <w:t>金线河-漳南灌渠段）进行改造，长度约999m。主要包括河底清淤、河底硬化防护、两岸筑堤以及两岸生态防护等。</w:t>
            </w:r>
          </w:p>
          <w:p w14:paraId="129227D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b w:val="0"/>
                <w:bCs w:val="0"/>
                <w:kern w:val="0"/>
                <w:sz w:val="24"/>
                <w:szCs w:val="24"/>
                <w:highlight w:val="none"/>
                <w:lang w:val="en-US" w:eastAsia="zh-CN"/>
              </w:rPr>
            </w:pPr>
            <w:r>
              <w:rPr>
                <w:rFonts w:hint="default" w:ascii="Times New Roman" w:hAnsi="Times New Roman" w:cs="Times New Roman" w:eastAsiaTheme="minorEastAsia"/>
                <w:b w:val="0"/>
                <w:bCs w:val="0"/>
                <w:kern w:val="0"/>
                <w:sz w:val="24"/>
                <w:szCs w:val="24"/>
                <w:highlight w:val="none"/>
                <w:lang w:val="en-US" w:eastAsia="zh-CN"/>
              </w:rPr>
              <w:t>（2）</w:t>
            </w:r>
            <w:r>
              <w:rPr>
                <w:rFonts w:hint="default" w:ascii="Times New Roman" w:hAnsi="Times New Roman" w:cs="Times New Roman" w:eastAsiaTheme="minorEastAsia"/>
                <w:b w:val="0"/>
                <w:bCs w:val="0"/>
                <w:color w:val="000000"/>
                <w:sz w:val="24"/>
                <w:szCs w:val="24"/>
                <w:highlight w:val="none"/>
              </w:rPr>
              <w:t>胜利渠武旺段流向金线河</w:t>
            </w:r>
            <w:r>
              <w:rPr>
                <w:rFonts w:hint="default" w:ascii="Times New Roman" w:hAnsi="Times New Roman" w:cs="Times New Roman" w:eastAsiaTheme="minorEastAsia"/>
                <w:b w:val="0"/>
                <w:bCs w:val="0"/>
                <w:color w:val="000000"/>
                <w:sz w:val="24"/>
                <w:szCs w:val="24"/>
                <w:highlight w:val="none"/>
                <w:lang w:eastAsia="zh-CN"/>
              </w:rPr>
              <w:t>：</w:t>
            </w:r>
            <w:r>
              <w:rPr>
                <w:rFonts w:hint="default" w:ascii="Times New Roman" w:hAnsi="Times New Roman" w:eastAsia="宋体" w:cs="Times New Roman"/>
                <w:b w:val="0"/>
                <w:bCs w:val="0"/>
                <w:color w:val="3B3B3B"/>
                <w:sz w:val="24"/>
                <w:szCs w:val="24"/>
                <w:highlight w:val="none"/>
              </w:rPr>
              <w:t>新建d1500钢筋混凝土排水管道，长1007米。</w:t>
            </w:r>
          </w:p>
          <w:p w14:paraId="6166540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color w:val="3B3B3B"/>
                <w:sz w:val="24"/>
                <w:szCs w:val="24"/>
                <w:highlight w:val="none"/>
              </w:rPr>
            </w:pPr>
            <w:r>
              <w:rPr>
                <w:rFonts w:hint="default" w:ascii="Times New Roman" w:hAnsi="Times New Roman" w:cs="Times New Roman" w:eastAsiaTheme="minorEastAsia"/>
                <w:b w:val="0"/>
                <w:bCs w:val="0"/>
                <w:kern w:val="0"/>
                <w:sz w:val="24"/>
                <w:szCs w:val="24"/>
                <w:highlight w:val="none"/>
                <w:lang w:val="en-US" w:eastAsia="zh-CN"/>
              </w:rPr>
              <w:t>（3）</w:t>
            </w:r>
            <w:r>
              <w:rPr>
                <w:rFonts w:hint="default" w:ascii="Times New Roman" w:hAnsi="Times New Roman" w:cs="Times New Roman" w:eastAsiaTheme="minorEastAsia"/>
                <w:b w:val="0"/>
                <w:bCs w:val="0"/>
                <w:color w:val="000000"/>
                <w:sz w:val="24"/>
                <w:szCs w:val="24"/>
                <w:highlight w:val="none"/>
              </w:rPr>
              <w:t>胜利渠西夏寒段流向安阳河</w:t>
            </w:r>
            <w:r>
              <w:rPr>
                <w:rFonts w:hint="default" w:ascii="Times New Roman" w:hAnsi="Times New Roman" w:cs="Times New Roman" w:eastAsiaTheme="minorEastAsia"/>
                <w:b w:val="0"/>
                <w:bCs w:val="0"/>
                <w:color w:val="000000"/>
                <w:sz w:val="24"/>
                <w:szCs w:val="24"/>
                <w:highlight w:val="none"/>
                <w:lang w:eastAsia="zh-CN"/>
              </w:rPr>
              <w:t>：</w:t>
            </w:r>
            <w:r>
              <w:rPr>
                <w:rFonts w:hint="default" w:ascii="Times New Roman" w:hAnsi="Times New Roman" w:eastAsia="宋体" w:cs="Times New Roman"/>
                <w:b w:val="0"/>
                <w:bCs w:val="0"/>
                <w:color w:val="3B3B3B"/>
                <w:sz w:val="24"/>
                <w:szCs w:val="24"/>
                <w:highlight w:val="none"/>
              </w:rPr>
              <w:t>新建1.5米×1.5 米排水暗涵及d1500钢筋混凝土排水管道，长1319 米。</w:t>
            </w:r>
          </w:p>
          <w:p w14:paraId="2954168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b w:val="0"/>
                <w:bCs w:val="0"/>
                <w:kern w:val="0"/>
                <w:sz w:val="24"/>
                <w:szCs w:val="24"/>
                <w:highlight w:val="none"/>
                <w:lang w:val="en-US" w:eastAsia="zh-CN"/>
              </w:rPr>
            </w:pPr>
            <w:r>
              <w:rPr>
                <w:rFonts w:hint="default" w:ascii="Times New Roman" w:hAnsi="Times New Roman" w:cs="Times New Roman" w:eastAsiaTheme="minorEastAsia"/>
                <w:b w:val="0"/>
                <w:bCs w:val="0"/>
                <w:kern w:val="0"/>
                <w:sz w:val="24"/>
                <w:szCs w:val="24"/>
                <w:highlight w:val="none"/>
                <w:lang w:val="en-US" w:eastAsia="zh-CN"/>
              </w:rPr>
              <w:t>（4）</w:t>
            </w:r>
            <w:r>
              <w:rPr>
                <w:rFonts w:hint="default" w:ascii="Times New Roman" w:hAnsi="Times New Roman" w:cs="Times New Roman" w:eastAsiaTheme="minorEastAsia"/>
                <w:b w:val="0"/>
                <w:bCs w:val="0"/>
                <w:color w:val="000000"/>
                <w:sz w:val="24"/>
                <w:szCs w:val="24"/>
                <w:highlight w:val="none"/>
              </w:rPr>
              <w:t>胜利渠跨金线河段</w:t>
            </w:r>
            <w:r>
              <w:rPr>
                <w:rFonts w:hint="default" w:ascii="Times New Roman" w:hAnsi="Times New Roman" w:cs="Times New Roman" w:eastAsiaTheme="minorEastAsia"/>
                <w:b w:val="0"/>
                <w:bCs w:val="0"/>
                <w:color w:val="000000"/>
                <w:sz w:val="24"/>
                <w:szCs w:val="24"/>
                <w:highlight w:val="none"/>
                <w:lang w:eastAsia="zh-CN"/>
              </w:rPr>
              <w:t>：</w:t>
            </w:r>
            <w:r>
              <w:rPr>
                <w:rFonts w:hint="default" w:ascii="Times New Roman" w:hAnsi="Times New Roman" w:eastAsia="宋体" w:cs="Times New Roman"/>
                <w:b w:val="0"/>
                <w:bCs w:val="0"/>
                <w:color w:val="3B3B3B"/>
                <w:sz w:val="24"/>
                <w:szCs w:val="24"/>
                <w:highlight w:val="none"/>
              </w:rPr>
              <w:t>由地上明渠改为地下暗渠，渠深1.5米，宽3米，长约30米。</w:t>
            </w:r>
          </w:p>
          <w:p w14:paraId="5A14673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rPr>
                <w:rFonts w:hint="default" w:ascii="Times New Roman" w:hAnsi="Times New Roman" w:cs="Times New Roman" w:eastAsiaTheme="minorEastAsia"/>
                <w:b/>
                <w:bCs/>
                <w:kern w:val="0"/>
                <w:sz w:val="24"/>
                <w:szCs w:val="24"/>
                <w:highlight w:val="none"/>
                <w:lang w:val="en-US" w:eastAsia="zh-CN"/>
              </w:rPr>
            </w:pPr>
            <w:r>
              <w:rPr>
                <w:rFonts w:hint="default" w:ascii="Times New Roman" w:hAnsi="Times New Roman" w:cs="Times New Roman" w:eastAsiaTheme="minorEastAsia"/>
                <w:b/>
                <w:bCs/>
                <w:kern w:val="0"/>
                <w:sz w:val="24"/>
                <w:szCs w:val="24"/>
                <w:highlight w:val="none"/>
                <w:lang w:val="en-US" w:eastAsia="zh-CN" w:bidi="ar-SA"/>
              </w:rPr>
              <w:t>2</w:t>
            </w:r>
            <w:r>
              <w:rPr>
                <w:rFonts w:hint="eastAsia" w:ascii="Times New Roman" w:hAnsi="Times New Roman" w:cs="Times New Roman" w:eastAsiaTheme="minorEastAsia"/>
                <w:b/>
                <w:bCs/>
                <w:kern w:val="0"/>
                <w:sz w:val="24"/>
                <w:szCs w:val="24"/>
                <w:highlight w:val="none"/>
                <w:lang w:val="en-US" w:eastAsia="zh-CN" w:bidi="ar-SA"/>
              </w:rPr>
              <w:t>.</w:t>
            </w:r>
            <w:r>
              <w:rPr>
                <w:rFonts w:hint="default" w:ascii="Times New Roman" w:hAnsi="Times New Roman" w:cs="Times New Roman" w:eastAsiaTheme="minorEastAsia"/>
                <w:b/>
                <w:bCs/>
                <w:kern w:val="0"/>
                <w:sz w:val="24"/>
                <w:szCs w:val="24"/>
                <w:highlight w:val="none"/>
                <w:lang w:val="en-US" w:eastAsia="zh-CN"/>
              </w:rPr>
              <w:t>施工布置</w:t>
            </w:r>
          </w:p>
          <w:p w14:paraId="106410B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eastAsiaTheme="minorEastAsia"/>
                <w:b/>
                <w:bCs/>
                <w:kern w:val="0"/>
                <w:sz w:val="24"/>
                <w:szCs w:val="24"/>
                <w:highlight w:val="none"/>
                <w:lang w:val="en-US" w:eastAsia="zh-CN"/>
              </w:rPr>
            </w:pPr>
            <w:r>
              <w:rPr>
                <w:rFonts w:hint="default" w:ascii="Times New Roman" w:hAnsi="Times New Roman" w:cs="Times New Roman" w:eastAsiaTheme="minorEastAsia"/>
                <w:b/>
                <w:bCs/>
                <w:kern w:val="0"/>
                <w:sz w:val="24"/>
                <w:szCs w:val="24"/>
                <w:highlight w:val="none"/>
                <w:lang w:val="en-US" w:eastAsia="zh-CN"/>
              </w:rPr>
              <w:t>2.1布置原则</w:t>
            </w:r>
          </w:p>
          <w:p w14:paraId="5F04C14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kern w:val="0"/>
                <w:sz w:val="24"/>
                <w:szCs w:val="24"/>
                <w:highlight w:val="none"/>
                <w:lang w:val="en-US" w:eastAsia="zh-CN"/>
              </w:rPr>
            </w:pPr>
            <w:r>
              <w:rPr>
                <w:rFonts w:hint="default" w:ascii="Times New Roman" w:hAnsi="Times New Roman" w:cs="Times New Roman" w:eastAsiaTheme="minorEastAsia"/>
                <w:kern w:val="0"/>
                <w:sz w:val="24"/>
                <w:szCs w:val="24"/>
                <w:highlight w:val="none"/>
                <w:lang w:val="en-US" w:eastAsia="zh-CN"/>
              </w:rPr>
              <w:t>本项目施工总布置规划应遵从以下原则：</w:t>
            </w:r>
          </w:p>
          <w:p w14:paraId="76255DA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eastAsiaTheme="minorEastAsia"/>
                <w:b w:val="0"/>
                <w:bCs w:val="0"/>
                <w:color w:val="000000" w:themeColor="text1"/>
                <w:sz w:val="24"/>
                <w:szCs w:val="24"/>
                <w:highlight w:val="none"/>
                <w:u w:val="none" w:color="auto"/>
                <w:lang w:val="zh-CN"/>
                <w14:textFill>
                  <w14:solidFill>
                    <w14:schemeClr w14:val="tx1"/>
                  </w14:solidFill>
                </w14:textFill>
              </w:rPr>
            </w:pPr>
            <w:r>
              <w:rPr>
                <w:rFonts w:hint="default" w:ascii="Times New Roman" w:hAnsi="Times New Roman" w:cs="Times New Roman" w:eastAsiaTheme="minorEastAsia"/>
                <w:b w:val="0"/>
                <w:bCs w:val="0"/>
                <w:color w:val="000000" w:themeColor="text1"/>
                <w:sz w:val="24"/>
                <w:szCs w:val="24"/>
                <w:highlight w:val="none"/>
                <w:u w:val="none" w:color="auto"/>
                <w:lang w:val="zh-CN"/>
                <w14:textFill>
                  <w14:solidFill>
                    <w14:schemeClr w14:val="tx1"/>
                  </w14:solidFill>
                </w14:textFill>
              </w:rPr>
              <w:t>（1）施工临建设施与永久工程统一规划，临时设施尽量与永久设施相结合；尽可能利用现有施工场地或工程永久占地作为施工期临时用地，减少临时征地范围。</w:t>
            </w:r>
          </w:p>
          <w:p w14:paraId="64E9BF3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eastAsiaTheme="minorEastAsia"/>
                <w:b w:val="0"/>
                <w:bCs w:val="0"/>
                <w:color w:val="000000" w:themeColor="text1"/>
                <w:sz w:val="24"/>
                <w:szCs w:val="24"/>
                <w:highlight w:val="none"/>
                <w:u w:val="none" w:color="auto"/>
                <w:lang w:val="zh-CN"/>
                <w14:textFill>
                  <w14:solidFill>
                    <w14:schemeClr w14:val="tx1"/>
                  </w14:solidFill>
                </w14:textFill>
              </w:rPr>
            </w:pPr>
            <w:r>
              <w:rPr>
                <w:rFonts w:hint="default" w:ascii="Times New Roman" w:hAnsi="Times New Roman" w:cs="Times New Roman" w:eastAsiaTheme="minorEastAsia"/>
                <w:b w:val="0"/>
                <w:bCs w:val="0"/>
                <w:color w:val="000000" w:themeColor="text1"/>
                <w:sz w:val="24"/>
                <w:szCs w:val="24"/>
                <w:highlight w:val="none"/>
                <w:u w:val="none" w:color="auto"/>
                <w:lang w:val="zh-CN"/>
                <w14:textFill>
                  <w14:solidFill>
                    <w14:schemeClr w14:val="tx1"/>
                  </w14:solidFill>
                </w14:textFill>
              </w:rPr>
              <w:t>（2）充分利用工程所在地现有的设施，如修配加工等设施，简化和减少临建规模。</w:t>
            </w:r>
          </w:p>
          <w:p w14:paraId="44F924C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eastAsiaTheme="minorEastAsia"/>
                <w:b w:val="0"/>
                <w:bCs w:val="0"/>
                <w:color w:val="000000" w:themeColor="text1"/>
                <w:sz w:val="24"/>
                <w:szCs w:val="24"/>
                <w:highlight w:val="none"/>
                <w:u w:val="none" w:color="auto"/>
                <w:lang w:val="zh-CN"/>
                <w14:textFill>
                  <w14:solidFill>
                    <w14:schemeClr w14:val="tx1"/>
                  </w14:solidFill>
                </w14:textFill>
              </w:rPr>
            </w:pPr>
            <w:r>
              <w:rPr>
                <w:rFonts w:hint="default" w:ascii="Times New Roman" w:hAnsi="Times New Roman" w:cs="Times New Roman" w:eastAsiaTheme="minorEastAsia"/>
                <w:b w:val="0"/>
                <w:bCs w:val="0"/>
                <w:color w:val="000000" w:themeColor="text1"/>
                <w:sz w:val="24"/>
                <w:szCs w:val="24"/>
                <w:highlight w:val="none"/>
                <w:u w:val="none" w:color="auto"/>
                <w:lang w:val="zh-CN"/>
                <w14:textFill>
                  <w14:solidFill>
                    <w14:schemeClr w14:val="tx1"/>
                  </w14:solidFill>
                </w14:textFill>
              </w:rPr>
              <w:t>（3）合理利用开挖出的土石料，做好土石方平衡。</w:t>
            </w:r>
          </w:p>
          <w:p w14:paraId="2A9BEA6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eastAsiaTheme="minorEastAsia"/>
                <w:b w:val="0"/>
                <w:bCs w:val="0"/>
                <w:color w:val="000000" w:themeColor="text1"/>
                <w:sz w:val="24"/>
                <w:szCs w:val="24"/>
                <w:highlight w:val="none"/>
                <w:u w:val="none" w:color="auto"/>
                <w:lang w:val="zh-CN"/>
                <w14:textFill>
                  <w14:solidFill>
                    <w14:schemeClr w14:val="tx1"/>
                  </w14:solidFill>
                </w14:textFill>
              </w:rPr>
            </w:pPr>
            <w:r>
              <w:rPr>
                <w:rFonts w:hint="default" w:ascii="Times New Roman" w:hAnsi="Times New Roman" w:cs="Times New Roman" w:eastAsiaTheme="minorEastAsia"/>
                <w:b w:val="0"/>
                <w:bCs w:val="0"/>
                <w:color w:val="000000" w:themeColor="text1"/>
                <w:sz w:val="24"/>
                <w:szCs w:val="24"/>
                <w:highlight w:val="none"/>
                <w:u w:val="none" w:color="auto"/>
                <w:lang w:val="zh-CN"/>
                <w14:textFill>
                  <w14:solidFill>
                    <w14:schemeClr w14:val="tx1"/>
                  </w14:solidFill>
                </w14:textFill>
              </w:rPr>
              <w:t>（4）避开不良地质区域或滑坡体危害的地区，不在重点保护文物、古迹、名胜区设置临时设施；主要施工场地和临时设施的防洪标准，采用</w:t>
            </w:r>
            <w:r>
              <w:rPr>
                <w:rFonts w:hint="default" w:ascii="Times New Roman" w:hAnsi="Times New Roman" w:cs="Times New Roman" w:eastAsiaTheme="minorEastAsia"/>
                <w:b w:val="0"/>
                <w:bCs w:val="0"/>
                <w:color w:val="000000" w:themeColor="text1"/>
                <w:sz w:val="24"/>
                <w:szCs w:val="24"/>
                <w:highlight w:val="none"/>
                <w:u w:val="none" w:color="auto"/>
                <w:lang w:val="en-US" w:eastAsia="zh-CN"/>
                <w14:textFill>
                  <w14:solidFill>
                    <w14:schemeClr w14:val="tx1"/>
                  </w14:solidFill>
                </w14:textFill>
              </w:rPr>
              <w:t>5</w:t>
            </w:r>
            <w:r>
              <w:rPr>
                <w:rFonts w:hint="default" w:ascii="Times New Roman" w:hAnsi="Times New Roman" w:cs="Times New Roman" w:eastAsiaTheme="minorEastAsia"/>
                <w:b w:val="0"/>
                <w:bCs w:val="0"/>
                <w:color w:val="000000" w:themeColor="text1"/>
                <w:sz w:val="24"/>
                <w:szCs w:val="24"/>
                <w:highlight w:val="none"/>
                <w:u w:val="none" w:color="auto"/>
                <w:lang w:val="zh-CN"/>
                <w14:textFill>
                  <w14:solidFill>
                    <w14:schemeClr w14:val="tx1"/>
                  </w14:solidFill>
                </w14:textFill>
              </w:rPr>
              <w:t>年一遇。</w:t>
            </w:r>
          </w:p>
          <w:p w14:paraId="47E55A6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rPr>
                <w:rFonts w:hint="default" w:ascii="Times New Roman" w:hAnsi="Times New Roman" w:cs="Times New Roman" w:eastAsiaTheme="minorEastAsia"/>
                <w:b w:val="0"/>
                <w:bCs w:val="0"/>
                <w:color w:val="000000" w:themeColor="text1"/>
                <w:sz w:val="24"/>
                <w:szCs w:val="24"/>
                <w:highlight w:val="none"/>
                <w:u w:val="none" w:color="auto"/>
                <w:lang w:val="zh-CN"/>
                <w14:textFill>
                  <w14:solidFill>
                    <w14:schemeClr w14:val="tx1"/>
                  </w14:solidFill>
                </w14:textFill>
              </w:rPr>
            </w:pPr>
            <w:r>
              <w:rPr>
                <w:rFonts w:hint="default" w:ascii="Times New Roman" w:hAnsi="Times New Roman" w:cs="Times New Roman" w:eastAsiaTheme="minorEastAsia"/>
                <w:b w:val="0"/>
                <w:bCs w:val="0"/>
                <w:color w:val="000000" w:themeColor="text1"/>
                <w:sz w:val="24"/>
                <w:szCs w:val="24"/>
                <w:highlight w:val="none"/>
                <w:u w:val="none" w:color="auto"/>
                <w:lang w:val="zh-CN"/>
                <w14:textFill>
                  <w14:solidFill>
                    <w14:schemeClr w14:val="tx1"/>
                  </w14:solidFill>
                </w14:textFill>
              </w:rPr>
              <w:t>（5）各区以建筑物为核心进行布置，控制临时设施规模，采用区内集中布置方案。</w:t>
            </w:r>
          </w:p>
          <w:p w14:paraId="0903EEE4">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eastAsiaTheme="minorEastAsia"/>
                <w:b w:val="0"/>
                <w:bCs w:val="0"/>
                <w:color w:val="000000" w:themeColor="text1"/>
                <w:sz w:val="24"/>
                <w:szCs w:val="24"/>
                <w:highlight w:val="none"/>
                <w:u w:val="none" w:color="auto"/>
                <w:lang w:val="zh-CN"/>
                <w14:textFill>
                  <w14:solidFill>
                    <w14:schemeClr w14:val="tx1"/>
                  </w14:solidFill>
                </w14:textFill>
              </w:rPr>
            </w:pPr>
            <w:r>
              <w:rPr>
                <w:rFonts w:hint="default" w:ascii="Times New Roman" w:hAnsi="Times New Roman" w:cs="Times New Roman" w:eastAsiaTheme="minorEastAsia"/>
                <w:b w:val="0"/>
                <w:bCs w:val="0"/>
                <w:color w:val="000000" w:themeColor="text1"/>
                <w:sz w:val="24"/>
                <w:szCs w:val="24"/>
                <w:highlight w:val="none"/>
                <w:u w:val="none" w:color="auto"/>
                <w:lang w:val="zh-CN"/>
                <w14:textFill>
                  <w14:solidFill>
                    <w14:schemeClr w14:val="tx1"/>
                  </w14:solidFill>
                </w14:textFill>
              </w:rPr>
              <w:t>（6）在保证生产、生活的前提下，</w:t>
            </w:r>
            <w:r>
              <w:rPr>
                <w:rFonts w:hint="eastAsia" w:cs="Times New Roman" w:eastAsiaTheme="minorEastAsia"/>
                <w:b w:val="0"/>
                <w:bCs w:val="0"/>
                <w:color w:val="000000" w:themeColor="text1"/>
                <w:sz w:val="24"/>
                <w:szCs w:val="24"/>
                <w:highlight w:val="none"/>
                <w:u w:val="none" w:color="auto"/>
                <w:lang w:val="zh-CN"/>
                <w14:textFill>
                  <w14:solidFill>
                    <w14:schemeClr w14:val="tx1"/>
                  </w14:solidFill>
                </w14:textFill>
              </w:rPr>
              <w:t>做好</w:t>
            </w:r>
            <w:r>
              <w:rPr>
                <w:rFonts w:hint="default" w:ascii="Times New Roman" w:hAnsi="Times New Roman" w:cs="Times New Roman" w:eastAsiaTheme="minorEastAsia"/>
                <w:b w:val="0"/>
                <w:bCs w:val="0"/>
                <w:color w:val="000000" w:themeColor="text1"/>
                <w:sz w:val="24"/>
                <w:szCs w:val="24"/>
                <w:highlight w:val="none"/>
                <w:u w:val="none" w:color="auto"/>
                <w:lang w:val="zh-CN"/>
                <w14:textFill>
                  <w14:solidFill>
                    <w14:schemeClr w14:val="tx1"/>
                  </w14:solidFill>
                </w14:textFill>
              </w:rPr>
              <w:t>三废处理，保护施工环境，减少施工后果，达到文明生产，安全施工。因地制宜，因时制宜，利用弃渣填平河滩或冲沟作为施工场地，</w:t>
            </w:r>
            <w:r>
              <w:rPr>
                <w:rFonts w:hint="eastAsia" w:cs="Times New Roman" w:eastAsiaTheme="minorEastAsia"/>
                <w:b w:val="0"/>
                <w:bCs w:val="0"/>
                <w:color w:val="000000" w:themeColor="text1"/>
                <w:sz w:val="24"/>
                <w:szCs w:val="24"/>
                <w:highlight w:val="none"/>
                <w:u w:val="none" w:color="auto"/>
                <w:lang w:val="zh-CN"/>
                <w14:textFill>
                  <w14:solidFill>
                    <w14:schemeClr w14:val="tx1"/>
                  </w14:solidFill>
                </w14:textFill>
              </w:rPr>
              <w:t>做到</w:t>
            </w:r>
            <w:r>
              <w:rPr>
                <w:rFonts w:hint="default" w:ascii="Times New Roman" w:hAnsi="Times New Roman" w:cs="Times New Roman" w:eastAsiaTheme="minorEastAsia"/>
                <w:b w:val="0"/>
                <w:bCs w:val="0"/>
                <w:color w:val="000000" w:themeColor="text1"/>
                <w:sz w:val="24"/>
                <w:szCs w:val="24"/>
                <w:highlight w:val="none"/>
                <w:u w:val="none" w:color="auto"/>
                <w:lang w:val="zh-CN"/>
                <w14:textFill>
                  <w14:solidFill>
                    <w14:schemeClr w14:val="tx1"/>
                  </w14:solidFill>
                </w14:textFill>
              </w:rPr>
              <w:t>有利生产，方便生活，经济合理，最大限度利用现有场地。</w:t>
            </w:r>
          </w:p>
          <w:p w14:paraId="19D23027">
            <w:pPr>
              <w:spacing w:line="360" w:lineRule="auto"/>
              <w:ind w:firstLine="482"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bCs/>
                <w:kern w:val="0"/>
                <w:sz w:val="24"/>
                <w:szCs w:val="24"/>
                <w:highlight w:val="none"/>
                <w:lang w:val="en-US" w:eastAsia="zh-CN"/>
              </w:rPr>
              <w:t>2.2</w:t>
            </w:r>
            <w:r>
              <w:rPr>
                <w:rFonts w:hint="default" w:ascii="Times New Roman" w:hAnsi="Times New Roman" w:eastAsia="宋体" w:cs="Times New Roman"/>
                <w:b/>
                <w:color w:val="auto"/>
                <w:sz w:val="24"/>
                <w:szCs w:val="24"/>
                <w:highlight w:val="none"/>
              </w:rPr>
              <w:t>施工交通道路</w:t>
            </w:r>
          </w:p>
          <w:p w14:paraId="1665CF37">
            <w:pPr>
              <w:spacing w:line="360" w:lineRule="auto"/>
              <w:ind w:firstLine="480" w:firstLineChars="200"/>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本工程主要位于安阳市</w:t>
            </w:r>
            <w:r>
              <w:rPr>
                <w:rFonts w:hint="eastAsia" w:ascii="Times New Roman" w:hAnsi="Times New Roman" w:eastAsia="宋体" w:cs="Times New Roman"/>
                <w:color w:val="auto"/>
                <w:sz w:val="24"/>
                <w:szCs w:val="24"/>
                <w:highlight w:val="none"/>
                <w:lang w:eastAsia="zh-CN"/>
              </w:rPr>
              <w:t>殷都区曲沟镇</w:t>
            </w:r>
            <w:r>
              <w:rPr>
                <w:rFonts w:hint="default" w:ascii="Times New Roman" w:hAnsi="Times New Roman" w:eastAsia="宋体" w:cs="Times New Roman"/>
                <w:color w:val="auto"/>
                <w:sz w:val="24"/>
                <w:szCs w:val="24"/>
                <w:highlight w:val="none"/>
              </w:rPr>
              <w:t>，对外交通便利，施工所需机械、物资可通过城市路网及其他道路运抵施工现场</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场内交通主要为各施工点与对外联系道路之间的连接道路</w:t>
            </w:r>
            <w:r>
              <w:rPr>
                <w:rFonts w:hint="eastAsia" w:ascii="Times New Roman" w:hAnsi="Times New Roman" w:eastAsia="宋体" w:cs="Times New Roman"/>
                <w:color w:val="auto"/>
                <w:sz w:val="24"/>
                <w:szCs w:val="24"/>
                <w:highlight w:val="none"/>
                <w:lang w:eastAsia="zh-CN"/>
              </w:rPr>
              <w:t>。</w:t>
            </w:r>
          </w:p>
          <w:p w14:paraId="0C32BAEB">
            <w:pPr>
              <w:spacing w:line="360" w:lineRule="auto"/>
              <w:ind w:firstLine="482" w:firstLineChars="200"/>
              <w:rPr>
                <w:rFonts w:hint="default" w:ascii="Times New Roman" w:hAnsi="Times New Roman" w:eastAsia="宋体" w:cs="Times New Roman"/>
                <w:b/>
                <w:color w:val="auto"/>
                <w:sz w:val="24"/>
                <w:szCs w:val="24"/>
                <w:highlight w:val="none"/>
              </w:rPr>
            </w:pPr>
            <w:r>
              <w:rPr>
                <w:rFonts w:hint="default" w:ascii="Times New Roman" w:hAnsi="Times New Roman" w:eastAsia="宋体" w:cs="Times New Roman"/>
                <w:b/>
                <w:color w:val="auto"/>
                <w:sz w:val="24"/>
                <w:szCs w:val="24"/>
                <w:highlight w:val="none"/>
              </w:rPr>
              <w:t>2.</w:t>
            </w:r>
            <w:r>
              <w:rPr>
                <w:rFonts w:hint="default" w:ascii="Times New Roman" w:hAnsi="Times New Roman" w:eastAsia="宋体" w:cs="Times New Roman"/>
                <w:b/>
                <w:color w:val="auto"/>
                <w:sz w:val="24"/>
                <w:szCs w:val="24"/>
                <w:highlight w:val="none"/>
                <w:lang w:val="en-US" w:eastAsia="zh-CN"/>
              </w:rPr>
              <w:t>3</w:t>
            </w:r>
            <w:r>
              <w:rPr>
                <w:rFonts w:hint="default" w:ascii="Times New Roman" w:hAnsi="Times New Roman" w:eastAsia="宋体" w:cs="Times New Roman"/>
                <w:b/>
                <w:color w:val="auto"/>
                <w:sz w:val="24"/>
                <w:szCs w:val="24"/>
                <w:highlight w:val="none"/>
              </w:rPr>
              <w:t>施工厂区布置规划</w:t>
            </w:r>
          </w:p>
          <w:p w14:paraId="33105195">
            <w:pPr>
              <w:spacing w:line="360" w:lineRule="auto"/>
              <w:ind w:firstLine="480" w:firstLineChars="200"/>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本工程</w:t>
            </w:r>
            <w:r>
              <w:rPr>
                <w:rFonts w:hint="eastAsia" w:ascii="Times New Roman" w:hAnsi="Times New Roman" w:eastAsia="宋体" w:cs="Times New Roman"/>
                <w:color w:val="auto"/>
                <w:sz w:val="24"/>
                <w:szCs w:val="24"/>
                <w:highlight w:val="none"/>
                <w:lang w:eastAsia="zh-CN"/>
              </w:rPr>
              <w:t>周边村庄较多</w:t>
            </w:r>
            <w:r>
              <w:rPr>
                <w:rFonts w:hint="default" w:ascii="Times New Roman" w:hAnsi="Times New Roman" w:eastAsia="宋体" w:cs="Times New Roman"/>
                <w:color w:val="auto"/>
                <w:sz w:val="24"/>
                <w:szCs w:val="24"/>
                <w:highlight w:val="none"/>
              </w:rPr>
              <w:t>，可在附近村庄租赁民房作为临时生活区</w:t>
            </w:r>
            <w:r>
              <w:rPr>
                <w:rFonts w:hint="eastAsia" w:cs="Times New Roman"/>
                <w:color w:val="auto"/>
                <w:sz w:val="24"/>
                <w:szCs w:val="24"/>
                <w:highlight w:val="none"/>
                <w:lang w:eastAsia="zh-CN"/>
              </w:rPr>
              <w:t>；各施工场地中段分别设置临时化粪池和沉淀池，用于收集处理施工时段施工人员生产生活废水以及车辆冲洗废水。</w:t>
            </w:r>
          </w:p>
          <w:p w14:paraId="44EDFFBD">
            <w:pPr>
              <w:spacing w:line="360" w:lineRule="auto"/>
              <w:ind w:firstLine="482" w:firstLineChars="200"/>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2.</w:t>
            </w:r>
            <w:r>
              <w:rPr>
                <w:rFonts w:hint="default" w:ascii="Times New Roman" w:hAnsi="Times New Roman" w:eastAsia="宋体" w:cs="Times New Roman"/>
                <w:b/>
                <w:bCs/>
                <w:color w:val="auto"/>
                <w:sz w:val="24"/>
                <w:szCs w:val="24"/>
                <w:highlight w:val="none"/>
                <w:lang w:val="en-US" w:eastAsia="zh-CN"/>
              </w:rPr>
              <w:t>4</w:t>
            </w:r>
            <w:r>
              <w:rPr>
                <w:rFonts w:hint="default" w:ascii="Times New Roman" w:hAnsi="Times New Roman" w:eastAsia="宋体" w:cs="Times New Roman"/>
                <w:b/>
                <w:bCs/>
                <w:color w:val="auto"/>
                <w:sz w:val="24"/>
                <w:szCs w:val="24"/>
                <w:highlight w:val="none"/>
              </w:rPr>
              <w:t>施工期水电供应</w:t>
            </w:r>
          </w:p>
          <w:p w14:paraId="6F043597">
            <w:pPr>
              <w:pStyle w:val="9"/>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szCs w:val="24"/>
                <w:highlight w:val="none"/>
                <w:lang w:val="en-US" w:eastAsia="zh-CN"/>
              </w:rPr>
            </w:pPr>
            <w:r>
              <w:rPr>
                <w:rFonts w:hint="default" w:ascii="Times New Roman" w:hAnsi="Times New Roman" w:eastAsia="宋体" w:cs="Times New Roman"/>
                <w:color w:val="auto"/>
                <w:sz w:val="24"/>
                <w:szCs w:val="24"/>
                <w:highlight w:val="none"/>
              </w:rPr>
              <w:t>由于工程项目为线性施工，用电用水量分散，施工及生活用水可采用自来水；施工用电较少，</w:t>
            </w:r>
            <w:r>
              <w:rPr>
                <w:rFonts w:hint="eastAsia" w:ascii="Times New Roman" w:hAnsi="Times New Roman" w:eastAsia="宋体" w:cs="Times New Roman"/>
                <w:color w:val="auto"/>
                <w:sz w:val="24"/>
                <w:szCs w:val="24"/>
                <w:highlight w:val="none"/>
                <w:lang w:eastAsia="zh-CN"/>
              </w:rPr>
              <w:t>用电由市政电缆引至项目场地内变配电室，可满足本项目用电需求。</w:t>
            </w:r>
          </w:p>
        </w:tc>
      </w:tr>
      <w:tr w14:paraId="2205EB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50" w:hRule="atLeast"/>
          <w:jc w:val="center"/>
        </w:trPr>
        <w:tc>
          <w:tcPr>
            <w:tcW w:w="449" w:type="dxa"/>
            <w:noWrap w:val="0"/>
            <w:vAlign w:val="center"/>
          </w:tcPr>
          <w:p w14:paraId="3B86A8BC">
            <w:pPr>
              <w:adjustRightInd w:val="0"/>
              <w:snapToGrid w:val="0"/>
              <w:jc w:val="center"/>
              <w:rPr>
                <w:rFonts w:ascii="宋体" w:hAnsi="宋体" w:cs="宋体"/>
                <w:kern w:val="0"/>
                <w:szCs w:val="21"/>
                <w:highlight w:val="none"/>
              </w:rPr>
            </w:pPr>
            <w:r>
              <w:rPr>
                <w:rFonts w:hint="eastAsia" w:ascii="宋体" w:hAnsi="宋体" w:cs="宋体"/>
                <w:kern w:val="0"/>
                <w:sz w:val="24"/>
                <w:szCs w:val="24"/>
                <w:highlight w:val="none"/>
              </w:rPr>
              <w:t>施工方案</w:t>
            </w:r>
          </w:p>
        </w:tc>
        <w:tc>
          <w:tcPr>
            <w:tcW w:w="9109" w:type="dxa"/>
            <w:noWrap w:val="0"/>
            <w:vAlign w:val="center"/>
          </w:tcPr>
          <w:p w14:paraId="345DE7F5">
            <w:pPr>
              <w:numPr>
                <w:ilvl w:val="0"/>
                <w:numId w:val="0"/>
              </w:numPr>
              <w:adjustRightInd w:val="0"/>
              <w:snapToGrid w:val="0"/>
              <w:spacing w:beforeLines="0" w:afterLines="0" w:line="360" w:lineRule="auto"/>
              <w:rPr>
                <w:rFonts w:hint="default" w:ascii="Times New Roman" w:hAnsi="Times New Roman" w:eastAsia="Times New Roman" w:cs="Times New Roman"/>
                <w:b/>
                <w:color w:val="auto"/>
                <w:kern w:val="0"/>
                <w:sz w:val="24"/>
                <w:szCs w:val="24"/>
                <w:highlight w:val="none"/>
                <w:u w:val="none" w:color="auto"/>
              </w:rPr>
            </w:pPr>
            <w:r>
              <w:rPr>
                <w:rFonts w:hint="default" w:ascii="Times New Roman" w:hAnsi="Times New Roman" w:eastAsia="Times New Roman" w:cs="Times New Roman"/>
                <w:b/>
                <w:color w:val="auto"/>
                <w:kern w:val="0"/>
                <w:sz w:val="24"/>
                <w:szCs w:val="24"/>
                <w:highlight w:val="none"/>
                <w:u w:val="none" w:color="auto"/>
              </w:rPr>
              <w:t>1.</w:t>
            </w:r>
            <w:r>
              <w:rPr>
                <w:rFonts w:hint="default" w:ascii="Times New Roman" w:hAnsi="Times New Roman" w:eastAsia="宋体" w:cs="Times New Roman"/>
                <w:b/>
                <w:color w:val="auto"/>
                <w:kern w:val="0"/>
                <w:sz w:val="24"/>
                <w:szCs w:val="24"/>
                <w:highlight w:val="none"/>
                <w:u w:val="none" w:color="auto"/>
              </w:rPr>
              <w:t>施工工艺</w:t>
            </w:r>
          </w:p>
          <w:p w14:paraId="126B51E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sz w:val="24"/>
                <w:szCs w:val="24"/>
                <w:highlight w:val="none"/>
              </w:rPr>
            </w:pPr>
            <w:r>
              <w:rPr>
                <w:rFonts w:hint="eastAsia" w:cs="Times New Roman"/>
                <w:b/>
                <w:bCs/>
                <w:color w:val="000000"/>
                <w:sz w:val="24"/>
                <w:szCs w:val="24"/>
                <w:highlight w:val="none"/>
                <w:lang w:val="en-US" w:eastAsia="zh-CN"/>
              </w:rPr>
              <w:t>1</w:t>
            </w:r>
            <w:r>
              <w:rPr>
                <w:rFonts w:hint="eastAsia" w:ascii="Times New Roman" w:hAnsi="Times New Roman" w:eastAsia="宋体" w:cs="Times New Roman"/>
                <w:b/>
                <w:bCs/>
                <w:color w:val="000000"/>
                <w:sz w:val="24"/>
                <w:szCs w:val="24"/>
                <w:highlight w:val="none"/>
                <w:lang w:val="en-US" w:eastAsia="zh-CN"/>
              </w:rPr>
              <w:t>.</w:t>
            </w:r>
            <w:r>
              <w:rPr>
                <w:rFonts w:hint="default" w:ascii="Times New Roman" w:hAnsi="Times New Roman" w:eastAsia="宋体" w:cs="Times New Roman"/>
                <w:b/>
                <w:bCs/>
                <w:color w:val="000000"/>
                <w:sz w:val="24"/>
                <w:szCs w:val="24"/>
                <w:highlight w:val="none"/>
              </w:rPr>
              <w:t>1河道清淤工程</w:t>
            </w:r>
          </w:p>
          <w:p w14:paraId="1EDCABB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b w:val="0"/>
                <w:bCs w:val="0"/>
                <w:color w:val="000000"/>
                <w:sz w:val="24"/>
                <w:szCs w:val="24"/>
                <w:highlight w:val="none"/>
              </w:rPr>
            </w:pPr>
            <w:r>
              <w:rPr>
                <w:rFonts w:hint="default" w:ascii="Times New Roman" w:hAnsi="Times New Roman" w:cs="Times New Roman" w:eastAsiaTheme="minorEastAsia"/>
                <w:b w:val="0"/>
                <w:bCs w:val="0"/>
                <w:color w:val="000000"/>
                <w:sz w:val="24"/>
                <w:szCs w:val="24"/>
                <w:highlight w:val="none"/>
              </w:rPr>
              <w:t>河道清淤工程的总目标是提高河道的排水能力和改善水质环境</w:t>
            </w:r>
            <w:r>
              <w:rPr>
                <w:rFonts w:hint="eastAsia" w:cs="Times New Roman" w:eastAsiaTheme="minorEastAsia"/>
                <w:b w:val="0"/>
                <w:bCs w:val="0"/>
                <w:color w:val="000000"/>
                <w:sz w:val="24"/>
                <w:szCs w:val="24"/>
                <w:highlight w:val="none"/>
                <w:lang w:eastAsia="zh-CN"/>
              </w:rPr>
              <w:t>。</w:t>
            </w:r>
            <w:r>
              <w:rPr>
                <w:rFonts w:hint="default" w:ascii="Times New Roman" w:hAnsi="Times New Roman" w:cs="Times New Roman" w:eastAsiaTheme="minorEastAsia"/>
                <w:b w:val="0"/>
                <w:bCs w:val="0"/>
                <w:color w:val="000000"/>
                <w:sz w:val="24"/>
                <w:szCs w:val="24"/>
                <w:highlight w:val="none"/>
              </w:rPr>
              <w:t>具体</w:t>
            </w:r>
            <w:r>
              <w:rPr>
                <w:rFonts w:hint="eastAsia" w:cs="Times New Roman" w:eastAsiaTheme="minorEastAsia"/>
                <w:b w:val="0"/>
                <w:bCs w:val="0"/>
                <w:color w:val="000000"/>
                <w:sz w:val="24"/>
                <w:szCs w:val="24"/>
                <w:highlight w:val="none"/>
                <w:lang w:eastAsia="zh-CN"/>
              </w:rPr>
              <w:t>施工工艺</w:t>
            </w:r>
            <w:r>
              <w:rPr>
                <w:rFonts w:hint="default" w:ascii="Times New Roman" w:hAnsi="Times New Roman" w:cs="Times New Roman" w:eastAsiaTheme="minorEastAsia"/>
                <w:b w:val="0"/>
                <w:bCs w:val="0"/>
                <w:color w:val="000000"/>
                <w:sz w:val="24"/>
                <w:szCs w:val="24"/>
                <w:highlight w:val="none"/>
              </w:rPr>
              <w:t>如下：</w:t>
            </w:r>
          </w:p>
          <w:p w14:paraId="5722AFB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b w:val="0"/>
                <w:bCs w:val="0"/>
                <w:color w:val="000000"/>
                <w:sz w:val="24"/>
                <w:szCs w:val="24"/>
                <w:highlight w:val="none"/>
              </w:rPr>
            </w:pPr>
            <w:r>
              <w:rPr>
                <w:rFonts w:hint="eastAsia" w:cs="Times New Roman" w:eastAsiaTheme="minorEastAsia"/>
                <w:b w:val="0"/>
                <w:bCs w:val="0"/>
                <w:color w:val="000000"/>
                <w:kern w:val="2"/>
                <w:sz w:val="24"/>
                <w:szCs w:val="24"/>
                <w:highlight w:val="none"/>
                <w:lang w:val="en-US" w:eastAsia="zh-CN" w:bidi="ar-SA"/>
              </w:rPr>
              <w:t>（1）</w:t>
            </w:r>
            <w:r>
              <w:rPr>
                <w:rFonts w:hint="default" w:ascii="Times New Roman" w:hAnsi="Times New Roman" w:cs="Times New Roman" w:eastAsiaTheme="minorEastAsia"/>
                <w:b w:val="0"/>
                <w:bCs w:val="0"/>
                <w:color w:val="000000"/>
                <w:sz w:val="24"/>
                <w:szCs w:val="24"/>
                <w:highlight w:val="none"/>
              </w:rPr>
              <w:t>施工准备：在施工前，需要对河道进行现场勘查，了解淤泥的分布和厚度，制定详细的施工方案和安全措施。同时准备好施工所需的设备、人员和物资等资源。</w:t>
            </w:r>
          </w:p>
          <w:p w14:paraId="0590519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b w:val="0"/>
                <w:bCs w:val="0"/>
                <w:color w:val="000000"/>
                <w:sz w:val="24"/>
                <w:szCs w:val="24"/>
                <w:highlight w:val="none"/>
              </w:rPr>
            </w:pPr>
            <w:r>
              <w:rPr>
                <w:rFonts w:hint="eastAsia" w:cs="Times New Roman" w:eastAsiaTheme="minorEastAsia"/>
                <w:b w:val="0"/>
                <w:bCs w:val="0"/>
                <w:color w:val="000000"/>
                <w:sz w:val="24"/>
                <w:szCs w:val="24"/>
                <w:highlight w:val="none"/>
                <w:lang w:eastAsia="zh-CN"/>
              </w:rPr>
              <w:t>（</w:t>
            </w:r>
            <w:r>
              <w:rPr>
                <w:rFonts w:hint="eastAsia" w:cs="Times New Roman" w:eastAsiaTheme="minorEastAsia"/>
                <w:b w:val="0"/>
                <w:bCs w:val="0"/>
                <w:color w:val="000000"/>
                <w:sz w:val="24"/>
                <w:szCs w:val="24"/>
                <w:highlight w:val="none"/>
                <w:lang w:val="en-US" w:eastAsia="zh-CN"/>
              </w:rPr>
              <w:t>2</w:t>
            </w:r>
            <w:r>
              <w:rPr>
                <w:rFonts w:hint="eastAsia" w:cs="Times New Roman" w:eastAsiaTheme="minorEastAsia"/>
                <w:b w:val="0"/>
                <w:bCs w:val="0"/>
                <w:color w:val="000000"/>
                <w:sz w:val="24"/>
                <w:szCs w:val="24"/>
                <w:highlight w:val="none"/>
                <w:lang w:eastAsia="zh-CN"/>
              </w:rPr>
              <w:t>）</w:t>
            </w:r>
            <w:r>
              <w:rPr>
                <w:rFonts w:hint="default" w:ascii="Times New Roman" w:hAnsi="Times New Roman" w:cs="Times New Roman" w:eastAsiaTheme="minorEastAsia"/>
                <w:b w:val="0"/>
                <w:bCs w:val="0"/>
                <w:color w:val="000000"/>
                <w:sz w:val="24"/>
                <w:szCs w:val="24"/>
                <w:highlight w:val="none"/>
              </w:rPr>
              <w:t>围堰排水：在河道内修建围堰，将河水排出，使河道干燥。围堰的修建需要考虑到河道的形状和大小，以及施工期间的水流情况。通常采用土石围堰或钢板围堰等材料进行修建。</w:t>
            </w:r>
          </w:p>
          <w:p w14:paraId="43907CF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b w:val="0"/>
                <w:bCs w:val="0"/>
                <w:color w:val="000000"/>
                <w:sz w:val="24"/>
                <w:szCs w:val="24"/>
                <w:highlight w:val="none"/>
              </w:rPr>
            </w:pPr>
            <w:r>
              <w:rPr>
                <w:rFonts w:hint="eastAsia" w:cs="Times New Roman" w:eastAsiaTheme="minorEastAsia"/>
                <w:b w:val="0"/>
                <w:bCs w:val="0"/>
                <w:color w:val="000000"/>
                <w:sz w:val="24"/>
                <w:szCs w:val="24"/>
                <w:highlight w:val="none"/>
                <w:lang w:eastAsia="zh-CN"/>
              </w:rPr>
              <w:t>（</w:t>
            </w:r>
            <w:r>
              <w:rPr>
                <w:rFonts w:hint="eastAsia" w:cs="Times New Roman" w:eastAsiaTheme="minorEastAsia"/>
                <w:b w:val="0"/>
                <w:bCs w:val="0"/>
                <w:color w:val="000000"/>
                <w:sz w:val="24"/>
                <w:szCs w:val="24"/>
                <w:highlight w:val="none"/>
                <w:lang w:val="en-US" w:eastAsia="zh-CN"/>
              </w:rPr>
              <w:t>3</w:t>
            </w:r>
            <w:r>
              <w:rPr>
                <w:rFonts w:hint="eastAsia" w:cs="Times New Roman" w:eastAsiaTheme="minorEastAsia"/>
                <w:b w:val="0"/>
                <w:bCs w:val="0"/>
                <w:color w:val="000000"/>
                <w:sz w:val="24"/>
                <w:szCs w:val="24"/>
                <w:highlight w:val="none"/>
                <w:lang w:eastAsia="zh-CN"/>
              </w:rPr>
              <w:t>）</w:t>
            </w:r>
            <w:r>
              <w:rPr>
                <w:rFonts w:hint="default" w:ascii="Times New Roman" w:hAnsi="Times New Roman" w:cs="Times New Roman" w:eastAsiaTheme="minorEastAsia"/>
                <w:b w:val="0"/>
                <w:bCs w:val="0"/>
                <w:color w:val="000000"/>
                <w:sz w:val="24"/>
                <w:szCs w:val="24"/>
                <w:highlight w:val="none"/>
              </w:rPr>
              <w:t>淤泥清理：使用挖掘机、装载机和运输车辆等设备，将淤泥和杂物清理出河道。在清理过程中，需要控制清理的深度和范围，避免对河底造成过大的扰动。同时需要注意对周边环境的保护，避免造成二次污染。</w:t>
            </w:r>
          </w:p>
          <w:p w14:paraId="25CF2ED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b w:val="0"/>
                <w:bCs w:val="0"/>
                <w:color w:val="000000"/>
                <w:sz w:val="24"/>
                <w:szCs w:val="24"/>
                <w:highlight w:val="none"/>
              </w:rPr>
            </w:pPr>
            <w:r>
              <w:rPr>
                <w:rFonts w:hint="eastAsia" w:cs="Times New Roman" w:eastAsiaTheme="minorEastAsia"/>
                <w:b w:val="0"/>
                <w:bCs w:val="0"/>
                <w:color w:val="000000"/>
                <w:sz w:val="24"/>
                <w:szCs w:val="24"/>
                <w:highlight w:val="none"/>
                <w:lang w:eastAsia="zh-CN"/>
              </w:rPr>
              <w:t>（</w:t>
            </w:r>
            <w:r>
              <w:rPr>
                <w:rFonts w:hint="eastAsia" w:cs="Times New Roman" w:eastAsiaTheme="minorEastAsia"/>
                <w:b w:val="0"/>
                <w:bCs w:val="0"/>
                <w:color w:val="000000"/>
                <w:sz w:val="24"/>
                <w:szCs w:val="24"/>
                <w:highlight w:val="none"/>
                <w:lang w:val="en-US" w:eastAsia="zh-CN"/>
              </w:rPr>
              <w:t>4</w:t>
            </w:r>
            <w:r>
              <w:rPr>
                <w:rFonts w:hint="eastAsia" w:cs="Times New Roman" w:eastAsiaTheme="minorEastAsia"/>
                <w:b w:val="0"/>
                <w:bCs w:val="0"/>
                <w:color w:val="000000"/>
                <w:sz w:val="24"/>
                <w:szCs w:val="24"/>
                <w:highlight w:val="none"/>
                <w:lang w:eastAsia="zh-CN"/>
              </w:rPr>
              <w:t>）</w:t>
            </w:r>
            <w:r>
              <w:rPr>
                <w:rFonts w:hint="default" w:ascii="Times New Roman" w:hAnsi="Times New Roman" w:cs="Times New Roman" w:eastAsiaTheme="minorEastAsia"/>
                <w:b w:val="0"/>
                <w:bCs w:val="0"/>
                <w:color w:val="000000"/>
                <w:sz w:val="24"/>
                <w:szCs w:val="24"/>
                <w:highlight w:val="none"/>
              </w:rPr>
              <w:t>淤泥处理：</w:t>
            </w:r>
            <w:r>
              <w:rPr>
                <w:rFonts w:hint="eastAsia"/>
                <w:sz w:val="24"/>
                <w:szCs w:val="24"/>
                <w:highlight w:val="none"/>
                <w:vertAlign w:val="baseline"/>
                <w:lang w:val="en-US" w:eastAsia="zh-CN"/>
              </w:rPr>
              <w:t>疏浚</w:t>
            </w:r>
            <w:r>
              <w:rPr>
                <w:rFonts w:hint="eastAsia"/>
                <w:color w:val="auto"/>
                <w:sz w:val="24"/>
                <w:szCs w:val="24"/>
                <w:highlight w:val="none"/>
                <w:lang w:eastAsia="zh-CN"/>
              </w:rPr>
              <w:t>产生</w:t>
            </w:r>
            <w:r>
              <w:rPr>
                <w:rFonts w:hint="eastAsia"/>
                <w:color w:val="auto"/>
                <w:sz w:val="24"/>
                <w:szCs w:val="24"/>
                <w:highlight w:val="none"/>
              </w:rPr>
              <w:t>的淤泥</w:t>
            </w:r>
            <w:r>
              <w:rPr>
                <w:rFonts w:hint="eastAsia"/>
                <w:color w:val="auto"/>
                <w:sz w:val="24"/>
                <w:szCs w:val="24"/>
                <w:highlight w:val="none"/>
                <w:lang w:eastAsia="zh-CN"/>
              </w:rPr>
              <w:t>符合要求的直接</w:t>
            </w:r>
            <w:r>
              <w:rPr>
                <w:rFonts w:hint="eastAsia"/>
                <w:color w:val="auto"/>
                <w:sz w:val="24"/>
                <w:szCs w:val="24"/>
                <w:highlight w:val="none"/>
              </w:rPr>
              <w:t>还林，还田利用</w:t>
            </w:r>
            <w:r>
              <w:rPr>
                <w:rFonts w:hint="eastAsia"/>
                <w:color w:val="auto"/>
                <w:sz w:val="24"/>
                <w:szCs w:val="24"/>
                <w:highlight w:val="none"/>
                <w:lang w:eastAsia="zh-CN"/>
              </w:rPr>
              <w:t>，不符合要求的</w:t>
            </w:r>
            <w:r>
              <w:rPr>
                <w:rFonts w:hint="default" w:ascii="Times New Roman" w:hAnsi="Times New Roman" w:eastAsia="宋体" w:cs="Times New Roman"/>
                <w:color w:val="auto"/>
                <w:sz w:val="24"/>
                <w:szCs w:val="24"/>
                <w:highlight w:val="none"/>
                <w:u w:val="none" w:color="auto"/>
                <w:lang w:val="en-US" w:eastAsia="zh-CN"/>
              </w:rPr>
              <w:t>运输到</w:t>
            </w:r>
            <w:r>
              <w:rPr>
                <w:rFonts w:hint="eastAsia" w:cs="Times New Roman"/>
                <w:color w:val="auto"/>
                <w:sz w:val="24"/>
                <w:szCs w:val="24"/>
                <w:highlight w:val="none"/>
                <w:u w:val="none" w:color="auto"/>
                <w:lang w:val="en-US" w:eastAsia="zh-CN"/>
              </w:rPr>
              <w:t>建筑</w:t>
            </w:r>
            <w:r>
              <w:rPr>
                <w:rFonts w:hint="default" w:ascii="Times New Roman" w:hAnsi="Times New Roman" w:eastAsia="宋体" w:cs="Times New Roman"/>
                <w:color w:val="auto"/>
                <w:sz w:val="24"/>
                <w:szCs w:val="24"/>
                <w:highlight w:val="none"/>
                <w:u w:val="none" w:color="auto"/>
                <w:lang w:val="en-US" w:eastAsia="zh-CN"/>
              </w:rPr>
              <w:t>垃圾</w:t>
            </w:r>
            <w:r>
              <w:rPr>
                <w:rFonts w:hint="eastAsia" w:cs="Times New Roman"/>
                <w:color w:val="auto"/>
                <w:sz w:val="24"/>
                <w:szCs w:val="24"/>
                <w:highlight w:val="none"/>
                <w:u w:val="none" w:color="auto"/>
                <w:lang w:val="en-US" w:eastAsia="zh-CN"/>
              </w:rPr>
              <w:t>填埋厂</w:t>
            </w:r>
            <w:r>
              <w:rPr>
                <w:rFonts w:hint="default" w:ascii="Times New Roman" w:hAnsi="Times New Roman" w:eastAsia="宋体" w:cs="Times New Roman"/>
                <w:color w:val="auto"/>
                <w:sz w:val="24"/>
                <w:szCs w:val="24"/>
                <w:highlight w:val="none"/>
                <w:u w:val="none" w:color="auto"/>
                <w:lang w:val="en-US" w:eastAsia="zh-CN"/>
              </w:rPr>
              <w:t>进行</w:t>
            </w:r>
            <w:r>
              <w:rPr>
                <w:rFonts w:hint="eastAsia" w:cs="Times New Roman"/>
                <w:color w:val="auto"/>
                <w:sz w:val="24"/>
                <w:szCs w:val="24"/>
                <w:highlight w:val="none"/>
                <w:u w:val="none" w:color="auto"/>
                <w:lang w:val="en-US" w:eastAsia="zh-CN"/>
              </w:rPr>
              <w:t>处置。</w:t>
            </w:r>
          </w:p>
          <w:p w14:paraId="63046FC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b w:val="0"/>
                <w:bCs w:val="0"/>
                <w:color w:val="000000"/>
                <w:sz w:val="24"/>
                <w:szCs w:val="24"/>
                <w:highlight w:val="none"/>
              </w:rPr>
            </w:pPr>
            <w:r>
              <w:rPr>
                <w:rFonts w:hint="eastAsia" w:cs="Times New Roman" w:eastAsiaTheme="minorEastAsia"/>
                <w:b w:val="0"/>
                <w:bCs w:val="0"/>
                <w:color w:val="000000"/>
                <w:sz w:val="24"/>
                <w:szCs w:val="24"/>
                <w:highlight w:val="none"/>
                <w:lang w:eastAsia="zh-CN"/>
              </w:rPr>
              <w:t>（</w:t>
            </w:r>
            <w:r>
              <w:rPr>
                <w:rFonts w:hint="eastAsia" w:cs="Times New Roman" w:eastAsiaTheme="minorEastAsia"/>
                <w:b w:val="0"/>
                <w:bCs w:val="0"/>
                <w:color w:val="000000"/>
                <w:sz w:val="24"/>
                <w:szCs w:val="24"/>
                <w:highlight w:val="none"/>
                <w:lang w:val="en-US" w:eastAsia="zh-CN"/>
              </w:rPr>
              <w:t>5</w:t>
            </w:r>
            <w:r>
              <w:rPr>
                <w:rFonts w:hint="eastAsia" w:cs="Times New Roman" w:eastAsiaTheme="minorEastAsia"/>
                <w:b w:val="0"/>
                <w:bCs w:val="0"/>
                <w:color w:val="000000"/>
                <w:sz w:val="24"/>
                <w:szCs w:val="24"/>
                <w:highlight w:val="none"/>
                <w:lang w:eastAsia="zh-CN"/>
              </w:rPr>
              <w:t>）</w:t>
            </w:r>
            <w:r>
              <w:rPr>
                <w:rFonts w:hint="default" w:ascii="Times New Roman" w:hAnsi="Times New Roman" w:cs="Times New Roman" w:eastAsiaTheme="minorEastAsia"/>
                <w:b w:val="0"/>
                <w:bCs w:val="0"/>
                <w:color w:val="000000"/>
                <w:sz w:val="24"/>
                <w:szCs w:val="24"/>
                <w:highlight w:val="none"/>
              </w:rPr>
              <w:t>河道修复：在清理完成后，对河道进行修复和整理，恢复河道生态功能。包括河底的平整、河岸的修复和水生生物的引入等。</w:t>
            </w:r>
          </w:p>
          <w:p w14:paraId="5E0CC9B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color w:val="000000"/>
                <w:sz w:val="24"/>
                <w:szCs w:val="24"/>
                <w:highlight w:val="none"/>
              </w:rPr>
            </w:pPr>
            <w:r>
              <w:rPr>
                <w:rFonts w:hint="eastAsia" w:cs="Times New Roman"/>
                <w:b/>
                <w:bCs/>
                <w:color w:val="000000"/>
                <w:sz w:val="24"/>
                <w:szCs w:val="24"/>
                <w:highlight w:val="none"/>
                <w:lang w:val="en-US" w:eastAsia="zh-CN"/>
              </w:rPr>
              <w:t>1</w:t>
            </w:r>
            <w:r>
              <w:rPr>
                <w:rFonts w:hint="default" w:ascii="Times New Roman" w:hAnsi="Times New Roman" w:eastAsia="宋体" w:cs="Times New Roman"/>
                <w:b/>
                <w:bCs/>
                <w:color w:val="000000"/>
                <w:sz w:val="24"/>
                <w:szCs w:val="24"/>
                <w:highlight w:val="none"/>
                <w:lang w:val="en-US" w:eastAsia="zh-CN"/>
              </w:rPr>
              <w:t>.2</w:t>
            </w:r>
            <w:r>
              <w:rPr>
                <w:rFonts w:hint="eastAsia" w:ascii="宋体" w:hAnsi="宋体" w:eastAsia="宋体" w:cs="宋体"/>
                <w:b/>
                <w:bCs/>
                <w:color w:val="000000"/>
                <w:sz w:val="24"/>
                <w:szCs w:val="24"/>
                <w:highlight w:val="none"/>
              </w:rPr>
              <w:t>护堤护坡工程</w:t>
            </w:r>
          </w:p>
          <w:p w14:paraId="66D5BF6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000000"/>
                <w:sz w:val="24"/>
                <w:szCs w:val="24"/>
                <w:highlight w:val="none"/>
                <w:lang w:eastAsia="zh-CN"/>
              </w:rPr>
            </w:pPr>
            <w:r>
              <w:rPr>
                <w:rFonts w:hint="default" w:ascii="Times New Roman" w:hAnsi="Times New Roman" w:cs="Times New Roman"/>
                <w:b w:val="0"/>
                <w:bCs w:val="0"/>
                <w:color w:val="000000"/>
                <w:sz w:val="24"/>
                <w:szCs w:val="24"/>
                <w:highlight w:val="none"/>
                <w:lang w:eastAsia="zh-CN"/>
              </w:rPr>
              <w:t>（</w:t>
            </w:r>
            <w:r>
              <w:rPr>
                <w:rFonts w:hint="default" w:ascii="Times New Roman" w:hAnsi="Times New Roman" w:cs="Times New Roman"/>
                <w:b w:val="0"/>
                <w:bCs w:val="0"/>
                <w:color w:val="000000"/>
                <w:sz w:val="24"/>
                <w:szCs w:val="24"/>
                <w:highlight w:val="none"/>
                <w:lang w:val="en-US" w:eastAsia="zh-CN"/>
              </w:rPr>
              <w:t>1</w:t>
            </w:r>
            <w:r>
              <w:rPr>
                <w:rFonts w:hint="default" w:ascii="Times New Roman" w:hAnsi="Times New Roman" w:cs="Times New Roman"/>
                <w:b w:val="0"/>
                <w:bCs w:val="0"/>
                <w:color w:val="000000"/>
                <w:sz w:val="24"/>
                <w:szCs w:val="24"/>
                <w:highlight w:val="none"/>
                <w:lang w:eastAsia="zh-CN"/>
              </w:rPr>
              <w:t>）</w:t>
            </w:r>
            <w:r>
              <w:rPr>
                <w:rFonts w:hint="eastAsia" w:ascii="宋体" w:hAnsi="宋体" w:cs="宋体"/>
                <w:b w:val="0"/>
                <w:bCs w:val="0"/>
                <w:color w:val="000000"/>
                <w:sz w:val="24"/>
                <w:szCs w:val="24"/>
                <w:highlight w:val="none"/>
                <w:lang w:eastAsia="zh-CN"/>
              </w:rPr>
              <w:t>护坡形式选择</w:t>
            </w:r>
          </w:p>
          <w:p w14:paraId="2E6C3DD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highlight w:val="none"/>
                <w:lang w:val="en-US" w:eastAsia="zh-CN"/>
              </w:rPr>
            </w:pPr>
            <w:r>
              <w:rPr>
                <w:rFonts w:hint="default" w:ascii="Times New Roman" w:hAnsi="Times New Roman" w:eastAsia="宋体" w:cs="Times New Roman"/>
                <w:b w:val="0"/>
                <w:bCs w:val="0"/>
                <w:color w:val="000000"/>
                <w:sz w:val="24"/>
                <w:szCs w:val="24"/>
                <w:highlight w:val="none"/>
              </w:rPr>
              <w:t>护堤护坡工程</w:t>
            </w:r>
            <w:r>
              <w:rPr>
                <w:rFonts w:hint="default" w:ascii="Times New Roman" w:hAnsi="Times New Roman" w:eastAsia="宋体" w:cs="Times New Roman"/>
                <w:b w:val="0"/>
                <w:bCs w:val="0"/>
                <w:color w:val="000000"/>
                <w:sz w:val="24"/>
                <w:szCs w:val="24"/>
                <w:highlight w:val="none"/>
                <w:lang w:eastAsia="zh-CN"/>
              </w:rPr>
              <w:t>内容为：</w:t>
            </w:r>
            <w:r>
              <w:rPr>
                <w:rFonts w:hint="default" w:ascii="Times New Roman" w:hAnsi="Times New Roman" w:eastAsia="宋体" w:cs="Times New Roman"/>
                <w:b w:val="0"/>
                <w:bCs w:val="0"/>
                <w:color w:val="000000"/>
                <w:kern w:val="0"/>
                <w:sz w:val="24"/>
                <w:szCs w:val="24"/>
                <w:highlight w:val="none"/>
                <w:lang w:val="en-US" w:eastAsia="zh-CN" w:bidi="ar"/>
              </w:rPr>
              <w:t>根据设计要求和殷都区的环境条件，选择合适的形式进行护堤护坡建设。为保证边坡及其环境的安全，对边坡需采取一定的支挡、加固与防护措施。常用的支护结构型式有：（1）重力式挡墙；（2）扶壁式挡墙</w:t>
            </w:r>
            <w:r>
              <w:rPr>
                <w:rFonts w:hint="eastAsia" w:ascii="Times New Roman" w:hAnsi="Times New Roman" w:eastAsia="宋体" w:cs="Times New Roman"/>
                <w:b w:val="0"/>
                <w:bCs w:val="0"/>
                <w:color w:val="000000"/>
                <w:kern w:val="0"/>
                <w:sz w:val="24"/>
                <w:szCs w:val="24"/>
                <w:highlight w:val="none"/>
                <w:lang w:val="en-US" w:eastAsia="zh-CN" w:bidi="ar"/>
              </w:rPr>
              <w:t>；</w:t>
            </w:r>
            <w:r>
              <w:rPr>
                <w:rFonts w:hint="default" w:ascii="Times New Roman" w:hAnsi="Times New Roman" w:eastAsia="宋体" w:cs="Times New Roman"/>
                <w:b w:val="0"/>
                <w:bCs w:val="0"/>
                <w:color w:val="000000"/>
                <w:kern w:val="0"/>
                <w:sz w:val="24"/>
                <w:szCs w:val="24"/>
                <w:highlight w:val="none"/>
                <w:lang w:val="en-US" w:eastAsia="zh-CN" w:bidi="ar"/>
              </w:rPr>
              <w:t>（3）悬臂式挡墙；（4）板肋式或格构式锚杆挡墙支护；（5）排桩式锚杆挡墙支护；（6）锚喷支护；这些传统的边坡工程，对边坡的处理主要是强调其强度功效，却往往忽视了其对环境的破坏；生态护坡作为岩土工程与环境工程相结合的产物</w:t>
            </w:r>
            <w:r>
              <w:rPr>
                <w:rFonts w:hint="eastAsia" w:ascii="Times New Roman" w:hAnsi="Times New Roman" w:eastAsia="宋体" w:cs="Times New Roman"/>
                <w:b w:val="0"/>
                <w:bCs w:val="0"/>
                <w:color w:val="000000"/>
                <w:kern w:val="0"/>
                <w:sz w:val="24"/>
                <w:szCs w:val="24"/>
                <w:highlight w:val="none"/>
                <w:lang w:val="en-US" w:eastAsia="zh-CN" w:bidi="ar"/>
              </w:rPr>
              <w:t>，</w:t>
            </w:r>
            <w:r>
              <w:rPr>
                <w:rFonts w:hint="default" w:ascii="Times New Roman" w:hAnsi="Times New Roman" w:eastAsia="宋体" w:cs="Times New Roman"/>
                <w:b w:val="0"/>
                <w:bCs w:val="0"/>
                <w:color w:val="000000"/>
                <w:kern w:val="0"/>
                <w:sz w:val="24"/>
                <w:szCs w:val="24"/>
                <w:highlight w:val="none"/>
                <w:lang w:val="en-US" w:eastAsia="zh-CN" w:bidi="ar"/>
              </w:rPr>
              <w:t>它兼顾了防护与环境两方面的功效，是一种很有效的护坡、固坡手段。</w:t>
            </w:r>
          </w:p>
          <w:p w14:paraId="1603FA35">
            <w:pPr>
              <w:keepNext w:val="0"/>
              <w:keepLines w:val="0"/>
              <w:widowControl/>
              <w:suppressLineNumbers w:val="0"/>
              <w:spacing w:line="240" w:lineRule="auto"/>
              <w:jc w:val="center"/>
              <w:rPr>
                <w:rFonts w:hint="eastAsia" w:asciiTheme="minorEastAsia" w:hAnsiTheme="minorEastAsia" w:eastAsiaTheme="minorEastAsia" w:cstheme="minorEastAsia"/>
                <w:b/>
                <w:bCs/>
                <w:color w:val="000000"/>
                <w:sz w:val="21"/>
                <w:szCs w:val="21"/>
                <w:highlight w:val="none"/>
              </w:rPr>
            </w:pPr>
          </w:p>
          <w:p w14:paraId="272D0B2B">
            <w:pPr>
              <w:keepNext w:val="0"/>
              <w:keepLines w:val="0"/>
              <w:widowControl/>
              <w:suppressLineNumbers w:val="0"/>
              <w:spacing w:line="240" w:lineRule="auto"/>
              <w:jc w:val="center"/>
              <w:rPr>
                <w:rFonts w:hint="eastAsia" w:asciiTheme="minorEastAsia" w:hAnsiTheme="minorEastAsia" w:eastAsiaTheme="minorEastAsia" w:cstheme="minorEastAsia"/>
                <w:b/>
                <w:bCs/>
                <w:color w:val="000000"/>
                <w:sz w:val="21"/>
                <w:szCs w:val="21"/>
                <w:highlight w:val="none"/>
              </w:rPr>
            </w:pPr>
          </w:p>
          <w:p w14:paraId="08521059">
            <w:pPr>
              <w:keepNext w:val="0"/>
              <w:keepLines w:val="0"/>
              <w:widowControl/>
              <w:suppressLineNumbers w:val="0"/>
              <w:spacing w:line="240" w:lineRule="auto"/>
              <w:jc w:val="center"/>
              <w:rPr>
                <w:rFonts w:hint="eastAsia" w:asciiTheme="minorEastAsia" w:hAnsiTheme="minorEastAsia" w:eastAsiaTheme="minorEastAsia" w:cstheme="minorEastAsia"/>
                <w:b/>
                <w:bCs/>
                <w:color w:val="000000"/>
                <w:sz w:val="21"/>
                <w:szCs w:val="21"/>
                <w:highlight w:val="none"/>
              </w:rPr>
            </w:pPr>
          </w:p>
          <w:p w14:paraId="4DFD2AB8">
            <w:pPr>
              <w:keepNext w:val="0"/>
              <w:keepLines w:val="0"/>
              <w:widowControl/>
              <w:suppressLineNumbers w:val="0"/>
              <w:spacing w:line="240" w:lineRule="auto"/>
              <w:jc w:val="center"/>
              <w:rPr>
                <w:rFonts w:hint="eastAsia" w:asciiTheme="minorEastAsia" w:hAnsiTheme="minorEastAsia" w:eastAsiaTheme="minorEastAsia" w:cstheme="minorEastAsia"/>
                <w:b/>
                <w:bCs/>
                <w:color w:val="000000"/>
                <w:sz w:val="21"/>
                <w:szCs w:val="21"/>
                <w:highlight w:val="none"/>
              </w:rPr>
            </w:pPr>
          </w:p>
          <w:p w14:paraId="7FC26A7F">
            <w:pPr>
              <w:keepNext w:val="0"/>
              <w:keepLines w:val="0"/>
              <w:widowControl/>
              <w:suppressLineNumbers w:val="0"/>
              <w:spacing w:line="240" w:lineRule="auto"/>
              <w:jc w:val="center"/>
              <w:rPr>
                <w:rFonts w:hint="eastAsia" w:asciiTheme="minorEastAsia" w:hAnsiTheme="minorEastAsia" w:eastAsiaTheme="minorEastAsia" w:cstheme="minorEastAsia"/>
                <w:b/>
                <w:bCs/>
                <w:color w:val="000000"/>
                <w:sz w:val="21"/>
                <w:szCs w:val="21"/>
                <w:highlight w:val="none"/>
              </w:rPr>
            </w:pPr>
          </w:p>
          <w:p w14:paraId="6EE7BF3D">
            <w:pPr>
              <w:keepNext w:val="0"/>
              <w:keepLines w:val="0"/>
              <w:widowControl/>
              <w:suppressLineNumbers w:val="0"/>
              <w:spacing w:line="240" w:lineRule="auto"/>
              <w:jc w:val="center"/>
              <w:rPr>
                <w:rFonts w:hint="eastAsia" w:asciiTheme="minorEastAsia" w:hAnsiTheme="minorEastAsia" w:eastAsiaTheme="minorEastAsia" w:cstheme="minorEastAsia"/>
                <w:b/>
                <w:bCs/>
                <w:color w:val="000000"/>
                <w:sz w:val="21"/>
                <w:szCs w:val="21"/>
                <w:highlight w:val="none"/>
              </w:rPr>
            </w:pPr>
          </w:p>
          <w:p w14:paraId="77661807">
            <w:pPr>
              <w:keepNext w:val="0"/>
              <w:keepLines w:val="0"/>
              <w:widowControl/>
              <w:suppressLineNumbers w:val="0"/>
              <w:spacing w:line="240" w:lineRule="auto"/>
              <w:jc w:val="center"/>
              <w:rPr>
                <w:rFonts w:hint="eastAsia" w:asciiTheme="minorEastAsia" w:hAnsiTheme="minorEastAsia" w:eastAsiaTheme="minorEastAsia" w:cstheme="minorEastAsia"/>
                <w:b/>
                <w:bCs/>
                <w:color w:val="000000"/>
                <w:sz w:val="21"/>
                <w:szCs w:val="21"/>
                <w:highlight w:val="none"/>
              </w:rPr>
            </w:pPr>
          </w:p>
          <w:p w14:paraId="56F2DB52">
            <w:pPr>
              <w:keepNext w:val="0"/>
              <w:keepLines w:val="0"/>
              <w:widowControl/>
              <w:suppressLineNumbers w:val="0"/>
              <w:spacing w:line="240" w:lineRule="auto"/>
              <w:jc w:val="center"/>
              <w:rPr>
                <w:rFonts w:hint="eastAsia" w:asciiTheme="minorEastAsia" w:hAnsiTheme="minorEastAsia" w:eastAsiaTheme="minorEastAsia" w:cstheme="minorEastAsia"/>
                <w:b/>
                <w:bCs/>
                <w:color w:val="000000"/>
                <w:sz w:val="21"/>
                <w:szCs w:val="21"/>
                <w:highlight w:val="none"/>
              </w:rPr>
            </w:pPr>
          </w:p>
          <w:p w14:paraId="60A2D4C6">
            <w:pPr>
              <w:keepNext w:val="0"/>
              <w:keepLines w:val="0"/>
              <w:widowControl/>
              <w:suppressLineNumbers w:val="0"/>
              <w:spacing w:line="240" w:lineRule="auto"/>
              <w:jc w:val="center"/>
              <w:rPr>
                <w:rFonts w:hint="eastAsia" w:asciiTheme="minorEastAsia" w:hAnsiTheme="minorEastAsia" w:eastAsiaTheme="minorEastAsia" w:cstheme="minorEastAsia"/>
                <w:b/>
                <w:bCs/>
                <w:color w:val="000000"/>
                <w:kern w:val="0"/>
                <w:sz w:val="21"/>
                <w:szCs w:val="21"/>
                <w:highlight w:val="none"/>
                <w:lang w:val="en-US" w:eastAsia="zh-CN" w:bidi="ar"/>
              </w:rPr>
            </w:pPr>
            <w:r>
              <w:rPr>
                <w:rFonts w:hint="eastAsia" w:asciiTheme="minorEastAsia" w:hAnsiTheme="minorEastAsia" w:eastAsiaTheme="minorEastAsia" w:cstheme="minorEastAsia"/>
                <w:b/>
                <w:bCs/>
                <w:color w:val="000000"/>
                <w:sz w:val="21"/>
                <w:szCs w:val="21"/>
                <w:highlight w:val="none"/>
              </w:rPr>
              <w:t>生态护坡方案对比表</w:t>
            </w:r>
          </w:p>
          <w:tbl>
            <w:tblPr>
              <w:tblStyle w:val="19"/>
              <w:tblW w:w="4997" w:type="pct"/>
              <w:tblInd w:w="0" w:type="dxa"/>
              <w:tblBorders>
                <w:top w:val="single" w:color="000000" w:themeColor="text1" w:sz="18" w:space="0"/>
                <w:left w:val="none" w:color="auto" w:sz="0" w:space="0"/>
                <w:bottom w:val="single" w:color="000000" w:themeColor="text1" w:sz="1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17"/>
              <w:gridCol w:w="2354"/>
              <w:gridCol w:w="2587"/>
              <w:gridCol w:w="2847"/>
            </w:tblGrid>
            <w:tr w14:paraId="2CDA76D1">
              <w:tblPrEx>
                <w:tblBorders>
                  <w:top w:val="single" w:color="000000" w:themeColor="text1" w:sz="18" w:space="0"/>
                  <w:left w:val="none" w:color="auto" w:sz="0" w:space="0"/>
                  <w:bottom w:val="single" w:color="000000" w:themeColor="text1"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7" w:type="pct"/>
                  <w:tcBorders>
                    <w:tl2br w:val="nil"/>
                    <w:tr2bl w:val="nil"/>
                  </w:tcBorders>
                  <w:vAlign w:val="center"/>
                </w:tcPr>
                <w:p w14:paraId="27873BEE">
                  <w:pPr>
                    <w:keepNext w:val="0"/>
                    <w:keepLines w:val="0"/>
                    <w:widowControl/>
                    <w:suppressLineNumbers w:val="0"/>
                    <w:jc w:val="center"/>
                    <w:rPr>
                      <w:rFonts w:hint="default" w:ascii="Times New Roman" w:hAnsi="Times New Roman" w:eastAsia="宋体" w:cs="Times New Roman"/>
                      <w:b/>
                      <w:bCs/>
                      <w:sz w:val="21"/>
                      <w:szCs w:val="21"/>
                      <w:highlight w:val="none"/>
                      <w:vertAlign w:val="baseline"/>
                      <w:lang w:eastAsia="zh-CN"/>
                    </w:rPr>
                  </w:pPr>
                  <w:r>
                    <w:rPr>
                      <w:rFonts w:hint="default" w:ascii="Times New Roman" w:hAnsi="Times New Roman" w:eastAsia="宋体" w:cs="Times New Roman"/>
                      <w:b/>
                      <w:bCs/>
                      <w:sz w:val="21"/>
                      <w:szCs w:val="21"/>
                      <w:highlight w:val="none"/>
                      <w:vertAlign w:val="baseline"/>
                      <w:lang w:eastAsia="zh-CN"/>
                    </w:rPr>
                    <w:t>护坡类型</w:t>
                  </w:r>
                </w:p>
              </w:tc>
              <w:tc>
                <w:tcPr>
                  <w:tcW w:w="1321" w:type="pct"/>
                  <w:tcBorders>
                    <w:tl2br w:val="nil"/>
                    <w:tr2bl w:val="nil"/>
                  </w:tcBorders>
                  <w:vAlign w:val="center"/>
                </w:tcPr>
                <w:p w14:paraId="797F6F65">
                  <w:pPr>
                    <w:keepNext w:val="0"/>
                    <w:keepLines w:val="0"/>
                    <w:widowControl/>
                    <w:suppressLineNumbers w:val="0"/>
                    <w:jc w:val="center"/>
                    <w:rPr>
                      <w:rFonts w:hint="default" w:ascii="Times New Roman" w:hAnsi="Times New Roman" w:eastAsia="宋体" w:cs="Times New Roman"/>
                      <w:b/>
                      <w:bCs/>
                      <w:sz w:val="21"/>
                      <w:szCs w:val="21"/>
                      <w:highlight w:val="none"/>
                      <w:vertAlign w:val="baseline"/>
                      <w:lang w:eastAsia="zh-CN"/>
                    </w:rPr>
                  </w:pPr>
                  <w:r>
                    <w:rPr>
                      <w:rFonts w:hint="default" w:ascii="Times New Roman" w:hAnsi="Times New Roman" w:eastAsia="宋体" w:cs="Times New Roman"/>
                      <w:b/>
                      <w:bCs/>
                      <w:sz w:val="21"/>
                      <w:szCs w:val="21"/>
                      <w:highlight w:val="none"/>
                      <w:vertAlign w:val="baseline"/>
                      <w:lang w:eastAsia="zh-CN"/>
                    </w:rPr>
                    <w:t>护坡特点</w:t>
                  </w:r>
                </w:p>
              </w:tc>
              <w:tc>
                <w:tcPr>
                  <w:tcW w:w="1452" w:type="pct"/>
                  <w:tcBorders>
                    <w:tl2br w:val="nil"/>
                    <w:tr2bl w:val="nil"/>
                  </w:tcBorders>
                  <w:vAlign w:val="center"/>
                </w:tcPr>
                <w:p w14:paraId="0D3C0B81">
                  <w:pPr>
                    <w:keepNext w:val="0"/>
                    <w:keepLines w:val="0"/>
                    <w:widowControl/>
                    <w:suppressLineNumbers w:val="0"/>
                    <w:jc w:val="center"/>
                    <w:rPr>
                      <w:rFonts w:hint="default" w:ascii="Times New Roman" w:hAnsi="Times New Roman" w:eastAsia="宋体" w:cs="Times New Roman"/>
                      <w:b/>
                      <w:bCs/>
                      <w:sz w:val="21"/>
                      <w:szCs w:val="21"/>
                      <w:highlight w:val="none"/>
                      <w:vertAlign w:val="baseline"/>
                      <w:lang w:eastAsia="zh-CN"/>
                    </w:rPr>
                  </w:pPr>
                  <w:r>
                    <w:rPr>
                      <w:rFonts w:hint="default" w:ascii="Times New Roman" w:hAnsi="Times New Roman" w:eastAsia="宋体" w:cs="Times New Roman"/>
                      <w:b/>
                      <w:bCs/>
                      <w:sz w:val="21"/>
                      <w:szCs w:val="21"/>
                      <w:highlight w:val="none"/>
                      <w:vertAlign w:val="baseline"/>
                      <w:lang w:eastAsia="zh-CN"/>
                    </w:rPr>
                    <w:t>优点</w:t>
                  </w:r>
                </w:p>
              </w:tc>
              <w:tc>
                <w:tcPr>
                  <w:tcW w:w="1598" w:type="pct"/>
                  <w:tcBorders>
                    <w:tl2br w:val="nil"/>
                    <w:tr2bl w:val="nil"/>
                  </w:tcBorders>
                  <w:vAlign w:val="center"/>
                </w:tcPr>
                <w:p w14:paraId="5B450DDF">
                  <w:pPr>
                    <w:keepNext w:val="0"/>
                    <w:keepLines w:val="0"/>
                    <w:widowControl/>
                    <w:suppressLineNumbers w:val="0"/>
                    <w:jc w:val="center"/>
                    <w:rPr>
                      <w:rFonts w:hint="default" w:ascii="Times New Roman" w:hAnsi="Times New Roman" w:eastAsia="宋体" w:cs="Times New Roman"/>
                      <w:b/>
                      <w:bCs/>
                      <w:sz w:val="21"/>
                      <w:szCs w:val="21"/>
                      <w:highlight w:val="none"/>
                      <w:vertAlign w:val="baseline"/>
                      <w:lang w:eastAsia="zh-CN"/>
                    </w:rPr>
                  </w:pPr>
                  <w:r>
                    <w:rPr>
                      <w:rFonts w:hint="default" w:ascii="Times New Roman" w:hAnsi="Times New Roman" w:eastAsia="宋体" w:cs="Times New Roman"/>
                      <w:b/>
                      <w:bCs/>
                      <w:sz w:val="21"/>
                      <w:szCs w:val="21"/>
                      <w:highlight w:val="none"/>
                      <w:vertAlign w:val="baseline"/>
                      <w:lang w:eastAsia="zh-CN"/>
                    </w:rPr>
                    <w:t>缺点</w:t>
                  </w:r>
                </w:p>
              </w:tc>
            </w:tr>
            <w:tr w14:paraId="36E0A908">
              <w:tblPrEx>
                <w:tblBorders>
                  <w:top w:val="single" w:color="000000" w:themeColor="text1" w:sz="18" w:space="0"/>
                  <w:left w:val="none" w:color="auto" w:sz="0" w:space="0"/>
                  <w:bottom w:val="single" w:color="000000" w:themeColor="text1" w:sz="1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tcBorders>
                    <w:tl2br w:val="nil"/>
                    <w:tr2bl w:val="nil"/>
                  </w:tcBorders>
                  <w:vAlign w:val="center"/>
                </w:tcPr>
                <w:p w14:paraId="3C23D703">
                  <w:pPr>
                    <w:keepNext w:val="0"/>
                    <w:keepLines w:val="0"/>
                    <w:widowControl/>
                    <w:suppressLineNumbers w:val="0"/>
                    <w:jc w:val="center"/>
                    <w:rPr>
                      <w:rFonts w:hint="default" w:ascii="Times New Roman" w:hAnsi="Times New Roman" w:eastAsia="宋体" w:cs="Times New Roman"/>
                      <w:sz w:val="21"/>
                      <w:szCs w:val="21"/>
                      <w:highlight w:val="none"/>
                      <w:vertAlign w:val="baseline"/>
                      <w:lang w:eastAsia="zh-CN"/>
                    </w:rPr>
                  </w:pPr>
                  <w:r>
                    <w:rPr>
                      <w:rFonts w:hint="default" w:ascii="Times New Roman" w:hAnsi="Times New Roman" w:eastAsia="宋体" w:cs="Times New Roman"/>
                      <w:sz w:val="21"/>
                      <w:szCs w:val="21"/>
                      <w:highlight w:val="none"/>
                      <w:vertAlign w:val="baseline"/>
                      <w:lang w:eastAsia="zh-CN"/>
                    </w:rPr>
                    <w:t>人工种草护坡</w:t>
                  </w:r>
                </w:p>
              </w:tc>
              <w:tc>
                <w:tcPr>
                  <w:tcW w:w="1321" w:type="pct"/>
                  <w:tcBorders>
                    <w:tl2br w:val="nil"/>
                    <w:tr2bl w:val="nil"/>
                  </w:tcBorders>
                  <w:vAlign w:val="center"/>
                </w:tcPr>
                <w:p w14:paraId="65F25C9F">
                  <w:pPr>
                    <w:keepNext w:val="0"/>
                    <w:keepLines w:val="0"/>
                    <w:widowControl/>
                    <w:suppressLineNumbers w:val="0"/>
                    <w:jc w:val="both"/>
                    <w:rPr>
                      <w:rFonts w:hint="default" w:ascii="Times New Roman" w:hAnsi="Times New Roman" w:eastAsia="宋体" w:cs="Times New Roman"/>
                      <w:sz w:val="21"/>
                      <w:szCs w:val="21"/>
                      <w:highlight w:val="none"/>
                      <w:vertAlign w:val="baseline"/>
                    </w:rPr>
                  </w:pPr>
                  <w:r>
                    <w:rPr>
                      <w:rFonts w:hint="default" w:ascii="Times New Roman" w:hAnsi="Times New Roman" w:eastAsia="宋体" w:cs="Times New Roman"/>
                      <w:b w:val="0"/>
                      <w:bCs w:val="0"/>
                      <w:color w:val="000000"/>
                      <w:sz w:val="21"/>
                      <w:szCs w:val="21"/>
                      <w:highlight w:val="none"/>
                    </w:rPr>
                    <w:t>通过人工在边坡坡面简单播撒草种的一种传统边坡植物防护措施。多用于边坡高度不高、坡度较缓且适宜草类生长的土质路堑和路堤边坡防护工程。</w:t>
                  </w:r>
                </w:p>
              </w:tc>
              <w:tc>
                <w:tcPr>
                  <w:tcW w:w="1452" w:type="pct"/>
                  <w:tcBorders>
                    <w:tl2br w:val="nil"/>
                    <w:tr2bl w:val="nil"/>
                  </w:tcBorders>
                  <w:vAlign w:val="center"/>
                </w:tcPr>
                <w:p w14:paraId="1AF55637">
                  <w:pPr>
                    <w:keepNext w:val="0"/>
                    <w:keepLines w:val="0"/>
                    <w:widowControl/>
                    <w:suppressLineNumbers w:val="0"/>
                    <w:jc w:val="both"/>
                    <w:rPr>
                      <w:rFonts w:hint="default" w:ascii="Times New Roman" w:hAnsi="Times New Roman" w:eastAsia="宋体" w:cs="Times New Roman"/>
                      <w:sz w:val="21"/>
                      <w:szCs w:val="21"/>
                      <w:highlight w:val="none"/>
                      <w:vertAlign w:val="baseline"/>
                    </w:rPr>
                  </w:pPr>
                  <w:r>
                    <w:rPr>
                      <w:rFonts w:hint="default" w:ascii="Times New Roman" w:hAnsi="Times New Roman" w:eastAsia="宋体" w:cs="Times New Roman"/>
                      <w:b w:val="0"/>
                      <w:bCs w:val="0"/>
                      <w:color w:val="000000"/>
                      <w:sz w:val="21"/>
                      <w:szCs w:val="21"/>
                      <w:highlight w:val="none"/>
                    </w:rPr>
                    <w:t>施工简单、造价低廉等。</w:t>
                  </w:r>
                </w:p>
              </w:tc>
              <w:tc>
                <w:tcPr>
                  <w:tcW w:w="1598" w:type="pct"/>
                  <w:tcBorders>
                    <w:tl2br w:val="nil"/>
                    <w:tr2bl w:val="nil"/>
                  </w:tcBorders>
                  <w:vAlign w:val="center"/>
                </w:tcPr>
                <w:p w14:paraId="47423FCD">
                  <w:pPr>
                    <w:keepNext w:val="0"/>
                    <w:keepLines w:val="0"/>
                    <w:widowControl/>
                    <w:suppressLineNumbers w:val="0"/>
                    <w:jc w:val="both"/>
                    <w:rPr>
                      <w:rFonts w:hint="default" w:ascii="Times New Roman" w:hAnsi="Times New Roman" w:eastAsia="宋体" w:cs="Times New Roman"/>
                      <w:sz w:val="21"/>
                      <w:szCs w:val="21"/>
                      <w:highlight w:val="none"/>
                      <w:vertAlign w:val="baseline"/>
                    </w:rPr>
                  </w:pPr>
                  <w:r>
                    <w:rPr>
                      <w:rFonts w:hint="default" w:ascii="Times New Roman" w:hAnsi="Times New Roman" w:eastAsia="宋体" w:cs="Times New Roman"/>
                      <w:b w:val="0"/>
                      <w:bCs w:val="0"/>
                      <w:color w:val="000000"/>
                      <w:sz w:val="21"/>
                      <w:szCs w:val="21"/>
                      <w:highlight w:val="none"/>
                    </w:rPr>
                    <w:t>由于草籽播撒不均匀，草籽易被雨水冲走，种草成活率低等原因，往往达不到满意的边坡防护效果，而造成坡面冲沟，表土流失等边坡病害，导致大量的边坡病害整治、修复工程，使得该技术近年应用较少。</w:t>
                  </w:r>
                </w:p>
              </w:tc>
            </w:tr>
            <w:tr w14:paraId="0025C0C4">
              <w:tblPrEx>
                <w:tblBorders>
                  <w:top w:val="single" w:color="000000" w:themeColor="text1" w:sz="18" w:space="0"/>
                  <w:left w:val="none" w:color="auto" w:sz="0" w:space="0"/>
                  <w:bottom w:val="single" w:color="000000" w:themeColor="text1" w:sz="1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tcBorders>
                    <w:tl2br w:val="nil"/>
                    <w:tr2bl w:val="nil"/>
                  </w:tcBorders>
                  <w:vAlign w:val="center"/>
                </w:tcPr>
                <w:p w14:paraId="1FAE62FF">
                  <w:pPr>
                    <w:keepNext w:val="0"/>
                    <w:keepLines w:val="0"/>
                    <w:widowControl/>
                    <w:suppressLineNumbers w:val="0"/>
                    <w:jc w:val="center"/>
                    <w:rPr>
                      <w:rFonts w:hint="default" w:ascii="Times New Roman" w:hAnsi="Times New Roman" w:eastAsia="宋体" w:cs="Times New Roman"/>
                      <w:sz w:val="21"/>
                      <w:szCs w:val="21"/>
                      <w:highlight w:val="none"/>
                      <w:vertAlign w:val="baseline"/>
                      <w:lang w:eastAsia="zh-CN"/>
                    </w:rPr>
                  </w:pPr>
                  <w:r>
                    <w:rPr>
                      <w:rFonts w:hint="default" w:ascii="Times New Roman" w:hAnsi="Times New Roman" w:eastAsia="宋体" w:cs="Times New Roman"/>
                      <w:sz w:val="21"/>
                      <w:szCs w:val="21"/>
                      <w:highlight w:val="none"/>
                      <w:vertAlign w:val="baseline"/>
                      <w:lang w:eastAsia="zh-CN"/>
                    </w:rPr>
                    <w:t>液压喷播植草护坡</w:t>
                  </w:r>
                </w:p>
              </w:tc>
              <w:tc>
                <w:tcPr>
                  <w:tcW w:w="1321" w:type="pct"/>
                  <w:tcBorders>
                    <w:tl2br w:val="nil"/>
                    <w:tr2bl w:val="nil"/>
                  </w:tcBorders>
                  <w:vAlign w:val="center"/>
                </w:tcPr>
                <w:p w14:paraId="0BC70736">
                  <w:pPr>
                    <w:keepNext w:val="0"/>
                    <w:keepLines w:val="0"/>
                    <w:widowControl/>
                    <w:suppressLineNumbers w:val="0"/>
                    <w:jc w:val="both"/>
                    <w:rPr>
                      <w:rFonts w:hint="default" w:ascii="Times New Roman" w:hAnsi="Times New Roman" w:eastAsia="宋体" w:cs="Times New Roman"/>
                      <w:sz w:val="21"/>
                      <w:szCs w:val="21"/>
                      <w:highlight w:val="none"/>
                      <w:vertAlign w:val="baseline"/>
                    </w:rPr>
                  </w:pPr>
                  <w:r>
                    <w:rPr>
                      <w:rFonts w:hint="default" w:ascii="Times New Roman" w:hAnsi="Times New Roman" w:eastAsia="宋体" w:cs="Times New Roman"/>
                      <w:b w:val="0"/>
                      <w:bCs w:val="0"/>
                      <w:color w:val="000000"/>
                      <w:sz w:val="21"/>
                      <w:szCs w:val="21"/>
                      <w:highlight w:val="none"/>
                    </w:rPr>
                    <w:t>液压喷播植草护坡，是国外近十多年新开发的一项边坡植物防护措施，是将草籽、肥料、粘着剂、纸浆、土壤改良剂上、色素等按一定比例在混合箱内配水搅匀，通过机械加压喷射到边坡坡面而完成植草施工的。</w:t>
                  </w:r>
                </w:p>
              </w:tc>
              <w:tc>
                <w:tcPr>
                  <w:tcW w:w="1452" w:type="pct"/>
                  <w:tcBorders>
                    <w:tl2br w:val="nil"/>
                    <w:tr2bl w:val="nil"/>
                  </w:tcBorders>
                  <w:vAlign w:val="center"/>
                </w:tcPr>
                <w:p w14:paraId="57ED7BD3">
                  <w:pPr>
                    <w:keepNext w:val="0"/>
                    <w:keepLines w:val="0"/>
                    <w:widowControl/>
                    <w:suppressLineNumbers w:val="0"/>
                    <w:jc w:val="both"/>
                    <w:rPr>
                      <w:rFonts w:hint="default" w:ascii="Times New Roman" w:hAnsi="Times New Roman" w:eastAsia="宋体" w:cs="Times New Roman"/>
                      <w:sz w:val="21"/>
                      <w:szCs w:val="21"/>
                      <w:highlight w:val="none"/>
                      <w:vertAlign w:val="baseline"/>
                    </w:rPr>
                  </w:pPr>
                  <w:r>
                    <w:rPr>
                      <w:rFonts w:hint="default" w:ascii="Times New Roman" w:hAnsi="Times New Roman" w:eastAsia="宋体" w:cs="Times New Roman"/>
                      <w:b w:val="0"/>
                      <w:bCs w:val="0"/>
                      <w:color w:val="000000"/>
                      <w:sz w:val="21"/>
                      <w:szCs w:val="21"/>
                      <w:highlight w:val="none"/>
                    </w:rPr>
                    <w:t>①施工简单、速度快；②施工质量高，草籽喷播均匀发芽快、整齐一致；③防护效果好，正常情况下，喷播</w:t>
                  </w:r>
                  <w:r>
                    <w:rPr>
                      <w:rFonts w:hint="eastAsia" w:ascii="Times New Roman" w:hAnsi="Times New Roman" w:eastAsia="宋体" w:cs="Times New Roman"/>
                      <w:b w:val="0"/>
                      <w:bCs w:val="0"/>
                      <w:color w:val="000000"/>
                      <w:sz w:val="21"/>
                      <w:szCs w:val="21"/>
                      <w:highlight w:val="none"/>
                      <w:lang w:eastAsia="zh-CN"/>
                    </w:rPr>
                    <w:t>一</w:t>
                  </w:r>
                  <w:r>
                    <w:rPr>
                      <w:rFonts w:hint="default" w:ascii="Times New Roman" w:hAnsi="Times New Roman" w:eastAsia="宋体" w:cs="Times New Roman"/>
                      <w:b w:val="0"/>
                      <w:bCs w:val="0"/>
                      <w:color w:val="000000"/>
                      <w:sz w:val="21"/>
                      <w:szCs w:val="21"/>
                      <w:highlight w:val="none"/>
                    </w:rPr>
                    <w:t>个月后坡面植物覆盖率可达70%以上，二个月后形成防护、绿化功能；④适用性广。目前，国内液压喷播植草护坡在公路、铁路、城市建设等部门边坡防护与绿化工程中使用较多。</w:t>
                  </w:r>
                </w:p>
              </w:tc>
              <w:tc>
                <w:tcPr>
                  <w:tcW w:w="1598" w:type="pct"/>
                  <w:tcBorders>
                    <w:tl2br w:val="nil"/>
                    <w:tr2bl w:val="nil"/>
                  </w:tcBorders>
                  <w:vAlign w:val="center"/>
                </w:tcPr>
                <w:p w14:paraId="6A613B4E">
                  <w:pPr>
                    <w:keepNext w:val="0"/>
                    <w:keepLines w:val="0"/>
                    <w:widowControl/>
                    <w:suppressLineNumbers w:val="0"/>
                    <w:jc w:val="both"/>
                    <w:rPr>
                      <w:rFonts w:hint="default" w:ascii="Times New Roman" w:hAnsi="Times New Roman" w:eastAsia="宋体" w:cs="Times New Roman"/>
                      <w:sz w:val="21"/>
                      <w:szCs w:val="21"/>
                      <w:highlight w:val="none"/>
                      <w:vertAlign w:val="baseline"/>
                    </w:rPr>
                  </w:pPr>
                  <w:r>
                    <w:rPr>
                      <w:rFonts w:hint="default" w:ascii="Times New Roman" w:hAnsi="Times New Roman" w:eastAsia="宋体" w:cs="Times New Roman"/>
                      <w:b w:val="0"/>
                      <w:bCs w:val="0"/>
                      <w:color w:val="000000"/>
                      <w:sz w:val="21"/>
                      <w:szCs w:val="21"/>
                      <w:highlight w:val="none"/>
                    </w:rPr>
                    <w:t>①固土保水能力低，容易形成径流沟和侵蚀；②施工者容易偷工减料做假，形成表面现象；③因品种选择不当和混合材料不够，后期容易造成水土流失或冲沟。</w:t>
                  </w:r>
                </w:p>
              </w:tc>
            </w:tr>
            <w:tr w14:paraId="4CDAFAC3">
              <w:tblPrEx>
                <w:tblBorders>
                  <w:top w:val="single" w:color="000000" w:themeColor="text1" w:sz="18" w:space="0"/>
                  <w:left w:val="none" w:color="auto" w:sz="0" w:space="0"/>
                  <w:bottom w:val="single" w:color="000000" w:themeColor="text1" w:sz="1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tcBorders>
                    <w:tl2br w:val="nil"/>
                    <w:tr2bl w:val="nil"/>
                  </w:tcBorders>
                  <w:vAlign w:val="center"/>
                </w:tcPr>
                <w:p w14:paraId="5695623A">
                  <w:pPr>
                    <w:keepNext w:val="0"/>
                    <w:keepLines w:val="0"/>
                    <w:widowControl/>
                    <w:suppressLineNumbers w:val="0"/>
                    <w:jc w:val="center"/>
                    <w:rPr>
                      <w:rFonts w:hint="default" w:ascii="Times New Roman" w:hAnsi="Times New Roman" w:eastAsia="宋体" w:cs="Times New Roman"/>
                      <w:sz w:val="21"/>
                      <w:szCs w:val="21"/>
                      <w:highlight w:val="none"/>
                      <w:vertAlign w:val="baseline"/>
                      <w:lang w:eastAsia="zh-CN"/>
                    </w:rPr>
                  </w:pPr>
                  <w:r>
                    <w:rPr>
                      <w:rFonts w:hint="default" w:ascii="Times New Roman" w:hAnsi="Times New Roman" w:eastAsia="宋体" w:cs="Times New Roman"/>
                      <w:sz w:val="21"/>
                      <w:szCs w:val="21"/>
                      <w:highlight w:val="none"/>
                      <w:vertAlign w:val="baseline"/>
                      <w:lang w:eastAsia="zh-CN"/>
                    </w:rPr>
                    <w:t>客土植生植物护坡</w:t>
                  </w:r>
                </w:p>
              </w:tc>
              <w:tc>
                <w:tcPr>
                  <w:tcW w:w="1321" w:type="pct"/>
                  <w:tcBorders>
                    <w:tl2br w:val="nil"/>
                    <w:tr2bl w:val="nil"/>
                  </w:tcBorders>
                  <w:vAlign w:val="center"/>
                </w:tcPr>
                <w:p w14:paraId="0847BE09">
                  <w:pPr>
                    <w:keepNext w:val="0"/>
                    <w:keepLines w:val="0"/>
                    <w:widowControl/>
                    <w:suppressLineNumbers w:val="0"/>
                    <w:jc w:val="both"/>
                    <w:rPr>
                      <w:rFonts w:hint="default" w:ascii="Times New Roman" w:hAnsi="Times New Roman" w:eastAsia="宋体" w:cs="Times New Roman"/>
                      <w:sz w:val="21"/>
                      <w:szCs w:val="21"/>
                      <w:highlight w:val="none"/>
                      <w:vertAlign w:val="baseline"/>
                    </w:rPr>
                  </w:pPr>
                  <w:r>
                    <w:rPr>
                      <w:rFonts w:hint="default" w:ascii="Times New Roman" w:hAnsi="Times New Roman" w:eastAsia="宋体" w:cs="Times New Roman"/>
                      <w:b w:val="0"/>
                      <w:bCs w:val="0"/>
                      <w:color w:val="000000"/>
                      <w:sz w:val="21"/>
                      <w:szCs w:val="21"/>
                      <w:highlight w:val="none"/>
                    </w:rPr>
                    <w:t>客土植生植物护坡，是将保水剂、粘合剂、抗蒸腾剂、团粒剂、植物纤维、泥炭土、腐殖土、缓释复合肥等一类材料制成客土，经过专用机械搅拌后吹附到坡面上，形成一定厚度的客土层，然后将选好的种子同木纤维、粘合剂、保水剂、复合肥、缓释营养液经过喷播机搅拌后喷附到坡面客土层中。</w:t>
                  </w:r>
                </w:p>
              </w:tc>
              <w:tc>
                <w:tcPr>
                  <w:tcW w:w="1452" w:type="pct"/>
                  <w:tcBorders>
                    <w:tl2br w:val="nil"/>
                    <w:tr2bl w:val="nil"/>
                  </w:tcBorders>
                  <w:vAlign w:val="center"/>
                </w:tcPr>
                <w:p w14:paraId="64B36F8A">
                  <w:pPr>
                    <w:keepNext w:val="0"/>
                    <w:keepLines w:val="0"/>
                    <w:widowControl/>
                    <w:suppressLineNumbers w:val="0"/>
                    <w:jc w:val="both"/>
                    <w:rPr>
                      <w:rFonts w:hint="default" w:ascii="Times New Roman" w:hAnsi="Times New Roman" w:eastAsia="宋体" w:cs="Times New Roman"/>
                      <w:sz w:val="21"/>
                      <w:szCs w:val="21"/>
                      <w:highlight w:val="none"/>
                      <w:vertAlign w:val="baseline"/>
                      <w:lang w:eastAsia="zh-CN"/>
                    </w:rPr>
                  </w:pPr>
                  <w:r>
                    <w:rPr>
                      <w:rFonts w:hint="default" w:ascii="Times New Roman" w:hAnsi="Times New Roman" w:eastAsia="宋体" w:cs="Times New Roman"/>
                      <w:b w:val="0"/>
                      <w:bCs w:val="0"/>
                      <w:color w:val="000000"/>
                      <w:sz w:val="21"/>
                      <w:szCs w:val="21"/>
                      <w:highlight w:val="none"/>
                    </w:rPr>
                    <w:t>①可以根据地质和气候条件进行基质和种子配方</w:t>
                  </w:r>
                  <w:r>
                    <w:rPr>
                      <w:rFonts w:hint="eastAsia" w:ascii="Times New Roman" w:hAnsi="Times New Roman" w:eastAsia="宋体" w:cs="Times New Roman"/>
                      <w:b w:val="0"/>
                      <w:bCs w:val="0"/>
                      <w:color w:val="000000"/>
                      <w:sz w:val="21"/>
                      <w:szCs w:val="21"/>
                      <w:highlight w:val="none"/>
                      <w:lang w:eastAsia="zh-CN"/>
                    </w:rPr>
                    <w:t>，</w:t>
                  </w:r>
                  <w:r>
                    <w:rPr>
                      <w:rFonts w:hint="default" w:ascii="Times New Roman" w:hAnsi="Times New Roman" w:eastAsia="宋体" w:cs="Times New Roman"/>
                      <w:b w:val="0"/>
                      <w:bCs w:val="0"/>
                      <w:color w:val="000000"/>
                      <w:sz w:val="21"/>
                      <w:szCs w:val="21"/>
                      <w:highlight w:val="none"/>
                    </w:rPr>
                    <w:t>从而具有广泛的适应性；②客土与坡面的结合牢固；③土层的透气性和肥力好；④抗旱性较好；⑤机械化程度高，速度快，施工简</w:t>
                  </w:r>
                  <w:r>
                    <w:rPr>
                      <w:rFonts w:hint="eastAsia" w:ascii="Times New Roman" w:hAnsi="Times New Roman" w:eastAsia="宋体" w:cs="Times New Roman"/>
                      <w:b w:val="0"/>
                      <w:bCs w:val="0"/>
                      <w:color w:val="000000"/>
                      <w:sz w:val="21"/>
                      <w:szCs w:val="21"/>
                      <w:highlight w:val="none"/>
                      <w:lang w:eastAsia="zh-CN"/>
                    </w:rPr>
                    <w:t>单</w:t>
                  </w:r>
                  <w:r>
                    <w:rPr>
                      <w:rFonts w:hint="default" w:ascii="Times New Roman" w:hAnsi="Times New Roman" w:eastAsia="宋体" w:cs="Times New Roman"/>
                      <w:b w:val="0"/>
                      <w:bCs w:val="0"/>
                      <w:color w:val="000000"/>
                      <w:sz w:val="21"/>
                      <w:szCs w:val="21"/>
                      <w:highlight w:val="none"/>
                    </w:rPr>
                    <w:t>，工期短；⑥植被防护效果好，基本不需要养护就可维持植物的正常生长；该法适用于坡度较小的岩基坡面、风化岩及硬质土砂地，道路边坡，矿山，库区以及贫瘠土地</w:t>
                  </w:r>
                  <w:r>
                    <w:rPr>
                      <w:rFonts w:hint="default" w:ascii="Times New Roman" w:hAnsi="Times New Roman" w:eastAsia="宋体" w:cs="Times New Roman"/>
                      <w:b w:val="0"/>
                      <w:bCs w:val="0"/>
                      <w:color w:val="000000"/>
                      <w:sz w:val="21"/>
                      <w:szCs w:val="21"/>
                      <w:highlight w:val="none"/>
                      <w:lang w:eastAsia="zh-CN"/>
                    </w:rPr>
                    <w:t>。</w:t>
                  </w:r>
                </w:p>
              </w:tc>
              <w:tc>
                <w:tcPr>
                  <w:tcW w:w="1598" w:type="pct"/>
                  <w:tcBorders>
                    <w:tl2br w:val="nil"/>
                    <w:tr2bl w:val="nil"/>
                  </w:tcBorders>
                  <w:vAlign w:val="center"/>
                </w:tcPr>
                <w:p w14:paraId="58F20E7F">
                  <w:pPr>
                    <w:keepNext w:val="0"/>
                    <w:keepLines w:val="0"/>
                    <w:widowControl/>
                    <w:suppressLineNumbers w:val="0"/>
                    <w:jc w:val="both"/>
                    <w:rPr>
                      <w:rFonts w:hint="default" w:ascii="Times New Roman" w:hAnsi="Times New Roman" w:eastAsia="宋体" w:cs="Times New Roman"/>
                      <w:sz w:val="21"/>
                      <w:szCs w:val="21"/>
                      <w:highlight w:val="none"/>
                      <w:vertAlign w:val="baseline"/>
                    </w:rPr>
                  </w:pPr>
                  <w:r>
                    <w:rPr>
                      <w:rFonts w:hint="default" w:ascii="Times New Roman" w:hAnsi="Times New Roman" w:eastAsia="宋体" w:cs="Times New Roman"/>
                      <w:b w:val="0"/>
                      <w:bCs w:val="0"/>
                      <w:color w:val="000000"/>
                      <w:sz w:val="21"/>
                      <w:szCs w:val="21"/>
                      <w:highlight w:val="none"/>
                    </w:rPr>
                    <w:t>要求边坡稳定、坡面冲刷轻微，边坡坡度大的地方，已经长期浸水地区均不适合。</w:t>
                  </w:r>
                </w:p>
              </w:tc>
            </w:tr>
            <w:tr w14:paraId="21D17ABD">
              <w:tblPrEx>
                <w:tblBorders>
                  <w:top w:val="single" w:color="000000" w:themeColor="text1" w:sz="18" w:space="0"/>
                  <w:left w:val="none" w:color="auto" w:sz="0" w:space="0"/>
                  <w:bottom w:val="single" w:color="000000" w:themeColor="text1" w:sz="1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tcBorders>
                    <w:tl2br w:val="nil"/>
                    <w:tr2bl w:val="nil"/>
                  </w:tcBorders>
                  <w:vAlign w:val="center"/>
                </w:tcPr>
                <w:p w14:paraId="0EAB190F">
                  <w:pPr>
                    <w:keepNext w:val="0"/>
                    <w:keepLines w:val="0"/>
                    <w:widowControl/>
                    <w:suppressLineNumbers w:val="0"/>
                    <w:jc w:val="center"/>
                    <w:rPr>
                      <w:rFonts w:hint="default" w:ascii="Times New Roman" w:hAnsi="Times New Roman" w:eastAsia="宋体" w:cs="Times New Roman"/>
                      <w:sz w:val="21"/>
                      <w:szCs w:val="21"/>
                      <w:highlight w:val="none"/>
                      <w:vertAlign w:val="baseline"/>
                      <w:lang w:eastAsia="zh-CN"/>
                    </w:rPr>
                  </w:pPr>
                  <w:r>
                    <w:rPr>
                      <w:rFonts w:hint="default" w:ascii="Times New Roman" w:hAnsi="Times New Roman" w:eastAsia="宋体" w:cs="Times New Roman"/>
                      <w:sz w:val="21"/>
                      <w:szCs w:val="21"/>
                      <w:highlight w:val="none"/>
                      <w:vertAlign w:val="baseline"/>
                      <w:lang w:eastAsia="zh-CN"/>
                    </w:rPr>
                    <w:t>平铺草皮</w:t>
                  </w:r>
                </w:p>
              </w:tc>
              <w:tc>
                <w:tcPr>
                  <w:tcW w:w="1321" w:type="pct"/>
                  <w:tcBorders>
                    <w:tl2br w:val="nil"/>
                    <w:tr2bl w:val="nil"/>
                  </w:tcBorders>
                  <w:vAlign w:val="center"/>
                </w:tcPr>
                <w:p w14:paraId="296D11C2">
                  <w:pPr>
                    <w:keepNext w:val="0"/>
                    <w:keepLines w:val="0"/>
                    <w:widowControl/>
                    <w:suppressLineNumbers w:val="0"/>
                    <w:jc w:val="both"/>
                    <w:rPr>
                      <w:rFonts w:hint="default" w:ascii="Times New Roman" w:hAnsi="Times New Roman" w:eastAsia="宋体" w:cs="Times New Roman"/>
                      <w:sz w:val="21"/>
                      <w:szCs w:val="21"/>
                      <w:highlight w:val="none"/>
                      <w:vertAlign w:val="baseline"/>
                    </w:rPr>
                  </w:pPr>
                  <w:r>
                    <w:rPr>
                      <w:rFonts w:hint="default" w:ascii="Times New Roman" w:hAnsi="Times New Roman" w:eastAsia="宋体" w:cs="Times New Roman"/>
                      <w:b w:val="0"/>
                      <w:bCs w:val="0"/>
                      <w:color w:val="000000"/>
                      <w:sz w:val="21"/>
                      <w:szCs w:val="21"/>
                      <w:highlight w:val="none"/>
                    </w:rPr>
                    <w:t>平铺草皮护坡，是通过人工在边坡面铺设天然草皮的一种传统边坡植物防护措施。</w:t>
                  </w:r>
                </w:p>
              </w:tc>
              <w:tc>
                <w:tcPr>
                  <w:tcW w:w="1452" w:type="pct"/>
                  <w:tcBorders>
                    <w:tl2br w:val="nil"/>
                    <w:tr2bl w:val="nil"/>
                  </w:tcBorders>
                  <w:vAlign w:val="center"/>
                </w:tcPr>
                <w:p w14:paraId="329B9C9C">
                  <w:pPr>
                    <w:keepNext w:val="0"/>
                    <w:keepLines w:val="0"/>
                    <w:widowControl/>
                    <w:suppressLineNumbers w:val="0"/>
                    <w:jc w:val="both"/>
                    <w:rPr>
                      <w:rFonts w:hint="default" w:ascii="Times New Roman" w:hAnsi="Times New Roman" w:eastAsia="宋体" w:cs="Times New Roman"/>
                      <w:sz w:val="21"/>
                      <w:szCs w:val="21"/>
                      <w:highlight w:val="none"/>
                      <w:vertAlign w:val="baseline"/>
                    </w:rPr>
                  </w:pPr>
                  <w:r>
                    <w:rPr>
                      <w:rFonts w:hint="default" w:ascii="Times New Roman" w:hAnsi="Times New Roman" w:eastAsia="宋体" w:cs="Times New Roman"/>
                      <w:b w:val="0"/>
                      <w:bCs w:val="0"/>
                      <w:color w:val="000000"/>
                      <w:sz w:val="21"/>
                      <w:szCs w:val="21"/>
                      <w:highlight w:val="none"/>
                    </w:rPr>
                    <w:t>施工简单，工程造价低、成坪时间短、护坡功效快施工季节限制少。适用于附近草皮来源较易、边坡高度不高且坡度较缓的各种土质及严重风化的岩层和成岩作用差的软岩层边坡防护工程。是设计应用最多的传统坡面植物防护措施之一。</w:t>
                  </w:r>
                </w:p>
              </w:tc>
              <w:tc>
                <w:tcPr>
                  <w:tcW w:w="1598" w:type="pct"/>
                  <w:tcBorders>
                    <w:tl2br w:val="nil"/>
                    <w:tr2bl w:val="nil"/>
                  </w:tcBorders>
                  <w:vAlign w:val="center"/>
                </w:tcPr>
                <w:p w14:paraId="2B2832C6">
                  <w:pPr>
                    <w:keepNext w:val="0"/>
                    <w:keepLines w:val="0"/>
                    <w:widowControl/>
                    <w:suppressLineNumbers w:val="0"/>
                    <w:jc w:val="both"/>
                    <w:rPr>
                      <w:rFonts w:hint="default" w:ascii="Times New Roman" w:hAnsi="Times New Roman" w:eastAsia="宋体" w:cs="Times New Roman"/>
                      <w:sz w:val="21"/>
                      <w:szCs w:val="21"/>
                      <w:highlight w:val="none"/>
                      <w:vertAlign w:val="baseline"/>
                    </w:rPr>
                  </w:pPr>
                  <w:r>
                    <w:rPr>
                      <w:rFonts w:hint="default" w:ascii="Times New Roman" w:hAnsi="Times New Roman" w:eastAsia="宋体" w:cs="Times New Roman"/>
                      <w:b w:val="0"/>
                      <w:bCs w:val="0"/>
                      <w:color w:val="000000"/>
                      <w:sz w:val="21"/>
                      <w:szCs w:val="21"/>
                      <w:highlight w:val="none"/>
                    </w:rPr>
                    <w:t>由于前期养护管理困难，新铺草皮易受各种自然灾害，往往达不到满意的边坡防护效果，而造成坡面冲沟、表土流失、坍滑等边坡灾害。导致大量的边坡病害整治、修复工程。近年来，由于草皮来源紧张，使得平铺草皮护坡的作用逐渐受到了限制。</w:t>
                  </w:r>
                </w:p>
              </w:tc>
            </w:tr>
            <w:tr w14:paraId="7C4F4958">
              <w:tblPrEx>
                <w:tblBorders>
                  <w:top w:val="single" w:color="000000" w:themeColor="text1" w:sz="18" w:space="0"/>
                  <w:left w:val="none" w:color="auto" w:sz="0" w:space="0"/>
                  <w:bottom w:val="single" w:color="000000" w:themeColor="text1" w:sz="1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tcBorders>
                    <w:tl2br w:val="nil"/>
                    <w:tr2bl w:val="nil"/>
                  </w:tcBorders>
                  <w:vAlign w:val="center"/>
                </w:tcPr>
                <w:p w14:paraId="6F4FA553">
                  <w:pPr>
                    <w:keepNext w:val="0"/>
                    <w:keepLines w:val="0"/>
                    <w:widowControl/>
                    <w:suppressLineNumbers w:val="0"/>
                    <w:jc w:val="center"/>
                    <w:rPr>
                      <w:rFonts w:hint="default" w:ascii="Times New Roman" w:hAnsi="Times New Roman" w:eastAsia="宋体" w:cs="Times New Roman"/>
                      <w:sz w:val="21"/>
                      <w:szCs w:val="21"/>
                      <w:highlight w:val="none"/>
                      <w:vertAlign w:val="baseline"/>
                      <w:lang w:eastAsia="zh-CN"/>
                    </w:rPr>
                  </w:pPr>
                  <w:r>
                    <w:rPr>
                      <w:rFonts w:hint="default" w:ascii="Times New Roman" w:hAnsi="Times New Roman" w:eastAsia="宋体" w:cs="Times New Roman"/>
                      <w:sz w:val="21"/>
                      <w:szCs w:val="21"/>
                      <w:highlight w:val="none"/>
                      <w:vertAlign w:val="baseline"/>
                      <w:lang w:eastAsia="zh-CN"/>
                    </w:rPr>
                    <w:t>生态袋护坡</w:t>
                  </w:r>
                </w:p>
              </w:tc>
              <w:tc>
                <w:tcPr>
                  <w:tcW w:w="1321" w:type="pct"/>
                  <w:tcBorders>
                    <w:tl2br w:val="nil"/>
                    <w:tr2bl w:val="nil"/>
                  </w:tcBorders>
                  <w:vAlign w:val="center"/>
                </w:tcPr>
                <w:p w14:paraId="28479B91">
                  <w:pPr>
                    <w:keepNext w:val="0"/>
                    <w:keepLines w:val="0"/>
                    <w:widowControl/>
                    <w:suppressLineNumbers w:val="0"/>
                    <w:jc w:val="both"/>
                    <w:rPr>
                      <w:rFonts w:hint="default" w:ascii="Times New Roman" w:hAnsi="Times New Roman" w:eastAsia="宋体" w:cs="Times New Roman"/>
                      <w:sz w:val="21"/>
                      <w:szCs w:val="21"/>
                      <w:highlight w:val="none"/>
                      <w:vertAlign w:val="baseline"/>
                      <w:lang w:eastAsia="zh-CN"/>
                    </w:rPr>
                  </w:pPr>
                  <w:r>
                    <w:rPr>
                      <w:rFonts w:hint="default" w:ascii="Times New Roman" w:hAnsi="Times New Roman" w:eastAsia="宋体" w:cs="Times New Roman"/>
                      <w:b w:val="0"/>
                      <w:bCs w:val="0"/>
                      <w:color w:val="000000"/>
                      <w:sz w:val="21"/>
                      <w:szCs w:val="21"/>
                      <w:highlight w:val="none"/>
                    </w:rPr>
                    <w:t>生态袋护坡，是利用人造土工布料制成生态袋，植物在装有土的生态袋中生长，以此来进行护坡和修复环境的一种护坡技</w:t>
                  </w:r>
                  <w:r>
                    <w:rPr>
                      <w:rFonts w:hint="default" w:ascii="Times New Roman" w:hAnsi="Times New Roman" w:eastAsia="宋体" w:cs="Times New Roman"/>
                      <w:b w:val="0"/>
                      <w:bCs w:val="0"/>
                      <w:color w:val="000000"/>
                      <w:sz w:val="21"/>
                      <w:szCs w:val="21"/>
                      <w:highlight w:val="none"/>
                      <w:lang w:eastAsia="zh-CN"/>
                    </w:rPr>
                    <w:t>术。</w:t>
                  </w:r>
                </w:p>
              </w:tc>
              <w:tc>
                <w:tcPr>
                  <w:tcW w:w="1452" w:type="pct"/>
                  <w:tcBorders>
                    <w:tl2br w:val="nil"/>
                    <w:tr2bl w:val="nil"/>
                  </w:tcBorders>
                  <w:vAlign w:val="center"/>
                </w:tcPr>
                <w:p w14:paraId="49197768">
                  <w:pPr>
                    <w:keepNext w:val="0"/>
                    <w:keepLines w:val="0"/>
                    <w:widowControl/>
                    <w:suppressLineNumbers w:val="0"/>
                    <w:jc w:val="both"/>
                    <w:rPr>
                      <w:rFonts w:hint="default" w:ascii="Times New Roman" w:hAnsi="Times New Roman" w:eastAsia="宋体" w:cs="Times New Roman"/>
                      <w:sz w:val="21"/>
                      <w:szCs w:val="21"/>
                      <w:highlight w:val="none"/>
                      <w:vertAlign w:val="baseline"/>
                    </w:rPr>
                  </w:pPr>
                  <w:r>
                    <w:rPr>
                      <w:rFonts w:hint="default" w:ascii="Times New Roman" w:hAnsi="Times New Roman" w:eastAsia="宋体" w:cs="Times New Roman"/>
                      <w:b w:val="0"/>
                      <w:bCs w:val="0"/>
                      <w:color w:val="000000"/>
                      <w:sz w:val="21"/>
                      <w:szCs w:val="21"/>
                      <w:highlight w:val="none"/>
                    </w:rPr>
                    <w:t>透水、透气、不透土颗粒、有很好的水环境和潮湿环境的适用性，基本不对结构产生渗水压力。施工快捷、方便，材料搬运轻便。</w:t>
                  </w:r>
                </w:p>
              </w:tc>
              <w:tc>
                <w:tcPr>
                  <w:tcW w:w="1598" w:type="pct"/>
                  <w:tcBorders>
                    <w:tl2br w:val="nil"/>
                    <w:tr2bl w:val="nil"/>
                  </w:tcBorders>
                  <w:vAlign w:val="center"/>
                </w:tcPr>
                <w:p w14:paraId="5C0D1319">
                  <w:pPr>
                    <w:keepNext w:val="0"/>
                    <w:keepLines w:val="0"/>
                    <w:widowControl/>
                    <w:suppressLineNumbers w:val="0"/>
                    <w:jc w:val="both"/>
                    <w:rPr>
                      <w:rFonts w:hint="default" w:ascii="Times New Roman" w:hAnsi="Times New Roman" w:eastAsia="宋体" w:cs="Times New Roman"/>
                      <w:sz w:val="21"/>
                      <w:szCs w:val="21"/>
                      <w:highlight w:val="none"/>
                      <w:vertAlign w:val="baseline"/>
                    </w:rPr>
                  </w:pPr>
                  <w:r>
                    <w:rPr>
                      <w:rFonts w:hint="default" w:ascii="Times New Roman" w:hAnsi="Times New Roman" w:eastAsia="宋体" w:cs="Times New Roman"/>
                      <w:b w:val="0"/>
                      <w:bCs w:val="0"/>
                      <w:color w:val="000000"/>
                      <w:sz w:val="21"/>
                      <w:szCs w:val="21"/>
                      <w:highlight w:val="none"/>
                    </w:rPr>
                    <w:t>由于空间环境所限，后期植被生存条件受到限制，整体稳定性较差。</w:t>
                  </w:r>
                </w:p>
              </w:tc>
            </w:tr>
            <w:tr w14:paraId="5399F487">
              <w:tblPrEx>
                <w:tblBorders>
                  <w:top w:val="single" w:color="000000" w:themeColor="text1" w:sz="18" w:space="0"/>
                  <w:left w:val="none" w:color="auto" w:sz="0" w:space="0"/>
                  <w:bottom w:val="single" w:color="000000" w:themeColor="text1" w:sz="1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7" w:type="pct"/>
                  <w:tcBorders>
                    <w:tl2br w:val="nil"/>
                    <w:tr2bl w:val="nil"/>
                  </w:tcBorders>
                  <w:vAlign w:val="center"/>
                </w:tcPr>
                <w:p w14:paraId="77E3DE86">
                  <w:pPr>
                    <w:keepNext w:val="0"/>
                    <w:keepLines w:val="0"/>
                    <w:widowControl/>
                    <w:suppressLineNumbers w:val="0"/>
                    <w:jc w:val="center"/>
                    <w:rPr>
                      <w:rFonts w:hint="default" w:ascii="Times New Roman" w:hAnsi="Times New Roman" w:eastAsia="宋体" w:cs="Times New Roman"/>
                      <w:sz w:val="21"/>
                      <w:szCs w:val="21"/>
                      <w:highlight w:val="none"/>
                      <w:vertAlign w:val="baseline"/>
                      <w:lang w:eastAsia="zh-CN"/>
                    </w:rPr>
                  </w:pPr>
                  <w:r>
                    <w:rPr>
                      <w:rFonts w:hint="default" w:ascii="Times New Roman" w:hAnsi="Times New Roman" w:eastAsia="宋体" w:cs="Times New Roman"/>
                      <w:sz w:val="21"/>
                      <w:szCs w:val="21"/>
                      <w:highlight w:val="none"/>
                      <w:vertAlign w:val="baseline"/>
                      <w:lang w:eastAsia="zh-CN"/>
                    </w:rPr>
                    <w:t>网格生态护坡</w:t>
                  </w:r>
                </w:p>
              </w:tc>
              <w:tc>
                <w:tcPr>
                  <w:tcW w:w="1321" w:type="pct"/>
                  <w:tcBorders>
                    <w:tl2br w:val="nil"/>
                    <w:tr2bl w:val="nil"/>
                  </w:tcBorders>
                  <w:vAlign w:val="center"/>
                </w:tcPr>
                <w:p w14:paraId="6020CAAD">
                  <w:pPr>
                    <w:keepNext w:val="0"/>
                    <w:keepLines w:val="0"/>
                    <w:widowControl/>
                    <w:suppressLineNumbers w:val="0"/>
                    <w:jc w:val="both"/>
                    <w:rPr>
                      <w:rFonts w:hint="default" w:ascii="Times New Roman" w:hAnsi="Times New Roman" w:eastAsia="宋体" w:cs="Times New Roman"/>
                      <w:sz w:val="21"/>
                      <w:szCs w:val="21"/>
                      <w:highlight w:val="none"/>
                      <w:vertAlign w:val="baseline"/>
                    </w:rPr>
                  </w:pPr>
                  <w:r>
                    <w:rPr>
                      <w:rFonts w:hint="default" w:ascii="Times New Roman" w:hAnsi="Times New Roman" w:eastAsia="宋体" w:cs="Times New Roman"/>
                      <w:b w:val="0"/>
                      <w:bCs w:val="0"/>
                      <w:color w:val="000000"/>
                      <w:sz w:val="21"/>
                      <w:szCs w:val="21"/>
                      <w:highlight w:val="none"/>
                    </w:rPr>
                    <w:t>网格生态护坡，是由砖、石、混凝土砌块、现浇混凝土等材料形成网格，在网格中栽植植物，形成网格与植物综合护坡系统，既能起到护坡作用，同时能恢复生态、保护环境。</w:t>
                  </w:r>
                </w:p>
              </w:tc>
              <w:tc>
                <w:tcPr>
                  <w:tcW w:w="1452" w:type="pct"/>
                  <w:tcBorders>
                    <w:tl2br w:val="nil"/>
                    <w:tr2bl w:val="nil"/>
                  </w:tcBorders>
                  <w:vAlign w:val="center"/>
                </w:tcPr>
                <w:p w14:paraId="6866BFA3">
                  <w:pPr>
                    <w:keepNext w:val="0"/>
                    <w:keepLines w:val="0"/>
                    <w:widowControl/>
                    <w:suppressLineNumbers w:val="0"/>
                    <w:jc w:val="both"/>
                    <w:rPr>
                      <w:rFonts w:hint="default" w:ascii="Times New Roman" w:hAnsi="Times New Roman" w:eastAsia="宋体" w:cs="Times New Roman"/>
                      <w:sz w:val="21"/>
                      <w:szCs w:val="21"/>
                      <w:highlight w:val="none"/>
                      <w:vertAlign w:val="baseline"/>
                    </w:rPr>
                  </w:pPr>
                  <w:r>
                    <w:rPr>
                      <w:rFonts w:hint="default" w:ascii="Times New Roman" w:hAnsi="Times New Roman" w:eastAsia="宋体" w:cs="Times New Roman"/>
                      <w:b w:val="0"/>
                      <w:bCs w:val="0"/>
                      <w:color w:val="000000"/>
                      <w:sz w:val="21"/>
                      <w:szCs w:val="21"/>
                      <w:highlight w:val="none"/>
                    </w:rPr>
                    <w:t>网格生态护坡将工程护坡结构与植物护坡相结合，护坡效果非常好。其中现浇网格生态护坡是一种新型护坡专利技术，具有护坡能力极强、施工工艺简单、技术合理、经济实用等优点，是新一代生态护坡技术，具有很大的实用价值。</w:t>
                  </w:r>
                </w:p>
              </w:tc>
              <w:tc>
                <w:tcPr>
                  <w:tcW w:w="1598" w:type="pct"/>
                  <w:tcBorders>
                    <w:tl2br w:val="nil"/>
                    <w:tr2bl w:val="nil"/>
                  </w:tcBorders>
                  <w:vAlign w:val="center"/>
                </w:tcPr>
                <w:p w14:paraId="5A48B324">
                  <w:pPr>
                    <w:keepNext w:val="0"/>
                    <w:keepLines w:val="0"/>
                    <w:widowControl/>
                    <w:suppressLineNumbers w:val="0"/>
                    <w:jc w:val="center"/>
                    <w:rPr>
                      <w:rFonts w:hint="eastAsia"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p>
              </w:tc>
            </w:tr>
          </w:tbl>
          <w:p w14:paraId="4192B06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highlight w:val="none"/>
              </w:rPr>
            </w:pPr>
            <w:r>
              <w:rPr>
                <w:rFonts w:hint="default" w:ascii="Times New Roman" w:hAnsi="Times New Roman" w:cs="Times New Roman" w:eastAsiaTheme="minorEastAsia"/>
                <w:b w:val="0"/>
                <w:bCs w:val="0"/>
                <w:color w:val="000000"/>
                <w:sz w:val="24"/>
                <w:szCs w:val="24"/>
                <w:highlight w:val="none"/>
                <w:lang w:val="en-US" w:eastAsia="zh-CN"/>
              </w:rPr>
              <w:t>由上表可以看出，网格生态护坡具有护坡能力极强、施工工艺简单、技术合理、经济实用等优点，是新一代生态护坡技术，具有很大的实用价值。本项目选用现浇混凝土网格生态护坡。</w:t>
            </w:r>
          </w:p>
          <w:p w14:paraId="61F3DA8E">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imes New Roman" w:hAnsi="Times New Roman" w:cs="Times New Roman" w:eastAsiaTheme="minorEastAsia"/>
                <w:b w:val="0"/>
                <w:bCs w:val="0"/>
                <w:color w:val="000000"/>
                <w:sz w:val="24"/>
                <w:szCs w:val="24"/>
                <w:highlight w:val="none"/>
                <w:lang w:val="en-US" w:eastAsia="zh-CN"/>
              </w:rPr>
            </w:pPr>
            <w:r>
              <w:rPr>
                <w:rFonts w:hint="eastAsia" w:ascii="Times New Roman" w:hAnsi="Times New Roman" w:cs="Times New Roman" w:eastAsiaTheme="minorEastAsia"/>
                <w:b w:val="0"/>
                <w:bCs w:val="0"/>
                <w:color w:val="000000"/>
                <w:sz w:val="24"/>
                <w:szCs w:val="24"/>
                <w:highlight w:val="none"/>
                <w:lang w:val="en-US" w:eastAsia="zh-CN"/>
              </w:rPr>
              <w:t>（2）施工方法</w:t>
            </w:r>
          </w:p>
          <w:p w14:paraId="1247AB0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b w:val="0"/>
                <w:bCs w:val="0"/>
                <w:color w:val="000000"/>
                <w:sz w:val="24"/>
                <w:szCs w:val="24"/>
                <w:highlight w:val="none"/>
                <w:lang w:val="en-US" w:eastAsia="zh-CN"/>
              </w:rPr>
            </w:pPr>
            <w:r>
              <w:rPr>
                <w:rFonts w:hint="default" w:ascii="Times New Roman" w:hAnsi="Times New Roman" w:cs="Times New Roman" w:eastAsiaTheme="minorEastAsia"/>
                <w:b w:val="0"/>
                <w:bCs w:val="0"/>
                <w:color w:val="000000"/>
                <w:sz w:val="24"/>
                <w:szCs w:val="24"/>
                <w:highlight w:val="none"/>
                <w:lang w:val="en-US" w:eastAsia="zh-CN"/>
              </w:rPr>
              <w:t>现浇网络生态护坡抢在利用混凝土现场浇筑网格，将网格中种植适合水土保持的植物，以实现保护河道环境的目的。其在硬质工程中，使用网格状的钢筋混凝土、锚杆，从而在地面上建立三维立体的护坡结构，使其具有很好的抗侵蚀能力。在植被的根系方面，其采用尊重自然、保护生态的理念，通过种植水土保持的灌木、乔木等植被，以此增加河道内的生物多样性。</w:t>
            </w:r>
          </w:p>
          <w:p w14:paraId="5D7E4BF4">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highlight w:val="none"/>
              </w:rPr>
            </w:pPr>
            <w:r>
              <w:rPr>
                <w:highlight w:val="none"/>
              </w:rPr>
              <w:drawing>
                <wp:inline distT="0" distB="0" distL="114300" distR="114300">
                  <wp:extent cx="4774565" cy="2202180"/>
                  <wp:effectExtent l="0" t="0" r="6985" b="762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13"/>
                          <a:stretch>
                            <a:fillRect/>
                          </a:stretch>
                        </pic:blipFill>
                        <pic:spPr>
                          <a:xfrm>
                            <a:off x="0" y="0"/>
                            <a:ext cx="4774565" cy="2202180"/>
                          </a:xfrm>
                          <a:prstGeom prst="rect">
                            <a:avLst/>
                          </a:prstGeom>
                          <a:noFill/>
                          <a:ln>
                            <a:noFill/>
                          </a:ln>
                        </pic:spPr>
                      </pic:pic>
                    </a:graphicData>
                  </a:graphic>
                </wp:inline>
              </w:drawing>
            </w:r>
          </w:p>
          <w:p w14:paraId="0256A6B4">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eastAsia" w:asciiTheme="minorEastAsia" w:hAnsiTheme="minorEastAsia" w:eastAsiaTheme="minorEastAsia" w:cstheme="minorEastAsia"/>
                <w:b/>
                <w:bCs/>
                <w:sz w:val="21"/>
                <w:szCs w:val="21"/>
                <w:highlight w:val="none"/>
                <w:lang w:eastAsia="zh-CN"/>
              </w:rPr>
            </w:pPr>
            <w:r>
              <w:rPr>
                <w:rFonts w:hint="eastAsia" w:asciiTheme="minorEastAsia" w:hAnsiTheme="minorEastAsia" w:eastAsiaTheme="minorEastAsia" w:cstheme="minorEastAsia"/>
                <w:b/>
                <w:bCs/>
                <w:color w:val="000000"/>
                <w:sz w:val="21"/>
                <w:szCs w:val="21"/>
                <w:highlight w:val="none"/>
              </w:rPr>
              <w:t>施工流程图</w:t>
            </w:r>
          </w:p>
          <w:p w14:paraId="1D83CC0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b w:val="0"/>
                <w:bCs w:val="0"/>
                <w:color w:val="000000"/>
                <w:sz w:val="24"/>
                <w:szCs w:val="24"/>
                <w:highlight w:val="none"/>
                <w:lang w:val="en-US" w:eastAsia="zh-CN"/>
              </w:rPr>
            </w:pPr>
            <w:r>
              <w:rPr>
                <w:rFonts w:hint="eastAsia" w:cs="Times New Roman" w:eastAsiaTheme="minorEastAsia"/>
                <w:b w:val="0"/>
                <w:bCs w:val="0"/>
                <w:color w:val="000000"/>
                <w:sz w:val="24"/>
                <w:szCs w:val="24"/>
                <w:highlight w:val="none"/>
                <w:lang w:val="en-US" w:eastAsia="zh-CN"/>
              </w:rPr>
              <w:t>1）</w:t>
            </w:r>
            <w:r>
              <w:rPr>
                <w:rFonts w:hint="default" w:ascii="Times New Roman" w:hAnsi="Times New Roman" w:cs="Times New Roman" w:eastAsiaTheme="minorEastAsia"/>
                <w:b w:val="0"/>
                <w:bCs w:val="0"/>
                <w:color w:val="000000"/>
                <w:sz w:val="24"/>
                <w:szCs w:val="24"/>
                <w:highlight w:val="none"/>
                <w:lang w:val="en-US" w:eastAsia="zh-CN"/>
              </w:rPr>
              <w:t>施工准备：在施工前，对河道、沟渠和岸坡进行现场勘查，了解地形、水文和工程要求等情况。根据</w:t>
            </w:r>
            <w:r>
              <w:rPr>
                <w:rFonts w:hint="eastAsia" w:cs="Times New Roman" w:eastAsiaTheme="minorEastAsia"/>
                <w:b w:val="0"/>
                <w:bCs w:val="0"/>
                <w:color w:val="000000"/>
                <w:sz w:val="24"/>
                <w:szCs w:val="24"/>
                <w:highlight w:val="none"/>
                <w:lang w:val="en-US" w:eastAsia="zh-CN"/>
              </w:rPr>
              <w:t>勘察</w:t>
            </w:r>
            <w:r>
              <w:rPr>
                <w:rFonts w:hint="default" w:ascii="Times New Roman" w:hAnsi="Times New Roman" w:cs="Times New Roman" w:eastAsiaTheme="minorEastAsia"/>
                <w:b w:val="0"/>
                <w:bCs w:val="0"/>
                <w:color w:val="000000"/>
                <w:sz w:val="24"/>
                <w:szCs w:val="24"/>
                <w:highlight w:val="none"/>
                <w:lang w:val="en-US" w:eastAsia="zh-CN"/>
              </w:rPr>
              <w:t>结果制定详细的施工方案和安全措施，并准备好施工所需的材料、设备和人员等资源。</w:t>
            </w:r>
          </w:p>
          <w:p w14:paraId="465B171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b w:val="0"/>
                <w:bCs w:val="0"/>
                <w:color w:val="000000"/>
                <w:sz w:val="24"/>
                <w:szCs w:val="24"/>
                <w:highlight w:val="none"/>
                <w:lang w:val="en-US" w:eastAsia="zh-CN"/>
              </w:rPr>
            </w:pPr>
            <w:r>
              <w:rPr>
                <w:rFonts w:hint="eastAsia" w:cs="Times New Roman" w:eastAsiaTheme="minorEastAsia"/>
                <w:b w:val="0"/>
                <w:bCs w:val="0"/>
                <w:color w:val="000000"/>
                <w:sz w:val="24"/>
                <w:szCs w:val="24"/>
                <w:highlight w:val="none"/>
                <w:lang w:val="en-US" w:eastAsia="zh-CN"/>
              </w:rPr>
              <w:t>2）</w:t>
            </w:r>
            <w:r>
              <w:rPr>
                <w:rFonts w:hint="default" w:ascii="Times New Roman" w:hAnsi="Times New Roman" w:cs="Times New Roman" w:eastAsiaTheme="minorEastAsia"/>
                <w:b w:val="0"/>
                <w:bCs w:val="0"/>
                <w:color w:val="000000"/>
                <w:sz w:val="24"/>
                <w:szCs w:val="24"/>
                <w:highlight w:val="none"/>
                <w:lang w:val="en-US" w:eastAsia="zh-CN"/>
              </w:rPr>
              <w:t>坡面处理</w:t>
            </w:r>
            <w:r>
              <w:rPr>
                <w:rFonts w:hint="eastAsia" w:cs="Times New Roman" w:eastAsiaTheme="minorEastAsia"/>
                <w:b w:val="0"/>
                <w:bCs w:val="0"/>
                <w:color w:val="000000"/>
                <w:sz w:val="24"/>
                <w:szCs w:val="24"/>
                <w:highlight w:val="none"/>
                <w:lang w:val="en-US" w:eastAsia="zh-CN"/>
              </w:rPr>
              <w:t>：</w:t>
            </w:r>
            <w:r>
              <w:rPr>
                <w:rFonts w:hint="default" w:ascii="Times New Roman" w:hAnsi="Times New Roman" w:cs="Times New Roman" w:eastAsiaTheme="minorEastAsia"/>
                <w:b w:val="0"/>
                <w:bCs w:val="0"/>
                <w:color w:val="000000"/>
                <w:sz w:val="24"/>
                <w:szCs w:val="24"/>
                <w:highlight w:val="none"/>
                <w:lang w:val="en-US" w:eastAsia="zh-CN"/>
              </w:rPr>
              <w:t>根据设计清理</w:t>
            </w:r>
            <w:r>
              <w:rPr>
                <w:rFonts w:hint="eastAsia" w:cs="Times New Roman" w:eastAsiaTheme="minorEastAsia"/>
                <w:b w:val="0"/>
                <w:bCs w:val="0"/>
                <w:color w:val="000000"/>
                <w:sz w:val="24"/>
                <w:szCs w:val="24"/>
                <w:highlight w:val="none"/>
                <w:lang w:val="en-US" w:eastAsia="zh-CN"/>
              </w:rPr>
              <w:t>（</w:t>
            </w:r>
            <w:r>
              <w:rPr>
                <w:rFonts w:hint="default" w:ascii="Times New Roman" w:hAnsi="Times New Roman" w:cs="Times New Roman" w:eastAsiaTheme="minorEastAsia"/>
                <w:b w:val="0"/>
                <w:bCs w:val="0"/>
                <w:color w:val="000000"/>
                <w:sz w:val="24"/>
                <w:szCs w:val="24"/>
                <w:highlight w:val="none"/>
                <w:lang w:val="en-US" w:eastAsia="zh-CN"/>
              </w:rPr>
              <w:t>杂草、树根、碎石等</w:t>
            </w:r>
            <w:r>
              <w:rPr>
                <w:rFonts w:hint="eastAsia" w:cs="Times New Roman" w:eastAsiaTheme="minorEastAsia"/>
                <w:b w:val="0"/>
                <w:bCs w:val="0"/>
                <w:color w:val="000000"/>
                <w:sz w:val="24"/>
                <w:szCs w:val="24"/>
                <w:highlight w:val="none"/>
                <w:lang w:val="en-US" w:eastAsia="zh-CN"/>
              </w:rPr>
              <w:t>）</w:t>
            </w:r>
            <w:r>
              <w:rPr>
                <w:rFonts w:hint="default" w:ascii="Times New Roman" w:hAnsi="Times New Roman" w:cs="Times New Roman" w:eastAsiaTheme="minorEastAsia"/>
                <w:b w:val="0"/>
                <w:bCs w:val="0"/>
                <w:color w:val="000000"/>
                <w:sz w:val="24"/>
                <w:szCs w:val="24"/>
                <w:highlight w:val="none"/>
                <w:lang w:val="en-US" w:eastAsia="zh-CN"/>
              </w:rPr>
              <w:t>坡面，孔洞、凹陷体处填土夯实，淤泥处挖除后填土夯实，使坡面平整。整理方法</w:t>
            </w:r>
            <w:r>
              <w:rPr>
                <w:rFonts w:hint="eastAsia" w:cs="Times New Roman" w:eastAsiaTheme="minorEastAsia"/>
                <w:b w:val="0"/>
                <w:bCs w:val="0"/>
                <w:color w:val="000000"/>
                <w:sz w:val="24"/>
                <w:szCs w:val="24"/>
                <w:highlight w:val="none"/>
                <w:lang w:val="en-US" w:eastAsia="zh-CN"/>
              </w:rPr>
              <w:t>：</w:t>
            </w:r>
            <w:r>
              <w:rPr>
                <w:rFonts w:hint="default" w:ascii="Times New Roman" w:hAnsi="Times New Roman" w:cs="Times New Roman" w:eastAsiaTheme="minorEastAsia"/>
                <w:b w:val="0"/>
                <w:bCs w:val="0"/>
                <w:color w:val="000000"/>
                <w:sz w:val="24"/>
                <w:szCs w:val="24"/>
                <w:highlight w:val="none"/>
                <w:lang w:val="en-US" w:eastAsia="zh-CN"/>
              </w:rPr>
              <w:t>对于非人工</w:t>
            </w:r>
            <w:r>
              <w:rPr>
                <w:rFonts w:hint="eastAsia" w:cs="Times New Roman" w:eastAsiaTheme="minorEastAsia"/>
                <w:b w:val="0"/>
                <w:bCs w:val="0"/>
                <w:color w:val="000000"/>
                <w:sz w:val="24"/>
                <w:szCs w:val="24"/>
                <w:highlight w:val="none"/>
                <w:lang w:val="en-US" w:eastAsia="zh-CN"/>
              </w:rPr>
              <w:t>（</w:t>
            </w:r>
            <w:r>
              <w:rPr>
                <w:rFonts w:hint="default" w:ascii="Times New Roman" w:hAnsi="Times New Roman" w:cs="Times New Roman" w:eastAsiaTheme="minorEastAsia"/>
                <w:b w:val="0"/>
                <w:bCs w:val="0"/>
                <w:color w:val="000000"/>
                <w:sz w:val="24"/>
                <w:szCs w:val="24"/>
                <w:highlight w:val="none"/>
                <w:lang w:val="en-US" w:eastAsia="zh-CN"/>
              </w:rPr>
              <w:t>回填</w:t>
            </w:r>
            <w:r>
              <w:rPr>
                <w:rFonts w:hint="eastAsia" w:cs="Times New Roman" w:eastAsiaTheme="minorEastAsia"/>
                <w:b w:val="0"/>
                <w:bCs w:val="0"/>
                <w:color w:val="000000"/>
                <w:sz w:val="24"/>
                <w:szCs w:val="24"/>
                <w:highlight w:val="none"/>
                <w:lang w:val="en-US" w:eastAsia="zh-CN"/>
              </w:rPr>
              <w:t>）</w:t>
            </w:r>
            <w:r>
              <w:rPr>
                <w:rFonts w:hint="default" w:ascii="Times New Roman" w:hAnsi="Times New Roman" w:cs="Times New Roman" w:eastAsiaTheme="minorEastAsia"/>
                <w:b w:val="0"/>
                <w:bCs w:val="0"/>
                <w:color w:val="000000"/>
                <w:sz w:val="24"/>
                <w:szCs w:val="24"/>
                <w:highlight w:val="none"/>
                <w:lang w:val="en-US" w:eastAsia="zh-CN"/>
              </w:rPr>
              <w:t>边坡，且小于30°的边坡，清理边坡后，用铁锹整平即可施工</w:t>
            </w:r>
            <w:r>
              <w:rPr>
                <w:rFonts w:hint="eastAsia" w:cs="Times New Roman" w:eastAsiaTheme="minorEastAsia"/>
                <w:b w:val="0"/>
                <w:bCs w:val="0"/>
                <w:color w:val="000000"/>
                <w:sz w:val="24"/>
                <w:szCs w:val="24"/>
                <w:highlight w:val="none"/>
                <w:lang w:val="en-US" w:eastAsia="zh-CN"/>
              </w:rPr>
              <w:t>：</w:t>
            </w:r>
            <w:r>
              <w:rPr>
                <w:rFonts w:hint="default" w:ascii="Times New Roman" w:hAnsi="Times New Roman" w:cs="Times New Roman" w:eastAsiaTheme="minorEastAsia"/>
                <w:b w:val="0"/>
                <w:bCs w:val="0"/>
                <w:color w:val="000000"/>
                <w:sz w:val="24"/>
                <w:szCs w:val="24"/>
                <w:highlight w:val="none"/>
                <w:lang w:val="en-US" w:eastAsia="zh-CN"/>
              </w:rPr>
              <w:t>人工</w:t>
            </w:r>
            <w:r>
              <w:rPr>
                <w:rFonts w:hint="eastAsia" w:cs="Times New Roman" w:eastAsiaTheme="minorEastAsia"/>
                <w:b w:val="0"/>
                <w:bCs w:val="0"/>
                <w:color w:val="000000"/>
                <w:sz w:val="24"/>
                <w:szCs w:val="24"/>
                <w:highlight w:val="none"/>
                <w:lang w:val="en-US" w:eastAsia="zh-CN"/>
              </w:rPr>
              <w:t>（</w:t>
            </w:r>
            <w:r>
              <w:rPr>
                <w:rFonts w:hint="default" w:ascii="Times New Roman" w:hAnsi="Times New Roman" w:cs="Times New Roman" w:eastAsiaTheme="minorEastAsia"/>
                <w:b w:val="0"/>
                <w:bCs w:val="0"/>
                <w:color w:val="000000"/>
                <w:sz w:val="24"/>
                <w:szCs w:val="24"/>
                <w:highlight w:val="none"/>
                <w:lang w:val="en-US" w:eastAsia="zh-CN"/>
              </w:rPr>
              <w:t>回填</w:t>
            </w:r>
            <w:r>
              <w:rPr>
                <w:rFonts w:hint="eastAsia" w:cs="Times New Roman" w:eastAsiaTheme="minorEastAsia"/>
                <w:b w:val="0"/>
                <w:bCs w:val="0"/>
                <w:color w:val="000000"/>
                <w:sz w:val="24"/>
                <w:szCs w:val="24"/>
                <w:highlight w:val="none"/>
                <w:lang w:val="en-US" w:eastAsia="zh-CN"/>
              </w:rPr>
              <w:t>）</w:t>
            </w:r>
            <w:r>
              <w:rPr>
                <w:rFonts w:hint="default" w:ascii="Times New Roman" w:hAnsi="Times New Roman" w:cs="Times New Roman" w:eastAsiaTheme="minorEastAsia"/>
                <w:b w:val="0"/>
                <w:bCs w:val="0"/>
                <w:color w:val="000000"/>
                <w:sz w:val="24"/>
                <w:szCs w:val="24"/>
                <w:highlight w:val="none"/>
                <w:lang w:val="en-US" w:eastAsia="zh-CN"/>
              </w:rPr>
              <w:t>边坡依据坡面土质的情况，须应用夯实工具</w:t>
            </w:r>
            <w:r>
              <w:rPr>
                <w:rFonts w:hint="eastAsia" w:cs="Times New Roman" w:eastAsiaTheme="minorEastAsia"/>
                <w:b w:val="0"/>
                <w:bCs w:val="0"/>
                <w:color w:val="000000"/>
                <w:sz w:val="24"/>
                <w:szCs w:val="24"/>
                <w:highlight w:val="none"/>
                <w:lang w:val="en-US" w:eastAsia="zh-CN"/>
              </w:rPr>
              <w:t>，</w:t>
            </w:r>
            <w:r>
              <w:rPr>
                <w:rFonts w:hint="default" w:ascii="Times New Roman" w:hAnsi="Times New Roman" w:cs="Times New Roman" w:eastAsiaTheme="minorEastAsia"/>
                <w:b w:val="0"/>
                <w:bCs w:val="0"/>
                <w:color w:val="000000"/>
                <w:sz w:val="24"/>
                <w:szCs w:val="24"/>
                <w:highlight w:val="none"/>
                <w:lang w:val="en-US" w:eastAsia="zh-CN"/>
              </w:rPr>
              <w:t>严格整坡后施工。定位钢筋铺设方向</w:t>
            </w:r>
            <w:r>
              <w:rPr>
                <w:rFonts w:hint="eastAsia" w:cs="Times New Roman" w:eastAsiaTheme="minorEastAsia"/>
                <w:b w:val="0"/>
                <w:bCs w:val="0"/>
                <w:color w:val="000000"/>
                <w:sz w:val="24"/>
                <w:szCs w:val="24"/>
                <w:highlight w:val="none"/>
                <w:lang w:val="en-US" w:eastAsia="zh-CN"/>
              </w:rPr>
              <w:t>（</w:t>
            </w:r>
            <w:r>
              <w:rPr>
                <w:rFonts w:hint="default" w:ascii="Times New Roman" w:hAnsi="Times New Roman" w:cs="Times New Roman" w:eastAsiaTheme="minorEastAsia"/>
                <w:b w:val="0"/>
                <w:bCs w:val="0"/>
                <w:color w:val="000000"/>
                <w:sz w:val="24"/>
                <w:szCs w:val="24"/>
                <w:highlight w:val="none"/>
                <w:lang w:val="en-US" w:eastAsia="zh-CN"/>
              </w:rPr>
              <w:t>分别与坡底成30°、150°)，钢筋间距以选择的具体模板而定。</w:t>
            </w:r>
          </w:p>
          <w:p w14:paraId="08F4AE5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eastAsiaTheme="minorEastAsia"/>
                <w:b w:val="0"/>
                <w:bCs w:val="0"/>
                <w:color w:val="000000"/>
                <w:sz w:val="24"/>
                <w:szCs w:val="24"/>
                <w:highlight w:val="none"/>
                <w:lang w:val="en-US" w:eastAsia="zh-CN"/>
              </w:rPr>
            </w:pPr>
            <w:r>
              <w:rPr>
                <w:rFonts w:hint="eastAsia" w:cs="Times New Roman" w:eastAsiaTheme="minorEastAsia"/>
                <w:b w:val="0"/>
                <w:bCs w:val="0"/>
                <w:color w:val="000000"/>
                <w:sz w:val="24"/>
                <w:szCs w:val="24"/>
                <w:highlight w:val="none"/>
                <w:lang w:val="en-US" w:eastAsia="zh-CN"/>
              </w:rPr>
              <w:t>3）</w:t>
            </w:r>
            <w:r>
              <w:rPr>
                <w:rFonts w:hint="default" w:ascii="Times New Roman" w:hAnsi="Times New Roman" w:cs="Times New Roman" w:eastAsiaTheme="minorEastAsia"/>
                <w:b w:val="0"/>
                <w:bCs w:val="0"/>
                <w:color w:val="000000"/>
                <w:sz w:val="24"/>
                <w:szCs w:val="24"/>
                <w:highlight w:val="none"/>
                <w:lang w:val="en-US" w:eastAsia="zh-CN"/>
              </w:rPr>
              <w:t>钢筋铺设：钢筋要求</w:t>
            </w:r>
            <w:r>
              <w:rPr>
                <w:rFonts w:hint="eastAsia" w:cs="Times New Roman" w:eastAsiaTheme="minorEastAsia"/>
                <w:b w:val="0"/>
                <w:bCs w:val="0"/>
                <w:color w:val="000000"/>
                <w:sz w:val="24"/>
                <w:szCs w:val="24"/>
                <w:highlight w:val="none"/>
                <w:lang w:val="en-US" w:eastAsia="zh-CN"/>
              </w:rPr>
              <w:t>：</w:t>
            </w:r>
            <w:r>
              <w:rPr>
                <w:rFonts w:hint="default" w:ascii="Times New Roman" w:hAnsi="Times New Roman" w:cs="Times New Roman" w:eastAsiaTheme="minorEastAsia"/>
                <w:b w:val="0"/>
                <w:bCs w:val="0"/>
                <w:color w:val="000000"/>
                <w:sz w:val="24"/>
                <w:szCs w:val="24"/>
                <w:highlight w:val="none"/>
                <w:lang w:val="en-US" w:eastAsia="zh-CN"/>
              </w:rPr>
              <w:t>参照执行《现浇网格生态护坡技术》5.4.1.1.1的规定。铺设要求</w:t>
            </w:r>
            <w:r>
              <w:rPr>
                <w:rFonts w:hint="eastAsia" w:cs="Times New Roman" w:eastAsiaTheme="minorEastAsia"/>
                <w:b w:val="0"/>
                <w:bCs w:val="0"/>
                <w:color w:val="000000"/>
                <w:sz w:val="24"/>
                <w:szCs w:val="24"/>
                <w:highlight w:val="none"/>
                <w:lang w:val="en-US" w:eastAsia="zh-CN"/>
              </w:rPr>
              <w:t>：</w:t>
            </w:r>
            <w:r>
              <w:rPr>
                <w:rFonts w:hint="default" w:ascii="Times New Roman" w:hAnsi="Times New Roman" w:cs="Times New Roman" w:eastAsiaTheme="minorEastAsia"/>
                <w:b w:val="0"/>
                <w:bCs w:val="0"/>
                <w:color w:val="000000"/>
                <w:sz w:val="24"/>
                <w:szCs w:val="24"/>
                <w:highlight w:val="none"/>
                <w:lang w:val="en-US" w:eastAsia="zh-CN"/>
              </w:rPr>
              <w:t>严格执行施工图纸中的尺寸和要求</w:t>
            </w:r>
            <w:r>
              <w:rPr>
                <w:rFonts w:hint="eastAsia" w:cs="Times New Roman" w:eastAsiaTheme="minorEastAsia"/>
                <w:b w:val="0"/>
                <w:bCs w:val="0"/>
                <w:color w:val="000000"/>
                <w:sz w:val="24"/>
                <w:szCs w:val="24"/>
                <w:highlight w:val="none"/>
                <w:lang w:val="en-US" w:eastAsia="zh-CN"/>
              </w:rPr>
              <w:t>；</w:t>
            </w:r>
            <w:r>
              <w:rPr>
                <w:rFonts w:hint="default" w:ascii="Times New Roman" w:hAnsi="Times New Roman" w:cs="Times New Roman" w:eastAsiaTheme="minorEastAsia"/>
                <w:b w:val="0"/>
                <w:bCs w:val="0"/>
                <w:color w:val="000000"/>
                <w:sz w:val="24"/>
                <w:szCs w:val="24"/>
                <w:highlight w:val="none"/>
                <w:lang w:val="en-US" w:eastAsia="zh-CN"/>
              </w:rPr>
              <w:t>铺设技术</w:t>
            </w:r>
            <w:r>
              <w:rPr>
                <w:rFonts w:hint="eastAsia" w:cs="Times New Roman" w:eastAsiaTheme="minorEastAsia"/>
                <w:b w:val="0"/>
                <w:bCs w:val="0"/>
                <w:color w:val="000000"/>
                <w:sz w:val="24"/>
                <w:szCs w:val="24"/>
                <w:highlight w:val="none"/>
                <w:lang w:val="en-US" w:eastAsia="zh-CN"/>
              </w:rPr>
              <w:t>：</w:t>
            </w:r>
            <w:r>
              <w:rPr>
                <w:rFonts w:hint="default" w:ascii="Times New Roman" w:hAnsi="Times New Roman" w:cs="Times New Roman" w:eastAsiaTheme="minorEastAsia"/>
                <w:b w:val="0"/>
                <w:bCs w:val="0"/>
                <w:color w:val="000000"/>
                <w:sz w:val="24"/>
                <w:szCs w:val="24"/>
                <w:highlight w:val="none"/>
                <w:lang w:val="en-US" w:eastAsia="zh-CN"/>
              </w:rPr>
              <w:t>在标记的钢筋铺设线上，每隔2</w:t>
            </w:r>
            <w:r>
              <w:rPr>
                <w:rFonts w:hint="eastAsia" w:cs="Times New Roman" w:eastAsiaTheme="minorEastAsia"/>
                <w:b w:val="0"/>
                <w:bCs w:val="0"/>
                <w:color w:val="000000"/>
                <w:sz w:val="24"/>
                <w:szCs w:val="24"/>
                <w:highlight w:val="none"/>
                <w:lang w:val="en-US" w:eastAsia="zh-CN"/>
              </w:rPr>
              <w:t>—</w:t>
            </w:r>
            <w:r>
              <w:rPr>
                <w:rFonts w:hint="default" w:ascii="Times New Roman" w:hAnsi="Times New Roman" w:cs="Times New Roman" w:eastAsiaTheme="minorEastAsia"/>
                <w:b w:val="0"/>
                <w:bCs w:val="0"/>
                <w:color w:val="000000"/>
                <w:sz w:val="24"/>
                <w:szCs w:val="24"/>
                <w:highlight w:val="none"/>
                <w:lang w:val="en-US" w:eastAsia="zh-CN"/>
              </w:rPr>
              <w:t>4</w:t>
            </w:r>
            <w:r>
              <w:rPr>
                <w:rFonts w:hint="eastAsia" w:cs="Times New Roman" w:eastAsiaTheme="minorEastAsia"/>
                <w:b w:val="0"/>
                <w:bCs w:val="0"/>
                <w:color w:val="000000"/>
                <w:sz w:val="24"/>
                <w:szCs w:val="24"/>
                <w:highlight w:val="none"/>
                <w:lang w:val="en-US" w:eastAsia="zh-CN"/>
              </w:rPr>
              <w:t>m</w:t>
            </w:r>
            <w:r>
              <w:rPr>
                <w:rFonts w:hint="eastAsia" w:ascii="Times New Roman" w:hAnsi="Times New Roman" w:cs="Times New Roman" w:eastAsiaTheme="minorEastAsia"/>
                <w:b w:val="0"/>
                <w:bCs w:val="0"/>
                <w:color w:val="000000"/>
                <w:sz w:val="24"/>
                <w:szCs w:val="24"/>
                <w:highlight w:val="none"/>
                <w:lang w:val="en-US" w:eastAsia="zh-CN"/>
              </w:rPr>
              <w:t>，打入一根支架钢筋</w:t>
            </w:r>
            <w:r>
              <w:rPr>
                <w:rFonts w:hint="eastAsia" w:cs="Times New Roman" w:eastAsiaTheme="minorEastAsia"/>
                <w:b w:val="0"/>
                <w:bCs w:val="0"/>
                <w:color w:val="000000"/>
                <w:sz w:val="24"/>
                <w:szCs w:val="24"/>
                <w:highlight w:val="none"/>
                <w:lang w:val="en-US" w:eastAsia="zh-CN"/>
              </w:rPr>
              <w:t>（</w:t>
            </w:r>
            <w:r>
              <w:rPr>
                <w:rFonts w:hint="eastAsia" w:ascii="Times New Roman" w:hAnsi="Times New Roman" w:cs="Times New Roman" w:eastAsiaTheme="minorEastAsia"/>
                <w:b w:val="0"/>
                <w:bCs w:val="0"/>
                <w:color w:val="000000"/>
                <w:sz w:val="24"/>
                <w:szCs w:val="24"/>
                <w:highlight w:val="none"/>
                <w:lang w:val="en-US" w:eastAsia="zh-CN"/>
              </w:rPr>
              <w:t>长度200</w:t>
            </w:r>
            <w:r>
              <w:rPr>
                <w:rFonts w:hint="eastAsia" w:cs="Times New Roman" w:eastAsiaTheme="minorEastAsia"/>
                <w:b w:val="0"/>
                <w:bCs w:val="0"/>
                <w:color w:val="000000"/>
                <w:sz w:val="24"/>
                <w:szCs w:val="24"/>
                <w:highlight w:val="none"/>
                <w:lang w:val="en-US" w:eastAsia="zh-CN"/>
              </w:rPr>
              <w:t>mm</w:t>
            </w:r>
            <w:r>
              <w:rPr>
                <w:rFonts w:hint="eastAsia" w:ascii="Times New Roman" w:hAnsi="Times New Roman" w:cs="Times New Roman" w:eastAsiaTheme="minorEastAsia"/>
                <w:b w:val="0"/>
                <w:bCs w:val="0"/>
                <w:color w:val="000000"/>
                <w:sz w:val="24"/>
                <w:szCs w:val="24"/>
                <w:highlight w:val="none"/>
                <w:lang w:val="en-US" w:eastAsia="zh-CN"/>
              </w:rPr>
              <w:t>，地下100</w:t>
            </w:r>
            <w:r>
              <w:rPr>
                <w:rFonts w:hint="eastAsia" w:cs="Times New Roman" w:eastAsiaTheme="minorEastAsia"/>
                <w:b w:val="0"/>
                <w:bCs w:val="0"/>
                <w:color w:val="000000"/>
                <w:sz w:val="24"/>
                <w:szCs w:val="24"/>
                <w:highlight w:val="none"/>
                <w:lang w:val="en-US" w:eastAsia="zh-CN"/>
              </w:rPr>
              <w:t>mm</w:t>
            </w:r>
            <w:r>
              <w:rPr>
                <w:rFonts w:hint="eastAsia" w:ascii="Times New Roman" w:hAnsi="Times New Roman" w:cs="Times New Roman" w:eastAsiaTheme="minorEastAsia"/>
                <w:b w:val="0"/>
                <w:bCs w:val="0"/>
                <w:color w:val="000000"/>
                <w:sz w:val="24"/>
                <w:szCs w:val="24"/>
                <w:highlight w:val="none"/>
                <w:lang w:val="en-US" w:eastAsia="zh-CN"/>
              </w:rPr>
              <w:t>，地上100</w:t>
            </w:r>
            <w:r>
              <w:rPr>
                <w:rFonts w:hint="eastAsia" w:cs="Times New Roman" w:eastAsiaTheme="minorEastAsia"/>
                <w:b w:val="0"/>
                <w:bCs w:val="0"/>
                <w:color w:val="000000"/>
                <w:sz w:val="24"/>
                <w:szCs w:val="24"/>
                <w:highlight w:val="none"/>
                <w:lang w:val="en-US" w:eastAsia="zh-CN"/>
              </w:rPr>
              <w:t>mm）</w:t>
            </w:r>
            <w:r>
              <w:rPr>
                <w:rFonts w:hint="eastAsia" w:ascii="Times New Roman" w:hAnsi="Times New Roman" w:cs="Times New Roman" w:eastAsiaTheme="minorEastAsia"/>
                <w:b w:val="0"/>
                <w:bCs w:val="0"/>
                <w:color w:val="000000"/>
                <w:sz w:val="24"/>
                <w:szCs w:val="24"/>
                <w:highlight w:val="none"/>
                <w:lang w:val="en-US" w:eastAsia="zh-CN"/>
              </w:rPr>
              <w:t>，钢筋交叉处用支架钢筋支起，支架结点距地面70</w:t>
            </w:r>
            <w:r>
              <w:rPr>
                <w:rFonts w:hint="eastAsia" w:cs="Times New Roman" w:eastAsiaTheme="minorEastAsia"/>
                <w:b w:val="0"/>
                <w:bCs w:val="0"/>
                <w:color w:val="000000"/>
                <w:sz w:val="24"/>
                <w:szCs w:val="24"/>
                <w:highlight w:val="none"/>
                <w:lang w:val="en-US" w:eastAsia="zh-CN"/>
              </w:rPr>
              <w:t>mm</w:t>
            </w:r>
            <w:r>
              <w:rPr>
                <w:rFonts w:hint="eastAsia" w:ascii="Times New Roman" w:hAnsi="Times New Roman" w:cs="Times New Roman" w:eastAsiaTheme="minorEastAsia"/>
                <w:b w:val="0"/>
                <w:bCs w:val="0"/>
                <w:color w:val="000000"/>
                <w:sz w:val="24"/>
                <w:szCs w:val="24"/>
                <w:highlight w:val="none"/>
                <w:lang w:val="en-US" w:eastAsia="zh-CN"/>
              </w:rPr>
              <w:t>。制作锚杆参照执行《现浇网格生态护坡技术》5.10的规定。</w:t>
            </w:r>
          </w:p>
          <w:p w14:paraId="3CA0978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eastAsiaTheme="minorEastAsia"/>
                <w:b w:val="0"/>
                <w:bCs w:val="0"/>
                <w:color w:val="000000"/>
                <w:sz w:val="24"/>
                <w:szCs w:val="24"/>
                <w:highlight w:val="none"/>
                <w:lang w:val="en-US" w:eastAsia="zh-CN"/>
              </w:rPr>
            </w:pPr>
            <w:r>
              <w:rPr>
                <w:rFonts w:hint="eastAsia" w:cs="Times New Roman" w:eastAsiaTheme="minorEastAsia"/>
                <w:b w:val="0"/>
                <w:bCs w:val="0"/>
                <w:color w:val="000000"/>
                <w:sz w:val="24"/>
                <w:szCs w:val="24"/>
                <w:highlight w:val="none"/>
                <w:lang w:val="en-US" w:eastAsia="zh-CN"/>
              </w:rPr>
              <w:t>4）</w:t>
            </w:r>
            <w:r>
              <w:rPr>
                <w:rFonts w:hint="eastAsia" w:ascii="Times New Roman" w:hAnsi="Times New Roman" w:cs="Times New Roman" w:eastAsiaTheme="minorEastAsia"/>
                <w:b w:val="0"/>
                <w:bCs w:val="0"/>
                <w:color w:val="000000"/>
                <w:sz w:val="24"/>
                <w:szCs w:val="24"/>
                <w:highlight w:val="none"/>
                <w:lang w:val="en-US" w:eastAsia="zh-CN"/>
              </w:rPr>
              <w:t>安装模板：模板要求</w:t>
            </w:r>
            <w:r>
              <w:rPr>
                <w:rFonts w:hint="eastAsia" w:cs="Times New Roman" w:eastAsiaTheme="minorEastAsia"/>
                <w:b w:val="0"/>
                <w:bCs w:val="0"/>
                <w:color w:val="000000"/>
                <w:sz w:val="24"/>
                <w:szCs w:val="24"/>
                <w:highlight w:val="none"/>
                <w:lang w:val="en-US" w:eastAsia="zh-CN"/>
              </w:rPr>
              <w:t>：</w:t>
            </w:r>
            <w:r>
              <w:rPr>
                <w:rFonts w:hint="eastAsia" w:ascii="Times New Roman" w:hAnsi="Times New Roman" w:cs="Times New Roman" w:eastAsiaTheme="minorEastAsia"/>
                <w:b w:val="0"/>
                <w:bCs w:val="0"/>
                <w:color w:val="000000"/>
                <w:sz w:val="24"/>
                <w:szCs w:val="24"/>
                <w:highlight w:val="none"/>
                <w:lang w:val="en-US" w:eastAsia="zh-CN"/>
              </w:rPr>
              <w:t>模板的质量和规格参照执行《现浇网格生态护坡技术》3.3的规定。安装方法</w:t>
            </w:r>
            <w:r>
              <w:rPr>
                <w:rFonts w:hint="eastAsia" w:cs="Times New Roman" w:eastAsiaTheme="minorEastAsia"/>
                <w:b w:val="0"/>
                <w:bCs w:val="0"/>
                <w:color w:val="000000"/>
                <w:sz w:val="24"/>
                <w:szCs w:val="24"/>
                <w:highlight w:val="none"/>
                <w:lang w:val="en-US" w:eastAsia="zh-CN"/>
              </w:rPr>
              <w:t>：</w:t>
            </w:r>
            <w:r>
              <w:rPr>
                <w:rFonts w:hint="eastAsia" w:ascii="Times New Roman" w:hAnsi="Times New Roman" w:cs="Times New Roman" w:eastAsiaTheme="minorEastAsia"/>
                <w:b w:val="0"/>
                <w:bCs w:val="0"/>
                <w:color w:val="000000"/>
                <w:sz w:val="24"/>
                <w:szCs w:val="24"/>
                <w:highlight w:val="none"/>
                <w:lang w:val="en-US" w:eastAsia="zh-CN"/>
              </w:rPr>
              <w:t>按照铺设钢筋的方向将模板安装在钢筋上，多块模板紧密拼接成浇筑系统，模板与地面之间须平整接触不留空隙，模板上需用土袋等压实。一般以每组2排、每排拼接12</w:t>
            </w:r>
            <w:r>
              <w:rPr>
                <w:rFonts w:hint="eastAsia" w:cs="Times New Roman" w:eastAsiaTheme="minorEastAsia"/>
                <w:b w:val="0"/>
                <w:bCs w:val="0"/>
                <w:color w:val="000000"/>
                <w:sz w:val="24"/>
                <w:szCs w:val="24"/>
                <w:highlight w:val="none"/>
                <w:lang w:val="en-US" w:eastAsia="zh-CN"/>
              </w:rPr>
              <w:t>—</w:t>
            </w:r>
            <w:r>
              <w:rPr>
                <w:rFonts w:hint="eastAsia" w:ascii="Times New Roman" w:hAnsi="Times New Roman" w:cs="Times New Roman" w:eastAsiaTheme="minorEastAsia"/>
                <w:b w:val="0"/>
                <w:bCs w:val="0"/>
                <w:color w:val="000000"/>
                <w:sz w:val="24"/>
                <w:szCs w:val="24"/>
                <w:highlight w:val="none"/>
                <w:lang w:val="en-US" w:eastAsia="zh-CN"/>
              </w:rPr>
              <w:t>16块。</w:t>
            </w:r>
          </w:p>
          <w:p w14:paraId="09E352B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b w:val="0"/>
                <w:bCs w:val="0"/>
                <w:color w:val="000000"/>
                <w:sz w:val="24"/>
                <w:szCs w:val="24"/>
                <w:highlight w:val="none"/>
              </w:rPr>
            </w:pPr>
            <w:r>
              <w:rPr>
                <w:rFonts w:hint="eastAsia" w:cs="Times New Roman" w:eastAsiaTheme="minorEastAsia"/>
                <w:b w:val="0"/>
                <w:bCs w:val="0"/>
                <w:color w:val="000000"/>
                <w:sz w:val="24"/>
                <w:szCs w:val="24"/>
                <w:highlight w:val="none"/>
                <w:lang w:val="en-US" w:eastAsia="zh-CN"/>
              </w:rPr>
              <w:t>5）</w:t>
            </w:r>
            <w:r>
              <w:rPr>
                <w:rFonts w:hint="eastAsia" w:ascii="Times New Roman" w:hAnsi="Times New Roman" w:cs="Times New Roman" w:eastAsiaTheme="minorEastAsia"/>
                <w:b w:val="0"/>
                <w:bCs w:val="0"/>
                <w:color w:val="000000"/>
                <w:sz w:val="24"/>
                <w:szCs w:val="24"/>
                <w:highlight w:val="none"/>
                <w:lang w:val="en-US" w:eastAsia="zh-CN"/>
              </w:rPr>
              <w:t>浇筑混凝土：浇筑要求</w:t>
            </w:r>
            <w:r>
              <w:rPr>
                <w:rFonts w:hint="eastAsia" w:cs="Times New Roman" w:eastAsiaTheme="minorEastAsia"/>
                <w:b w:val="0"/>
                <w:bCs w:val="0"/>
                <w:color w:val="000000"/>
                <w:sz w:val="24"/>
                <w:szCs w:val="24"/>
                <w:highlight w:val="none"/>
                <w:lang w:val="en-US" w:eastAsia="zh-CN"/>
              </w:rPr>
              <w:t>：</w:t>
            </w:r>
            <w:r>
              <w:rPr>
                <w:rFonts w:hint="eastAsia" w:ascii="Times New Roman" w:hAnsi="Times New Roman" w:cs="Times New Roman" w:eastAsiaTheme="minorEastAsia"/>
                <w:b w:val="0"/>
                <w:bCs w:val="0"/>
                <w:color w:val="000000"/>
                <w:sz w:val="24"/>
                <w:szCs w:val="24"/>
                <w:highlight w:val="none"/>
                <w:lang w:val="en-US" w:eastAsia="zh-CN"/>
              </w:rPr>
              <w:t>浇筑采用的混凝土型号以具体边坡而定，混凝土型号执行国家相关质量标准。浇筑过程</w:t>
            </w:r>
            <w:r>
              <w:rPr>
                <w:rFonts w:hint="eastAsia" w:cs="Times New Roman" w:eastAsiaTheme="minorEastAsia"/>
                <w:b w:val="0"/>
                <w:bCs w:val="0"/>
                <w:color w:val="000000"/>
                <w:sz w:val="24"/>
                <w:szCs w:val="24"/>
                <w:highlight w:val="none"/>
                <w:lang w:val="en-US" w:eastAsia="zh-CN"/>
              </w:rPr>
              <w:t>：</w:t>
            </w:r>
            <w:r>
              <w:rPr>
                <w:rFonts w:hint="eastAsia" w:ascii="Times New Roman" w:hAnsi="Times New Roman" w:cs="Times New Roman" w:eastAsiaTheme="minorEastAsia"/>
                <w:b w:val="0"/>
                <w:bCs w:val="0"/>
                <w:color w:val="000000"/>
                <w:sz w:val="24"/>
                <w:szCs w:val="24"/>
                <w:highlight w:val="none"/>
                <w:lang w:val="en-US" w:eastAsia="zh-CN"/>
              </w:rPr>
              <w:t>用混凝土搅拌机搅拌</w:t>
            </w:r>
            <w:r>
              <w:rPr>
                <w:rFonts w:hint="eastAsia" w:cs="Times New Roman" w:eastAsiaTheme="minorEastAsia"/>
                <w:b w:val="0"/>
                <w:bCs w:val="0"/>
                <w:color w:val="000000"/>
                <w:sz w:val="24"/>
                <w:szCs w:val="24"/>
                <w:highlight w:val="none"/>
                <w:lang w:val="en-US" w:eastAsia="zh-CN"/>
              </w:rPr>
              <w:t>混凝土</w:t>
            </w:r>
            <w:r>
              <w:rPr>
                <w:rFonts w:hint="eastAsia" w:ascii="Times New Roman" w:hAnsi="Times New Roman" w:cs="Times New Roman" w:eastAsiaTheme="minorEastAsia"/>
                <w:b w:val="0"/>
                <w:bCs w:val="0"/>
                <w:color w:val="000000"/>
                <w:sz w:val="24"/>
                <w:szCs w:val="24"/>
                <w:highlight w:val="none"/>
                <w:lang w:val="en-US" w:eastAsia="zh-CN"/>
              </w:rPr>
              <w:t>，由混凝土输送泵通过混凝土浇筑机输送到模板浇铸口浇筑，然后用振动棒振实，待其终凝后，卸掉板，进行混凝土网格工程养护。网格养护</w:t>
            </w:r>
            <w:r>
              <w:rPr>
                <w:rFonts w:hint="eastAsia" w:cs="Times New Roman" w:eastAsiaTheme="minorEastAsia"/>
                <w:b w:val="0"/>
                <w:bCs w:val="0"/>
                <w:color w:val="000000"/>
                <w:sz w:val="24"/>
                <w:szCs w:val="24"/>
                <w:highlight w:val="none"/>
                <w:lang w:val="en-US" w:eastAsia="zh-CN"/>
              </w:rPr>
              <w:t>：混凝土浇筑</w:t>
            </w:r>
            <w:r>
              <w:rPr>
                <w:rFonts w:hint="eastAsia" w:ascii="Times New Roman" w:hAnsi="Times New Roman" w:cs="Times New Roman" w:eastAsiaTheme="minorEastAsia"/>
                <w:b w:val="0"/>
                <w:bCs w:val="0"/>
                <w:color w:val="000000"/>
                <w:sz w:val="24"/>
                <w:szCs w:val="24"/>
                <w:highlight w:val="none"/>
                <w:lang w:val="en-US" w:eastAsia="zh-CN"/>
              </w:rPr>
              <w:t>6</w:t>
            </w:r>
            <w:r>
              <w:rPr>
                <w:rFonts w:hint="eastAsia" w:cs="Times New Roman" w:eastAsiaTheme="minorEastAsia"/>
                <w:b w:val="0"/>
                <w:bCs w:val="0"/>
                <w:color w:val="000000"/>
                <w:sz w:val="24"/>
                <w:szCs w:val="24"/>
                <w:highlight w:val="none"/>
                <w:lang w:val="en-US" w:eastAsia="zh-CN"/>
              </w:rPr>
              <w:t>—</w:t>
            </w:r>
            <w:r>
              <w:rPr>
                <w:rFonts w:hint="eastAsia" w:ascii="Times New Roman" w:hAnsi="Times New Roman" w:cs="Times New Roman" w:eastAsiaTheme="minorEastAsia"/>
                <w:b w:val="0"/>
                <w:bCs w:val="0"/>
                <w:color w:val="000000"/>
                <w:sz w:val="24"/>
                <w:szCs w:val="24"/>
                <w:highlight w:val="none"/>
                <w:lang w:val="en-US" w:eastAsia="zh-CN"/>
              </w:rPr>
              <w:t>10</w:t>
            </w:r>
            <w:r>
              <w:rPr>
                <w:rFonts w:hint="eastAsia" w:cs="Times New Roman" w:eastAsiaTheme="minorEastAsia"/>
                <w:b w:val="0"/>
                <w:bCs w:val="0"/>
                <w:color w:val="000000"/>
                <w:sz w:val="24"/>
                <w:szCs w:val="24"/>
                <w:highlight w:val="none"/>
                <w:lang w:val="en-US" w:eastAsia="zh-CN"/>
              </w:rPr>
              <w:t>h</w:t>
            </w:r>
            <w:r>
              <w:rPr>
                <w:rFonts w:hint="eastAsia" w:ascii="Times New Roman" w:hAnsi="Times New Roman" w:cs="Times New Roman" w:eastAsiaTheme="minorEastAsia"/>
                <w:b w:val="0"/>
                <w:bCs w:val="0"/>
                <w:color w:val="000000"/>
                <w:sz w:val="24"/>
                <w:szCs w:val="24"/>
                <w:highlight w:val="none"/>
                <w:lang w:val="en-US" w:eastAsia="zh-CN"/>
              </w:rPr>
              <w:t>后可拆除模板，一般养护3</w:t>
            </w:r>
            <w:r>
              <w:rPr>
                <w:rFonts w:hint="eastAsia" w:cs="Times New Roman" w:eastAsiaTheme="minorEastAsia"/>
                <w:b w:val="0"/>
                <w:bCs w:val="0"/>
                <w:color w:val="000000"/>
                <w:sz w:val="24"/>
                <w:szCs w:val="24"/>
                <w:highlight w:val="none"/>
                <w:lang w:val="en-US" w:eastAsia="zh-CN"/>
              </w:rPr>
              <w:t>—</w:t>
            </w:r>
            <w:r>
              <w:rPr>
                <w:rFonts w:hint="eastAsia" w:ascii="Times New Roman" w:hAnsi="Times New Roman" w:cs="Times New Roman" w:eastAsiaTheme="minorEastAsia"/>
                <w:b w:val="0"/>
                <w:bCs w:val="0"/>
                <w:color w:val="000000"/>
                <w:sz w:val="24"/>
                <w:szCs w:val="24"/>
                <w:highlight w:val="none"/>
                <w:lang w:val="en-US" w:eastAsia="zh-CN"/>
              </w:rPr>
              <w:t>4天。</w:t>
            </w:r>
          </w:p>
          <w:p w14:paraId="6823E2D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eastAsiaTheme="minorEastAsia"/>
                <w:b/>
                <w:bCs/>
                <w:color w:val="000000"/>
                <w:sz w:val="24"/>
                <w:szCs w:val="24"/>
                <w:highlight w:val="none"/>
              </w:rPr>
            </w:pPr>
            <w:r>
              <w:rPr>
                <w:rFonts w:hint="eastAsia" w:cs="Times New Roman" w:eastAsiaTheme="minorEastAsia"/>
                <w:b/>
                <w:bCs/>
                <w:color w:val="000000"/>
                <w:sz w:val="24"/>
                <w:szCs w:val="24"/>
                <w:highlight w:val="none"/>
                <w:lang w:val="en-US" w:eastAsia="zh-CN"/>
              </w:rPr>
              <w:t>1</w:t>
            </w:r>
            <w:r>
              <w:rPr>
                <w:rFonts w:hint="eastAsia" w:ascii="Times New Roman" w:hAnsi="Times New Roman" w:cs="Times New Roman" w:eastAsiaTheme="minorEastAsia"/>
                <w:b/>
                <w:bCs/>
                <w:color w:val="000000"/>
                <w:sz w:val="24"/>
                <w:szCs w:val="24"/>
                <w:highlight w:val="none"/>
                <w:lang w:val="en-US" w:eastAsia="zh-CN"/>
              </w:rPr>
              <w:t>.</w:t>
            </w:r>
            <w:r>
              <w:rPr>
                <w:rFonts w:hint="default" w:ascii="Times New Roman" w:hAnsi="Times New Roman" w:cs="Times New Roman" w:eastAsiaTheme="minorEastAsia"/>
                <w:b/>
                <w:bCs/>
                <w:color w:val="000000"/>
                <w:sz w:val="24"/>
                <w:szCs w:val="24"/>
                <w:highlight w:val="none"/>
              </w:rPr>
              <w:t>3 新建排水暗涵工程</w:t>
            </w:r>
          </w:p>
          <w:p w14:paraId="449CA24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b w:val="0"/>
                <w:bCs w:val="0"/>
                <w:color w:val="000000"/>
                <w:sz w:val="24"/>
                <w:szCs w:val="24"/>
                <w:highlight w:val="none"/>
              </w:rPr>
            </w:pPr>
            <w:r>
              <w:rPr>
                <w:rFonts w:hint="eastAsia" w:cs="Times New Roman" w:eastAsiaTheme="minorEastAsia"/>
                <w:b w:val="0"/>
                <w:bCs w:val="0"/>
                <w:color w:val="000000"/>
                <w:sz w:val="24"/>
                <w:szCs w:val="24"/>
                <w:highlight w:val="none"/>
                <w:lang w:val="en-US" w:eastAsia="zh-CN"/>
              </w:rPr>
              <w:t>（1）</w:t>
            </w:r>
            <w:r>
              <w:rPr>
                <w:rFonts w:hint="default" w:ascii="Times New Roman" w:hAnsi="Times New Roman" w:cs="Times New Roman" w:eastAsiaTheme="minorEastAsia"/>
                <w:b w:val="0"/>
                <w:bCs w:val="0"/>
                <w:color w:val="000000"/>
                <w:sz w:val="24"/>
                <w:szCs w:val="24"/>
                <w:highlight w:val="none"/>
              </w:rPr>
              <w:t>施工准备：在施工前，根据施工图纸和预先开挖的情况，考虑一定的开挖坡度和开挖深度，将开挖范围撒上灰线确定。</w:t>
            </w:r>
          </w:p>
          <w:p w14:paraId="0CEB7F8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b w:val="0"/>
                <w:bCs w:val="0"/>
                <w:color w:val="000000"/>
                <w:sz w:val="24"/>
                <w:szCs w:val="24"/>
                <w:highlight w:val="none"/>
              </w:rPr>
            </w:pPr>
            <w:r>
              <w:rPr>
                <w:rFonts w:hint="eastAsia" w:cs="Times New Roman" w:eastAsiaTheme="minorEastAsia"/>
                <w:b w:val="0"/>
                <w:bCs w:val="0"/>
                <w:color w:val="000000"/>
                <w:sz w:val="24"/>
                <w:szCs w:val="24"/>
                <w:highlight w:val="none"/>
                <w:lang w:eastAsia="zh-CN"/>
              </w:rPr>
              <w:t>（</w:t>
            </w:r>
            <w:r>
              <w:rPr>
                <w:rFonts w:hint="eastAsia" w:cs="Times New Roman" w:eastAsiaTheme="minorEastAsia"/>
                <w:b w:val="0"/>
                <w:bCs w:val="0"/>
                <w:color w:val="000000"/>
                <w:sz w:val="24"/>
                <w:szCs w:val="24"/>
                <w:highlight w:val="none"/>
                <w:lang w:val="en-US" w:eastAsia="zh-CN"/>
              </w:rPr>
              <w:t>2</w:t>
            </w:r>
            <w:r>
              <w:rPr>
                <w:rFonts w:hint="eastAsia" w:cs="Times New Roman" w:eastAsiaTheme="minorEastAsia"/>
                <w:b w:val="0"/>
                <w:bCs w:val="0"/>
                <w:color w:val="000000"/>
                <w:sz w:val="24"/>
                <w:szCs w:val="24"/>
                <w:highlight w:val="none"/>
                <w:lang w:eastAsia="zh-CN"/>
              </w:rPr>
              <w:t>）</w:t>
            </w:r>
            <w:r>
              <w:rPr>
                <w:rFonts w:hint="default" w:ascii="Times New Roman" w:hAnsi="Times New Roman" w:cs="Times New Roman" w:eastAsiaTheme="minorEastAsia"/>
                <w:b w:val="0"/>
                <w:bCs w:val="0"/>
                <w:color w:val="000000"/>
                <w:sz w:val="24"/>
                <w:szCs w:val="24"/>
                <w:highlight w:val="none"/>
              </w:rPr>
              <w:t>开挖</w:t>
            </w:r>
            <w:r>
              <w:rPr>
                <w:rFonts w:hint="eastAsia" w:cs="Times New Roman" w:eastAsiaTheme="minorEastAsia"/>
                <w:b w:val="0"/>
                <w:bCs w:val="0"/>
                <w:color w:val="000000"/>
                <w:sz w:val="24"/>
                <w:szCs w:val="24"/>
                <w:highlight w:val="none"/>
                <w:lang w:eastAsia="zh-CN"/>
              </w:rPr>
              <w:t>：</w:t>
            </w:r>
            <w:r>
              <w:rPr>
                <w:rFonts w:hint="default" w:ascii="Times New Roman" w:hAnsi="Times New Roman" w:cs="Times New Roman" w:eastAsiaTheme="minorEastAsia"/>
                <w:b w:val="0"/>
                <w:bCs w:val="0"/>
                <w:color w:val="000000"/>
                <w:sz w:val="24"/>
                <w:szCs w:val="24"/>
                <w:highlight w:val="none"/>
              </w:rPr>
              <w:t>根据提前勘探的情况和现有场地标高，开挖深度预计约2</w:t>
            </w:r>
            <w:r>
              <w:rPr>
                <w:rFonts w:hint="eastAsia" w:cs="Times New Roman" w:eastAsiaTheme="minorEastAsia"/>
                <w:b w:val="0"/>
                <w:bCs w:val="0"/>
                <w:color w:val="000000"/>
                <w:sz w:val="24"/>
                <w:szCs w:val="24"/>
                <w:highlight w:val="none"/>
                <w:lang w:eastAsia="zh-CN"/>
              </w:rPr>
              <w:t>—</w:t>
            </w:r>
            <w:r>
              <w:rPr>
                <w:rFonts w:hint="default" w:ascii="Times New Roman" w:hAnsi="Times New Roman" w:cs="Times New Roman" w:eastAsiaTheme="minorEastAsia"/>
                <w:b w:val="0"/>
                <w:bCs w:val="0"/>
                <w:color w:val="000000"/>
                <w:sz w:val="24"/>
                <w:szCs w:val="24"/>
                <w:highlight w:val="none"/>
              </w:rPr>
              <w:t>3米，结合土质情况，开挖后可能向基坑内挤压，使基坑缩小，考虑一定的超挖宽度，每侧1米。开挖时边坡按1</w:t>
            </w:r>
            <w:r>
              <w:rPr>
                <w:rFonts w:hint="eastAsia" w:cs="Times New Roman" w:eastAsiaTheme="minorEastAsia"/>
                <w:b w:val="0"/>
                <w:bCs w:val="0"/>
                <w:color w:val="000000"/>
                <w:sz w:val="24"/>
                <w:szCs w:val="24"/>
                <w:highlight w:val="none"/>
                <w:lang w:val="en-US" w:eastAsia="zh-CN"/>
              </w:rPr>
              <w:t>:</w:t>
            </w:r>
            <w:r>
              <w:rPr>
                <w:rFonts w:hint="default" w:ascii="Times New Roman" w:hAnsi="Times New Roman" w:cs="Times New Roman" w:eastAsiaTheme="minorEastAsia"/>
                <w:b w:val="0"/>
                <w:bCs w:val="0"/>
                <w:color w:val="000000"/>
                <w:sz w:val="24"/>
                <w:szCs w:val="24"/>
                <w:highlight w:val="none"/>
              </w:rPr>
              <w:t>1放坡。</w:t>
            </w:r>
          </w:p>
          <w:p w14:paraId="15FD936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b w:val="0"/>
                <w:bCs w:val="0"/>
                <w:color w:val="000000"/>
                <w:sz w:val="24"/>
                <w:szCs w:val="24"/>
                <w:highlight w:val="none"/>
              </w:rPr>
            </w:pPr>
            <w:r>
              <w:rPr>
                <w:rFonts w:hint="eastAsia" w:cs="Times New Roman" w:eastAsiaTheme="minorEastAsia"/>
                <w:b w:val="0"/>
                <w:bCs w:val="0"/>
                <w:color w:val="000000"/>
                <w:sz w:val="24"/>
                <w:szCs w:val="24"/>
                <w:highlight w:val="none"/>
                <w:lang w:eastAsia="zh-CN"/>
              </w:rPr>
              <w:t>（</w:t>
            </w:r>
            <w:r>
              <w:rPr>
                <w:rFonts w:hint="eastAsia" w:cs="Times New Roman" w:eastAsiaTheme="minorEastAsia"/>
                <w:b w:val="0"/>
                <w:bCs w:val="0"/>
                <w:color w:val="000000"/>
                <w:sz w:val="24"/>
                <w:szCs w:val="24"/>
                <w:highlight w:val="none"/>
                <w:lang w:val="en-US" w:eastAsia="zh-CN"/>
              </w:rPr>
              <w:t>3</w:t>
            </w:r>
            <w:r>
              <w:rPr>
                <w:rFonts w:hint="eastAsia" w:cs="Times New Roman" w:eastAsiaTheme="minorEastAsia"/>
                <w:b w:val="0"/>
                <w:bCs w:val="0"/>
                <w:color w:val="000000"/>
                <w:sz w:val="24"/>
                <w:szCs w:val="24"/>
                <w:highlight w:val="none"/>
                <w:lang w:eastAsia="zh-CN"/>
              </w:rPr>
              <w:t>）</w:t>
            </w:r>
            <w:r>
              <w:rPr>
                <w:rFonts w:hint="default" w:ascii="Times New Roman" w:hAnsi="Times New Roman" w:cs="Times New Roman" w:eastAsiaTheme="minorEastAsia"/>
                <w:b w:val="0"/>
                <w:bCs w:val="0"/>
                <w:color w:val="000000"/>
                <w:sz w:val="24"/>
                <w:szCs w:val="24"/>
                <w:highlight w:val="none"/>
              </w:rPr>
              <w:t>基坑验槽</w:t>
            </w:r>
            <w:r>
              <w:rPr>
                <w:rFonts w:hint="eastAsia" w:cs="Times New Roman" w:eastAsiaTheme="minorEastAsia"/>
                <w:b w:val="0"/>
                <w:bCs w:val="0"/>
                <w:color w:val="000000"/>
                <w:sz w:val="24"/>
                <w:szCs w:val="24"/>
                <w:highlight w:val="none"/>
                <w:lang w:eastAsia="zh-CN"/>
              </w:rPr>
              <w:t>：</w:t>
            </w:r>
            <w:r>
              <w:rPr>
                <w:rFonts w:hint="default" w:ascii="Times New Roman" w:hAnsi="Times New Roman" w:cs="Times New Roman" w:eastAsiaTheme="minorEastAsia"/>
                <w:b w:val="0"/>
                <w:bCs w:val="0"/>
                <w:color w:val="000000"/>
                <w:sz w:val="24"/>
                <w:szCs w:val="24"/>
                <w:highlight w:val="none"/>
              </w:rPr>
              <w:t>开挖到位后，人工去除表面残留土层。邀请设计院、建设单位、监理单位到现场四方验槽。</w:t>
            </w:r>
          </w:p>
          <w:p w14:paraId="1F19CC9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b w:val="0"/>
                <w:bCs w:val="0"/>
                <w:color w:val="000000"/>
                <w:sz w:val="24"/>
                <w:szCs w:val="24"/>
                <w:highlight w:val="none"/>
              </w:rPr>
            </w:pPr>
            <w:r>
              <w:rPr>
                <w:rFonts w:hint="eastAsia" w:cs="Times New Roman" w:eastAsiaTheme="minorEastAsia"/>
                <w:b w:val="0"/>
                <w:bCs w:val="0"/>
                <w:color w:val="000000"/>
                <w:sz w:val="24"/>
                <w:szCs w:val="24"/>
                <w:highlight w:val="none"/>
                <w:lang w:eastAsia="zh-CN"/>
              </w:rPr>
              <w:t>（</w:t>
            </w:r>
            <w:r>
              <w:rPr>
                <w:rFonts w:hint="eastAsia" w:cs="Times New Roman" w:eastAsiaTheme="minorEastAsia"/>
                <w:b w:val="0"/>
                <w:bCs w:val="0"/>
                <w:color w:val="000000"/>
                <w:sz w:val="24"/>
                <w:szCs w:val="24"/>
                <w:highlight w:val="none"/>
                <w:lang w:val="en-US" w:eastAsia="zh-CN"/>
              </w:rPr>
              <w:t>4</w:t>
            </w:r>
            <w:r>
              <w:rPr>
                <w:rFonts w:hint="eastAsia" w:cs="Times New Roman" w:eastAsiaTheme="minorEastAsia"/>
                <w:b w:val="0"/>
                <w:bCs w:val="0"/>
                <w:color w:val="000000"/>
                <w:sz w:val="24"/>
                <w:szCs w:val="24"/>
                <w:highlight w:val="none"/>
                <w:lang w:eastAsia="zh-CN"/>
              </w:rPr>
              <w:t>）</w:t>
            </w:r>
            <w:r>
              <w:rPr>
                <w:rFonts w:hint="default" w:ascii="Times New Roman" w:hAnsi="Times New Roman" w:cs="Times New Roman" w:eastAsiaTheme="minorEastAsia"/>
                <w:b w:val="0"/>
                <w:bCs w:val="0"/>
                <w:color w:val="000000"/>
                <w:sz w:val="24"/>
                <w:szCs w:val="24"/>
                <w:highlight w:val="none"/>
              </w:rPr>
              <w:t>放置直径1.5米混凝土管道，进行连接和固定。</w:t>
            </w:r>
          </w:p>
          <w:p w14:paraId="713A9C1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b w:val="0"/>
                <w:bCs w:val="0"/>
                <w:color w:val="000000"/>
                <w:sz w:val="24"/>
                <w:szCs w:val="24"/>
                <w:highlight w:val="none"/>
              </w:rPr>
            </w:pPr>
            <w:r>
              <w:rPr>
                <w:rFonts w:hint="eastAsia" w:cs="Times New Roman" w:eastAsiaTheme="minorEastAsia"/>
                <w:b w:val="0"/>
                <w:bCs w:val="0"/>
                <w:color w:val="000000"/>
                <w:sz w:val="24"/>
                <w:szCs w:val="24"/>
                <w:highlight w:val="none"/>
                <w:lang w:eastAsia="zh-CN"/>
              </w:rPr>
              <w:t>（</w:t>
            </w:r>
            <w:r>
              <w:rPr>
                <w:rFonts w:hint="eastAsia" w:cs="Times New Roman" w:eastAsiaTheme="minorEastAsia"/>
                <w:b w:val="0"/>
                <w:bCs w:val="0"/>
                <w:color w:val="000000"/>
                <w:sz w:val="24"/>
                <w:szCs w:val="24"/>
                <w:highlight w:val="none"/>
                <w:lang w:val="en-US" w:eastAsia="zh-CN"/>
              </w:rPr>
              <w:t>5</w:t>
            </w:r>
            <w:r>
              <w:rPr>
                <w:rFonts w:hint="eastAsia" w:cs="Times New Roman" w:eastAsiaTheme="minorEastAsia"/>
                <w:b w:val="0"/>
                <w:bCs w:val="0"/>
                <w:color w:val="000000"/>
                <w:sz w:val="24"/>
                <w:szCs w:val="24"/>
                <w:highlight w:val="none"/>
                <w:lang w:eastAsia="zh-CN"/>
              </w:rPr>
              <w:t>）</w:t>
            </w:r>
            <w:r>
              <w:rPr>
                <w:rFonts w:hint="default" w:ascii="Times New Roman" w:hAnsi="Times New Roman" w:cs="Times New Roman" w:eastAsiaTheme="minorEastAsia"/>
                <w:b w:val="0"/>
                <w:bCs w:val="0"/>
                <w:color w:val="000000"/>
                <w:sz w:val="24"/>
                <w:szCs w:val="24"/>
                <w:highlight w:val="none"/>
              </w:rPr>
              <w:t>回填，并按照计划铺路或恢复成耕地。</w:t>
            </w:r>
          </w:p>
          <w:p w14:paraId="5EF6182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val="0"/>
                <w:bCs w:val="0"/>
                <w:color w:val="000000"/>
                <w:sz w:val="24"/>
                <w:szCs w:val="24"/>
                <w:highlight w:val="none"/>
                <w:lang w:eastAsia="zh-CN"/>
              </w:rPr>
            </w:pPr>
            <w:r>
              <w:rPr>
                <w:rFonts w:hint="eastAsia" w:cs="Times New Roman" w:eastAsiaTheme="minorEastAsia"/>
                <w:b/>
                <w:bCs/>
                <w:color w:val="000000"/>
                <w:sz w:val="24"/>
                <w:szCs w:val="24"/>
                <w:highlight w:val="none"/>
                <w:lang w:val="en-US" w:eastAsia="zh-CN"/>
              </w:rPr>
              <w:t>1.4其他工程</w:t>
            </w:r>
          </w:p>
          <w:p w14:paraId="7AE8677C">
            <w:pPr>
              <w:pStyle w:val="12"/>
              <w:keepNext w:val="0"/>
              <w:keepLines w:val="0"/>
              <w:pageBreakBefore w:val="0"/>
              <w:widowControl w:val="0"/>
              <w:kinsoku/>
              <w:wordWrap w:val="0"/>
              <w:overflowPunct/>
              <w:topLinePunct w:val="0"/>
              <w:autoSpaceDE/>
              <w:autoSpaceDN/>
              <w:bidi w:val="0"/>
              <w:adjustRightInd/>
              <w:snapToGrid w:val="0"/>
              <w:spacing w:line="360" w:lineRule="auto"/>
              <w:ind w:firstLine="480" w:firstLineChars="200"/>
              <w:textAlignment w:val="auto"/>
              <w:rPr>
                <w:rFonts w:hint="eastAsia" w:ascii="Times New Roman" w:hAnsi="Times New Roman" w:eastAsia="宋体" w:cs="Times New Roman"/>
                <w:b w:val="0"/>
                <w:bCs w:val="0"/>
                <w:color w:val="000000"/>
                <w:sz w:val="24"/>
                <w:szCs w:val="24"/>
                <w:highlight w:val="none"/>
                <w:lang w:val="en-US" w:eastAsia="zh-CN"/>
              </w:rPr>
            </w:pPr>
            <w:r>
              <w:rPr>
                <w:rFonts w:hint="eastAsia" w:ascii="Times New Roman" w:hAnsi="Times New Roman" w:eastAsia="宋体" w:cs="Times New Roman"/>
                <w:b w:val="0"/>
                <w:bCs w:val="0"/>
                <w:color w:val="000000"/>
                <w:sz w:val="24"/>
                <w:szCs w:val="24"/>
                <w:highlight w:val="none"/>
                <w:lang w:val="en-US" w:eastAsia="zh-CN"/>
              </w:rPr>
              <w:t>（</w:t>
            </w:r>
            <w:r>
              <w:rPr>
                <w:rFonts w:hint="eastAsia" w:cs="Times New Roman"/>
                <w:b w:val="0"/>
                <w:bCs w:val="0"/>
                <w:color w:val="000000"/>
                <w:sz w:val="24"/>
                <w:szCs w:val="24"/>
                <w:highlight w:val="none"/>
                <w:lang w:val="en-US" w:eastAsia="zh-CN"/>
              </w:rPr>
              <w:t>1</w:t>
            </w:r>
            <w:r>
              <w:rPr>
                <w:rFonts w:hint="eastAsia" w:ascii="Times New Roman" w:hAnsi="Times New Roman" w:eastAsia="宋体" w:cs="Times New Roman"/>
                <w:b w:val="0"/>
                <w:bCs w:val="0"/>
                <w:color w:val="000000"/>
                <w:sz w:val="24"/>
                <w:szCs w:val="24"/>
                <w:highlight w:val="none"/>
                <w:lang w:val="en-US" w:eastAsia="zh-CN"/>
              </w:rPr>
              <w:t>）路面恢复：</w:t>
            </w:r>
            <w:r>
              <w:rPr>
                <w:rFonts w:hint="default" w:ascii="Times New Roman" w:hAnsi="Times New Roman" w:eastAsia="宋体" w:cs="Times New Roman"/>
                <w:b w:val="0"/>
                <w:bCs w:val="0"/>
                <w:color w:val="000000"/>
                <w:sz w:val="24"/>
                <w:szCs w:val="24"/>
                <w:highlight w:val="none"/>
                <w:lang w:val="en-US" w:eastAsia="zh-CN"/>
              </w:rPr>
              <w:t>本项目开挖道路原路面结构、恢复路面结构均采用混凝土路面，路面做法：C25混凝土面层220</w:t>
            </w:r>
            <w:r>
              <w:rPr>
                <w:rFonts w:hint="eastAsia" w:cs="Times New Roman"/>
                <w:b w:val="0"/>
                <w:bCs w:val="0"/>
                <w:color w:val="000000"/>
                <w:sz w:val="24"/>
                <w:szCs w:val="24"/>
                <w:highlight w:val="none"/>
                <w:lang w:val="en-US" w:eastAsia="zh-CN"/>
              </w:rPr>
              <w:t>mm</w:t>
            </w:r>
            <w:r>
              <w:rPr>
                <w:rFonts w:hint="eastAsia" w:ascii="Times New Roman" w:hAnsi="Times New Roman" w:eastAsia="宋体" w:cs="Times New Roman"/>
                <w:b w:val="0"/>
                <w:bCs w:val="0"/>
                <w:color w:val="000000"/>
                <w:sz w:val="24"/>
                <w:szCs w:val="24"/>
                <w:highlight w:val="none"/>
                <w:lang w:val="en-US" w:eastAsia="zh-CN"/>
              </w:rPr>
              <w:t>、</w:t>
            </w:r>
            <w:r>
              <w:rPr>
                <w:rFonts w:hint="default" w:ascii="Times New Roman" w:hAnsi="Times New Roman" w:eastAsia="宋体" w:cs="Times New Roman"/>
                <w:b w:val="0"/>
                <w:bCs w:val="0"/>
                <w:color w:val="000000"/>
                <w:sz w:val="24"/>
                <w:szCs w:val="24"/>
                <w:highlight w:val="none"/>
                <w:lang w:val="en-US" w:eastAsia="zh-CN"/>
              </w:rPr>
              <w:t>25</w:t>
            </w:r>
            <w:r>
              <w:rPr>
                <w:rFonts w:hint="eastAsia" w:cs="Times New Roman"/>
                <w:b w:val="0"/>
                <w:bCs w:val="0"/>
                <w:color w:val="000000"/>
                <w:sz w:val="24"/>
                <w:szCs w:val="24"/>
                <w:highlight w:val="none"/>
                <w:lang w:val="en-US" w:eastAsia="zh-CN"/>
              </w:rPr>
              <w:t>mm</w:t>
            </w:r>
            <w:r>
              <w:rPr>
                <w:rFonts w:hint="eastAsia" w:ascii="Times New Roman" w:hAnsi="Times New Roman" w:eastAsia="宋体" w:cs="Times New Roman"/>
                <w:b w:val="0"/>
                <w:bCs w:val="0"/>
                <w:color w:val="000000"/>
                <w:sz w:val="24"/>
                <w:szCs w:val="24"/>
                <w:highlight w:val="none"/>
                <w:lang w:val="en-US" w:eastAsia="zh-CN"/>
              </w:rPr>
              <w:t>厚粗砂、</w:t>
            </w:r>
            <w:r>
              <w:rPr>
                <w:rFonts w:hint="default" w:ascii="Times New Roman" w:hAnsi="Times New Roman" w:eastAsia="宋体" w:cs="Times New Roman"/>
                <w:b w:val="0"/>
                <w:bCs w:val="0"/>
                <w:color w:val="000000"/>
                <w:sz w:val="24"/>
                <w:szCs w:val="24"/>
                <w:highlight w:val="none"/>
                <w:lang w:val="en-US" w:eastAsia="zh-CN"/>
              </w:rPr>
              <w:t>300</w:t>
            </w:r>
            <w:r>
              <w:rPr>
                <w:rFonts w:hint="eastAsia" w:cs="Times New Roman"/>
                <w:b w:val="0"/>
                <w:bCs w:val="0"/>
                <w:color w:val="000000"/>
                <w:sz w:val="24"/>
                <w:szCs w:val="24"/>
                <w:highlight w:val="none"/>
                <w:lang w:val="en-US" w:eastAsia="zh-CN"/>
              </w:rPr>
              <w:t>mm</w:t>
            </w:r>
            <w:r>
              <w:rPr>
                <w:rFonts w:hint="eastAsia" w:ascii="Times New Roman" w:hAnsi="Times New Roman" w:eastAsia="宋体" w:cs="Times New Roman"/>
                <w:b w:val="0"/>
                <w:bCs w:val="0"/>
                <w:color w:val="000000"/>
                <w:sz w:val="24"/>
                <w:szCs w:val="24"/>
                <w:highlight w:val="none"/>
                <w:lang w:val="en-US" w:eastAsia="zh-CN"/>
              </w:rPr>
              <w:t>厚级配砂石、素土夯实。混凝土路面纵、横向伸缩缝问距为</w:t>
            </w:r>
            <w:r>
              <w:rPr>
                <w:rFonts w:hint="default" w:ascii="Times New Roman" w:hAnsi="Times New Roman" w:eastAsia="宋体" w:cs="Times New Roman"/>
                <w:b w:val="0"/>
                <w:bCs w:val="0"/>
                <w:color w:val="000000"/>
                <w:sz w:val="24"/>
                <w:szCs w:val="24"/>
                <w:highlight w:val="none"/>
                <w:lang w:val="en-US" w:eastAsia="zh-CN"/>
              </w:rPr>
              <w:t>3-6</w:t>
            </w:r>
            <w:r>
              <w:rPr>
                <w:rFonts w:hint="eastAsia" w:cs="Times New Roman"/>
                <w:b w:val="0"/>
                <w:bCs w:val="0"/>
                <w:color w:val="000000"/>
                <w:sz w:val="24"/>
                <w:szCs w:val="24"/>
                <w:highlight w:val="none"/>
                <w:lang w:val="en-US" w:eastAsia="zh-CN"/>
              </w:rPr>
              <w:t>m</w:t>
            </w:r>
            <w:r>
              <w:rPr>
                <w:rFonts w:hint="eastAsia" w:ascii="Times New Roman" w:hAnsi="Times New Roman" w:eastAsia="宋体" w:cs="Times New Roman"/>
                <w:b w:val="0"/>
                <w:bCs w:val="0"/>
                <w:color w:val="000000"/>
                <w:sz w:val="24"/>
                <w:szCs w:val="24"/>
                <w:highlight w:val="none"/>
                <w:lang w:val="en-US" w:eastAsia="zh-CN"/>
              </w:rPr>
              <w:t>，缝宽</w:t>
            </w:r>
            <w:r>
              <w:rPr>
                <w:rFonts w:hint="default" w:ascii="Times New Roman" w:hAnsi="Times New Roman" w:eastAsia="宋体" w:cs="Times New Roman"/>
                <w:b w:val="0"/>
                <w:bCs w:val="0"/>
                <w:color w:val="000000"/>
                <w:sz w:val="24"/>
                <w:szCs w:val="24"/>
                <w:highlight w:val="none"/>
                <w:lang w:val="en-US" w:eastAsia="zh-CN"/>
              </w:rPr>
              <w:t>20~30</w:t>
            </w:r>
            <w:r>
              <w:rPr>
                <w:rFonts w:hint="eastAsia" w:cs="Times New Roman"/>
                <w:b w:val="0"/>
                <w:bCs w:val="0"/>
                <w:color w:val="000000"/>
                <w:sz w:val="24"/>
                <w:szCs w:val="24"/>
                <w:highlight w:val="none"/>
                <w:lang w:val="en-US" w:eastAsia="zh-CN"/>
              </w:rPr>
              <w:t>mm</w:t>
            </w:r>
            <w:r>
              <w:rPr>
                <w:rFonts w:hint="eastAsia" w:ascii="Times New Roman" w:hAnsi="Times New Roman" w:eastAsia="宋体" w:cs="Times New Roman"/>
                <w:b w:val="0"/>
                <w:bCs w:val="0"/>
                <w:color w:val="000000"/>
                <w:sz w:val="24"/>
                <w:szCs w:val="24"/>
                <w:highlight w:val="none"/>
                <w:lang w:val="en-US" w:eastAsia="zh-CN"/>
              </w:rPr>
              <w:t>，缝内填沥青类材料；路面宽度、坡度及道牙等均按单项工程设计；路基应根据单项工程竖向设计的坡度与标高，平整地面、碾压密实或夯实，压实系数</w:t>
            </w:r>
            <w:r>
              <w:rPr>
                <w:rFonts w:hint="default" w:ascii="Times New Roman" w:hAnsi="Times New Roman" w:eastAsia="宋体" w:cs="Times New Roman"/>
                <w:b w:val="0"/>
                <w:bCs w:val="0"/>
                <w:color w:val="000000"/>
                <w:sz w:val="24"/>
                <w:szCs w:val="24"/>
                <w:highlight w:val="none"/>
                <w:lang w:val="en-US" w:eastAsia="zh-CN"/>
              </w:rPr>
              <w:t>&gt;0.98</w:t>
            </w:r>
            <w:r>
              <w:rPr>
                <w:rFonts w:hint="eastAsia" w:cs="Times New Roman"/>
                <w:b w:val="0"/>
                <w:bCs w:val="0"/>
                <w:color w:val="000000"/>
                <w:sz w:val="24"/>
                <w:szCs w:val="24"/>
                <w:highlight w:val="none"/>
                <w:lang w:val="en-US" w:eastAsia="zh-CN"/>
              </w:rPr>
              <w:t>（</w:t>
            </w:r>
            <w:r>
              <w:rPr>
                <w:rFonts w:hint="eastAsia" w:ascii="Times New Roman" w:hAnsi="Times New Roman" w:eastAsia="宋体" w:cs="Times New Roman"/>
                <w:b w:val="0"/>
                <w:bCs w:val="0"/>
                <w:color w:val="000000"/>
                <w:sz w:val="24"/>
                <w:szCs w:val="24"/>
                <w:highlight w:val="none"/>
                <w:lang w:val="en-US" w:eastAsia="zh-CN"/>
              </w:rPr>
              <w:t>环刀取样</w:t>
            </w:r>
            <w:r>
              <w:rPr>
                <w:rFonts w:hint="eastAsia" w:cs="Times New Roman"/>
                <w:b w:val="0"/>
                <w:bCs w:val="0"/>
                <w:color w:val="000000"/>
                <w:sz w:val="24"/>
                <w:szCs w:val="24"/>
                <w:highlight w:val="none"/>
                <w:lang w:val="en-US" w:eastAsia="zh-CN"/>
              </w:rPr>
              <w:t>）</w:t>
            </w:r>
            <w:r>
              <w:rPr>
                <w:rFonts w:hint="eastAsia" w:ascii="Times New Roman" w:hAnsi="Times New Roman" w:eastAsia="宋体" w:cs="Times New Roman"/>
                <w:b w:val="0"/>
                <w:bCs w:val="0"/>
                <w:color w:val="000000"/>
                <w:sz w:val="24"/>
                <w:szCs w:val="24"/>
                <w:highlight w:val="none"/>
                <w:lang w:val="en-US" w:eastAsia="zh-CN"/>
              </w:rPr>
              <w:t>；混凝土纵向长约</w:t>
            </w:r>
            <w:r>
              <w:rPr>
                <w:rFonts w:hint="default" w:ascii="Times New Roman" w:hAnsi="Times New Roman" w:eastAsia="宋体" w:cs="Times New Roman"/>
                <w:b w:val="0"/>
                <w:bCs w:val="0"/>
                <w:color w:val="000000"/>
                <w:sz w:val="24"/>
                <w:szCs w:val="24"/>
                <w:highlight w:val="none"/>
                <w:lang w:val="en-US" w:eastAsia="zh-CN"/>
              </w:rPr>
              <w:t>20</w:t>
            </w:r>
            <w:r>
              <w:rPr>
                <w:rFonts w:hint="eastAsia" w:cs="Times New Roman"/>
                <w:b w:val="0"/>
                <w:bCs w:val="0"/>
                <w:color w:val="000000"/>
                <w:sz w:val="24"/>
                <w:szCs w:val="24"/>
                <w:highlight w:val="none"/>
                <w:lang w:val="en-US" w:eastAsia="zh-CN"/>
              </w:rPr>
              <w:t>m</w:t>
            </w:r>
            <w:r>
              <w:rPr>
                <w:rFonts w:hint="eastAsia" w:ascii="Times New Roman" w:hAnsi="Times New Roman" w:eastAsia="宋体" w:cs="Times New Roman"/>
                <w:b w:val="0"/>
                <w:bCs w:val="0"/>
                <w:color w:val="000000"/>
                <w:sz w:val="24"/>
                <w:szCs w:val="24"/>
                <w:highlight w:val="none"/>
                <w:lang w:val="en-US" w:eastAsia="zh-CN"/>
              </w:rPr>
              <w:t>左右或与不同构筑物衔接时须做胀缝。</w:t>
            </w:r>
          </w:p>
          <w:p w14:paraId="5EB6F444">
            <w:pPr>
              <w:pStyle w:val="12"/>
              <w:spacing w:line="360" w:lineRule="auto"/>
              <w:ind w:firstLine="480" w:firstLineChars="200"/>
              <w:rPr>
                <w:rFonts w:hint="default" w:ascii="Times New Roman" w:hAnsi="Times New Roman" w:eastAsia="宋体" w:cs="Times New Roman"/>
                <w:b w:val="0"/>
                <w:bCs w:val="0"/>
                <w:color w:val="000000"/>
                <w:sz w:val="24"/>
                <w:szCs w:val="24"/>
                <w:highlight w:val="none"/>
                <w:lang w:val="en-US" w:eastAsia="zh-CN"/>
              </w:rPr>
            </w:pPr>
            <w:r>
              <w:rPr>
                <w:rFonts w:hint="eastAsia" w:ascii="Times New Roman" w:hAnsi="Times New Roman" w:eastAsia="宋体" w:cs="Times New Roman"/>
                <w:b w:val="0"/>
                <w:bCs w:val="0"/>
                <w:color w:val="000000"/>
                <w:sz w:val="24"/>
                <w:szCs w:val="24"/>
                <w:highlight w:val="none"/>
                <w:lang w:val="en-US" w:eastAsia="zh-CN"/>
              </w:rPr>
              <w:t>（</w:t>
            </w:r>
            <w:r>
              <w:rPr>
                <w:rFonts w:hint="eastAsia" w:cs="Times New Roman"/>
                <w:b w:val="0"/>
                <w:bCs w:val="0"/>
                <w:color w:val="000000"/>
                <w:sz w:val="24"/>
                <w:szCs w:val="24"/>
                <w:highlight w:val="none"/>
                <w:lang w:val="en-US" w:eastAsia="zh-CN"/>
              </w:rPr>
              <w:t>2</w:t>
            </w:r>
            <w:r>
              <w:rPr>
                <w:rFonts w:hint="eastAsia" w:ascii="Times New Roman" w:hAnsi="Times New Roman" w:eastAsia="宋体" w:cs="Times New Roman"/>
                <w:b w:val="0"/>
                <w:bCs w:val="0"/>
                <w:color w:val="000000"/>
                <w:sz w:val="24"/>
                <w:szCs w:val="24"/>
                <w:highlight w:val="none"/>
                <w:lang w:val="en-US" w:eastAsia="zh-CN"/>
              </w:rPr>
              <w:t>）</w:t>
            </w:r>
            <w:r>
              <w:rPr>
                <w:rFonts w:hint="default" w:ascii="Times New Roman" w:hAnsi="Times New Roman" w:eastAsia="宋体" w:cs="Times New Roman"/>
                <w:b w:val="0"/>
                <w:bCs w:val="0"/>
                <w:color w:val="000000"/>
                <w:sz w:val="24"/>
                <w:szCs w:val="24"/>
                <w:highlight w:val="none"/>
              </w:rPr>
              <w:t>绿化方案：</w:t>
            </w:r>
            <w:r>
              <w:rPr>
                <w:rFonts w:hint="eastAsia" w:ascii="Times New Roman" w:hAnsi="Times New Roman" w:eastAsia="宋体" w:cs="Times New Roman"/>
                <w:b w:val="0"/>
                <w:bCs w:val="0"/>
                <w:color w:val="000000"/>
                <w:sz w:val="24"/>
                <w:szCs w:val="24"/>
                <w:highlight w:val="none"/>
              </w:rPr>
              <w:t>在主体工程完成后，进行植被恢复工作，根据当地气候和土壤条件选择适宜的植被种类进行种植。如有必要，进行生态补偿，采取相应的措施保护和恢复受影响的生态环境。</w:t>
            </w:r>
          </w:p>
          <w:p w14:paraId="05386BF9">
            <w:pPr>
              <w:numPr>
                <w:ilvl w:val="0"/>
                <w:numId w:val="0"/>
              </w:numPr>
              <w:adjustRightInd w:val="0"/>
              <w:snapToGrid w:val="0"/>
              <w:spacing w:beforeLines="0" w:afterLines="0" w:line="360" w:lineRule="auto"/>
              <w:rPr>
                <w:rFonts w:hint="default" w:ascii="Times New Roman" w:hAnsi="Times New Roman" w:eastAsia="Times New Roman" w:cs="Times New Roman"/>
                <w:b/>
                <w:color w:val="auto"/>
                <w:kern w:val="0"/>
                <w:sz w:val="24"/>
                <w:szCs w:val="24"/>
                <w:highlight w:val="none"/>
                <w:u w:val="none" w:color="auto"/>
              </w:rPr>
            </w:pPr>
            <w:r>
              <w:rPr>
                <w:rFonts w:hint="eastAsia" w:cs="Times New Roman"/>
                <w:b/>
                <w:color w:val="auto"/>
                <w:kern w:val="0"/>
                <w:sz w:val="24"/>
                <w:szCs w:val="24"/>
                <w:highlight w:val="none"/>
                <w:u w:val="none" w:color="auto"/>
                <w:lang w:val="en-US" w:eastAsia="zh-CN"/>
              </w:rPr>
              <w:t>2.</w:t>
            </w:r>
            <w:r>
              <w:rPr>
                <w:rFonts w:hint="default" w:ascii="Times New Roman" w:hAnsi="Times New Roman" w:eastAsia="宋体" w:cs="Times New Roman"/>
                <w:b/>
                <w:color w:val="auto"/>
                <w:kern w:val="0"/>
                <w:sz w:val="24"/>
                <w:szCs w:val="24"/>
                <w:highlight w:val="none"/>
                <w:u w:val="none" w:color="auto"/>
              </w:rPr>
              <w:t>施工时序</w:t>
            </w:r>
          </w:p>
          <w:p w14:paraId="76FFC272">
            <w:pPr>
              <w:numPr>
                <w:ilvl w:val="0"/>
                <w:numId w:val="0"/>
              </w:numPr>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（1）施工进度安排的原则和依据</w:t>
            </w:r>
          </w:p>
          <w:p w14:paraId="4AB1AFCD">
            <w:pPr>
              <w:numPr>
                <w:ilvl w:val="0"/>
                <w:numId w:val="0"/>
              </w:numPr>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根据本项目施工特点、工程量以及主管部门对工程进度的要求，施工总进度的设计依据及原则确定如下：</w:t>
            </w:r>
          </w:p>
          <w:p w14:paraId="24282F44">
            <w:pPr>
              <w:numPr>
                <w:ilvl w:val="0"/>
                <w:numId w:val="0"/>
              </w:numPr>
              <w:adjustRightInd w:val="0"/>
              <w:snapToGrid w:val="0"/>
              <w:spacing w:beforeLines="0" w:afterLines="0" w:line="360" w:lineRule="auto"/>
              <w:ind w:firstLine="480" w:firstLineChars="200"/>
              <w:rPr>
                <w:rFonts w:hint="eastAsia" w:ascii="Times New Roman" w:hAnsi="Times New Roman" w:eastAsia="宋体" w:cs="Times New Roman"/>
                <w:color w:val="auto"/>
                <w:kern w:val="0"/>
                <w:sz w:val="24"/>
                <w:szCs w:val="24"/>
                <w:highlight w:val="none"/>
                <w:u w:val="none" w:color="auto"/>
                <w:lang w:eastAsia="zh-CN"/>
              </w:rPr>
            </w:pPr>
            <w:r>
              <w:rPr>
                <w:rFonts w:hint="default" w:ascii="Times New Roman" w:hAnsi="Times New Roman" w:eastAsia="Times New Roman" w:cs="Times New Roman"/>
                <w:color w:val="auto"/>
                <w:kern w:val="0"/>
                <w:sz w:val="24"/>
                <w:szCs w:val="24"/>
                <w:highlight w:val="none"/>
                <w:u w:val="none" w:color="auto"/>
              </w:rPr>
              <w:t>1</w:t>
            </w:r>
            <w:r>
              <w:rPr>
                <w:rFonts w:hint="default" w:ascii="Times New Roman" w:hAnsi="Times New Roman" w:eastAsia="宋体" w:cs="Times New Roman"/>
                <w:color w:val="auto"/>
                <w:kern w:val="0"/>
                <w:sz w:val="24"/>
                <w:szCs w:val="24"/>
                <w:highlight w:val="none"/>
                <w:u w:val="none" w:color="auto"/>
              </w:rPr>
              <w:t>）严格执行基本建设程序，遵照国家政策、法令和有关规程规范</w:t>
            </w:r>
            <w:r>
              <w:rPr>
                <w:rFonts w:hint="eastAsia" w:cs="Times New Roman"/>
                <w:color w:val="auto"/>
                <w:kern w:val="0"/>
                <w:sz w:val="24"/>
                <w:szCs w:val="24"/>
                <w:highlight w:val="none"/>
                <w:u w:val="none" w:color="auto"/>
                <w:lang w:eastAsia="zh-CN"/>
              </w:rPr>
              <w:t>。</w:t>
            </w:r>
          </w:p>
          <w:p w14:paraId="7147230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highlight w:val="none"/>
                <w:lang w:val="en-US" w:eastAsia="zh-CN"/>
              </w:rPr>
            </w:pPr>
            <w:r>
              <w:rPr>
                <w:rFonts w:hint="default"/>
                <w:color w:val="auto"/>
                <w:sz w:val="24"/>
                <w:szCs w:val="24"/>
                <w:highlight w:val="none"/>
                <w:lang w:val="en-US" w:eastAsia="zh-CN"/>
              </w:rPr>
              <w:t>2）力求缩短工程建设周期，对控制工程总工期的工程和关键项目重点研究，采取有效的技术和安全措施。</w:t>
            </w:r>
          </w:p>
          <w:p w14:paraId="63A98C4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highlight w:val="none"/>
                <w:lang w:val="en-US" w:eastAsia="zh-CN"/>
              </w:rPr>
            </w:pPr>
            <w:r>
              <w:rPr>
                <w:rFonts w:hint="default"/>
                <w:color w:val="auto"/>
                <w:sz w:val="24"/>
                <w:szCs w:val="24"/>
                <w:highlight w:val="none"/>
                <w:lang w:val="en-US" w:eastAsia="zh-CN"/>
              </w:rPr>
              <w:t>3）各项目施工程序前后兼顾、衔接合理、干扰少、施工均衡。</w:t>
            </w:r>
          </w:p>
          <w:p w14:paraId="476EE80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highlight w:val="none"/>
                <w:lang w:val="en-US" w:eastAsia="zh-CN"/>
              </w:rPr>
            </w:pPr>
            <w:r>
              <w:rPr>
                <w:rFonts w:hint="default"/>
                <w:color w:val="auto"/>
                <w:sz w:val="24"/>
                <w:szCs w:val="24"/>
                <w:highlight w:val="none"/>
                <w:lang w:val="en-US" w:eastAsia="zh-CN"/>
              </w:rPr>
              <w:t>4）采取平均先进指标，并适当留有余地，在保证工程质量和施工总工期的前提下，充分发挥投资效益。</w:t>
            </w:r>
          </w:p>
          <w:p w14:paraId="545F3FC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highlight w:val="none"/>
                <w:lang w:val="en-US" w:eastAsia="zh-CN"/>
              </w:rPr>
            </w:pPr>
            <w:r>
              <w:rPr>
                <w:rFonts w:hint="default"/>
                <w:color w:val="auto"/>
                <w:sz w:val="24"/>
                <w:szCs w:val="24"/>
                <w:highlight w:val="none"/>
                <w:lang w:val="en-US" w:eastAsia="zh-CN"/>
              </w:rPr>
              <w:t>5）满足主管部门工期要求</w:t>
            </w:r>
            <w:r>
              <w:rPr>
                <w:rFonts w:hint="eastAsia"/>
                <w:color w:val="auto"/>
                <w:sz w:val="24"/>
                <w:szCs w:val="24"/>
                <w:highlight w:val="none"/>
                <w:lang w:val="en-US" w:eastAsia="zh-CN"/>
              </w:rPr>
              <w:t>。</w:t>
            </w:r>
          </w:p>
          <w:p w14:paraId="479E8949">
            <w:pPr>
              <w:numPr>
                <w:ilvl w:val="0"/>
                <w:numId w:val="0"/>
              </w:numPr>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在工程准备期，控制进度的主要因素是场内交通道路及其他临时建筑，主体工程施工期控制进度的主要为开挖、防护和回填。</w:t>
            </w:r>
          </w:p>
          <w:p w14:paraId="61A3EEE8">
            <w:pPr>
              <w:numPr>
                <w:ilvl w:val="0"/>
                <w:numId w:val="0"/>
              </w:numPr>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（2）工程施工特点</w:t>
            </w:r>
          </w:p>
          <w:p w14:paraId="59D61763">
            <w:pPr>
              <w:numPr>
                <w:ilvl w:val="0"/>
                <w:numId w:val="0"/>
              </w:numPr>
              <w:adjustRightInd w:val="0"/>
              <w:snapToGrid w:val="0"/>
              <w:spacing w:beforeLines="0" w:afterLines="0" w:line="360" w:lineRule="auto"/>
              <w:ind w:firstLine="480" w:firstLineChars="200"/>
              <w:rPr>
                <w:rFonts w:hint="eastAsia" w:ascii="Times New Roman" w:hAnsi="Times New Roman" w:eastAsia="宋体" w:cs="Times New Roman"/>
                <w:color w:val="auto"/>
                <w:kern w:val="0"/>
                <w:sz w:val="24"/>
                <w:szCs w:val="24"/>
                <w:highlight w:val="none"/>
                <w:u w:val="none" w:color="auto"/>
                <w:lang w:eastAsia="zh-CN"/>
              </w:rPr>
            </w:pPr>
            <w:r>
              <w:rPr>
                <w:rFonts w:hint="default" w:ascii="Times New Roman" w:hAnsi="Times New Roman" w:eastAsia="Times New Roman" w:cs="Times New Roman"/>
                <w:color w:val="auto"/>
                <w:kern w:val="0"/>
                <w:sz w:val="24"/>
                <w:szCs w:val="24"/>
                <w:highlight w:val="none"/>
                <w:u w:val="none" w:color="auto"/>
              </w:rPr>
              <w:t>1</w:t>
            </w:r>
            <w:r>
              <w:rPr>
                <w:rFonts w:hint="default" w:ascii="Times New Roman" w:hAnsi="Times New Roman" w:eastAsia="宋体" w:cs="Times New Roman"/>
                <w:color w:val="auto"/>
                <w:kern w:val="0"/>
                <w:sz w:val="24"/>
                <w:szCs w:val="24"/>
                <w:highlight w:val="none"/>
                <w:u w:val="none" w:color="auto"/>
              </w:rPr>
              <w:t>）宜分区施工</w:t>
            </w:r>
            <w:r>
              <w:rPr>
                <w:rFonts w:hint="eastAsia" w:cs="Times New Roman"/>
                <w:color w:val="auto"/>
                <w:kern w:val="0"/>
                <w:sz w:val="24"/>
                <w:szCs w:val="24"/>
                <w:highlight w:val="none"/>
                <w:u w:val="none" w:color="auto"/>
                <w:lang w:eastAsia="zh-CN"/>
              </w:rPr>
              <w:t>；</w:t>
            </w:r>
          </w:p>
          <w:p w14:paraId="60FAB485">
            <w:pPr>
              <w:numPr>
                <w:ilvl w:val="0"/>
                <w:numId w:val="0"/>
              </w:numPr>
              <w:adjustRightInd w:val="0"/>
              <w:snapToGrid w:val="0"/>
              <w:spacing w:beforeLines="0" w:afterLines="0" w:line="360" w:lineRule="auto"/>
              <w:ind w:firstLine="480" w:firstLineChars="200"/>
              <w:rPr>
                <w:rFonts w:hint="eastAsia" w:ascii="Times New Roman" w:hAnsi="Times New Roman" w:eastAsia="宋体" w:cs="Times New Roman"/>
                <w:color w:val="auto"/>
                <w:kern w:val="0"/>
                <w:sz w:val="24"/>
                <w:szCs w:val="24"/>
                <w:highlight w:val="none"/>
                <w:u w:val="none" w:color="auto"/>
                <w:lang w:eastAsia="zh-CN"/>
              </w:rPr>
            </w:pPr>
            <w:r>
              <w:rPr>
                <w:rFonts w:hint="default" w:ascii="Times New Roman" w:hAnsi="Times New Roman" w:eastAsia="Times New Roman" w:cs="Times New Roman"/>
                <w:color w:val="auto"/>
                <w:kern w:val="0"/>
                <w:sz w:val="24"/>
                <w:szCs w:val="24"/>
                <w:highlight w:val="none"/>
                <w:u w:val="none" w:color="auto"/>
              </w:rPr>
              <w:t>2</w:t>
            </w:r>
            <w:r>
              <w:rPr>
                <w:rFonts w:hint="default" w:ascii="Times New Roman" w:hAnsi="Times New Roman" w:eastAsia="宋体" w:cs="Times New Roman"/>
                <w:color w:val="auto"/>
                <w:kern w:val="0"/>
                <w:sz w:val="24"/>
                <w:szCs w:val="24"/>
                <w:highlight w:val="none"/>
                <w:u w:val="none" w:color="auto"/>
              </w:rPr>
              <w:t>）建筑物类型单一，可充分利用同类型施工机械，发挥其最大的效率</w:t>
            </w:r>
            <w:r>
              <w:rPr>
                <w:rFonts w:hint="eastAsia" w:cs="Times New Roman"/>
                <w:color w:val="auto"/>
                <w:kern w:val="0"/>
                <w:sz w:val="24"/>
                <w:szCs w:val="24"/>
                <w:highlight w:val="none"/>
                <w:u w:val="none" w:color="auto"/>
                <w:lang w:eastAsia="zh-CN"/>
              </w:rPr>
              <w:t>；</w:t>
            </w:r>
          </w:p>
          <w:p w14:paraId="0E79ACF5">
            <w:pPr>
              <w:numPr>
                <w:ilvl w:val="0"/>
                <w:numId w:val="0"/>
              </w:numPr>
              <w:adjustRightInd w:val="0"/>
              <w:snapToGrid w:val="0"/>
              <w:spacing w:beforeLines="0" w:afterLines="0" w:line="360" w:lineRule="auto"/>
              <w:ind w:firstLine="480" w:firstLineChars="200"/>
              <w:rPr>
                <w:rFonts w:hint="eastAsia" w:ascii="Times New Roman" w:hAnsi="Times New Roman" w:eastAsia="宋体" w:cs="Times New Roman"/>
                <w:color w:val="auto"/>
                <w:kern w:val="0"/>
                <w:sz w:val="24"/>
                <w:szCs w:val="24"/>
                <w:highlight w:val="none"/>
                <w:u w:val="none" w:color="auto"/>
                <w:lang w:eastAsia="zh-CN"/>
              </w:rPr>
            </w:pPr>
            <w:r>
              <w:rPr>
                <w:rFonts w:hint="default" w:ascii="Times New Roman" w:hAnsi="Times New Roman" w:eastAsia="Times New Roman" w:cs="Times New Roman"/>
                <w:color w:val="auto"/>
                <w:kern w:val="0"/>
                <w:sz w:val="24"/>
                <w:szCs w:val="24"/>
                <w:highlight w:val="none"/>
                <w:u w:val="none" w:color="auto"/>
              </w:rPr>
              <w:t>3</w:t>
            </w:r>
            <w:r>
              <w:rPr>
                <w:rFonts w:hint="default" w:ascii="Times New Roman" w:hAnsi="Times New Roman" w:eastAsia="宋体" w:cs="Times New Roman"/>
                <w:color w:val="auto"/>
                <w:kern w:val="0"/>
                <w:sz w:val="24"/>
                <w:szCs w:val="24"/>
                <w:highlight w:val="none"/>
                <w:u w:val="none" w:color="auto"/>
              </w:rPr>
              <w:t>）河沟汛期和非汛期洪水变化较大，充分利用非汛期施工，结合实际，因地制宜</w:t>
            </w:r>
            <w:r>
              <w:rPr>
                <w:rFonts w:hint="eastAsia" w:cs="Times New Roman"/>
                <w:color w:val="auto"/>
                <w:kern w:val="0"/>
                <w:sz w:val="24"/>
                <w:szCs w:val="24"/>
                <w:highlight w:val="none"/>
                <w:u w:val="none" w:color="auto"/>
                <w:lang w:eastAsia="zh-CN"/>
              </w:rPr>
              <w:t>；</w:t>
            </w:r>
          </w:p>
          <w:p w14:paraId="59E8C4A9">
            <w:pPr>
              <w:numPr>
                <w:ilvl w:val="0"/>
                <w:numId w:val="0"/>
              </w:numPr>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highlight w:val="none"/>
                <w:u w:val="none" w:color="auto"/>
              </w:rPr>
            </w:pPr>
            <w:r>
              <w:rPr>
                <w:rFonts w:hint="default" w:ascii="Times New Roman" w:hAnsi="Times New Roman" w:eastAsia="Times New Roman" w:cs="Times New Roman"/>
                <w:color w:val="auto"/>
                <w:kern w:val="0"/>
                <w:sz w:val="24"/>
                <w:szCs w:val="24"/>
                <w:highlight w:val="none"/>
                <w:u w:val="none" w:color="auto"/>
              </w:rPr>
              <w:t>4</w:t>
            </w:r>
            <w:r>
              <w:rPr>
                <w:rFonts w:hint="default" w:ascii="Times New Roman" w:hAnsi="Times New Roman" w:eastAsia="宋体" w:cs="Times New Roman"/>
                <w:color w:val="auto"/>
                <w:kern w:val="0"/>
                <w:sz w:val="24"/>
                <w:szCs w:val="24"/>
                <w:highlight w:val="none"/>
                <w:u w:val="none" w:color="auto"/>
              </w:rPr>
              <w:t>）统筹安排、综合平衡、妥善协调各分部、分项工程。</w:t>
            </w:r>
          </w:p>
          <w:p w14:paraId="0A5ABA96">
            <w:pPr>
              <w:numPr>
                <w:ilvl w:val="0"/>
                <w:numId w:val="0"/>
              </w:numPr>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（3）施工程序</w:t>
            </w:r>
          </w:p>
          <w:p w14:paraId="0A5BA84E">
            <w:pPr>
              <w:numPr>
                <w:ilvl w:val="0"/>
                <w:numId w:val="0"/>
              </w:numPr>
              <w:adjustRightInd w:val="0"/>
              <w:snapToGrid w:val="0"/>
              <w:spacing w:beforeLines="0" w:afterLines="0" w:line="360" w:lineRule="auto"/>
              <w:ind w:firstLine="480" w:firstLineChars="200"/>
              <w:rPr>
                <w:rFonts w:hint="eastAsia" w:ascii="Times New Roman" w:hAnsi="Times New Roman" w:eastAsia="宋体" w:cs="Times New Roman"/>
                <w:color w:val="auto"/>
                <w:kern w:val="0"/>
                <w:sz w:val="24"/>
                <w:szCs w:val="24"/>
                <w:highlight w:val="none"/>
                <w:u w:val="none" w:color="auto"/>
                <w:lang w:eastAsia="zh-CN"/>
              </w:rPr>
            </w:pPr>
            <w:r>
              <w:rPr>
                <w:rFonts w:hint="default" w:ascii="Times New Roman" w:hAnsi="Times New Roman" w:eastAsia="宋体" w:cs="Times New Roman"/>
                <w:color w:val="auto"/>
                <w:kern w:val="0"/>
                <w:sz w:val="24"/>
                <w:szCs w:val="24"/>
                <w:highlight w:val="none"/>
                <w:u w:val="none" w:color="auto"/>
              </w:rPr>
              <w:t>由于地形条件不同、各施工区内具有不同的特点，为避免施工交叉干扰，节省投资，保证工程施工质量，各工程项目的施工顺序应合理安排</w:t>
            </w:r>
            <w:r>
              <w:rPr>
                <w:rFonts w:hint="eastAsia" w:cs="Times New Roman"/>
                <w:color w:val="auto"/>
                <w:kern w:val="0"/>
                <w:sz w:val="24"/>
                <w:szCs w:val="24"/>
                <w:highlight w:val="none"/>
                <w:u w:val="none" w:color="auto"/>
                <w:lang w:eastAsia="zh-CN"/>
              </w:rPr>
              <w:t>；</w:t>
            </w:r>
          </w:p>
          <w:p w14:paraId="09EA76C9">
            <w:pPr>
              <w:numPr>
                <w:ilvl w:val="0"/>
                <w:numId w:val="0"/>
              </w:numPr>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highlight w:val="none"/>
                <w:u w:val="none" w:color="auto"/>
              </w:rPr>
            </w:pPr>
            <w:r>
              <w:rPr>
                <w:rFonts w:hint="default" w:ascii="Times New Roman" w:hAnsi="Times New Roman" w:eastAsia="Times New Roman" w:cs="Times New Roman"/>
                <w:color w:val="auto"/>
                <w:kern w:val="0"/>
                <w:sz w:val="24"/>
                <w:szCs w:val="24"/>
                <w:highlight w:val="none"/>
                <w:u w:val="none" w:color="auto"/>
              </w:rPr>
              <w:t>1</w:t>
            </w:r>
            <w:r>
              <w:rPr>
                <w:rFonts w:hint="default" w:ascii="Times New Roman" w:hAnsi="Times New Roman" w:eastAsia="宋体" w:cs="Times New Roman"/>
                <w:color w:val="auto"/>
                <w:kern w:val="0"/>
                <w:sz w:val="24"/>
                <w:szCs w:val="24"/>
                <w:highlight w:val="none"/>
                <w:u w:val="none" w:color="auto"/>
              </w:rPr>
              <w:t>）河沟工程需进行土方挖填平衡的段（区）同时安排施工；</w:t>
            </w:r>
          </w:p>
          <w:p w14:paraId="12A288E5">
            <w:pPr>
              <w:numPr>
                <w:ilvl w:val="0"/>
                <w:numId w:val="0"/>
              </w:numPr>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highlight w:val="none"/>
                <w:u w:val="none" w:color="auto"/>
              </w:rPr>
            </w:pPr>
            <w:r>
              <w:rPr>
                <w:rFonts w:hint="default" w:ascii="Times New Roman" w:hAnsi="Times New Roman" w:eastAsia="Times New Roman" w:cs="Times New Roman"/>
                <w:color w:val="auto"/>
                <w:kern w:val="0"/>
                <w:sz w:val="24"/>
                <w:szCs w:val="24"/>
                <w:highlight w:val="none"/>
                <w:u w:val="none" w:color="auto"/>
              </w:rPr>
              <w:t>2</w:t>
            </w:r>
            <w:r>
              <w:rPr>
                <w:rFonts w:hint="default" w:ascii="Times New Roman" w:hAnsi="Times New Roman" w:eastAsia="宋体" w:cs="Times New Roman"/>
                <w:color w:val="auto"/>
                <w:kern w:val="0"/>
                <w:sz w:val="24"/>
                <w:szCs w:val="24"/>
                <w:highlight w:val="none"/>
                <w:u w:val="none" w:color="auto"/>
              </w:rPr>
              <w:t>）可相互平行作业的工程项目，按施工均衡性及合理的进行安排。</w:t>
            </w:r>
          </w:p>
          <w:p w14:paraId="4AE3ADEA">
            <w:pPr>
              <w:numPr>
                <w:ilvl w:val="0"/>
                <w:numId w:val="0"/>
              </w:numPr>
              <w:adjustRightInd w:val="0"/>
              <w:snapToGrid w:val="0"/>
              <w:spacing w:beforeLines="0" w:afterLines="0" w:line="360" w:lineRule="auto"/>
              <w:ind w:firstLine="480" w:firstLineChars="200"/>
              <w:rPr>
                <w:rFonts w:hint="default" w:ascii="Times New Roman" w:hAnsi="Times New Roman" w:eastAsia="Times New Roman" w:cs="Times New Roman"/>
                <w:b w:val="0"/>
                <w:bCs w:val="0"/>
                <w:color w:val="auto"/>
                <w:kern w:val="0"/>
                <w:sz w:val="24"/>
                <w:szCs w:val="24"/>
                <w:highlight w:val="none"/>
                <w:u w:val="none" w:color="auto"/>
              </w:rPr>
            </w:pPr>
            <w:r>
              <w:rPr>
                <w:rFonts w:hint="eastAsia" w:cs="Times New Roman"/>
                <w:b w:val="0"/>
                <w:bCs w:val="0"/>
                <w:color w:val="auto"/>
                <w:kern w:val="0"/>
                <w:sz w:val="24"/>
                <w:szCs w:val="24"/>
                <w:highlight w:val="none"/>
                <w:u w:val="none" w:color="auto"/>
                <w:lang w:eastAsia="zh-CN"/>
              </w:rPr>
              <w:t>（</w:t>
            </w:r>
            <w:r>
              <w:rPr>
                <w:rFonts w:hint="eastAsia" w:cs="Times New Roman"/>
                <w:b w:val="0"/>
                <w:bCs w:val="0"/>
                <w:color w:val="auto"/>
                <w:kern w:val="0"/>
                <w:sz w:val="24"/>
                <w:szCs w:val="24"/>
                <w:highlight w:val="none"/>
                <w:u w:val="none" w:color="auto"/>
                <w:lang w:val="en-US" w:eastAsia="zh-CN"/>
              </w:rPr>
              <w:t>4</w:t>
            </w:r>
            <w:r>
              <w:rPr>
                <w:rFonts w:hint="eastAsia" w:cs="Times New Roman"/>
                <w:b w:val="0"/>
                <w:bCs w:val="0"/>
                <w:color w:val="auto"/>
                <w:kern w:val="0"/>
                <w:sz w:val="24"/>
                <w:szCs w:val="24"/>
                <w:highlight w:val="none"/>
                <w:u w:val="none" w:color="auto"/>
                <w:lang w:eastAsia="zh-CN"/>
              </w:rPr>
              <w:t>）</w:t>
            </w:r>
            <w:r>
              <w:rPr>
                <w:rFonts w:hint="default" w:ascii="Times New Roman" w:hAnsi="Times New Roman" w:eastAsia="宋体" w:cs="Times New Roman"/>
                <w:b w:val="0"/>
                <w:bCs w:val="0"/>
                <w:color w:val="auto"/>
                <w:kern w:val="0"/>
                <w:sz w:val="24"/>
                <w:szCs w:val="24"/>
                <w:highlight w:val="none"/>
                <w:u w:val="none" w:color="auto"/>
              </w:rPr>
              <w:t>施工总进度</w:t>
            </w:r>
          </w:p>
          <w:p w14:paraId="153FD8C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highlight w:val="none"/>
                <w:lang w:val="en-US" w:eastAsia="zh-CN"/>
              </w:rPr>
            </w:pPr>
            <w:r>
              <w:rPr>
                <w:rFonts w:hint="default" w:ascii="Times New Roman" w:hAnsi="Times New Roman" w:eastAsia="宋体" w:cs="Times New Roman"/>
                <w:color w:val="auto"/>
                <w:kern w:val="0"/>
                <w:sz w:val="24"/>
                <w:szCs w:val="24"/>
                <w:highlight w:val="none"/>
                <w:u w:val="none" w:color="auto"/>
              </w:rPr>
              <w:t>本工程计划1</w:t>
            </w:r>
            <w:r>
              <w:rPr>
                <w:rFonts w:hint="eastAsia" w:ascii="Times New Roman" w:hAnsi="Times New Roman" w:eastAsia="宋体" w:cs="Times New Roman"/>
                <w:color w:val="auto"/>
                <w:kern w:val="0"/>
                <w:sz w:val="24"/>
                <w:szCs w:val="24"/>
                <w:highlight w:val="none"/>
                <w:u w:val="none" w:color="auto"/>
                <w:lang w:val="en-US" w:eastAsia="zh-CN"/>
              </w:rPr>
              <w:t>2</w:t>
            </w:r>
            <w:r>
              <w:rPr>
                <w:rFonts w:hint="default" w:ascii="Times New Roman" w:hAnsi="Times New Roman" w:eastAsia="宋体" w:cs="Times New Roman"/>
                <w:color w:val="auto"/>
                <w:kern w:val="0"/>
                <w:sz w:val="24"/>
                <w:szCs w:val="24"/>
                <w:highlight w:val="none"/>
                <w:u w:val="none" w:color="auto"/>
              </w:rPr>
              <w:t>个月内实施完成，施工准备工程进度安排为：开始施工前，</w:t>
            </w:r>
            <w:r>
              <w:rPr>
                <w:rFonts w:hint="eastAsia" w:cs="Times New Roman"/>
                <w:color w:val="auto"/>
                <w:kern w:val="0"/>
                <w:sz w:val="24"/>
                <w:szCs w:val="24"/>
                <w:highlight w:val="none"/>
                <w:u w:val="none" w:color="auto"/>
                <w:lang w:eastAsia="zh-CN"/>
              </w:rPr>
              <w:t>对河道、沟渠和岸坡进行现场勘查，了解地形、水文和工程要求等情况</w:t>
            </w:r>
            <w:r>
              <w:rPr>
                <w:rFonts w:hint="default" w:ascii="Times New Roman" w:hAnsi="Times New Roman" w:eastAsia="宋体" w:cs="Times New Roman"/>
                <w:color w:val="auto"/>
                <w:kern w:val="0"/>
                <w:sz w:val="24"/>
                <w:szCs w:val="24"/>
                <w:highlight w:val="none"/>
                <w:u w:val="none" w:color="auto"/>
              </w:rPr>
              <w:t>，为主体工程开挖做好准备，主体工程在施工招标后签订合同后开始。</w:t>
            </w:r>
          </w:p>
        </w:tc>
      </w:tr>
      <w:tr w14:paraId="31A29E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1" w:hRule="atLeast"/>
          <w:jc w:val="center"/>
        </w:trPr>
        <w:tc>
          <w:tcPr>
            <w:tcW w:w="449" w:type="dxa"/>
            <w:noWrap w:val="0"/>
            <w:vAlign w:val="center"/>
          </w:tcPr>
          <w:p w14:paraId="6D5F5D86">
            <w:pPr>
              <w:adjustRightInd w:val="0"/>
              <w:snapToGrid w:val="0"/>
              <w:jc w:val="center"/>
              <w:rPr>
                <w:rFonts w:hint="eastAsia" w:ascii="宋体" w:hAnsi="宋体" w:cs="宋体"/>
                <w:kern w:val="0"/>
                <w:sz w:val="24"/>
                <w:szCs w:val="24"/>
                <w:highlight w:val="none"/>
              </w:rPr>
            </w:pPr>
          </w:p>
          <w:p w14:paraId="3EF99547">
            <w:pPr>
              <w:adjustRightInd w:val="0"/>
              <w:snapToGrid w:val="0"/>
              <w:jc w:val="center"/>
              <w:rPr>
                <w:rFonts w:hint="eastAsia" w:ascii="宋体" w:hAnsi="宋体" w:cs="宋体"/>
                <w:kern w:val="0"/>
                <w:sz w:val="24"/>
                <w:szCs w:val="24"/>
                <w:highlight w:val="none"/>
              </w:rPr>
            </w:pPr>
          </w:p>
          <w:p w14:paraId="7702DF5D">
            <w:pPr>
              <w:adjustRightInd w:val="0"/>
              <w:snapToGrid w:val="0"/>
              <w:jc w:val="center"/>
              <w:rPr>
                <w:rFonts w:hint="eastAsia" w:ascii="宋体" w:hAnsi="宋体" w:cs="宋体"/>
                <w:kern w:val="0"/>
                <w:sz w:val="24"/>
                <w:szCs w:val="24"/>
                <w:highlight w:val="none"/>
              </w:rPr>
            </w:pPr>
          </w:p>
          <w:p w14:paraId="609DDADC">
            <w:pPr>
              <w:adjustRightInd w:val="0"/>
              <w:snapToGrid w:val="0"/>
              <w:jc w:val="center"/>
              <w:rPr>
                <w:rFonts w:hint="eastAsia" w:ascii="宋体" w:hAnsi="宋体" w:cs="宋体"/>
                <w:kern w:val="0"/>
                <w:sz w:val="24"/>
                <w:szCs w:val="24"/>
                <w:highlight w:val="none"/>
              </w:rPr>
            </w:pPr>
          </w:p>
          <w:p w14:paraId="7AFE7345">
            <w:pPr>
              <w:adjustRightInd w:val="0"/>
              <w:snapToGrid w:val="0"/>
              <w:jc w:val="center"/>
              <w:rPr>
                <w:rFonts w:hint="eastAsia" w:ascii="宋体" w:hAnsi="宋体" w:cs="宋体"/>
                <w:kern w:val="0"/>
                <w:sz w:val="24"/>
                <w:szCs w:val="24"/>
                <w:highlight w:val="none"/>
              </w:rPr>
            </w:pPr>
          </w:p>
          <w:p w14:paraId="4A22E3BF">
            <w:pPr>
              <w:adjustRightInd w:val="0"/>
              <w:snapToGrid w:val="0"/>
              <w:jc w:val="center"/>
              <w:rPr>
                <w:rFonts w:hint="eastAsia" w:ascii="宋体" w:hAnsi="宋体" w:cs="宋体"/>
                <w:kern w:val="0"/>
                <w:sz w:val="24"/>
                <w:szCs w:val="24"/>
                <w:highlight w:val="none"/>
              </w:rPr>
            </w:pPr>
          </w:p>
          <w:p w14:paraId="6C159A54">
            <w:pPr>
              <w:adjustRightInd w:val="0"/>
              <w:snapToGrid w:val="0"/>
              <w:jc w:val="center"/>
              <w:rPr>
                <w:rFonts w:hint="eastAsia" w:ascii="宋体" w:hAnsi="宋体" w:cs="宋体"/>
                <w:kern w:val="0"/>
                <w:sz w:val="24"/>
                <w:szCs w:val="24"/>
                <w:highlight w:val="none"/>
              </w:rPr>
            </w:pPr>
          </w:p>
          <w:p w14:paraId="2A55E9A7">
            <w:pPr>
              <w:adjustRightInd w:val="0"/>
              <w:snapToGrid w:val="0"/>
              <w:jc w:val="center"/>
              <w:rPr>
                <w:rFonts w:hint="eastAsia" w:ascii="宋体" w:hAnsi="宋体" w:cs="宋体"/>
                <w:kern w:val="0"/>
                <w:sz w:val="24"/>
                <w:szCs w:val="24"/>
                <w:highlight w:val="none"/>
              </w:rPr>
            </w:pPr>
          </w:p>
          <w:p w14:paraId="7C2E2654">
            <w:pPr>
              <w:adjustRightInd w:val="0"/>
              <w:snapToGrid w:val="0"/>
              <w:jc w:val="center"/>
              <w:rPr>
                <w:rFonts w:hint="eastAsia" w:ascii="宋体" w:hAnsi="宋体" w:cs="宋体"/>
                <w:kern w:val="0"/>
                <w:sz w:val="24"/>
                <w:szCs w:val="24"/>
                <w:highlight w:val="none"/>
              </w:rPr>
            </w:pPr>
          </w:p>
          <w:p w14:paraId="5A2E0EEF">
            <w:pPr>
              <w:adjustRightInd w:val="0"/>
              <w:snapToGrid w:val="0"/>
              <w:jc w:val="center"/>
              <w:rPr>
                <w:rFonts w:hint="eastAsia" w:ascii="宋体" w:hAnsi="宋体" w:cs="宋体"/>
                <w:kern w:val="0"/>
                <w:sz w:val="24"/>
                <w:szCs w:val="24"/>
                <w:highlight w:val="none"/>
              </w:rPr>
            </w:pPr>
          </w:p>
          <w:p w14:paraId="51D3127B">
            <w:pPr>
              <w:adjustRightInd w:val="0"/>
              <w:snapToGrid w:val="0"/>
              <w:jc w:val="center"/>
              <w:rPr>
                <w:rFonts w:hint="eastAsia" w:ascii="宋体" w:hAnsi="宋体" w:cs="宋体"/>
                <w:kern w:val="0"/>
                <w:sz w:val="24"/>
                <w:szCs w:val="24"/>
                <w:highlight w:val="none"/>
              </w:rPr>
            </w:pPr>
          </w:p>
          <w:p w14:paraId="2A55D74A">
            <w:pPr>
              <w:adjustRightInd w:val="0"/>
              <w:snapToGrid w:val="0"/>
              <w:jc w:val="center"/>
              <w:rPr>
                <w:rFonts w:hint="eastAsia" w:ascii="宋体" w:hAnsi="宋体" w:cs="宋体"/>
                <w:kern w:val="0"/>
                <w:sz w:val="24"/>
                <w:szCs w:val="24"/>
                <w:highlight w:val="none"/>
              </w:rPr>
            </w:pPr>
          </w:p>
          <w:p w14:paraId="05C1A6D3">
            <w:pPr>
              <w:adjustRightInd w:val="0"/>
              <w:snapToGrid w:val="0"/>
              <w:jc w:val="center"/>
              <w:rPr>
                <w:rFonts w:hint="eastAsia" w:ascii="宋体" w:hAnsi="宋体" w:cs="宋体"/>
                <w:kern w:val="0"/>
                <w:sz w:val="24"/>
                <w:szCs w:val="24"/>
                <w:highlight w:val="none"/>
              </w:rPr>
            </w:pPr>
          </w:p>
          <w:p w14:paraId="1BD750E3">
            <w:pPr>
              <w:adjustRightInd w:val="0"/>
              <w:snapToGrid w:val="0"/>
              <w:jc w:val="center"/>
              <w:rPr>
                <w:rFonts w:hint="eastAsia" w:ascii="宋体" w:hAnsi="宋体" w:cs="宋体"/>
                <w:kern w:val="0"/>
                <w:sz w:val="24"/>
                <w:szCs w:val="24"/>
                <w:highlight w:val="none"/>
              </w:rPr>
            </w:pPr>
          </w:p>
          <w:p w14:paraId="49569B01">
            <w:pPr>
              <w:adjustRightInd w:val="0"/>
              <w:snapToGrid w:val="0"/>
              <w:jc w:val="center"/>
              <w:rPr>
                <w:rFonts w:hint="eastAsia" w:ascii="宋体" w:hAnsi="宋体" w:cs="宋体"/>
                <w:kern w:val="0"/>
                <w:sz w:val="24"/>
                <w:szCs w:val="24"/>
                <w:highlight w:val="none"/>
              </w:rPr>
            </w:pPr>
          </w:p>
          <w:p w14:paraId="1FB21976">
            <w:pPr>
              <w:adjustRightInd w:val="0"/>
              <w:snapToGrid w:val="0"/>
              <w:jc w:val="center"/>
              <w:rPr>
                <w:rFonts w:hint="eastAsia" w:ascii="宋体" w:hAnsi="宋体" w:cs="宋体"/>
                <w:kern w:val="0"/>
                <w:sz w:val="24"/>
                <w:szCs w:val="24"/>
                <w:highlight w:val="none"/>
              </w:rPr>
            </w:pPr>
            <w:r>
              <w:rPr>
                <w:rFonts w:hint="eastAsia" w:ascii="宋体" w:hAnsi="宋体" w:cs="宋体"/>
                <w:kern w:val="0"/>
                <w:sz w:val="24"/>
                <w:szCs w:val="24"/>
                <w:highlight w:val="none"/>
              </w:rPr>
              <w:t>其他</w:t>
            </w:r>
          </w:p>
          <w:p w14:paraId="1077AA32">
            <w:pPr>
              <w:adjustRightInd w:val="0"/>
              <w:snapToGrid w:val="0"/>
              <w:jc w:val="center"/>
              <w:rPr>
                <w:rFonts w:hint="eastAsia" w:ascii="宋体" w:hAnsi="宋体" w:cs="宋体"/>
                <w:kern w:val="0"/>
                <w:sz w:val="24"/>
                <w:szCs w:val="24"/>
                <w:highlight w:val="none"/>
              </w:rPr>
            </w:pPr>
          </w:p>
          <w:p w14:paraId="1DE49242">
            <w:pPr>
              <w:adjustRightInd w:val="0"/>
              <w:snapToGrid w:val="0"/>
              <w:jc w:val="center"/>
              <w:rPr>
                <w:rFonts w:hint="eastAsia" w:ascii="宋体" w:hAnsi="宋体" w:cs="宋体"/>
                <w:kern w:val="0"/>
                <w:sz w:val="24"/>
                <w:szCs w:val="24"/>
                <w:highlight w:val="none"/>
              </w:rPr>
            </w:pPr>
          </w:p>
          <w:p w14:paraId="31C96AAA">
            <w:pPr>
              <w:adjustRightInd w:val="0"/>
              <w:snapToGrid w:val="0"/>
              <w:jc w:val="center"/>
              <w:rPr>
                <w:rFonts w:hint="eastAsia" w:ascii="宋体" w:hAnsi="宋体" w:cs="宋体"/>
                <w:kern w:val="0"/>
                <w:sz w:val="24"/>
                <w:szCs w:val="24"/>
                <w:highlight w:val="none"/>
              </w:rPr>
            </w:pPr>
          </w:p>
          <w:p w14:paraId="6E7D5E56">
            <w:pPr>
              <w:adjustRightInd w:val="0"/>
              <w:snapToGrid w:val="0"/>
              <w:jc w:val="center"/>
              <w:rPr>
                <w:rFonts w:hint="eastAsia" w:ascii="宋体" w:hAnsi="宋体" w:cs="宋体"/>
                <w:kern w:val="0"/>
                <w:sz w:val="24"/>
                <w:szCs w:val="24"/>
                <w:highlight w:val="none"/>
              </w:rPr>
            </w:pPr>
          </w:p>
          <w:p w14:paraId="5E43AAF3">
            <w:pPr>
              <w:adjustRightInd w:val="0"/>
              <w:snapToGrid w:val="0"/>
              <w:jc w:val="center"/>
              <w:rPr>
                <w:rFonts w:hint="eastAsia" w:ascii="宋体" w:hAnsi="宋体" w:cs="宋体"/>
                <w:kern w:val="0"/>
                <w:sz w:val="24"/>
                <w:szCs w:val="24"/>
                <w:highlight w:val="none"/>
              </w:rPr>
            </w:pPr>
          </w:p>
          <w:p w14:paraId="61EE4D22">
            <w:pPr>
              <w:adjustRightInd w:val="0"/>
              <w:snapToGrid w:val="0"/>
              <w:jc w:val="center"/>
              <w:rPr>
                <w:rFonts w:hint="eastAsia" w:ascii="宋体" w:hAnsi="宋体" w:cs="宋体"/>
                <w:kern w:val="0"/>
                <w:sz w:val="24"/>
                <w:szCs w:val="24"/>
                <w:highlight w:val="none"/>
              </w:rPr>
            </w:pPr>
          </w:p>
          <w:p w14:paraId="42ABE957">
            <w:pPr>
              <w:adjustRightInd w:val="0"/>
              <w:snapToGrid w:val="0"/>
              <w:jc w:val="center"/>
              <w:rPr>
                <w:rFonts w:hint="eastAsia" w:ascii="宋体" w:hAnsi="宋体" w:cs="宋体"/>
                <w:kern w:val="0"/>
                <w:sz w:val="24"/>
                <w:szCs w:val="24"/>
                <w:highlight w:val="none"/>
              </w:rPr>
            </w:pPr>
          </w:p>
          <w:p w14:paraId="6D18B767">
            <w:pPr>
              <w:adjustRightInd w:val="0"/>
              <w:snapToGrid w:val="0"/>
              <w:jc w:val="center"/>
              <w:rPr>
                <w:rFonts w:hint="eastAsia" w:ascii="宋体" w:hAnsi="宋体" w:cs="宋体"/>
                <w:kern w:val="0"/>
                <w:sz w:val="24"/>
                <w:szCs w:val="24"/>
                <w:highlight w:val="none"/>
              </w:rPr>
            </w:pPr>
          </w:p>
          <w:p w14:paraId="584BF1E2">
            <w:pPr>
              <w:adjustRightInd w:val="0"/>
              <w:snapToGrid w:val="0"/>
              <w:jc w:val="center"/>
              <w:rPr>
                <w:rFonts w:hint="eastAsia" w:ascii="宋体" w:hAnsi="宋体" w:cs="宋体"/>
                <w:kern w:val="0"/>
                <w:sz w:val="24"/>
                <w:szCs w:val="24"/>
                <w:highlight w:val="none"/>
              </w:rPr>
            </w:pPr>
          </w:p>
          <w:p w14:paraId="08988EAC">
            <w:pPr>
              <w:adjustRightInd w:val="0"/>
              <w:snapToGrid w:val="0"/>
              <w:jc w:val="center"/>
              <w:rPr>
                <w:rFonts w:hint="eastAsia" w:ascii="宋体" w:hAnsi="宋体" w:cs="宋体"/>
                <w:kern w:val="0"/>
                <w:sz w:val="24"/>
                <w:szCs w:val="24"/>
                <w:highlight w:val="none"/>
              </w:rPr>
            </w:pPr>
          </w:p>
          <w:p w14:paraId="721D01BA">
            <w:pPr>
              <w:adjustRightInd w:val="0"/>
              <w:snapToGrid w:val="0"/>
              <w:jc w:val="center"/>
              <w:rPr>
                <w:rFonts w:hint="eastAsia" w:ascii="宋体" w:hAnsi="宋体" w:cs="宋体"/>
                <w:kern w:val="0"/>
                <w:sz w:val="24"/>
                <w:szCs w:val="24"/>
                <w:highlight w:val="none"/>
              </w:rPr>
            </w:pPr>
          </w:p>
          <w:p w14:paraId="6C5BFE75">
            <w:pPr>
              <w:adjustRightInd w:val="0"/>
              <w:snapToGrid w:val="0"/>
              <w:jc w:val="center"/>
              <w:rPr>
                <w:rFonts w:hint="eastAsia" w:ascii="宋体" w:hAnsi="宋体" w:cs="宋体"/>
                <w:kern w:val="0"/>
                <w:sz w:val="24"/>
                <w:szCs w:val="24"/>
                <w:highlight w:val="none"/>
              </w:rPr>
            </w:pPr>
          </w:p>
          <w:p w14:paraId="1B71B3DF">
            <w:pPr>
              <w:adjustRightInd w:val="0"/>
              <w:snapToGrid w:val="0"/>
              <w:jc w:val="center"/>
              <w:rPr>
                <w:rFonts w:hint="eastAsia" w:ascii="宋体" w:hAnsi="宋体" w:cs="宋体"/>
                <w:kern w:val="0"/>
                <w:sz w:val="24"/>
                <w:szCs w:val="24"/>
                <w:highlight w:val="none"/>
              </w:rPr>
            </w:pPr>
          </w:p>
          <w:p w14:paraId="4BB9C4D9">
            <w:pPr>
              <w:adjustRightInd w:val="0"/>
              <w:snapToGrid w:val="0"/>
              <w:jc w:val="center"/>
              <w:rPr>
                <w:rFonts w:hint="eastAsia" w:ascii="宋体" w:hAnsi="宋体" w:cs="宋体"/>
                <w:kern w:val="0"/>
                <w:sz w:val="24"/>
                <w:szCs w:val="24"/>
                <w:highlight w:val="none"/>
              </w:rPr>
            </w:pPr>
          </w:p>
          <w:p w14:paraId="1DC03976">
            <w:pPr>
              <w:adjustRightInd w:val="0"/>
              <w:snapToGrid w:val="0"/>
              <w:jc w:val="center"/>
              <w:rPr>
                <w:rFonts w:hint="eastAsia" w:ascii="宋体" w:hAnsi="宋体" w:cs="宋体"/>
                <w:kern w:val="0"/>
                <w:sz w:val="24"/>
                <w:szCs w:val="24"/>
                <w:highlight w:val="none"/>
              </w:rPr>
            </w:pPr>
          </w:p>
          <w:p w14:paraId="7C30C94D">
            <w:pPr>
              <w:adjustRightInd w:val="0"/>
              <w:snapToGrid w:val="0"/>
              <w:jc w:val="center"/>
              <w:rPr>
                <w:rFonts w:hint="eastAsia" w:ascii="宋体" w:hAnsi="宋体" w:cs="宋体"/>
                <w:kern w:val="0"/>
                <w:sz w:val="24"/>
                <w:szCs w:val="24"/>
                <w:highlight w:val="none"/>
              </w:rPr>
            </w:pPr>
          </w:p>
          <w:p w14:paraId="1103E268">
            <w:pPr>
              <w:adjustRightInd w:val="0"/>
              <w:snapToGrid w:val="0"/>
              <w:jc w:val="center"/>
              <w:rPr>
                <w:rFonts w:hint="eastAsia" w:ascii="宋体" w:hAnsi="宋体" w:cs="宋体"/>
                <w:kern w:val="0"/>
                <w:sz w:val="24"/>
                <w:szCs w:val="24"/>
                <w:highlight w:val="none"/>
              </w:rPr>
            </w:pPr>
          </w:p>
        </w:tc>
        <w:tc>
          <w:tcPr>
            <w:tcW w:w="9109" w:type="dxa"/>
            <w:noWrap w:val="0"/>
            <w:vAlign w:val="center"/>
          </w:tcPr>
          <w:p w14:paraId="5F460A14">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宋体" w:hAnsi="宋体" w:cs="宋体"/>
                <w:kern w:val="0"/>
                <w:sz w:val="24"/>
                <w:szCs w:val="24"/>
                <w:highlight w:val="none"/>
                <w:lang w:eastAsia="zh-CN"/>
              </w:rPr>
            </w:pPr>
          </w:p>
          <w:p w14:paraId="4BA88211">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宋体" w:hAnsi="宋体" w:cs="宋体"/>
                <w:kern w:val="0"/>
                <w:sz w:val="24"/>
                <w:szCs w:val="24"/>
                <w:highlight w:val="none"/>
                <w:lang w:eastAsia="zh-CN"/>
              </w:rPr>
            </w:pPr>
          </w:p>
          <w:p w14:paraId="3BB50E83">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宋体" w:hAnsi="宋体" w:cs="宋体"/>
                <w:kern w:val="0"/>
                <w:sz w:val="24"/>
                <w:szCs w:val="24"/>
                <w:highlight w:val="none"/>
                <w:lang w:eastAsia="zh-CN"/>
              </w:rPr>
            </w:pPr>
            <w:r>
              <w:rPr>
                <w:rFonts w:hint="eastAsia" w:ascii="宋体" w:hAnsi="宋体" w:cs="宋体"/>
                <w:kern w:val="0"/>
                <w:sz w:val="24"/>
                <w:szCs w:val="24"/>
                <w:highlight w:val="none"/>
                <w:lang w:eastAsia="zh-CN"/>
              </w:rPr>
              <w:t>无</w:t>
            </w:r>
          </w:p>
          <w:p w14:paraId="1EB46598">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宋体" w:hAnsi="宋体" w:cs="宋体"/>
                <w:kern w:val="0"/>
                <w:sz w:val="24"/>
                <w:szCs w:val="24"/>
                <w:highlight w:val="none"/>
                <w:lang w:eastAsia="zh-CN"/>
              </w:rPr>
            </w:pPr>
          </w:p>
          <w:p w14:paraId="41B263D7">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宋体" w:hAnsi="宋体" w:cs="宋体"/>
                <w:kern w:val="0"/>
                <w:sz w:val="24"/>
                <w:szCs w:val="24"/>
                <w:highlight w:val="none"/>
                <w:lang w:eastAsia="zh-CN"/>
              </w:rPr>
            </w:pPr>
          </w:p>
          <w:p w14:paraId="35096F3C">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宋体" w:hAnsi="宋体" w:cs="宋体"/>
                <w:kern w:val="0"/>
                <w:sz w:val="24"/>
                <w:szCs w:val="24"/>
                <w:highlight w:val="none"/>
                <w:lang w:eastAsia="zh-CN"/>
              </w:rPr>
            </w:pPr>
          </w:p>
        </w:tc>
      </w:tr>
    </w:tbl>
    <w:p w14:paraId="4B1FD3C6">
      <w:pPr>
        <w:pStyle w:val="15"/>
        <w:spacing w:line="240" w:lineRule="auto"/>
        <w:jc w:val="center"/>
        <w:outlineLvl w:val="0"/>
        <w:rPr>
          <w:rFonts w:ascii="黑体" w:hAnsi="黑体" w:eastAsia="黑体"/>
          <w:snapToGrid w:val="0"/>
          <w:sz w:val="30"/>
          <w:szCs w:val="30"/>
          <w:highlight w:val="none"/>
        </w:rPr>
      </w:pPr>
      <w:r>
        <w:rPr>
          <w:rFonts w:eastAsia="仿宋_GB2312"/>
          <w:b/>
          <w:bCs/>
          <w:highlight w:val="none"/>
        </w:rPr>
        <w:br w:type="page"/>
      </w:r>
      <w:bookmarkStart w:id="7" w:name="_Toc30436"/>
      <w:r>
        <w:rPr>
          <w:rFonts w:hint="eastAsia" w:ascii="黑体" w:hAnsi="黑体" w:eastAsia="黑体"/>
          <w:snapToGrid w:val="0"/>
          <w:sz w:val="30"/>
          <w:szCs w:val="30"/>
          <w:highlight w:val="none"/>
        </w:rPr>
        <w:t>三、生态环境现状、保护目标及评价标准</w:t>
      </w:r>
      <w:bookmarkEnd w:id="7"/>
    </w:p>
    <w:tbl>
      <w:tblPr>
        <w:tblStyle w:val="18"/>
        <w:tblW w:w="950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20"/>
        <w:gridCol w:w="8786"/>
      </w:tblGrid>
      <w:tr w14:paraId="268FFD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58" w:hRule="atLeast"/>
          <w:jc w:val="center"/>
        </w:trPr>
        <w:tc>
          <w:tcPr>
            <w:tcW w:w="720" w:type="dxa"/>
            <w:noWrap w:val="0"/>
            <w:vAlign w:val="center"/>
          </w:tcPr>
          <w:p w14:paraId="4F7BC507">
            <w:pPr>
              <w:adjustRightInd w:val="0"/>
              <w:snapToGrid w:val="0"/>
              <w:jc w:val="center"/>
              <w:rPr>
                <w:rFonts w:ascii="宋体" w:hAnsi="宋体" w:cs="宋体"/>
                <w:kern w:val="0"/>
                <w:szCs w:val="21"/>
                <w:highlight w:val="none"/>
              </w:rPr>
            </w:pPr>
            <w:r>
              <w:rPr>
                <w:rFonts w:hint="eastAsia" w:ascii="宋体" w:hAnsi="宋体" w:cs="宋体"/>
                <w:kern w:val="0"/>
                <w:sz w:val="24"/>
                <w:szCs w:val="24"/>
                <w:highlight w:val="none"/>
              </w:rPr>
              <w:t>生态环境现状</w:t>
            </w:r>
          </w:p>
        </w:tc>
        <w:tc>
          <w:tcPr>
            <w:tcW w:w="8786" w:type="dxa"/>
            <w:noWrap w:val="0"/>
            <w:vAlign w:val="center"/>
          </w:tcPr>
          <w:p w14:paraId="69BD0B8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both"/>
              <w:textAlignment w:val="auto"/>
              <w:rPr>
                <w:rFonts w:hint="eastAsia" w:cs="Times New Roman"/>
                <w:b/>
                <w:bCs/>
                <w:kern w:val="0"/>
                <w:sz w:val="24"/>
                <w:szCs w:val="24"/>
                <w:highlight w:val="none"/>
                <w:lang w:val="en-US" w:eastAsia="zh-CN"/>
              </w:rPr>
            </w:pPr>
            <w:r>
              <w:rPr>
                <w:rFonts w:hint="eastAsia" w:ascii="Times New Roman" w:hAnsi="Times New Roman" w:eastAsia="宋体" w:cs="Times New Roman"/>
                <w:b/>
                <w:bCs/>
                <w:kern w:val="0"/>
                <w:sz w:val="24"/>
                <w:szCs w:val="24"/>
                <w:highlight w:val="none"/>
                <w:lang w:val="en-US" w:eastAsia="zh-CN" w:bidi="ar-SA"/>
              </w:rPr>
              <w:t>1.</w:t>
            </w:r>
            <w:r>
              <w:rPr>
                <w:rFonts w:hint="default" w:ascii="Times New Roman" w:hAnsi="Times New Roman" w:cs="Times New Roman"/>
                <w:b/>
                <w:bCs/>
                <w:kern w:val="0"/>
                <w:sz w:val="24"/>
                <w:szCs w:val="24"/>
                <w:highlight w:val="none"/>
                <w:lang w:val="en-US" w:eastAsia="zh-CN"/>
              </w:rPr>
              <w:t>生态环境</w:t>
            </w:r>
            <w:r>
              <w:rPr>
                <w:rFonts w:hint="eastAsia" w:cs="Times New Roman"/>
                <w:b/>
                <w:bCs/>
                <w:kern w:val="0"/>
                <w:sz w:val="24"/>
                <w:szCs w:val="24"/>
                <w:highlight w:val="none"/>
                <w:lang w:val="en-US" w:eastAsia="zh-CN"/>
              </w:rPr>
              <w:t>质量现状</w:t>
            </w:r>
          </w:p>
          <w:p w14:paraId="6898CD1F">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cs="Times New Roman" w:eastAsiaTheme="minorEastAsia"/>
                <w:b/>
                <w:bCs/>
                <w:color w:val="auto"/>
                <w:kern w:val="0"/>
                <w:sz w:val="24"/>
                <w:szCs w:val="24"/>
                <w:highlight w:val="none"/>
                <w:u w:val="none" w:color="auto"/>
                <w:lang w:val="en-US" w:eastAsia="zh-CN"/>
              </w:rPr>
            </w:pPr>
            <w:r>
              <w:rPr>
                <w:rFonts w:hint="default" w:ascii="Times New Roman" w:hAnsi="Times New Roman" w:cs="Times New Roman" w:eastAsiaTheme="minorEastAsia"/>
                <w:b/>
                <w:bCs/>
                <w:color w:val="auto"/>
                <w:kern w:val="0"/>
                <w:sz w:val="24"/>
                <w:szCs w:val="24"/>
                <w:highlight w:val="none"/>
                <w:u w:val="none" w:color="auto"/>
                <w:lang w:val="en-US" w:eastAsia="zh-CN"/>
              </w:rPr>
              <w:t>1.1河南省主体功能区划</w:t>
            </w:r>
          </w:p>
          <w:p w14:paraId="4A007AD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河南省主体功能区规划》根据不同区域的资源环境承载能力、现有开发强度和发展潜力以及全省发展战略布局，将河南省国土空间按开发方式分为重点开发区域、限制开发区域和禁止开发区域，本项目位于安阳市</w:t>
            </w:r>
            <w:r>
              <w:rPr>
                <w:rFonts w:hint="eastAsia" w:cs="Times New Roman" w:eastAsiaTheme="minorEastAsia"/>
                <w:color w:val="auto"/>
                <w:sz w:val="24"/>
                <w:szCs w:val="24"/>
                <w:highlight w:val="none"/>
                <w:lang w:val="en-US" w:eastAsia="zh-CN"/>
              </w:rPr>
              <w:t>殷都区曲沟镇</w:t>
            </w:r>
            <w:r>
              <w:rPr>
                <w:rFonts w:hint="default" w:ascii="Times New Roman" w:hAnsi="Times New Roman" w:cs="Times New Roman" w:eastAsiaTheme="minorEastAsia"/>
                <w:color w:val="auto"/>
                <w:sz w:val="24"/>
                <w:szCs w:val="24"/>
                <w:highlight w:val="none"/>
                <w:lang w:val="en-US" w:eastAsia="zh-CN"/>
              </w:rPr>
              <w:t>，属于</w:t>
            </w:r>
            <w:r>
              <w:rPr>
                <w:rFonts w:hint="eastAsia" w:cs="Times New Roman" w:eastAsiaTheme="minorEastAsia"/>
                <w:color w:val="auto"/>
                <w:sz w:val="24"/>
                <w:szCs w:val="24"/>
                <w:highlight w:val="none"/>
                <w:lang w:val="en-US" w:eastAsia="zh-CN"/>
              </w:rPr>
              <w:t>省级</w:t>
            </w:r>
            <w:r>
              <w:rPr>
                <w:rFonts w:hint="default" w:ascii="Times New Roman" w:hAnsi="Times New Roman" w:cs="Times New Roman" w:eastAsiaTheme="minorEastAsia"/>
                <w:color w:val="auto"/>
                <w:sz w:val="24"/>
                <w:szCs w:val="24"/>
                <w:highlight w:val="none"/>
                <w:lang w:val="en-US" w:eastAsia="zh-CN"/>
              </w:rPr>
              <w:t>重点开发区域。</w:t>
            </w:r>
          </w:p>
          <w:p w14:paraId="0DDBF3F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重点开发区域主体功能定位是：地区性中心城市发展区，人口和经济的重要集聚区，全省城市体系的重要支撑点。加快推进城镇化。发挥中心城市依城促产以城带乡的主导作用，调整优化产业结构和城市空间布局结构，推进城市组团、城乡一体化示范区、中心城区协同发展。加快推进工业化；统城乡协调发展。推动城市基础设施、公共服务和现代文明向农村延伸，推进新农村建设。加快推进农业现代化。加强生态建设和环境保护。</w:t>
            </w:r>
          </w:p>
          <w:p w14:paraId="62041C9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eastAsiaTheme="minorEastAsia"/>
                <w:color w:val="auto"/>
                <w:sz w:val="24"/>
                <w:szCs w:val="24"/>
                <w:highlight w:val="none"/>
                <w:lang w:val="en-US" w:eastAsia="zh-CN"/>
              </w:rPr>
            </w:pPr>
            <w:r>
              <w:rPr>
                <w:rFonts w:hint="default" w:ascii="Times New Roman" w:hAnsi="Times New Roman" w:cs="Times New Roman" w:eastAsiaTheme="minorEastAsia"/>
                <w:color w:val="auto"/>
                <w:sz w:val="24"/>
                <w:szCs w:val="24"/>
                <w:highlight w:val="none"/>
                <w:lang w:val="en-US" w:eastAsia="zh-CN"/>
              </w:rPr>
              <w:t>本项目为</w:t>
            </w:r>
            <w:r>
              <w:rPr>
                <w:rFonts w:hint="eastAsia" w:asciiTheme="minorEastAsia" w:hAnsiTheme="minorEastAsia" w:eastAsiaTheme="minorEastAsia" w:cstheme="minorEastAsia"/>
                <w:b w:val="0"/>
                <w:bCs w:val="0"/>
                <w:color w:val="000000"/>
                <w:sz w:val="24"/>
                <w:szCs w:val="24"/>
                <w:highlight w:val="none"/>
              </w:rPr>
              <w:t>排涝通道建设</w:t>
            </w:r>
            <w:r>
              <w:rPr>
                <w:rFonts w:hint="default" w:ascii="Times New Roman" w:hAnsi="Times New Roman" w:cs="Times New Roman" w:eastAsiaTheme="minorEastAsia"/>
                <w:color w:val="auto"/>
                <w:sz w:val="24"/>
                <w:szCs w:val="24"/>
                <w:highlight w:val="none"/>
                <w:lang w:val="en-US" w:eastAsia="zh-CN"/>
              </w:rPr>
              <w:t>工程，</w:t>
            </w:r>
            <w:r>
              <w:rPr>
                <w:rFonts w:hint="eastAsia" w:ascii="Times New Roman" w:hAnsi="Times New Roman" w:cs="Times New Roman" w:eastAsiaTheme="minorEastAsia"/>
                <w:color w:val="auto"/>
                <w:sz w:val="24"/>
                <w:szCs w:val="24"/>
                <w:highlight w:val="none"/>
                <w:lang w:val="en-US" w:eastAsia="zh-CN"/>
              </w:rPr>
              <w:t>针</w:t>
            </w:r>
            <w:r>
              <w:rPr>
                <w:rFonts w:hint="default" w:ascii="Times New Roman" w:hAnsi="Times New Roman" w:cs="Times New Roman" w:eastAsiaTheme="minorEastAsia"/>
                <w:color w:val="auto"/>
                <w:sz w:val="24"/>
                <w:szCs w:val="24"/>
                <w:highlight w:val="none"/>
                <w:lang w:val="en-US" w:eastAsia="zh-CN"/>
              </w:rPr>
              <w:t>对殷都区范围内</w:t>
            </w:r>
            <w:r>
              <w:rPr>
                <w:rFonts w:hint="eastAsia" w:asciiTheme="minorEastAsia" w:hAnsiTheme="minorEastAsia" w:eastAsiaTheme="minorEastAsia" w:cstheme="minorEastAsia"/>
                <w:b w:val="0"/>
                <w:bCs w:val="0"/>
                <w:color w:val="000000"/>
                <w:sz w:val="24"/>
                <w:szCs w:val="24"/>
                <w:highlight w:val="none"/>
              </w:rPr>
              <w:t>部分排水</w:t>
            </w:r>
            <w:r>
              <w:rPr>
                <w:rFonts w:hint="default" w:ascii="Times New Roman" w:hAnsi="Times New Roman" w:eastAsia="宋体" w:cs="Times New Roman"/>
                <w:color w:val="auto"/>
                <w:kern w:val="0"/>
                <w:sz w:val="24"/>
                <w:szCs w:val="24"/>
                <w:highlight w:val="none"/>
                <w:u w:val="none" w:color="auto"/>
              </w:rPr>
              <w:t>沟渠存在淤泥堆积、污染物排放等问题，</w:t>
            </w:r>
            <w:r>
              <w:rPr>
                <w:rFonts w:hint="default" w:ascii="Times New Roman" w:hAnsi="Times New Roman" w:eastAsia="宋体" w:cs="Times New Roman"/>
                <w:color w:val="auto"/>
                <w:kern w:val="0"/>
                <w:sz w:val="24"/>
                <w:szCs w:val="24"/>
                <w:highlight w:val="none"/>
                <w:u w:val="none" w:color="auto"/>
                <w:lang w:val="en-US" w:eastAsia="zh-CN"/>
              </w:rPr>
              <w:t>本次建设</w:t>
            </w:r>
            <w:r>
              <w:rPr>
                <w:rFonts w:hint="default" w:ascii="Times New Roman" w:hAnsi="Times New Roman" w:eastAsia="宋体" w:cs="Times New Roman"/>
                <w:color w:val="auto"/>
                <w:kern w:val="0"/>
                <w:sz w:val="24"/>
                <w:szCs w:val="24"/>
                <w:highlight w:val="none"/>
                <w:u w:val="none" w:color="auto"/>
              </w:rPr>
              <w:t>将清理淤泥、加强污水处理和监管，提高水质环境质量。突出系统治理，统筹水系连通、河道清障、清淤疏浚、岸坡整治、水源涵养与水土保持、河湖管护等多项水利措施，增强城市对雨水的吸收和利用能力，减轻对自然环境的压力，为居民提供更加优美、宜居的生活环境。</w:t>
            </w:r>
            <w:r>
              <w:rPr>
                <w:rFonts w:hint="default" w:ascii="Times New Roman" w:hAnsi="Times New Roman" w:eastAsia="宋体" w:cs="Times New Roman"/>
                <w:color w:val="auto"/>
                <w:kern w:val="0"/>
                <w:sz w:val="24"/>
                <w:szCs w:val="24"/>
                <w:highlight w:val="none"/>
                <w:u w:val="none" w:color="auto"/>
                <w:lang w:val="en-US" w:eastAsia="zh-CN"/>
              </w:rPr>
              <w:t>与</w:t>
            </w:r>
            <w:r>
              <w:rPr>
                <w:rFonts w:hint="default" w:ascii="Times New Roman" w:hAnsi="Times New Roman" w:cs="Times New Roman" w:eastAsiaTheme="minorEastAsia"/>
                <w:color w:val="auto"/>
                <w:sz w:val="24"/>
                <w:szCs w:val="24"/>
                <w:highlight w:val="none"/>
                <w:lang w:val="en-US" w:eastAsia="zh-CN"/>
              </w:rPr>
              <w:t>《河南省主体功能区规划》对于工程区域的功能定位、发展方向等相符合。</w:t>
            </w:r>
          </w:p>
          <w:p w14:paraId="6B01A8FE">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auto"/>
                <w:kern w:val="0"/>
                <w:sz w:val="24"/>
                <w:szCs w:val="24"/>
                <w:highlight w:val="none"/>
                <w:u w:val="none" w:color="auto"/>
                <w:lang w:val="en-US" w:eastAsia="zh-CN"/>
              </w:rPr>
            </w:pPr>
            <w:r>
              <w:rPr>
                <w:rFonts w:hint="eastAsia" w:ascii="Times New Roman" w:hAnsi="Times New Roman" w:eastAsia="宋体" w:cs="Times New Roman"/>
                <w:b/>
                <w:bCs/>
                <w:color w:val="auto"/>
                <w:kern w:val="0"/>
                <w:sz w:val="24"/>
                <w:szCs w:val="24"/>
                <w:highlight w:val="none"/>
                <w:u w:val="none" w:color="auto"/>
                <w:lang w:val="en-US" w:eastAsia="zh-CN"/>
              </w:rPr>
              <w:t>1</w:t>
            </w:r>
            <w:r>
              <w:rPr>
                <w:rFonts w:hint="default" w:ascii="Times New Roman" w:hAnsi="Times New Roman" w:eastAsia="宋体" w:cs="Times New Roman"/>
                <w:b/>
                <w:bCs/>
                <w:color w:val="auto"/>
                <w:kern w:val="0"/>
                <w:sz w:val="24"/>
                <w:szCs w:val="24"/>
                <w:highlight w:val="none"/>
                <w:u w:val="none" w:color="auto"/>
                <w:lang w:val="en-US" w:eastAsia="zh-CN"/>
              </w:rPr>
              <w:t>.</w:t>
            </w:r>
            <w:r>
              <w:rPr>
                <w:rFonts w:hint="eastAsia" w:ascii="Times New Roman" w:hAnsi="Times New Roman" w:eastAsia="宋体" w:cs="Times New Roman"/>
                <w:b/>
                <w:bCs/>
                <w:color w:val="auto"/>
                <w:kern w:val="0"/>
                <w:sz w:val="24"/>
                <w:szCs w:val="24"/>
                <w:highlight w:val="none"/>
                <w:u w:val="none" w:color="auto"/>
                <w:lang w:val="en-US" w:eastAsia="zh-CN"/>
              </w:rPr>
              <w:t>2</w:t>
            </w:r>
            <w:r>
              <w:rPr>
                <w:rFonts w:hint="default" w:ascii="Times New Roman" w:hAnsi="Times New Roman" w:eastAsia="宋体" w:cs="Times New Roman"/>
                <w:b/>
                <w:bCs/>
                <w:color w:val="auto"/>
                <w:kern w:val="0"/>
                <w:sz w:val="24"/>
                <w:szCs w:val="24"/>
                <w:highlight w:val="none"/>
                <w:u w:val="none" w:color="auto"/>
                <w:lang w:val="en-US" w:eastAsia="zh-CN"/>
              </w:rPr>
              <w:t>河南省</w:t>
            </w:r>
            <w:r>
              <w:rPr>
                <w:rFonts w:hint="eastAsia" w:ascii="Times New Roman" w:hAnsi="Times New Roman" w:eastAsia="宋体" w:cs="Times New Roman"/>
                <w:b/>
                <w:bCs/>
                <w:color w:val="auto"/>
                <w:kern w:val="0"/>
                <w:sz w:val="24"/>
                <w:szCs w:val="24"/>
                <w:highlight w:val="none"/>
                <w:u w:val="none" w:color="auto"/>
                <w:lang w:val="en-US" w:eastAsia="zh-CN"/>
              </w:rPr>
              <w:t>生态</w:t>
            </w:r>
            <w:r>
              <w:rPr>
                <w:rFonts w:hint="default" w:ascii="Times New Roman" w:hAnsi="Times New Roman" w:eastAsia="宋体" w:cs="Times New Roman"/>
                <w:b/>
                <w:bCs/>
                <w:color w:val="auto"/>
                <w:kern w:val="0"/>
                <w:sz w:val="24"/>
                <w:szCs w:val="24"/>
                <w:highlight w:val="none"/>
                <w:u w:val="none" w:color="auto"/>
                <w:lang w:val="en-US" w:eastAsia="zh-CN"/>
              </w:rPr>
              <w:t>功能区划</w:t>
            </w:r>
          </w:p>
          <w:p w14:paraId="33FC64B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u w:val="none" w:color="auto"/>
                <w:lang w:val="en-US" w:eastAsia="zh-CN"/>
              </w:rPr>
            </w:pPr>
            <w:r>
              <w:rPr>
                <w:rFonts w:hint="default" w:ascii="Times New Roman" w:hAnsi="Times New Roman" w:eastAsia="宋体" w:cs="Times New Roman"/>
                <w:color w:val="auto"/>
                <w:kern w:val="0"/>
                <w:sz w:val="24"/>
                <w:szCs w:val="24"/>
                <w:highlight w:val="none"/>
                <w:u w:val="none" w:color="auto"/>
                <w:lang w:val="en-US" w:eastAsia="zh-CN"/>
              </w:rPr>
              <w:t>根据《河南省生态功能区划》，河南省在全省范围内按照其地理位置和生态特征分为5个一级生态区、18个二级生态亚区和51个三级生态功能区。根据《河南省生态功能区划》，项目所在地属于</w:t>
            </w:r>
            <w:r>
              <w:rPr>
                <w:rFonts w:hint="eastAsia" w:cs="Times New Roman"/>
                <w:color w:val="auto"/>
                <w:kern w:val="0"/>
                <w:sz w:val="24"/>
                <w:szCs w:val="24"/>
                <w:highlight w:val="none"/>
                <w:u w:val="none" w:color="auto"/>
                <w:lang w:val="en-US" w:eastAsia="zh-CN"/>
              </w:rPr>
              <w:t>“</w:t>
            </w:r>
            <w:r>
              <w:rPr>
                <w:rFonts w:hint="default" w:ascii="Times New Roman" w:hAnsi="Times New Roman" w:eastAsia="宋体" w:cs="Times New Roman"/>
                <w:color w:val="auto"/>
                <w:kern w:val="0"/>
                <w:sz w:val="24"/>
                <w:szCs w:val="24"/>
                <w:highlight w:val="none"/>
                <w:u w:val="none" w:color="auto"/>
                <w:lang w:val="en-US" w:eastAsia="zh-CN"/>
              </w:rPr>
              <w:t>V黄淮海平原农业生态区</w:t>
            </w:r>
            <w:r>
              <w:rPr>
                <w:rFonts w:hint="eastAsia" w:cs="Times New Roman"/>
                <w:color w:val="auto"/>
                <w:kern w:val="0"/>
                <w:sz w:val="24"/>
                <w:szCs w:val="24"/>
                <w:highlight w:val="none"/>
                <w:u w:val="none" w:color="auto"/>
                <w:lang w:val="en-US" w:eastAsia="zh-CN"/>
              </w:rPr>
              <w:t>”“</w:t>
            </w:r>
            <w:r>
              <w:rPr>
                <w:rFonts w:hint="default" w:ascii="Times New Roman" w:hAnsi="Times New Roman" w:eastAsia="宋体" w:cs="Times New Roman"/>
                <w:color w:val="auto"/>
                <w:kern w:val="0"/>
                <w:sz w:val="24"/>
                <w:szCs w:val="24"/>
                <w:highlight w:val="none"/>
                <w:u w:val="none" w:color="auto"/>
                <w:lang w:val="en-US" w:eastAsia="zh-CN"/>
              </w:rPr>
              <w:t>V</w:t>
            </w:r>
            <w:r>
              <w:rPr>
                <w:rFonts w:hint="default" w:ascii="Times New Roman" w:hAnsi="Times New Roman" w:eastAsia="宋体" w:cs="Times New Roman"/>
                <w:color w:val="auto"/>
                <w:kern w:val="0"/>
                <w:sz w:val="24"/>
                <w:szCs w:val="24"/>
                <w:highlight w:val="none"/>
                <w:u w:val="none" w:color="auto"/>
                <w:vertAlign w:val="subscript"/>
                <w:lang w:val="en-US" w:eastAsia="zh-CN"/>
              </w:rPr>
              <w:t>1</w:t>
            </w:r>
            <w:r>
              <w:rPr>
                <w:rFonts w:hint="default" w:ascii="Times New Roman" w:hAnsi="Times New Roman" w:eastAsia="宋体" w:cs="Times New Roman"/>
                <w:color w:val="auto"/>
                <w:kern w:val="0"/>
                <w:sz w:val="24"/>
                <w:szCs w:val="24"/>
                <w:highlight w:val="none"/>
                <w:u w:val="none" w:color="auto"/>
                <w:lang w:val="en-US" w:eastAsia="zh-CN"/>
              </w:rPr>
              <w:t>豫北平原农业生态亚区</w:t>
            </w:r>
            <w:r>
              <w:rPr>
                <w:rFonts w:hint="eastAsia" w:cs="Times New Roman"/>
                <w:color w:val="auto"/>
                <w:kern w:val="0"/>
                <w:sz w:val="24"/>
                <w:szCs w:val="24"/>
                <w:highlight w:val="none"/>
                <w:u w:val="none" w:color="auto"/>
                <w:lang w:val="en-US" w:eastAsia="zh-CN"/>
              </w:rPr>
              <w:t>”</w:t>
            </w:r>
            <w:r>
              <w:rPr>
                <w:rFonts w:hint="default" w:ascii="Times New Roman" w:hAnsi="Times New Roman" w:eastAsia="宋体" w:cs="Times New Roman"/>
                <w:color w:val="auto"/>
                <w:kern w:val="0"/>
                <w:sz w:val="24"/>
                <w:szCs w:val="24"/>
                <w:highlight w:val="none"/>
                <w:u w:val="none" w:color="auto"/>
                <w:lang w:val="en-US" w:eastAsia="zh-CN"/>
              </w:rPr>
              <w:t>中的V</w:t>
            </w:r>
            <w:r>
              <w:rPr>
                <w:rFonts w:hint="default" w:ascii="Times New Roman" w:hAnsi="Times New Roman" w:eastAsia="宋体" w:cs="Times New Roman"/>
                <w:color w:val="auto"/>
                <w:kern w:val="0"/>
                <w:sz w:val="24"/>
                <w:szCs w:val="24"/>
                <w:highlight w:val="none"/>
                <w:u w:val="none" w:color="auto"/>
                <w:vertAlign w:val="subscript"/>
                <w:lang w:val="en-US" w:eastAsia="zh-CN"/>
              </w:rPr>
              <w:t>1-3</w:t>
            </w:r>
            <w:r>
              <w:rPr>
                <w:rFonts w:hint="default" w:ascii="Times New Roman" w:hAnsi="Times New Roman" w:eastAsia="宋体" w:cs="Times New Roman"/>
                <w:color w:val="auto"/>
                <w:kern w:val="0"/>
                <w:sz w:val="24"/>
                <w:szCs w:val="24"/>
                <w:highlight w:val="none"/>
                <w:u w:val="none" w:color="auto"/>
                <w:lang w:val="en-US" w:eastAsia="zh-CN"/>
              </w:rPr>
              <w:t>豫北平原农业生态功能区。</w:t>
            </w:r>
          </w:p>
          <w:p w14:paraId="4AA66DA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u w:val="none" w:color="auto"/>
                <w:lang w:val="en-US" w:eastAsia="zh-CN"/>
              </w:rPr>
            </w:pPr>
            <w:r>
              <w:rPr>
                <w:rFonts w:hint="default" w:ascii="Times New Roman" w:hAnsi="Times New Roman" w:eastAsia="宋体" w:cs="Times New Roman"/>
                <w:color w:val="auto"/>
                <w:kern w:val="0"/>
                <w:sz w:val="24"/>
                <w:szCs w:val="24"/>
                <w:highlight w:val="none"/>
                <w:u w:val="none" w:color="auto"/>
                <w:lang w:val="en-US" w:eastAsia="zh-CN"/>
              </w:rPr>
              <w:t>该功能区属平原农业生态系统，海拔高度为56~100m，地势平坦，土地肥沃有良好的灌溉条件，适合农作物生长。农作物以小麦、玉米、大豆、花生为主，是国家重要的商品粮基地。近年来，畜禽养殖业发展迅速，畜禽粪造成农村环境污染，农民盲目使用化肥、农药、农膜，致使水污染严重，水环境胁迫性强，地下水资源超采严重。生态保护措施及目标是适度利用地下水资源，合理施肥、加强作物秸秆综合利用，大力发展循环经济，控制农村面源污染，保护农业生态环境。</w:t>
            </w:r>
          </w:p>
          <w:p w14:paraId="5909D2E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u w:val="none" w:color="auto"/>
                <w:lang w:val="en-US" w:eastAsia="zh-CN"/>
              </w:rPr>
            </w:pPr>
            <w:r>
              <w:rPr>
                <w:rFonts w:hint="default" w:ascii="Times New Roman" w:hAnsi="Times New Roman" w:eastAsia="宋体" w:cs="Times New Roman"/>
                <w:color w:val="auto"/>
                <w:kern w:val="0"/>
                <w:sz w:val="24"/>
                <w:szCs w:val="24"/>
                <w:highlight w:val="none"/>
                <w:u w:val="none" w:color="auto"/>
                <w:lang w:val="en-US" w:eastAsia="zh-CN"/>
              </w:rPr>
              <w:t>本项目为</w:t>
            </w:r>
            <w:r>
              <w:rPr>
                <w:rFonts w:hint="eastAsia" w:cs="Times New Roman"/>
                <w:color w:val="auto"/>
                <w:kern w:val="0"/>
                <w:sz w:val="24"/>
                <w:szCs w:val="24"/>
                <w:highlight w:val="none"/>
                <w:u w:val="none" w:color="auto"/>
                <w:lang w:val="en-US" w:eastAsia="zh-CN"/>
              </w:rPr>
              <w:t>河道治理、</w:t>
            </w:r>
            <w:r>
              <w:rPr>
                <w:rFonts w:hint="eastAsia" w:asciiTheme="minorEastAsia" w:hAnsiTheme="minorEastAsia" w:eastAsiaTheme="minorEastAsia" w:cstheme="minorEastAsia"/>
                <w:b w:val="0"/>
                <w:bCs w:val="0"/>
                <w:color w:val="000000"/>
                <w:sz w:val="24"/>
                <w:szCs w:val="24"/>
                <w:highlight w:val="none"/>
              </w:rPr>
              <w:t>排涝通道建设</w:t>
            </w:r>
            <w:r>
              <w:rPr>
                <w:rFonts w:hint="default" w:ascii="Times New Roman" w:hAnsi="Times New Roman" w:cs="Times New Roman" w:eastAsiaTheme="minorEastAsia"/>
                <w:color w:val="auto"/>
                <w:sz w:val="24"/>
                <w:szCs w:val="24"/>
                <w:highlight w:val="none"/>
                <w:lang w:val="en-US" w:eastAsia="zh-CN"/>
              </w:rPr>
              <w:t>工程</w:t>
            </w:r>
            <w:r>
              <w:rPr>
                <w:rFonts w:hint="default"/>
                <w:color w:val="auto"/>
                <w:sz w:val="24"/>
                <w:szCs w:val="24"/>
                <w:highlight w:val="none"/>
                <w:lang w:val="en-US" w:eastAsia="zh-CN"/>
              </w:rPr>
              <w:t>，</w:t>
            </w:r>
            <w:r>
              <w:rPr>
                <w:rFonts w:hint="default" w:ascii="Times New Roman" w:hAnsi="Times New Roman" w:eastAsia="宋体" w:cs="Times New Roman"/>
                <w:color w:val="auto"/>
                <w:kern w:val="0"/>
                <w:sz w:val="24"/>
                <w:szCs w:val="24"/>
                <w:highlight w:val="none"/>
                <w:u w:val="none" w:color="auto"/>
                <w:lang w:val="en-US" w:eastAsia="zh-CN"/>
              </w:rPr>
              <w:t>不属于工业项目，主要环境影响为施工期，且随着施工期的结束而消失，且项目的实施增加</w:t>
            </w:r>
            <w:r>
              <w:rPr>
                <w:rFonts w:hint="eastAsia" w:ascii="Times New Roman" w:hAnsi="Times New Roman" w:eastAsia="宋体" w:cs="Times New Roman"/>
                <w:color w:val="auto"/>
                <w:kern w:val="0"/>
                <w:sz w:val="24"/>
                <w:szCs w:val="24"/>
                <w:highlight w:val="none"/>
                <w:u w:val="none" w:color="auto"/>
                <w:lang w:val="en-US" w:eastAsia="zh-CN"/>
              </w:rPr>
              <w:t>区域的防洪能力</w:t>
            </w:r>
            <w:r>
              <w:rPr>
                <w:rFonts w:hint="default" w:ascii="Times New Roman" w:hAnsi="Times New Roman" w:eastAsia="宋体" w:cs="Times New Roman"/>
                <w:color w:val="auto"/>
                <w:kern w:val="0"/>
                <w:sz w:val="24"/>
                <w:szCs w:val="24"/>
                <w:highlight w:val="none"/>
                <w:u w:val="none" w:color="auto"/>
                <w:lang w:val="en-US" w:eastAsia="zh-CN"/>
              </w:rPr>
              <w:t>，有利于农业发展，同时改善水环境及生态环境，保护农业生态环境符合生态功能区要求。</w:t>
            </w:r>
          </w:p>
          <w:p w14:paraId="20576E0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cs="Times New Roman"/>
                <w:b/>
                <w:bCs/>
                <w:kern w:val="0"/>
                <w:sz w:val="24"/>
                <w:szCs w:val="24"/>
                <w:highlight w:val="none"/>
                <w:lang w:val="en-US" w:eastAsia="zh-CN"/>
              </w:rPr>
            </w:pPr>
            <w:r>
              <w:rPr>
                <w:rFonts w:hint="default" w:ascii="Times New Roman" w:hAnsi="Times New Roman" w:cs="Times New Roman"/>
                <w:b/>
                <w:bCs/>
                <w:kern w:val="0"/>
                <w:sz w:val="24"/>
                <w:szCs w:val="24"/>
                <w:highlight w:val="none"/>
                <w:lang w:val="en-US" w:eastAsia="zh-CN"/>
              </w:rPr>
              <w:t>1.</w:t>
            </w:r>
            <w:r>
              <w:rPr>
                <w:rFonts w:hint="eastAsia" w:cs="Times New Roman"/>
                <w:b/>
                <w:bCs/>
                <w:kern w:val="0"/>
                <w:sz w:val="24"/>
                <w:szCs w:val="24"/>
                <w:highlight w:val="none"/>
                <w:lang w:val="en-US" w:eastAsia="zh-CN"/>
              </w:rPr>
              <w:t>3</w:t>
            </w:r>
            <w:r>
              <w:rPr>
                <w:rFonts w:hint="default" w:ascii="Times New Roman" w:hAnsi="Times New Roman" w:cs="Times New Roman"/>
                <w:b/>
                <w:bCs/>
                <w:kern w:val="0"/>
                <w:sz w:val="24"/>
                <w:szCs w:val="24"/>
                <w:highlight w:val="none"/>
                <w:lang w:val="en-US" w:eastAsia="zh-CN"/>
              </w:rPr>
              <w:t>自然条件</w:t>
            </w:r>
          </w:p>
          <w:p w14:paraId="20FF5520">
            <w:pPr>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安阳市位于河南省北部，属北温带大陆性季风气候，四季分明，日照充足，雨量集中，其特点是：春季干旱，回暖快；夏季炎热，雨量多；秋季凉爽，雨量集中；冬季严寒少雨雪。全市年平均气温13.8℃，7月份平均气温27.2℃，1月份平均气温-2.7℃。年平均降水量570.1mm，降雨多集中在7、8月份。据安阳市近年气象资料表明，全年最多风向为南风，频率为18.5%，与南风相邻的东南风和西南风也较多，偏南风频率高达36%。次多风向为东北风，频率为11.4%，静风频率8.2%，年平均风速为2.5m/s。</w:t>
            </w:r>
          </w:p>
          <w:p w14:paraId="1714260F">
            <w:pPr>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安阳地势西高东低，西部为山区，东部为平原，西部系太行山东麓，东部属黄淮海平原，地形复杂多样，平原、山地、丘陵、泊洼分别占总面积的53.8%、29.7%、10.8%、5.7%。最高峰在林州境内的四方垴，海拔1632米；最低处在滑县境内的金堤河沿岸，海拔50米。</w:t>
            </w:r>
          </w:p>
          <w:p w14:paraId="5CE35F7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jc w:val="both"/>
              <w:textAlignment w:val="auto"/>
              <w:rPr>
                <w:rFonts w:hint="eastAsia" w:cs="Times New Roman"/>
                <w:b/>
                <w:bCs/>
                <w:kern w:val="0"/>
                <w:sz w:val="24"/>
                <w:szCs w:val="24"/>
                <w:highlight w:val="none"/>
                <w:lang w:val="en-US" w:eastAsia="zh-CN"/>
              </w:rPr>
            </w:pPr>
            <w:r>
              <w:rPr>
                <w:rFonts w:hint="eastAsia" w:cs="Times New Roman"/>
                <w:b/>
                <w:bCs/>
                <w:kern w:val="0"/>
                <w:sz w:val="24"/>
                <w:szCs w:val="24"/>
                <w:highlight w:val="none"/>
                <w:lang w:val="en-US" w:eastAsia="zh-CN"/>
              </w:rPr>
              <w:t>1.4动植物种类调查与评价</w:t>
            </w:r>
          </w:p>
          <w:p w14:paraId="4FD0AC48">
            <w:pPr>
              <w:adjustRightInd w:val="0"/>
              <w:snapToGrid w:val="0"/>
              <w:spacing w:beforeLines="0" w:afterLines="0" w:line="360" w:lineRule="auto"/>
              <w:ind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对项目区域内的动植物种类进行调查，结果表明，该区域自然植被属暖温落叶、阔叶林带，随着垦殖耕作历史的发展，地表天然植被已被破坏殆尽，残留极少，主要为人工种植的用材绿化树种、经济树种及伴生或自然生长的草本；动物主要以驯养的家禽家畜为主。</w:t>
            </w:r>
          </w:p>
          <w:p w14:paraId="161CA047">
            <w:pPr>
              <w:adjustRightInd w:val="0"/>
              <w:snapToGrid w:val="0"/>
              <w:spacing w:beforeLines="0" w:afterLines="0" w:line="360" w:lineRule="auto"/>
              <w:ind w:firstLine="480" w:firstLineChars="200"/>
              <w:rPr>
                <w:rFonts w:hint="eastAsia" w:ascii="Times New Roman" w:hAnsi="Times New Roman" w:eastAsia="宋体" w:cs="Times New Roman"/>
                <w:color w:val="auto"/>
                <w:kern w:val="0"/>
                <w:sz w:val="24"/>
                <w:szCs w:val="24"/>
                <w:highlight w:val="none"/>
                <w:u w:val="none" w:color="auto"/>
                <w:lang w:val="en-US" w:eastAsia="zh-CN"/>
              </w:rPr>
            </w:pPr>
            <w:r>
              <w:rPr>
                <w:rFonts w:hint="eastAsia" w:ascii="Times New Roman" w:hAnsi="Times New Roman" w:eastAsia="宋体" w:cs="Times New Roman"/>
                <w:color w:val="auto"/>
                <w:kern w:val="0"/>
                <w:sz w:val="24"/>
                <w:szCs w:val="24"/>
                <w:highlight w:val="none"/>
                <w:u w:val="none" w:color="auto"/>
                <w:lang w:val="en-US" w:eastAsia="zh-CN"/>
              </w:rPr>
              <w:t>1.</w:t>
            </w:r>
            <w:r>
              <w:rPr>
                <w:rFonts w:hint="eastAsia" w:cs="Times New Roman"/>
                <w:color w:val="auto"/>
                <w:kern w:val="0"/>
                <w:sz w:val="24"/>
                <w:szCs w:val="24"/>
                <w:highlight w:val="none"/>
                <w:u w:val="none" w:color="auto"/>
                <w:lang w:val="en-US" w:eastAsia="zh-CN"/>
              </w:rPr>
              <w:t>4</w:t>
            </w:r>
            <w:r>
              <w:rPr>
                <w:rFonts w:hint="eastAsia" w:ascii="Times New Roman" w:hAnsi="Times New Roman" w:eastAsia="宋体" w:cs="Times New Roman"/>
                <w:color w:val="auto"/>
                <w:kern w:val="0"/>
                <w:sz w:val="24"/>
                <w:szCs w:val="24"/>
                <w:highlight w:val="none"/>
                <w:u w:val="none" w:color="auto"/>
                <w:lang w:val="en-US" w:eastAsia="zh-CN"/>
              </w:rPr>
              <w:t>.1 主要植物种类</w:t>
            </w:r>
          </w:p>
          <w:p w14:paraId="4C21A92F">
            <w:pPr>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该区域物种组成及群落类型表现出北暖温带植被特征，气候条件满足小麦、玉米、芝麻等喜温作物一年一熟的需要，基本满足小麦—玉米、小麦—芝麻等一年两熟的需要。主要粮食作物：玉米、大豆、芝麻、小麦等。</w:t>
            </w:r>
          </w:p>
          <w:p w14:paraId="23DD4AA9">
            <w:pPr>
              <w:adjustRightInd w:val="0"/>
              <w:snapToGrid w:val="0"/>
              <w:spacing w:beforeLines="0" w:afterLines="0" w:line="360" w:lineRule="auto"/>
              <w:ind w:firstLine="480" w:firstLineChars="200"/>
              <w:rPr>
                <w:rFonts w:hint="eastAsia" w:ascii="Times New Roman" w:hAnsi="Times New Roman" w:eastAsia="宋体" w:cs="Times New Roman"/>
                <w:color w:val="auto"/>
                <w:kern w:val="0"/>
                <w:sz w:val="24"/>
                <w:szCs w:val="24"/>
                <w:highlight w:val="none"/>
                <w:u w:val="none" w:color="auto"/>
                <w:lang w:eastAsia="zh-CN"/>
              </w:rPr>
            </w:pPr>
            <w:r>
              <w:rPr>
                <w:rFonts w:hint="default" w:ascii="Times New Roman" w:hAnsi="Times New Roman" w:eastAsia="宋体" w:cs="Times New Roman"/>
                <w:color w:val="auto"/>
                <w:kern w:val="0"/>
                <w:sz w:val="24"/>
                <w:szCs w:val="24"/>
                <w:highlight w:val="none"/>
                <w:u w:val="none" w:color="auto"/>
              </w:rPr>
              <w:t>根据现状调查，项目所在区域主要农作物为小麦、玉米，林地种植的树木为榆树、杨树等当地常见树种，洹河沿线有部分杨树及水草绿化等植物，项目所在区域无国家保护及濒危树种。</w:t>
            </w:r>
            <w:r>
              <w:rPr>
                <w:rFonts w:hint="eastAsia" w:cs="Times New Roman"/>
                <w:color w:val="auto"/>
                <w:kern w:val="0"/>
                <w:sz w:val="24"/>
                <w:szCs w:val="24"/>
                <w:highlight w:val="none"/>
                <w:u w:val="none" w:color="auto"/>
                <w:lang w:eastAsia="zh-CN"/>
              </w:rPr>
              <w:t>占地范围内目前为河道、路面与耕地，需要开挖及恢复的范围目前为水泥道路及耕地。</w:t>
            </w:r>
          </w:p>
          <w:p w14:paraId="16DA6282">
            <w:pPr>
              <w:adjustRightInd w:val="0"/>
              <w:snapToGrid w:val="0"/>
              <w:spacing w:beforeLines="0" w:afterLines="0" w:line="360" w:lineRule="auto"/>
              <w:ind w:firstLine="480" w:firstLineChars="200"/>
              <w:rPr>
                <w:rFonts w:hint="eastAsia" w:ascii="Times New Roman" w:hAnsi="Times New Roman" w:eastAsia="宋体" w:cs="Times New Roman"/>
                <w:color w:val="auto"/>
                <w:kern w:val="0"/>
                <w:sz w:val="24"/>
                <w:szCs w:val="24"/>
                <w:highlight w:val="none"/>
                <w:u w:val="none" w:color="auto"/>
                <w:lang w:val="en-US" w:eastAsia="zh-CN"/>
              </w:rPr>
            </w:pPr>
            <w:r>
              <w:rPr>
                <w:rFonts w:hint="eastAsia" w:ascii="Times New Roman" w:hAnsi="Times New Roman" w:eastAsia="宋体" w:cs="Times New Roman"/>
                <w:color w:val="auto"/>
                <w:kern w:val="0"/>
                <w:sz w:val="24"/>
                <w:szCs w:val="24"/>
                <w:highlight w:val="none"/>
                <w:u w:val="none" w:color="auto"/>
                <w:lang w:val="en-US" w:eastAsia="zh-CN"/>
              </w:rPr>
              <w:t>1.</w:t>
            </w:r>
            <w:r>
              <w:rPr>
                <w:rFonts w:hint="eastAsia" w:cs="Times New Roman"/>
                <w:color w:val="auto"/>
                <w:kern w:val="0"/>
                <w:sz w:val="24"/>
                <w:szCs w:val="24"/>
                <w:highlight w:val="none"/>
                <w:u w:val="none" w:color="auto"/>
                <w:lang w:val="en-US" w:eastAsia="zh-CN"/>
              </w:rPr>
              <w:t>4</w:t>
            </w:r>
            <w:r>
              <w:rPr>
                <w:rFonts w:hint="eastAsia" w:ascii="Times New Roman" w:hAnsi="Times New Roman" w:eastAsia="宋体" w:cs="Times New Roman"/>
                <w:color w:val="auto"/>
                <w:kern w:val="0"/>
                <w:sz w:val="24"/>
                <w:szCs w:val="24"/>
                <w:highlight w:val="none"/>
                <w:u w:val="none" w:color="auto"/>
                <w:lang w:val="en-US" w:eastAsia="zh-CN"/>
              </w:rPr>
              <w:t>.2 主要动物种类</w:t>
            </w:r>
          </w:p>
          <w:p w14:paraId="4D1DB0BC">
            <w:pPr>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项目所在区域内的动物区系属华北区的黄淮平原亚区，动物资源主要分为野生动物和饲养动物。由于地处中原，历史上中原农业开发较早，人口密度较大，人为活动频繁，野生动物较少。</w:t>
            </w:r>
          </w:p>
          <w:p w14:paraId="15079971">
            <w:pPr>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常见兽类种类有野兔、黄鼠狼、田鼠、蝙蝠等；鸟类中数量较大的有斑鸠、喜鹊、麻雀等；爬行类以蜥、蛇类为主；两栖类主要有蛙类等；大牲畜有牛、骡、驴等四种；小家畜、家禽主要有猪、羊、兔、鸡、鸭、鹅、狗、猫等。通过现状调查和收集资料显示，项目所在区域内未发现重点保护野生动物。</w:t>
            </w:r>
          </w:p>
          <w:p w14:paraId="2A02132E">
            <w:pPr>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项目所在区域动物成分特点是：</w:t>
            </w:r>
            <w:r>
              <w:rPr>
                <w:rFonts w:hint="eastAsia" w:cs="Times New Roman"/>
                <w:color w:val="auto"/>
                <w:kern w:val="0"/>
                <w:sz w:val="24"/>
                <w:szCs w:val="24"/>
                <w:highlight w:val="none"/>
                <w:u w:val="none" w:color="auto"/>
                <w:lang w:eastAsia="zh-CN"/>
              </w:rPr>
              <w:t>海拔</w:t>
            </w:r>
            <w:r>
              <w:rPr>
                <w:rFonts w:hint="default" w:ascii="Times New Roman" w:hAnsi="Times New Roman" w:eastAsia="宋体" w:cs="Times New Roman"/>
                <w:color w:val="auto"/>
                <w:kern w:val="0"/>
                <w:sz w:val="24"/>
                <w:szCs w:val="24"/>
                <w:highlight w:val="none"/>
                <w:u w:val="none" w:color="auto"/>
              </w:rPr>
              <w:t>较低，环境异质性较低，呈现动物种类较贫乏的特点。爬行类中广布种类较多，农田中以捕食鼠和其它小型动物为主。鸟类有树麻雀、山麻雀、喜鹊等。兽类动物资源相对贫乏，尤其大型兽类几乎没有，全区兽类优势种为鼠类，常见的有褐家鼠和小家鼠，另外草兔和蝙蝠科种类也有一定的数量。由于人为活动频繁，动物种类和数量分布极不稳定，许多动物种类仅在该区短期旅居，因此很难形成稳定的种群。</w:t>
            </w:r>
          </w:p>
          <w:p w14:paraId="3CFCA68C">
            <w:pPr>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项目所在区域人口密度大，人为活动频繁，天然动植物种类少，在现有的种类中，以人工种植或养殖为主，种群结构简单，单优群落较多，反映了该区较低水平的生物多样性。项目所在区域内没有受国家保护的珍稀野生动物，也没有政府批准建立的自然保护区。</w:t>
            </w:r>
          </w:p>
          <w:p w14:paraId="76E533FB">
            <w:pPr>
              <w:pStyle w:val="9"/>
              <w:numPr>
                <w:ilvl w:val="0"/>
                <w:numId w:val="0"/>
              </w:numPr>
              <w:spacing w:line="360" w:lineRule="auto"/>
              <w:ind w:firstLine="482" w:firstLineChars="200"/>
              <w:rPr>
                <w:rFonts w:hint="eastAsia" w:ascii="Times New Roman" w:hAnsi="Times New Roman" w:eastAsia="宋体" w:cs="Times New Roman"/>
                <w:b/>
                <w:bCs/>
                <w:color w:val="000000" w:themeColor="text1"/>
                <w:kern w:val="0"/>
                <w:sz w:val="24"/>
                <w:szCs w:val="24"/>
                <w:highlight w:val="none"/>
                <w:u w:color="auto"/>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4"/>
                <w:szCs w:val="24"/>
                <w:highlight w:val="none"/>
                <w:u w:color="auto"/>
                <w:lang w:val="en-US" w:eastAsia="zh-CN" w:bidi="ar-SA"/>
                <w14:textFill>
                  <w14:solidFill>
                    <w14:schemeClr w14:val="tx1"/>
                  </w14:solidFill>
                </w14:textFill>
              </w:rPr>
              <w:t>1.</w:t>
            </w:r>
            <w:r>
              <w:rPr>
                <w:rFonts w:hint="eastAsia" w:ascii="Times New Roman" w:hAnsi="Times New Roman" w:cs="Times New Roman"/>
                <w:b/>
                <w:bCs/>
                <w:color w:val="000000" w:themeColor="text1"/>
                <w:kern w:val="0"/>
                <w:sz w:val="24"/>
                <w:szCs w:val="24"/>
                <w:highlight w:val="none"/>
                <w:u w:color="auto"/>
                <w:lang w:val="en-US" w:eastAsia="zh-CN" w:bidi="ar-SA"/>
                <w14:textFill>
                  <w14:solidFill>
                    <w14:schemeClr w14:val="tx1"/>
                  </w14:solidFill>
                </w14:textFill>
              </w:rPr>
              <w:t>5</w:t>
            </w:r>
            <w:r>
              <w:rPr>
                <w:rFonts w:hint="eastAsia" w:ascii="Times New Roman" w:hAnsi="Times New Roman" w:eastAsia="宋体" w:cs="Times New Roman"/>
                <w:b/>
                <w:bCs/>
                <w:color w:val="000000" w:themeColor="text1"/>
                <w:kern w:val="0"/>
                <w:sz w:val="24"/>
                <w:szCs w:val="24"/>
                <w:highlight w:val="none"/>
                <w:u w:color="auto"/>
                <w:lang w:val="en-US" w:eastAsia="zh-CN" w:bidi="ar-SA"/>
                <w14:textFill>
                  <w14:solidFill>
                    <w14:schemeClr w14:val="tx1"/>
                  </w14:solidFill>
                </w14:textFill>
              </w:rPr>
              <w:t>水生生物现状</w:t>
            </w:r>
          </w:p>
          <w:p w14:paraId="57192D98">
            <w:pPr>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项目所在区域水生生物不太丰富，且种类少，无重点保护的水生生物。浮游动物包括有原生动物、轮虫等；水生昆虫主要有羽摇蚊幼虫和灯蛾等；浮游植物多为一些藻类，包括一些硅藻、绿藻、蓝藻、裸藻、黄藻等。</w:t>
            </w:r>
          </w:p>
          <w:p w14:paraId="69024794">
            <w:pPr>
              <w:adjustRightInd w:val="0"/>
              <w:snapToGrid w:val="0"/>
              <w:spacing w:beforeLines="0" w:afterLines="0" w:line="360" w:lineRule="auto"/>
              <w:ind w:firstLine="480" w:firstLineChars="200"/>
              <w:rPr>
                <w:rFonts w:hint="default" w:ascii="Times New Roman" w:hAnsi="Times New Roman" w:eastAsia="宋体"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项目所在区域河段多为泥沙基底，水流速较缓，人为干扰较小，水体理化性质较为稳定，形成了有利于水生植物生长和分布的场所，主要以竹叶眼子菜、狐尾藻、</w:t>
            </w:r>
            <w:r>
              <w:rPr>
                <w:rFonts w:hint="eastAsia" w:cs="Times New Roman"/>
                <w:color w:val="auto"/>
                <w:kern w:val="0"/>
                <w:sz w:val="24"/>
                <w:szCs w:val="24"/>
                <w:highlight w:val="none"/>
                <w:u w:val="none" w:color="auto"/>
                <w:lang w:eastAsia="zh-CN"/>
              </w:rPr>
              <w:t>篦齿眼子菜</w:t>
            </w:r>
            <w:r>
              <w:rPr>
                <w:rFonts w:hint="default" w:ascii="Times New Roman" w:hAnsi="Times New Roman" w:eastAsia="宋体" w:cs="Times New Roman"/>
                <w:color w:val="auto"/>
                <w:kern w:val="0"/>
                <w:sz w:val="24"/>
                <w:szCs w:val="24"/>
                <w:highlight w:val="none"/>
                <w:u w:val="none" w:color="auto"/>
              </w:rPr>
              <w:t>等沉水植物为主。在浅水区有部分芦苇等挺水植物，形成多种群落类型。鱼类资源不是太多，多为一些常见种，如鲤亚科的鲫鱼种、泥鳅，无重点保护的鱼类资源。项目区域无天然植被和珍稀动植物及国家重点保护的野生动植物种群。</w:t>
            </w:r>
          </w:p>
          <w:p w14:paraId="1B92A0F2">
            <w:pPr>
              <w:adjustRightInd w:val="0"/>
              <w:snapToGrid w:val="0"/>
              <w:spacing w:beforeLines="0" w:afterLines="0" w:line="360" w:lineRule="auto"/>
              <w:ind w:firstLine="480" w:firstLineChars="200"/>
              <w:rPr>
                <w:rFonts w:hint="default" w:ascii="Times New Roman" w:hAnsi="Times New Roman" w:eastAsia="Times New Roman" w:cs="Times New Roman"/>
                <w:b/>
                <w:color w:val="auto"/>
                <w:kern w:val="0"/>
                <w:sz w:val="24"/>
                <w:szCs w:val="24"/>
                <w:highlight w:val="none"/>
                <w:u w:val="none" w:color="auto"/>
              </w:rPr>
            </w:pPr>
            <w:r>
              <w:rPr>
                <w:rFonts w:hint="default" w:ascii="Times New Roman" w:hAnsi="Times New Roman" w:eastAsia="Times New Roman" w:cs="Times New Roman"/>
                <w:b/>
                <w:color w:val="auto"/>
                <w:kern w:val="0"/>
                <w:sz w:val="24"/>
                <w:szCs w:val="24"/>
                <w:highlight w:val="none"/>
                <w:u w:val="none" w:color="auto"/>
              </w:rPr>
              <w:t>1.</w:t>
            </w:r>
            <w:r>
              <w:rPr>
                <w:rFonts w:hint="eastAsia" w:eastAsia="宋体" w:cs="Times New Roman"/>
                <w:b/>
                <w:color w:val="auto"/>
                <w:kern w:val="0"/>
                <w:sz w:val="24"/>
                <w:szCs w:val="24"/>
                <w:highlight w:val="none"/>
                <w:u w:val="none" w:color="auto"/>
                <w:lang w:val="en-US" w:eastAsia="zh-CN"/>
              </w:rPr>
              <w:t>6</w:t>
            </w:r>
            <w:r>
              <w:rPr>
                <w:rFonts w:hint="default" w:ascii="Times New Roman" w:hAnsi="Times New Roman" w:eastAsia="宋体" w:cs="Times New Roman"/>
                <w:b/>
                <w:color w:val="auto"/>
                <w:kern w:val="0"/>
                <w:sz w:val="24"/>
                <w:szCs w:val="24"/>
                <w:highlight w:val="none"/>
                <w:u w:val="none" w:color="auto"/>
              </w:rPr>
              <w:t>土地利用类型</w:t>
            </w:r>
          </w:p>
          <w:p w14:paraId="28BB6633">
            <w:pPr>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1"/>
                <w:szCs w:val="21"/>
                <w:highlight w:val="none"/>
                <w:u w:val="none" w:color="auto"/>
              </w:rPr>
            </w:pPr>
            <w:r>
              <w:rPr>
                <w:rFonts w:hint="eastAsia" w:cs="Times New Roman"/>
                <w:color w:val="auto"/>
                <w:kern w:val="0"/>
                <w:sz w:val="24"/>
                <w:szCs w:val="24"/>
                <w:highlight w:val="none"/>
                <w:u w:val="none" w:color="auto"/>
                <w:lang w:eastAsia="zh-CN"/>
              </w:rPr>
              <w:t>根据安阳市殷都区自然资源局出具的《关于安阳市殷都区老万金渠内河向外河排涝通道建设项目规划和用地情况的复函》，可知</w:t>
            </w:r>
            <w:r>
              <w:rPr>
                <w:rFonts w:hint="default" w:ascii="Times New Roman" w:hAnsi="Times New Roman" w:eastAsia="宋体" w:cs="Times New Roman"/>
                <w:color w:val="auto"/>
                <w:kern w:val="0"/>
                <w:sz w:val="24"/>
                <w:szCs w:val="24"/>
                <w:highlight w:val="none"/>
                <w:u w:val="none" w:color="auto"/>
              </w:rPr>
              <w:t>本项目</w:t>
            </w:r>
            <w:r>
              <w:rPr>
                <w:rFonts w:hint="eastAsia" w:cs="Times New Roman"/>
                <w:color w:val="auto"/>
                <w:kern w:val="0"/>
                <w:sz w:val="24"/>
                <w:szCs w:val="24"/>
                <w:highlight w:val="none"/>
                <w:u w:val="none" w:color="auto"/>
                <w:lang w:eastAsia="zh-CN"/>
              </w:rPr>
              <w:t>是</w:t>
            </w:r>
            <w:r>
              <w:rPr>
                <w:rFonts w:hint="default" w:ascii="Times New Roman" w:hAnsi="Times New Roman" w:eastAsia="宋体" w:cs="Times New Roman"/>
                <w:color w:val="auto"/>
                <w:kern w:val="0"/>
                <w:sz w:val="24"/>
                <w:szCs w:val="24"/>
                <w:highlight w:val="none"/>
                <w:u w:val="none" w:color="auto"/>
              </w:rPr>
              <w:t>在原有河道范围内实施，项目不涉及新增用地，本项目土地现状用途为农田水利用地，施工道路利用现有农村道路和部分农田及村庄空地，尽量减少工程占地，符合土地利用总体要求。</w:t>
            </w:r>
          </w:p>
          <w:p w14:paraId="1BD124D8">
            <w:pPr>
              <w:pStyle w:val="9"/>
              <w:numPr>
                <w:ilvl w:val="0"/>
                <w:numId w:val="0"/>
              </w:numPr>
              <w:spacing w:line="360" w:lineRule="auto"/>
              <w:rPr>
                <w:rFonts w:hint="eastAsia" w:ascii="Times New Roman" w:hAnsi="Times New Roman" w:eastAsia="宋体" w:cs="Times New Roman"/>
                <w:b/>
                <w:bCs/>
                <w:color w:val="000000" w:themeColor="text1"/>
                <w:kern w:val="0"/>
                <w:sz w:val="24"/>
                <w:szCs w:val="24"/>
                <w:highlight w:val="none"/>
                <w:u w:color="auto"/>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4"/>
                <w:szCs w:val="24"/>
                <w:highlight w:val="none"/>
                <w:u w:color="auto"/>
                <w:lang w:val="en-US" w:eastAsia="zh-CN" w:bidi="ar-SA"/>
                <w14:textFill>
                  <w14:solidFill>
                    <w14:schemeClr w14:val="tx1"/>
                  </w14:solidFill>
                </w14:textFill>
              </w:rPr>
              <w:t>2.环境空气</w:t>
            </w:r>
          </w:p>
          <w:p w14:paraId="33744ECA">
            <w:pPr>
              <w:pStyle w:val="9"/>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000000" w:themeColor="text1"/>
                <w:kern w:val="0"/>
                <w:sz w:val="24"/>
                <w:szCs w:val="24"/>
                <w:highlight w:val="none"/>
                <w:u w:color="auto"/>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4"/>
                <w:szCs w:val="24"/>
                <w:highlight w:val="none"/>
                <w:u w:color="auto"/>
                <w:lang w:val="en-US" w:eastAsia="zh-CN" w:bidi="ar-SA"/>
                <w14:textFill>
                  <w14:solidFill>
                    <w14:schemeClr w14:val="tx1"/>
                  </w14:solidFill>
                </w14:textFill>
              </w:rPr>
              <w:t>本项目位于</w:t>
            </w:r>
            <w:r>
              <w:rPr>
                <w:rFonts w:hint="eastAsia" w:ascii="Times New Roman" w:hAnsi="Times New Roman" w:cs="Times New Roman"/>
                <w:color w:val="000000" w:themeColor="text1"/>
                <w:kern w:val="0"/>
                <w:sz w:val="24"/>
                <w:szCs w:val="24"/>
                <w:highlight w:val="none"/>
                <w:u w:color="auto"/>
                <w:lang w:val="en-US" w:eastAsia="zh-CN" w:bidi="ar-SA"/>
                <w14:textFill>
                  <w14:solidFill>
                    <w14:schemeClr w14:val="tx1"/>
                  </w14:solidFill>
                </w14:textFill>
              </w:rPr>
              <w:t>安阳市殷都区</w:t>
            </w:r>
            <w:r>
              <w:rPr>
                <w:rFonts w:hint="eastAsia" w:ascii="Times New Roman" w:hAnsi="Times New Roman" w:eastAsia="宋体" w:cs="Times New Roman"/>
                <w:color w:val="000000" w:themeColor="text1"/>
                <w:kern w:val="0"/>
                <w:sz w:val="24"/>
                <w:szCs w:val="24"/>
                <w:highlight w:val="none"/>
                <w:u w:color="auto"/>
                <w:lang w:val="en-US" w:eastAsia="zh-CN" w:bidi="ar-SA"/>
                <w14:textFill>
                  <w14:solidFill>
                    <w14:schemeClr w14:val="tx1"/>
                  </w14:solidFill>
                </w14:textFill>
              </w:rPr>
              <w:t>，根据《安阳市环境空气功能区划（2021-2025）》，本项目所在区域为二类环境空气质量功能区，执行标准为《环境空气质量标准》（GB3095-2012）及2018年修改单中的二级标准。</w:t>
            </w:r>
          </w:p>
          <w:p w14:paraId="4B133133">
            <w:pPr>
              <w:pStyle w:val="9"/>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olor w:val="auto"/>
                <w:sz w:val="24"/>
                <w:highlight w:val="none"/>
                <w:lang w:eastAsia="zh-CN"/>
              </w:rPr>
            </w:pPr>
            <w:r>
              <w:rPr>
                <w:rFonts w:hint="default" w:ascii="Times New Roman" w:hAnsi="Times New Roman" w:cs="Times New Roman"/>
                <w:color w:val="auto"/>
                <w:sz w:val="24"/>
                <w:highlight w:val="none"/>
              </w:rPr>
              <w:t>根据《20</w:t>
            </w:r>
            <w:r>
              <w:rPr>
                <w:rFonts w:hint="default" w:ascii="Times New Roman" w:hAnsi="Times New Roman" w:cs="Times New Roman"/>
                <w:color w:val="auto"/>
                <w:sz w:val="24"/>
                <w:highlight w:val="none"/>
                <w:lang w:val="en-US" w:eastAsia="zh-CN"/>
              </w:rPr>
              <w:t>23</w:t>
            </w:r>
            <w:r>
              <w:rPr>
                <w:rFonts w:hint="default" w:ascii="Times New Roman" w:hAnsi="Times New Roman" w:cs="Times New Roman"/>
                <w:color w:val="auto"/>
                <w:sz w:val="24"/>
                <w:highlight w:val="none"/>
              </w:rPr>
              <w:t>年河南省生态环境状况公报》，按《环境空气质量标准》（GB3095-2012）及其2018年修改单中细颗粒物（PM</w:t>
            </w:r>
            <w:r>
              <w:rPr>
                <w:rFonts w:hint="default" w:ascii="Times New Roman" w:hAnsi="Times New Roman" w:cs="Times New Roman"/>
                <w:color w:val="auto"/>
                <w:sz w:val="24"/>
                <w:highlight w:val="none"/>
                <w:vertAlign w:val="subscript"/>
              </w:rPr>
              <w:t>2.5</w:t>
            </w:r>
            <w:r>
              <w:rPr>
                <w:rFonts w:hint="default" w:ascii="Times New Roman" w:hAnsi="Times New Roman" w:cs="Times New Roman"/>
                <w:color w:val="auto"/>
                <w:sz w:val="24"/>
                <w:highlight w:val="none"/>
              </w:rPr>
              <w:t>）、可吸入颗粒物（PM</w:t>
            </w:r>
            <w:r>
              <w:rPr>
                <w:rFonts w:hint="default" w:ascii="Times New Roman" w:hAnsi="Times New Roman" w:cs="Times New Roman"/>
                <w:color w:val="auto"/>
                <w:sz w:val="24"/>
                <w:highlight w:val="none"/>
                <w:vertAlign w:val="subscript"/>
              </w:rPr>
              <w:t>10</w:t>
            </w:r>
            <w:r>
              <w:rPr>
                <w:rFonts w:hint="default" w:ascii="Times New Roman" w:hAnsi="Times New Roman" w:cs="Times New Roman"/>
                <w:color w:val="auto"/>
                <w:sz w:val="24"/>
                <w:highlight w:val="none"/>
              </w:rPr>
              <w:t>）、二氧化硫、二氧化氮、一氧化碳、臭氧六项因子评价环境空气质量，安阳市环境空气质量级别为轻污染，项目所在区域属于不达标区</w:t>
            </w:r>
            <w:r>
              <w:rPr>
                <w:rFonts w:hint="default" w:ascii="Times New Roman" w:hAnsi="Times New Roman" w:cs="Times New Roman"/>
                <w:color w:val="auto"/>
                <w:sz w:val="24"/>
                <w:highlight w:val="none"/>
                <w:lang w:eastAsia="zh-CN"/>
              </w:rPr>
              <w:t>。</w:t>
            </w:r>
          </w:p>
          <w:p w14:paraId="02D6F69C">
            <w:pPr>
              <w:adjustRightInd w:val="0"/>
              <w:snapToGrid w:val="0"/>
              <w:spacing w:line="360" w:lineRule="auto"/>
              <w:ind w:firstLine="480" w:firstLineChars="200"/>
              <w:rPr>
                <w:rFonts w:ascii="Times New Roman" w:hAnsi="Times New Roman" w:eastAsia="宋体"/>
                <w:color w:val="auto"/>
                <w:sz w:val="24"/>
                <w:szCs w:val="24"/>
                <w:highlight w:val="none"/>
              </w:rPr>
            </w:pPr>
            <w:r>
              <w:rPr>
                <w:rFonts w:hint="eastAsia"/>
                <w:color w:val="auto"/>
                <w:sz w:val="24"/>
                <w:szCs w:val="24"/>
                <w:highlight w:val="none"/>
                <w:lang w:eastAsia="zh-CN"/>
              </w:rPr>
              <w:t>根据《</w:t>
            </w:r>
            <w:r>
              <w:rPr>
                <w:color w:val="auto"/>
                <w:sz w:val="24"/>
                <w:highlight w:val="none"/>
              </w:rPr>
              <w:t>20</w:t>
            </w:r>
            <w:r>
              <w:rPr>
                <w:rFonts w:hint="eastAsia"/>
                <w:color w:val="auto"/>
                <w:sz w:val="24"/>
                <w:highlight w:val="none"/>
                <w:lang w:val="en-US" w:eastAsia="zh-CN"/>
              </w:rPr>
              <w:t>23</w:t>
            </w:r>
            <w:r>
              <w:rPr>
                <w:color w:val="auto"/>
                <w:sz w:val="24"/>
                <w:highlight w:val="none"/>
              </w:rPr>
              <w:t>年</w:t>
            </w:r>
            <w:r>
              <w:rPr>
                <w:rFonts w:hint="eastAsia"/>
                <w:color w:val="auto"/>
                <w:sz w:val="24"/>
                <w:highlight w:val="none"/>
                <w:lang w:eastAsia="zh-CN"/>
              </w:rPr>
              <w:t>安阳市</w:t>
            </w:r>
            <w:r>
              <w:rPr>
                <w:color w:val="auto"/>
                <w:sz w:val="24"/>
                <w:highlight w:val="none"/>
              </w:rPr>
              <w:t>生态环境状况公报</w:t>
            </w:r>
            <w:r>
              <w:rPr>
                <w:rFonts w:hint="eastAsia"/>
                <w:color w:val="auto"/>
                <w:sz w:val="24"/>
                <w:szCs w:val="24"/>
                <w:highlight w:val="none"/>
                <w:lang w:eastAsia="zh-CN"/>
              </w:rPr>
              <w:t>》，</w:t>
            </w:r>
            <w:r>
              <w:rPr>
                <w:rFonts w:hint="eastAsia" w:ascii="Times New Roman" w:hAnsi="Times New Roman" w:eastAsia="宋体"/>
                <w:color w:val="auto"/>
                <w:sz w:val="24"/>
                <w:szCs w:val="24"/>
                <w:highlight w:val="none"/>
              </w:rPr>
              <w:t>安阳市</w:t>
            </w:r>
            <w:r>
              <w:rPr>
                <w:rFonts w:ascii="Times New Roman" w:hAnsi="Times New Roman" w:eastAsia="宋体"/>
                <w:color w:val="auto"/>
                <w:sz w:val="24"/>
                <w:szCs w:val="24"/>
                <w:highlight w:val="none"/>
              </w:rPr>
              <w:t>20</w:t>
            </w:r>
            <w:r>
              <w:rPr>
                <w:rFonts w:hint="eastAsia" w:ascii="Times New Roman" w:hAnsi="Times New Roman" w:eastAsia="宋体"/>
                <w:color w:val="auto"/>
                <w:sz w:val="24"/>
                <w:szCs w:val="24"/>
                <w:highlight w:val="none"/>
              </w:rPr>
              <w:t>2</w:t>
            </w:r>
            <w:r>
              <w:rPr>
                <w:rFonts w:hint="eastAsia"/>
                <w:color w:val="auto"/>
                <w:sz w:val="24"/>
                <w:szCs w:val="24"/>
                <w:highlight w:val="none"/>
                <w:lang w:val="en-US" w:eastAsia="zh-CN"/>
              </w:rPr>
              <w:t>3</w:t>
            </w:r>
            <w:r>
              <w:rPr>
                <w:rFonts w:hint="eastAsia" w:ascii="Times New Roman" w:hAnsi="Times New Roman" w:eastAsia="宋体"/>
                <w:color w:val="auto"/>
                <w:sz w:val="24"/>
                <w:szCs w:val="24"/>
                <w:highlight w:val="none"/>
              </w:rPr>
              <w:t>年全年环境空气质量监测数据见</w:t>
            </w:r>
            <w:r>
              <w:rPr>
                <w:rFonts w:hint="eastAsia"/>
                <w:color w:val="auto"/>
                <w:sz w:val="24"/>
                <w:szCs w:val="24"/>
                <w:highlight w:val="none"/>
                <w:lang w:eastAsia="zh-CN"/>
              </w:rPr>
              <w:t>下表</w:t>
            </w:r>
            <w:r>
              <w:rPr>
                <w:rFonts w:hint="eastAsia" w:ascii="Times New Roman" w:hAnsi="Times New Roman" w:eastAsia="宋体"/>
                <w:color w:val="auto"/>
                <w:sz w:val="24"/>
                <w:szCs w:val="24"/>
                <w:highlight w:val="none"/>
              </w:rPr>
              <w:t>。</w:t>
            </w:r>
          </w:p>
          <w:p w14:paraId="2A23C97A">
            <w:pPr>
              <w:pStyle w:val="45"/>
              <w:bidi w:val="0"/>
              <w:rPr>
                <w:color w:val="auto"/>
                <w:highlight w:val="none"/>
              </w:rPr>
            </w:pPr>
            <w:r>
              <w:rPr>
                <w:rFonts w:hint="eastAsia"/>
                <w:color w:val="auto"/>
                <w:highlight w:val="none"/>
              </w:rPr>
              <w:t>安阳市202</w:t>
            </w:r>
            <w:r>
              <w:rPr>
                <w:rFonts w:hint="eastAsia"/>
                <w:color w:val="auto"/>
                <w:highlight w:val="none"/>
                <w:lang w:val="en-US" w:eastAsia="zh-CN"/>
              </w:rPr>
              <w:t>3</w:t>
            </w:r>
            <w:r>
              <w:rPr>
                <w:rFonts w:hint="eastAsia"/>
                <w:color w:val="auto"/>
                <w:highlight w:val="none"/>
              </w:rPr>
              <w:t>年环境空气质量现状评价表</w:t>
            </w:r>
          </w:p>
          <w:tbl>
            <w:tblPr>
              <w:tblStyle w:val="1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09"/>
              <w:gridCol w:w="886"/>
              <w:gridCol w:w="1709"/>
              <w:gridCol w:w="1282"/>
              <w:gridCol w:w="1282"/>
              <w:gridCol w:w="1099"/>
              <w:gridCol w:w="1100"/>
            </w:tblGrid>
            <w:tr w14:paraId="1E9D8B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5" w:type="pct"/>
                  <w:tcBorders>
                    <w:tl2br w:val="nil"/>
                    <w:tr2bl w:val="nil"/>
                  </w:tcBorders>
                  <w:noWrap w:val="0"/>
                  <w:vAlign w:val="center"/>
                </w:tcPr>
                <w:p w14:paraId="169DDAE4">
                  <w:pPr>
                    <w:pStyle w:val="46"/>
                    <w:bidi w:val="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点位名称</w:t>
                  </w:r>
                </w:p>
              </w:tc>
              <w:tc>
                <w:tcPr>
                  <w:tcW w:w="517" w:type="pct"/>
                  <w:tcBorders>
                    <w:tl2br w:val="nil"/>
                    <w:tr2bl w:val="nil"/>
                  </w:tcBorders>
                  <w:noWrap w:val="0"/>
                  <w:vAlign w:val="center"/>
                </w:tcPr>
                <w:p w14:paraId="62668BF3">
                  <w:pPr>
                    <w:pStyle w:val="46"/>
                    <w:bidi w:val="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997" w:type="pct"/>
                  <w:tcBorders>
                    <w:tl2br w:val="nil"/>
                    <w:tr2bl w:val="nil"/>
                  </w:tcBorders>
                  <w:noWrap w:val="0"/>
                  <w:vAlign w:val="center"/>
                </w:tcPr>
                <w:p w14:paraId="2272D840">
                  <w:pPr>
                    <w:pStyle w:val="46"/>
                    <w:bidi w:val="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年评价指标</w:t>
                  </w:r>
                </w:p>
              </w:tc>
              <w:tc>
                <w:tcPr>
                  <w:tcW w:w="748" w:type="pct"/>
                  <w:tcBorders>
                    <w:tl2br w:val="nil"/>
                    <w:tr2bl w:val="nil"/>
                  </w:tcBorders>
                  <w:noWrap w:val="0"/>
                  <w:vAlign w:val="center"/>
                </w:tcPr>
                <w:p w14:paraId="715485F8">
                  <w:pPr>
                    <w:pStyle w:val="46"/>
                    <w:bidi w:val="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现状浓度（μg/m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c>
                <w:tcPr>
                  <w:tcW w:w="748" w:type="pct"/>
                  <w:tcBorders>
                    <w:tl2br w:val="nil"/>
                    <w:tr2bl w:val="nil"/>
                  </w:tcBorders>
                  <w:noWrap w:val="0"/>
                  <w:vAlign w:val="center"/>
                </w:tcPr>
                <w:p w14:paraId="450C3F6C">
                  <w:pPr>
                    <w:pStyle w:val="46"/>
                    <w:bidi w:val="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评价标准</w:t>
                  </w:r>
                </w:p>
                <w:p w14:paraId="21D63F08">
                  <w:pPr>
                    <w:pStyle w:val="46"/>
                    <w:bidi w:val="0"/>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（μg/m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w:t>
                  </w:r>
                </w:p>
              </w:tc>
              <w:tc>
                <w:tcPr>
                  <w:tcW w:w="641" w:type="pct"/>
                  <w:tcBorders>
                    <w:tl2br w:val="nil"/>
                    <w:tr2bl w:val="nil"/>
                  </w:tcBorders>
                  <w:noWrap w:val="0"/>
                  <w:vAlign w:val="center"/>
                </w:tcPr>
                <w:p w14:paraId="52930F53">
                  <w:pPr>
                    <w:pStyle w:val="46"/>
                    <w:bidi w:val="0"/>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占标率（</w:t>
                  </w:r>
                  <w:r>
                    <w:rPr>
                      <w:rFonts w:hint="default" w:ascii="Times New Roman" w:hAnsi="Times New Roman" w:eastAsia="宋体" w:cs="Times New Roman"/>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lang w:eastAsia="zh-CN"/>
                    </w:rPr>
                    <w:t>）</w:t>
                  </w:r>
                </w:p>
              </w:tc>
              <w:tc>
                <w:tcPr>
                  <w:tcW w:w="641" w:type="pct"/>
                  <w:tcBorders>
                    <w:tl2br w:val="nil"/>
                    <w:tr2bl w:val="nil"/>
                  </w:tcBorders>
                  <w:noWrap w:val="0"/>
                  <w:vAlign w:val="center"/>
                </w:tcPr>
                <w:p w14:paraId="539C06AB">
                  <w:pPr>
                    <w:pStyle w:val="46"/>
                    <w:bidi w:val="0"/>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达标情况</w:t>
                  </w:r>
                </w:p>
              </w:tc>
            </w:tr>
            <w:tr w14:paraId="0589E0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5" w:type="pct"/>
                  <w:vMerge w:val="restart"/>
                  <w:tcBorders>
                    <w:tl2br w:val="nil"/>
                    <w:tr2bl w:val="nil"/>
                  </w:tcBorders>
                  <w:noWrap w:val="0"/>
                  <w:vAlign w:val="center"/>
                </w:tcPr>
                <w:p w14:paraId="08DF5821">
                  <w:pPr>
                    <w:pStyle w:val="46"/>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安阳市</w:t>
                  </w:r>
                </w:p>
              </w:tc>
              <w:tc>
                <w:tcPr>
                  <w:tcW w:w="517" w:type="pct"/>
                  <w:tcBorders>
                    <w:tl2br w:val="nil"/>
                    <w:tr2bl w:val="nil"/>
                  </w:tcBorders>
                  <w:noWrap w:val="0"/>
                  <w:vAlign w:val="center"/>
                </w:tcPr>
                <w:p w14:paraId="086E8C6A">
                  <w:pPr>
                    <w:pStyle w:val="46"/>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997" w:type="pct"/>
                  <w:tcBorders>
                    <w:tl2br w:val="nil"/>
                    <w:tr2bl w:val="nil"/>
                  </w:tcBorders>
                  <w:noWrap w:val="0"/>
                  <w:vAlign w:val="center"/>
                </w:tcPr>
                <w:p w14:paraId="32C19AE1">
                  <w:pPr>
                    <w:pStyle w:val="46"/>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w:t>
                  </w:r>
                </w:p>
              </w:tc>
              <w:tc>
                <w:tcPr>
                  <w:tcW w:w="748" w:type="pct"/>
                  <w:tcBorders>
                    <w:tl2br w:val="nil"/>
                    <w:tr2bl w:val="nil"/>
                  </w:tcBorders>
                  <w:noWrap w:val="0"/>
                  <w:vAlign w:val="center"/>
                </w:tcPr>
                <w:p w14:paraId="0696DFA9">
                  <w:pPr>
                    <w:pStyle w:val="46"/>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0</w:t>
                  </w:r>
                </w:p>
              </w:tc>
              <w:tc>
                <w:tcPr>
                  <w:tcW w:w="748" w:type="pct"/>
                  <w:tcBorders>
                    <w:tl2br w:val="nil"/>
                    <w:tr2bl w:val="nil"/>
                  </w:tcBorders>
                  <w:noWrap w:val="0"/>
                  <w:vAlign w:val="center"/>
                </w:tcPr>
                <w:p w14:paraId="2C5C1ED1">
                  <w:pPr>
                    <w:pStyle w:val="46"/>
                    <w:bidi w:val="0"/>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rPr>
                    <w:t>60</w:t>
                  </w:r>
                </w:p>
              </w:tc>
              <w:tc>
                <w:tcPr>
                  <w:tcW w:w="641" w:type="pct"/>
                  <w:tcBorders>
                    <w:tl2br w:val="nil"/>
                    <w:tr2bl w:val="nil"/>
                  </w:tcBorders>
                  <w:noWrap w:val="0"/>
                  <w:vAlign w:val="center"/>
                </w:tcPr>
                <w:p w14:paraId="08810071">
                  <w:pPr>
                    <w:pStyle w:val="46"/>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16.67</w:t>
                  </w:r>
                </w:p>
              </w:tc>
              <w:tc>
                <w:tcPr>
                  <w:tcW w:w="641" w:type="pct"/>
                  <w:tcBorders>
                    <w:tl2br w:val="nil"/>
                    <w:tr2bl w:val="nil"/>
                  </w:tcBorders>
                  <w:noWrap w:val="0"/>
                  <w:vAlign w:val="center"/>
                </w:tcPr>
                <w:p w14:paraId="4BA473C9">
                  <w:pPr>
                    <w:pStyle w:val="46"/>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7E9A8C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5" w:type="pct"/>
                  <w:vMerge w:val="continue"/>
                  <w:tcBorders>
                    <w:tl2br w:val="nil"/>
                    <w:tr2bl w:val="nil"/>
                  </w:tcBorders>
                  <w:noWrap w:val="0"/>
                  <w:vAlign w:val="top"/>
                </w:tcPr>
                <w:p w14:paraId="2F0B271C">
                  <w:pPr>
                    <w:pStyle w:val="46"/>
                    <w:bidi w:val="0"/>
                    <w:rPr>
                      <w:rFonts w:hint="default" w:ascii="Times New Roman" w:hAnsi="Times New Roman" w:eastAsia="宋体" w:cs="Times New Roman"/>
                      <w:color w:val="auto"/>
                      <w:sz w:val="21"/>
                      <w:szCs w:val="21"/>
                      <w:highlight w:val="none"/>
                    </w:rPr>
                  </w:pPr>
                </w:p>
              </w:tc>
              <w:tc>
                <w:tcPr>
                  <w:tcW w:w="517" w:type="pct"/>
                  <w:tcBorders>
                    <w:tl2br w:val="nil"/>
                    <w:tr2bl w:val="nil"/>
                  </w:tcBorders>
                  <w:noWrap w:val="0"/>
                  <w:vAlign w:val="center"/>
                </w:tcPr>
                <w:p w14:paraId="2BA01F59">
                  <w:pPr>
                    <w:pStyle w:val="46"/>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p>
              </w:tc>
              <w:tc>
                <w:tcPr>
                  <w:tcW w:w="997" w:type="pct"/>
                  <w:tcBorders>
                    <w:tl2br w:val="nil"/>
                    <w:tr2bl w:val="nil"/>
                  </w:tcBorders>
                  <w:noWrap w:val="0"/>
                  <w:vAlign w:val="center"/>
                </w:tcPr>
                <w:p w14:paraId="6C0D0148">
                  <w:pPr>
                    <w:pStyle w:val="46"/>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w:t>
                  </w:r>
                </w:p>
              </w:tc>
              <w:tc>
                <w:tcPr>
                  <w:tcW w:w="748" w:type="pct"/>
                  <w:tcBorders>
                    <w:tl2br w:val="nil"/>
                    <w:tr2bl w:val="nil"/>
                  </w:tcBorders>
                  <w:noWrap w:val="0"/>
                  <w:vAlign w:val="center"/>
                </w:tcPr>
                <w:p w14:paraId="4DE7CB1B">
                  <w:pPr>
                    <w:pStyle w:val="46"/>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29</w:t>
                  </w:r>
                </w:p>
              </w:tc>
              <w:tc>
                <w:tcPr>
                  <w:tcW w:w="748" w:type="pct"/>
                  <w:tcBorders>
                    <w:tl2br w:val="nil"/>
                    <w:tr2bl w:val="nil"/>
                  </w:tcBorders>
                  <w:noWrap w:val="0"/>
                  <w:vAlign w:val="center"/>
                </w:tcPr>
                <w:p w14:paraId="7823290F">
                  <w:pPr>
                    <w:pStyle w:val="46"/>
                    <w:bidi w:val="0"/>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rPr>
                    <w:t>40</w:t>
                  </w:r>
                </w:p>
              </w:tc>
              <w:tc>
                <w:tcPr>
                  <w:tcW w:w="641" w:type="pct"/>
                  <w:tcBorders>
                    <w:tl2br w:val="nil"/>
                    <w:tr2bl w:val="nil"/>
                  </w:tcBorders>
                  <w:noWrap w:val="0"/>
                  <w:vAlign w:val="center"/>
                </w:tcPr>
                <w:p w14:paraId="4EA1D4AA">
                  <w:pPr>
                    <w:pStyle w:val="46"/>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72.50</w:t>
                  </w:r>
                </w:p>
              </w:tc>
              <w:tc>
                <w:tcPr>
                  <w:tcW w:w="641" w:type="pct"/>
                  <w:tcBorders>
                    <w:tl2br w:val="nil"/>
                    <w:tr2bl w:val="nil"/>
                  </w:tcBorders>
                  <w:noWrap w:val="0"/>
                  <w:vAlign w:val="center"/>
                </w:tcPr>
                <w:p w14:paraId="08B3B76F">
                  <w:pPr>
                    <w:pStyle w:val="46"/>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557E0C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5" w:type="pct"/>
                  <w:vMerge w:val="continue"/>
                  <w:tcBorders>
                    <w:tl2br w:val="nil"/>
                    <w:tr2bl w:val="nil"/>
                  </w:tcBorders>
                  <w:noWrap w:val="0"/>
                  <w:vAlign w:val="top"/>
                </w:tcPr>
                <w:p w14:paraId="7043378D">
                  <w:pPr>
                    <w:pStyle w:val="46"/>
                    <w:bidi w:val="0"/>
                    <w:rPr>
                      <w:rFonts w:hint="default" w:ascii="Times New Roman" w:hAnsi="Times New Roman" w:eastAsia="宋体" w:cs="Times New Roman"/>
                      <w:color w:val="auto"/>
                      <w:sz w:val="21"/>
                      <w:szCs w:val="21"/>
                      <w:highlight w:val="none"/>
                    </w:rPr>
                  </w:pPr>
                </w:p>
              </w:tc>
              <w:tc>
                <w:tcPr>
                  <w:tcW w:w="517" w:type="pct"/>
                  <w:tcBorders>
                    <w:tl2br w:val="nil"/>
                    <w:tr2bl w:val="nil"/>
                  </w:tcBorders>
                  <w:noWrap w:val="0"/>
                  <w:vAlign w:val="center"/>
                </w:tcPr>
                <w:p w14:paraId="3464FAE6">
                  <w:pPr>
                    <w:pStyle w:val="46"/>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p>
              </w:tc>
              <w:tc>
                <w:tcPr>
                  <w:tcW w:w="997" w:type="pct"/>
                  <w:tcBorders>
                    <w:tl2br w:val="nil"/>
                    <w:tr2bl w:val="nil"/>
                  </w:tcBorders>
                  <w:noWrap w:val="0"/>
                  <w:vAlign w:val="center"/>
                </w:tcPr>
                <w:p w14:paraId="55FA95AC">
                  <w:pPr>
                    <w:pStyle w:val="46"/>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w:t>
                  </w:r>
                </w:p>
              </w:tc>
              <w:tc>
                <w:tcPr>
                  <w:tcW w:w="748" w:type="pct"/>
                  <w:tcBorders>
                    <w:tl2br w:val="nil"/>
                    <w:tr2bl w:val="nil"/>
                  </w:tcBorders>
                  <w:noWrap w:val="0"/>
                  <w:vAlign w:val="center"/>
                </w:tcPr>
                <w:p w14:paraId="0B91E185">
                  <w:pPr>
                    <w:pStyle w:val="46"/>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84</w:t>
                  </w:r>
                </w:p>
              </w:tc>
              <w:tc>
                <w:tcPr>
                  <w:tcW w:w="748" w:type="pct"/>
                  <w:tcBorders>
                    <w:tl2br w:val="nil"/>
                    <w:tr2bl w:val="nil"/>
                  </w:tcBorders>
                  <w:noWrap w:val="0"/>
                  <w:vAlign w:val="center"/>
                </w:tcPr>
                <w:p w14:paraId="160BF0D8">
                  <w:pPr>
                    <w:pStyle w:val="46"/>
                    <w:bidi w:val="0"/>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rPr>
                    <w:t>70</w:t>
                  </w:r>
                </w:p>
              </w:tc>
              <w:tc>
                <w:tcPr>
                  <w:tcW w:w="641" w:type="pct"/>
                  <w:tcBorders>
                    <w:tl2br w:val="nil"/>
                    <w:tr2bl w:val="nil"/>
                  </w:tcBorders>
                  <w:noWrap w:val="0"/>
                  <w:vAlign w:val="center"/>
                </w:tcPr>
                <w:p w14:paraId="144B5E94">
                  <w:pPr>
                    <w:pStyle w:val="46"/>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120.00</w:t>
                  </w:r>
                </w:p>
              </w:tc>
              <w:tc>
                <w:tcPr>
                  <w:tcW w:w="641" w:type="pct"/>
                  <w:tcBorders>
                    <w:tl2br w:val="nil"/>
                    <w:tr2bl w:val="nil"/>
                  </w:tcBorders>
                  <w:noWrap w:val="0"/>
                  <w:vAlign w:val="center"/>
                </w:tcPr>
                <w:p w14:paraId="37810466">
                  <w:pPr>
                    <w:pStyle w:val="46"/>
                    <w:bidi w:val="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不达标</w:t>
                  </w:r>
                </w:p>
              </w:tc>
            </w:tr>
            <w:tr w14:paraId="43379E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5" w:type="pct"/>
                  <w:vMerge w:val="continue"/>
                  <w:tcBorders>
                    <w:tl2br w:val="nil"/>
                    <w:tr2bl w:val="nil"/>
                  </w:tcBorders>
                  <w:noWrap w:val="0"/>
                  <w:vAlign w:val="top"/>
                </w:tcPr>
                <w:p w14:paraId="348F58DD">
                  <w:pPr>
                    <w:pStyle w:val="46"/>
                    <w:bidi w:val="0"/>
                    <w:rPr>
                      <w:rFonts w:hint="default" w:ascii="Times New Roman" w:hAnsi="Times New Roman" w:eastAsia="宋体" w:cs="Times New Roman"/>
                      <w:color w:val="auto"/>
                      <w:sz w:val="21"/>
                      <w:szCs w:val="21"/>
                      <w:highlight w:val="none"/>
                    </w:rPr>
                  </w:pPr>
                </w:p>
              </w:tc>
              <w:tc>
                <w:tcPr>
                  <w:tcW w:w="517" w:type="pct"/>
                  <w:tcBorders>
                    <w:tl2br w:val="nil"/>
                    <w:tr2bl w:val="nil"/>
                  </w:tcBorders>
                  <w:noWrap w:val="0"/>
                  <w:vAlign w:val="center"/>
                </w:tcPr>
                <w:p w14:paraId="7899EE1F">
                  <w:pPr>
                    <w:pStyle w:val="46"/>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p>
              </w:tc>
              <w:tc>
                <w:tcPr>
                  <w:tcW w:w="997" w:type="pct"/>
                  <w:tcBorders>
                    <w:tl2br w:val="nil"/>
                    <w:tr2bl w:val="nil"/>
                  </w:tcBorders>
                  <w:noWrap w:val="0"/>
                  <w:vAlign w:val="center"/>
                </w:tcPr>
                <w:p w14:paraId="5BD876BB">
                  <w:pPr>
                    <w:pStyle w:val="46"/>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w:t>
                  </w:r>
                </w:p>
              </w:tc>
              <w:tc>
                <w:tcPr>
                  <w:tcW w:w="748" w:type="pct"/>
                  <w:tcBorders>
                    <w:tl2br w:val="nil"/>
                    <w:tr2bl w:val="nil"/>
                  </w:tcBorders>
                  <w:noWrap w:val="0"/>
                  <w:vAlign w:val="center"/>
                </w:tcPr>
                <w:p w14:paraId="0110066B">
                  <w:pPr>
                    <w:pStyle w:val="46"/>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748" w:type="pct"/>
                  <w:tcBorders>
                    <w:tl2br w:val="nil"/>
                    <w:tr2bl w:val="nil"/>
                  </w:tcBorders>
                  <w:noWrap w:val="0"/>
                  <w:vAlign w:val="center"/>
                </w:tcPr>
                <w:p w14:paraId="62CBDF87">
                  <w:pPr>
                    <w:pStyle w:val="46"/>
                    <w:bidi w:val="0"/>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rPr>
                    <w:t>35</w:t>
                  </w:r>
                </w:p>
              </w:tc>
              <w:tc>
                <w:tcPr>
                  <w:tcW w:w="641" w:type="pct"/>
                  <w:tcBorders>
                    <w:tl2br w:val="nil"/>
                    <w:tr2bl w:val="nil"/>
                  </w:tcBorders>
                  <w:noWrap w:val="0"/>
                  <w:vAlign w:val="center"/>
                </w:tcPr>
                <w:p w14:paraId="7903AA5C">
                  <w:pPr>
                    <w:pStyle w:val="46"/>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142.86</w:t>
                  </w:r>
                </w:p>
              </w:tc>
              <w:tc>
                <w:tcPr>
                  <w:tcW w:w="641" w:type="pct"/>
                  <w:tcBorders>
                    <w:tl2br w:val="nil"/>
                    <w:tr2bl w:val="nil"/>
                  </w:tcBorders>
                  <w:noWrap w:val="0"/>
                  <w:vAlign w:val="center"/>
                </w:tcPr>
                <w:p w14:paraId="0D127CD1">
                  <w:pPr>
                    <w:pStyle w:val="46"/>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不达标</w:t>
                  </w:r>
                </w:p>
              </w:tc>
            </w:tr>
            <w:tr w14:paraId="261027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5" w:type="pct"/>
                  <w:vMerge w:val="continue"/>
                  <w:tcBorders>
                    <w:tl2br w:val="nil"/>
                    <w:tr2bl w:val="nil"/>
                  </w:tcBorders>
                  <w:noWrap w:val="0"/>
                  <w:vAlign w:val="top"/>
                </w:tcPr>
                <w:p w14:paraId="49EC20E8">
                  <w:pPr>
                    <w:pStyle w:val="46"/>
                    <w:bidi w:val="0"/>
                    <w:rPr>
                      <w:rFonts w:hint="default" w:ascii="Times New Roman" w:hAnsi="Times New Roman" w:eastAsia="宋体" w:cs="Times New Roman"/>
                      <w:color w:val="auto"/>
                      <w:sz w:val="21"/>
                      <w:szCs w:val="21"/>
                      <w:highlight w:val="none"/>
                    </w:rPr>
                  </w:pPr>
                </w:p>
              </w:tc>
              <w:tc>
                <w:tcPr>
                  <w:tcW w:w="517" w:type="pct"/>
                  <w:tcBorders>
                    <w:tl2br w:val="nil"/>
                    <w:tr2bl w:val="nil"/>
                  </w:tcBorders>
                  <w:noWrap w:val="0"/>
                  <w:vAlign w:val="center"/>
                </w:tcPr>
                <w:p w14:paraId="6A097CB4">
                  <w:pPr>
                    <w:pStyle w:val="46"/>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w:t>
                  </w:r>
                </w:p>
              </w:tc>
              <w:tc>
                <w:tcPr>
                  <w:tcW w:w="997" w:type="pct"/>
                  <w:tcBorders>
                    <w:tl2br w:val="nil"/>
                    <w:tr2bl w:val="nil"/>
                  </w:tcBorders>
                  <w:noWrap w:val="0"/>
                  <w:vAlign w:val="center"/>
                </w:tcPr>
                <w:p w14:paraId="6E66D3A2">
                  <w:pPr>
                    <w:pStyle w:val="46"/>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24h平均第95</w:t>
                  </w:r>
                </w:p>
                <w:p w14:paraId="1045F940">
                  <w:pPr>
                    <w:pStyle w:val="46"/>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百分位数</w:t>
                  </w:r>
                </w:p>
              </w:tc>
              <w:tc>
                <w:tcPr>
                  <w:tcW w:w="748" w:type="pct"/>
                  <w:tcBorders>
                    <w:tl2br w:val="nil"/>
                    <w:tr2bl w:val="nil"/>
                  </w:tcBorders>
                  <w:noWrap w:val="0"/>
                  <w:vAlign w:val="center"/>
                </w:tcPr>
                <w:p w14:paraId="72F61E59">
                  <w:pPr>
                    <w:pStyle w:val="46"/>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1600</w:t>
                  </w:r>
                </w:p>
              </w:tc>
              <w:tc>
                <w:tcPr>
                  <w:tcW w:w="748" w:type="pct"/>
                  <w:tcBorders>
                    <w:tl2br w:val="nil"/>
                    <w:tr2bl w:val="nil"/>
                  </w:tcBorders>
                  <w:noWrap w:val="0"/>
                  <w:vAlign w:val="center"/>
                </w:tcPr>
                <w:p w14:paraId="258B94DF">
                  <w:pPr>
                    <w:pStyle w:val="46"/>
                    <w:bidi w:val="0"/>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rPr>
                    <w:t>4000</w:t>
                  </w:r>
                </w:p>
              </w:tc>
              <w:tc>
                <w:tcPr>
                  <w:tcW w:w="641" w:type="pct"/>
                  <w:tcBorders>
                    <w:tl2br w:val="nil"/>
                    <w:tr2bl w:val="nil"/>
                  </w:tcBorders>
                  <w:noWrap w:val="0"/>
                  <w:vAlign w:val="center"/>
                </w:tcPr>
                <w:p w14:paraId="1649B17B">
                  <w:pPr>
                    <w:pStyle w:val="46"/>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40.00</w:t>
                  </w:r>
                </w:p>
              </w:tc>
              <w:tc>
                <w:tcPr>
                  <w:tcW w:w="641" w:type="pct"/>
                  <w:tcBorders>
                    <w:tl2br w:val="nil"/>
                    <w:tr2bl w:val="nil"/>
                  </w:tcBorders>
                  <w:noWrap w:val="0"/>
                  <w:vAlign w:val="center"/>
                </w:tcPr>
                <w:p w14:paraId="381BD08B">
                  <w:pPr>
                    <w:pStyle w:val="46"/>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达标</w:t>
                  </w:r>
                </w:p>
              </w:tc>
            </w:tr>
            <w:tr w14:paraId="582844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05" w:type="pct"/>
                  <w:vMerge w:val="continue"/>
                  <w:tcBorders>
                    <w:tl2br w:val="nil"/>
                    <w:tr2bl w:val="nil"/>
                  </w:tcBorders>
                  <w:noWrap w:val="0"/>
                  <w:vAlign w:val="top"/>
                </w:tcPr>
                <w:p w14:paraId="68D622D1">
                  <w:pPr>
                    <w:pStyle w:val="46"/>
                    <w:bidi w:val="0"/>
                    <w:rPr>
                      <w:rFonts w:hint="default" w:ascii="Times New Roman" w:hAnsi="Times New Roman" w:eastAsia="宋体" w:cs="Times New Roman"/>
                      <w:color w:val="auto"/>
                      <w:sz w:val="21"/>
                      <w:szCs w:val="21"/>
                      <w:highlight w:val="none"/>
                    </w:rPr>
                  </w:pPr>
                </w:p>
              </w:tc>
              <w:tc>
                <w:tcPr>
                  <w:tcW w:w="517" w:type="pct"/>
                  <w:tcBorders>
                    <w:tl2br w:val="nil"/>
                    <w:tr2bl w:val="nil"/>
                  </w:tcBorders>
                  <w:noWrap w:val="0"/>
                  <w:vAlign w:val="center"/>
                </w:tcPr>
                <w:p w14:paraId="5ACD62BD">
                  <w:pPr>
                    <w:pStyle w:val="46"/>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O</w:t>
                  </w:r>
                  <w:r>
                    <w:rPr>
                      <w:rFonts w:hint="default" w:ascii="Times New Roman" w:hAnsi="Times New Roman" w:eastAsia="宋体" w:cs="Times New Roman"/>
                      <w:color w:val="auto"/>
                      <w:sz w:val="21"/>
                      <w:szCs w:val="21"/>
                      <w:highlight w:val="none"/>
                      <w:vertAlign w:val="subscript"/>
                    </w:rPr>
                    <w:t>3</w:t>
                  </w:r>
                </w:p>
              </w:tc>
              <w:tc>
                <w:tcPr>
                  <w:tcW w:w="997" w:type="pct"/>
                  <w:tcBorders>
                    <w:tl2br w:val="nil"/>
                    <w:tr2bl w:val="nil"/>
                  </w:tcBorders>
                  <w:noWrap w:val="0"/>
                  <w:vAlign w:val="center"/>
                </w:tcPr>
                <w:p w14:paraId="3E5E481B">
                  <w:pPr>
                    <w:pStyle w:val="46"/>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日最大8h平均第90百分位数</w:t>
                  </w:r>
                </w:p>
              </w:tc>
              <w:tc>
                <w:tcPr>
                  <w:tcW w:w="748" w:type="pct"/>
                  <w:tcBorders>
                    <w:tl2br w:val="nil"/>
                    <w:tr2bl w:val="nil"/>
                  </w:tcBorders>
                  <w:noWrap w:val="0"/>
                  <w:vAlign w:val="center"/>
                </w:tcPr>
                <w:p w14:paraId="2004AE4D">
                  <w:pPr>
                    <w:pStyle w:val="46"/>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78</w:t>
                  </w:r>
                </w:p>
              </w:tc>
              <w:tc>
                <w:tcPr>
                  <w:tcW w:w="748" w:type="pct"/>
                  <w:tcBorders>
                    <w:tl2br w:val="nil"/>
                    <w:tr2bl w:val="nil"/>
                  </w:tcBorders>
                  <w:noWrap w:val="0"/>
                  <w:vAlign w:val="center"/>
                </w:tcPr>
                <w:p w14:paraId="5558DC97">
                  <w:pPr>
                    <w:pStyle w:val="46"/>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160</w:t>
                  </w:r>
                </w:p>
              </w:tc>
              <w:tc>
                <w:tcPr>
                  <w:tcW w:w="641" w:type="pct"/>
                  <w:tcBorders>
                    <w:tl2br w:val="nil"/>
                    <w:tr2bl w:val="nil"/>
                  </w:tcBorders>
                  <w:noWrap w:val="0"/>
                  <w:vAlign w:val="center"/>
                </w:tcPr>
                <w:p w14:paraId="6316B0A0">
                  <w:pPr>
                    <w:pStyle w:val="46"/>
                    <w:bidi w:val="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111.25</w:t>
                  </w:r>
                </w:p>
              </w:tc>
              <w:tc>
                <w:tcPr>
                  <w:tcW w:w="641" w:type="pct"/>
                  <w:tcBorders>
                    <w:tl2br w:val="nil"/>
                    <w:tr2bl w:val="nil"/>
                  </w:tcBorders>
                  <w:noWrap w:val="0"/>
                  <w:vAlign w:val="center"/>
                </w:tcPr>
                <w:p w14:paraId="0DD853FE">
                  <w:pPr>
                    <w:pStyle w:val="46"/>
                    <w:bidi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不达标</w:t>
                  </w:r>
                </w:p>
              </w:tc>
            </w:tr>
          </w:tbl>
          <w:p w14:paraId="6238F30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olor w:val="auto"/>
                <w:sz w:val="24"/>
                <w:szCs w:val="24"/>
                <w:highlight w:val="none"/>
              </w:rPr>
            </w:pPr>
            <w:r>
              <w:rPr>
                <w:rFonts w:hint="eastAsia" w:ascii="Times New Roman" w:hAnsi="Times New Roman" w:eastAsia="宋体"/>
                <w:color w:val="auto"/>
                <w:sz w:val="24"/>
                <w:szCs w:val="24"/>
                <w:highlight w:val="none"/>
              </w:rPr>
              <w:t>由上表可知，</w:t>
            </w:r>
            <w:r>
              <w:rPr>
                <w:rFonts w:ascii="Times New Roman" w:hAnsi="Times New Roman" w:eastAsia="宋体"/>
                <w:color w:val="auto"/>
                <w:sz w:val="24"/>
                <w:szCs w:val="24"/>
                <w:highlight w:val="none"/>
              </w:rPr>
              <w:t>PM</w:t>
            </w:r>
            <w:r>
              <w:rPr>
                <w:rFonts w:ascii="Times New Roman" w:hAnsi="Times New Roman" w:eastAsia="宋体"/>
                <w:color w:val="auto"/>
                <w:sz w:val="24"/>
                <w:szCs w:val="24"/>
                <w:highlight w:val="none"/>
                <w:vertAlign w:val="subscript"/>
              </w:rPr>
              <w:t>10</w:t>
            </w:r>
            <w:r>
              <w:rPr>
                <w:rFonts w:ascii="Times New Roman" w:hAnsi="Times New Roman" w:eastAsia="宋体"/>
                <w:color w:val="auto"/>
                <w:sz w:val="24"/>
                <w:szCs w:val="24"/>
                <w:highlight w:val="none"/>
              </w:rPr>
              <w:t>、PM</w:t>
            </w:r>
            <w:r>
              <w:rPr>
                <w:rFonts w:ascii="Times New Roman" w:hAnsi="Times New Roman" w:eastAsia="宋体"/>
                <w:color w:val="auto"/>
                <w:sz w:val="24"/>
                <w:szCs w:val="24"/>
                <w:highlight w:val="none"/>
                <w:vertAlign w:val="subscript"/>
              </w:rPr>
              <w:t>2.5</w:t>
            </w:r>
            <w:r>
              <w:rPr>
                <w:rFonts w:ascii="Times New Roman" w:hAnsi="Times New Roman" w:eastAsia="宋体"/>
                <w:color w:val="auto"/>
                <w:sz w:val="24"/>
                <w:szCs w:val="24"/>
                <w:highlight w:val="none"/>
              </w:rPr>
              <w:t>、O</w:t>
            </w:r>
            <w:r>
              <w:rPr>
                <w:rFonts w:ascii="Times New Roman" w:hAnsi="Times New Roman" w:eastAsia="宋体"/>
                <w:color w:val="auto"/>
                <w:sz w:val="24"/>
                <w:szCs w:val="24"/>
                <w:highlight w:val="none"/>
                <w:vertAlign w:val="subscript"/>
              </w:rPr>
              <w:t>3</w:t>
            </w:r>
            <w:r>
              <w:rPr>
                <w:rFonts w:ascii="Times New Roman" w:hAnsi="Times New Roman" w:eastAsia="宋体"/>
                <w:color w:val="auto"/>
                <w:sz w:val="24"/>
                <w:szCs w:val="24"/>
                <w:highlight w:val="none"/>
              </w:rPr>
              <w:t>不能满足《环境空气质量标准》（GB3095-2012）及修改单中的二级标准。</w:t>
            </w:r>
          </w:p>
          <w:p w14:paraId="7C8F1156">
            <w:pPr>
              <w:keepNext w:val="0"/>
              <w:keepLines w:val="0"/>
              <w:pageBreakBefore w:val="0"/>
              <w:widowControl w:val="0"/>
              <w:numPr>
                <w:ilvl w:val="0"/>
                <w:numId w:val="0"/>
              </w:numPr>
              <w:kinsoku/>
              <w:wordWrap/>
              <w:overflowPunct/>
              <w:topLinePunct w:val="0"/>
              <w:autoSpaceDE/>
              <w:autoSpaceDN/>
              <w:bidi w:val="0"/>
              <w:adjustRightInd/>
              <w:snapToGrid w:val="0"/>
              <w:spacing w:line="360" w:lineRule="auto"/>
              <w:ind w:firstLine="480" w:firstLineChars="200"/>
              <w:jc w:val="left"/>
              <w:textAlignment w:val="auto"/>
              <w:rPr>
                <w:rFonts w:hint="eastAsia" w:ascii="Times New Roman" w:hAnsi="Times New Roman" w:eastAsia="宋体"/>
                <w:color w:val="auto"/>
                <w:sz w:val="24"/>
                <w:szCs w:val="24"/>
                <w:highlight w:val="none"/>
              </w:rPr>
            </w:pPr>
            <w:r>
              <w:rPr>
                <w:rFonts w:hint="eastAsia" w:ascii="Times New Roman" w:hAnsi="Times New Roman"/>
                <w:color w:val="auto"/>
                <w:sz w:val="24"/>
                <w:highlight w:val="none"/>
              </w:rPr>
              <w:t>因此，安阳市生态环境局印发了《安阳市生态</w:t>
            </w:r>
            <w:r>
              <w:rPr>
                <w:rFonts w:hint="eastAsia" w:ascii="Times New Roman" w:hAnsi="Times New Roman"/>
                <w:color w:val="auto"/>
                <w:sz w:val="24"/>
                <w:highlight w:val="none"/>
                <w:lang w:eastAsia="zh-CN"/>
              </w:rPr>
              <w:t>环境保护委员会</w:t>
            </w:r>
            <w:r>
              <w:rPr>
                <w:rFonts w:hint="eastAsia" w:ascii="Times New Roman" w:hAnsi="Times New Roman"/>
                <w:color w:val="auto"/>
                <w:sz w:val="24"/>
                <w:highlight w:val="none"/>
              </w:rPr>
              <w:t>关于印发安阳市202</w:t>
            </w:r>
            <w:r>
              <w:rPr>
                <w:rFonts w:hint="eastAsia" w:ascii="Times New Roman" w:hAnsi="Times New Roman"/>
                <w:color w:val="auto"/>
                <w:sz w:val="24"/>
                <w:highlight w:val="none"/>
                <w:lang w:val="en-US" w:eastAsia="zh-CN"/>
              </w:rPr>
              <w:t>4</w:t>
            </w:r>
            <w:r>
              <w:rPr>
                <w:rFonts w:hint="eastAsia"/>
                <w:color w:val="auto"/>
                <w:sz w:val="24"/>
                <w:highlight w:val="none"/>
                <w:lang w:val="en-US" w:eastAsia="zh-CN"/>
              </w:rPr>
              <w:t>—</w:t>
            </w:r>
            <w:r>
              <w:rPr>
                <w:rFonts w:hint="eastAsia" w:ascii="Times New Roman" w:hAnsi="Times New Roman"/>
                <w:color w:val="auto"/>
                <w:sz w:val="24"/>
                <w:highlight w:val="none"/>
                <w:lang w:val="en-US" w:eastAsia="zh-CN"/>
              </w:rPr>
              <w:t>2025</w:t>
            </w:r>
            <w:r>
              <w:rPr>
                <w:rFonts w:hint="eastAsia" w:ascii="Times New Roman" w:hAnsi="Times New Roman"/>
                <w:color w:val="auto"/>
                <w:sz w:val="24"/>
                <w:highlight w:val="none"/>
              </w:rPr>
              <w:t>年</w:t>
            </w:r>
            <w:r>
              <w:rPr>
                <w:rFonts w:hint="eastAsia" w:ascii="Times New Roman" w:hAnsi="Times New Roman"/>
                <w:color w:val="auto"/>
                <w:sz w:val="24"/>
                <w:highlight w:val="none"/>
                <w:lang w:eastAsia="zh-CN"/>
              </w:rPr>
              <w:t>空气质量持续改善暨综合指数</w:t>
            </w:r>
            <w:r>
              <w:rPr>
                <w:rFonts w:hint="eastAsia"/>
                <w:color w:val="auto"/>
                <w:sz w:val="24"/>
                <w:highlight w:val="none"/>
                <w:lang w:eastAsia="zh-CN"/>
              </w:rPr>
              <w:t>“</w:t>
            </w:r>
            <w:r>
              <w:rPr>
                <w:rFonts w:hint="eastAsia" w:ascii="Times New Roman" w:hAnsi="Times New Roman"/>
                <w:color w:val="auto"/>
                <w:sz w:val="24"/>
                <w:highlight w:val="none"/>
                <w:lang w:eastAsia="zh-CN"/>
              </w:rPr>
              <w:t>退后十</w:t>
            </w:r>
            <w:r>
              <w:rPr>
                <w:rFonts w:hint="eastAsia"/>
                <w:color w:val="auto"/>
                <w:sz w:val="24"/>
                <w:highlight w:val="none"/>
                <w:lang w:eastAsia="zh-CN"/>
              </w:rPr>
              <w:t>”</w:t>
            </w:r>
            <w:r>
              <w:rPr>
                <w:rFonts w:hint="eastAsia" w:ascii="Times New Roman" w:hAnsi="Times New Roman"/>
                <w:color w:val="auto"/>
                <w:sz w:val="24"/>
                <w:highlight w:val="none"/>
                <w:lang w:eastAsia="zh-CN"/>
              </w:rPr>
              <w:t>攻坚行动方案</w:t>
            </w:r>
            <w:r>
              <w:rPr>
                <w:rFonts w:hint="eastAsia" w:ascii="Times New Roman" w:hAnsi="Times New Roman"/>
                <w:color w:val="auto"/>
                <w:sz w:val="24"/>
                <w:highlight w:val="none"/>
              </w:rPr>
              <w:t>的通知》（安环委办〔202</w:t>
            </w:r>
            <w:r>
              <w:rPr>
                <w:rFonts w:hint="eastAsia" w:ascii="Times New Roman" w:hAnsi="Times New Roman"/>
                <w:color w:val="auto"/>
                <w:sz w:val="24"/>
                <w:highlight w:val="none"/>
                <w:lang w:val="en-US" w:eastAsia="zh-CN"/>
              </w:rPr>
              <w:t>4</w:t>
            </w:r>
            <w:r>
              <w:rPr>
                <w:rFonts w:hint="eastAsia" w:ascii="Times New Roman" w:hAnsi="Times New Roman"/>
                <w:color w:val="auto"/>
                <w:sz w:val="24"/>
                <w:highlight w:val="none"/>
              </w:rPr>
              <w:t>〕</w:t>
            </w:r>
            <w:r>
              <w:rPr>
                <w:rFonts w:hint="eastAsia" w:ascii="Times New Roman" w:hAnsi="Times New Roman"/>
                <w:color w:val="auto"/>
                <w:sz w:val="24"/>
                <w:highlight w:val="none"/>
                <w:lang w:val="en-US" w:eastAsia="zh-CN"/>
              </w:rPr>
              <w:t>3</w:t>
            </w:r>
            <w:r>
              <w:rPr>
                <w:rFonts w:hint="eastAsia" w:ascii="Times New Roman" w:hAnsi="Times New Roman"/>
                <w:color w:val="auto"/>
                <w:sz w:val="24"/>
                <w:highlight w:val="none"/>
              </w:rPr>
              <w:t>号），进一步改善安阳市</w:t>
            </w:r>
            <w:r>
              <w:rPr>
                <w:rFonts w:hint="eastAsia" w:ascii="Times New Roman" w:hAnsi="Times New Roman"/>
                <w:color w:val="auto"/>
                <w:sz w:val="24"/>
                <w:highlight w:val="none"/>
                <w:lang w:eastAsia="zh-CN"/>
              </w:rPr>
              <w:t>环境空气质量</w:t>
            </w:r>
            <w:r>
              <w:rPr>
                <w:rFonts w:hint="eastAsia" w:ascii="Times New Roman" w:hAnsi="Times New Roman"/>
                <w:color w:val="auto"/>
                <w:sz w:val="24"/>
                <w:highlight w:val="none"/>
              </w:rPr>
              <w:t>情况。</w:t>
            </w:r>
          </w:p>
          <w:p w14:paraId="27DFD978">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bCs/>
                <w:color w:val="000000" w:themeColor="text1"/>
                <w:kern w:val="0"/>
                <w:sz w:val="24"/>
                <w:szCs w:val="24"/>
                <w:highlight w:val="none"/>
                <w:u w:color="auto"/>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4"/>
                <w:szCs w:val="24"/>
                <w:highlight w:val="none"/>
                <w:u w:color="auto"/>
                <w:vertAlign w:val="baseline"/>
                <w:lang w:val="en-US" w:eastAsia="zh-CN" w:bidi="ar-SA"/>
                <w14:textFill>
                  <w14:solidFill>
                    <w14:schemeClr w14:val="tx1"/>
                  </w14:solidFill>
                </w14:textFill>
              </w:rPr>
              <w:t>3.地表水</w:t>
            </w:r>
          </w:p>
          <w:p w14:paraId="0DBEDF0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bCs w:val="0"/>
                <w:color w:val="auto"/>
                <w:highlight w:val="none"/>
                <w:u w:val="none" w:color="auto"/>
                <w:lang w:val="en-US" w:eastAsia="zh-CN"/>
              </w:rPr>
            </w:pPr>
            <w:r>
              <w:rPr>
                <w:rFonts w:hint="default" w:ascii="Times New Roman" w:hAnsi="Times New Roman" w:eastAsia="宋体" w:cs="Times New Roman"/>
                <w:color w:val="auto"/>
                <w:sz w:val="24"/>
                <w:szCs w:val="24"/>
                <w:highlight w:val="none"/>
              </w:rPr>
              <w:t>距离本项目最近的地表水为项目</w:t>
            </w:r>
            <w:r>
              <w:rPr>
                <w:rFonts w:hint="eastAsia" w:cs="Times New Roman"/>
                <w:color w:val="auto"/>
                <w:sz w:val="24"/>
                <w:szCs w:val="24"/>
                <w:highlight w:val="none"/>
                <w:lang w:eastAsia="zh-CN"/>
              </w:rPr>
              <w:t>北侧</w:t>
            </w:r>
            <w:r>
              <w:rPr>
                <w:rFonts w:hint="eastAsia"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rPr>
              <w:t>m的</w:t>
            </w:r>
            <w:r>
              <w:rPr>
                <w:rFonts w:hint="default" w:ascii="Times New Roman" w:hAnsi="Times New Roman" w:eastAsia="宋体" w:cs="Times New Roman"/>
                <w:color w:val="auto"/>
                <w:sz w:val="24"/>
                <w:szCs w:val="24"/>
                <w:highlight w:val="none"/>
                <w:lang w:eastAsia="zh-CN"/>
              </w:rPr>
              <w:t>洹河</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rPr>
              <w:t>本次从安阳市生态环境局收集到2022年洹河京广铁路桥断面的常规监测数据，具体见下表。</w:t>
            </w:r>
          </w:p>
          <w:p w14:paraId="0D22DC94">
            <w:pPr>
              <w:pStyle w:val="48"/>
              <w:bidi w:val="0"/>
              <w:spacing w:line="240" w:lineRule="auto"/>
              <w:jc w:val="center"/>
              <w:rPr>
                <w:rFonts w:hint="default" w:ascii="Times New Roman" w:hAnsi="Times New Roman" w:eastAsia="宋体" w:cs="Times New Roman"/>
                <w:b/>
                <w:bCs w:val="0"/>
                <w:color w:val="auto"/>
                <w:highlight w:val="none"/>
                <w:u w:val="none" w:color="auto"/>
                <w:lang w:val="en-US" w:eastAsia="zh-CN"/>
              </w:rPr>
            </w:pPr>
            <w:r>
              <w:rPr>
                <w:rFonts w:hint="default" w:ascii="Times New Roman" w:hAnsi="Times New Roman" w:eastAsia="宋体" w:cs="Times New Roman"/>
                <w:b/>
                <w:bCs w:val="0"/>
                <w:color w:val="auto"/>
                <w:highlight w:val="none"/>
                <w:u w:val="none" w:color="auto"/>
                <w:lang w:val="en-US" w:eastAsia="zh-CN"/>
              </w:rPr>
              <w:t>监测断面监测统计结果一览表单位：mg/L</w:t>
            </w:r>
          </w:p>
          <w:tbl>
            <w:tblPr>
              <w:tblStyle w:val="18"/>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659"/>
              <w:gridCol w:w="1165"/>
              <w:gridCol w:w="1335"/>
              <w:gridCol w:w="1016"/>
              <w:gridCol w:w="1469"/>
              <w:gridCol w:w="961"/>
              <w:gridCol w:w="962"/>
            </w:tblGrid>
            <w:tr w14:paraId="255A0B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533" w:type="dxa"/>
                  <w:tcBorders>
                    <w:top w:val="single" w:color="000000" w:sz="18" w:space="0"/>
                  </w:tcBorders>
                  <w:noWrap w:val="0"/>
                  <w:vAlign w:val="center"/>
                </w:tcPr>
                <w:p w14:paraId="0B51E19E">
                  <w:pPr>
                    <w:pStyle w:val="46"/>
                    <w:tabs>
                      <w:tab w:val="right" w:leader="dot" w:pos="8296"/>
                    </w:tabs>
                    <w:bidi w:val="0"/>
                    <w:ind w:left="0" w:leftChars="0"/>
                    <w:rPr>
                      <w:rFonts w:hint="default" w:ascii="Times New Roman" w:hAnsi="Times New Roman" w:eastAsia="宋体" w:cs="Times New Roman"/>
                      <w:b/>
                      <w:bCs/>
                      <w:color w:val="auto"/>
                      <w:sz w:val="21"/>
                      <w:szCs w:val="21"/>
                      <w:highlight w:val="none"/>
                      <w:u w:val="none" w:color="auto"/>
                    </w:rPr>
                  </w:pPr>
                  <w:r>
                    <w:rPr>
                      <w:rFonts w:hint="eastAsia"/>
                      <w:b/>
                      <w:bCs/>
                      <w:color w:val="auto"/>
                      <w:highlight w:val="none"/>
                    </w:rPr>
                    <w:t>断面</w:t>
                  </w:r>
                </w:p>
              </w:tc>
              <w:tc>
                <w:tcPr>
                  <w:tcW w:w="1077" w:type="dxa"/>
                  <w:tcBorders>
                    <w:top w:val="single" w:color="000000" w:sz="18" w:space="0"/>
                  </w:tcBorders>
                  <w:noWrap w:val="0"/>
                  <w:vAlign w:val="center"/>
                </w:tcPr>
                <w:p w14:paraId="53F9E844">
                  <w:pPr>
                    <w:pStyle w:val="46"/>
                    <w:tabs>
                      <w:tab w:val="right" w:leader="dot" w:pos="8296"/>
                    </w:tabs>
                    <w:bidi w:val="0"/>
                    <w:ind w:left="0" w:leftChars="0"/>
                    <w:rPr>
                      <w:rFonts w:hint="default" w:ascii="Times New Roman" w:hAnsi="Times New Roman" w:eastAsia="宋体" w:cs="Times New Roman"/>
                      <w:b/>
                      <w:bCs/>
                      <w:color w:val="auto"/>
                      <w:sz w:val="21"/>
                      <w:szCs w:val="21"/>
                      <w:highlight w:val="none"/>
                      <w:u w:val="none" w:color="auto"/>
                    </w:rPr>
                  </w:pPr>
                  <w:r>
                    <w:rPr>
                      <w:rFonts w:hint="eastAsia"/>
                      <w:b/>
                      <w:bCs/>
                      <w:color w:val="auto"/>
                      <w:highlight w:val="none"/>
                      <w:lang w:eastAsia="zh-CN"/>
                    </w:rPr>
                    <w:t>统计指标</w:t>
                  </w:r>
                </w:p>
              </w:tc>
              <w:tc>
                <w:tcPr>
                  <w:tcW w:w="1234" w:type="dxa"/>
                  <w:tcBorders>
                    <w:top w:val="single" w:color="000000" w:sz="18" w:space="0"/>
                  </w:tcBorders>
                  <w:noWrap w:val="0"/>
                  <w:vAlign w:val="center"/>
                </w:tcPr>
                <w:p w14:paraId="3398E069">
                  <w:pPr>
                    <w:pStyle w:val="46"/>
                    <w:tabs>
                      <w:tab w:val="right" w:leader="dot" w:pos="8296"/>
                    </w:tabs>
                    <w:bidi w:val="0"/>
                    <w:ind w:left="0" w:leftChars="0"/>
                    <w:rPr>
                      <w:rFonts w:hint="default" w:ascii="Times New Roman" w:hAnsi="Times New Roman" w:eastAsia="宋体" w:cs="Times New Roman"/>
                      <w:b/>
                      <w:bCs/>
                      <w:color w:val="auto"/>
                      <w:sz w:val="21"/>
                      <w:szCs w:val="21"/>
                      <w:highlight w:val="none"/>
                      <w:u w:val="none" w:color="auto"/>
                    </w:rPr>
                  </w:pPr>
                  <w:r>
                    <w:rPr>
                      <w:rFonts w:hint="eastAsia"/>
                      <w:b/>
                      <w:bCs/>
                      <w:color w:val="auto"/>
                      <w:highlight w:val="none"/>
                    </w:rPr>
                    <w:t>COD</w:t>
                  </w:r>
                </w:p>
              </w:tc>
              <w:tc>
                <w:tcPr>
                  <w:tcW w:w="939" w:type="dxa"/>
                  <w:tcBorders>
                    <w:top w:val="single" w:color="000000" w:sz="18" w:space="0"/>
                  </w:tcBorders>
                  <w:noWrap w:val="0"/>
                  <w:vAlign w:val="center"/>
                </w:tcPr>
                <w:p w14:paraId="53499D67">
                  <w:pPr>
                    <w:pStyle w:val="46"/>
                    <w:tabs>
                      <w:tab w:val="right" w:leader="dot" w:pos="8296"/>
                    </w:tabs>
                    <w:bidi w:val="0"/>
                    <w:ind w:left="0" w:leftChars="0"/>
                    <w:rPr>
                      <w:rFonts w:hint="default" w:ascii="Times New Roman" w:hAnsi="Times New Roman" w:eastAsia="宋体" w:cs="Times New Roman"/>
                      <w:b/>
                      <w:bCs/>
                      <w:color w:val="auto"/>
                      <w:sz w:val="21"/>
                      <w:szCs w:val="21"/>
                      <w:highlight w:val="none"/>
                      <w:u w:val="none" w:color="auto"/>
                    </w:rPr>
                  </w:pPr>
                  <w:r>
                    <w:rPr>
                      <w:rFonts w:hint="eastAsia"/>
                      <w:b/>
                      <w:bCs/>
                      <w:color w:val="auto"/>
                      <w:highlight w:val="none"/>
                    </w:rPr>
                    <w:t>氨氮</w:t>
                  </w:r>
                </w:p>
              </w:tc>
              <w:tc>
                <w:tcPr>
                  <w:tcW w:w="1358" w:type="dxa"/>
                  <w:tcBorders>
                    <w:top w:val="single" w:color="000000" w:sz="18" w:space="0"/>
                  </w:tcBorders>
                  <w:noWrap w:val="0"/>
                  <w:vAlign w:val="center"/>
                </w:tcPr>
                <w:p w14:paraId="2A428FEB">
                  <w:pPr>
                    <w:pStyle w:val="46"/>
                    <w:tabs>
                      <w:tab w:val="right" w:leader="dot" w:pos="8296"/>
                    </w:tabs>
                    <w:bidi w:val="0"/>
                    <w:ind w:left="0" w:leftChars="0"/>
                    <w:rPr>
                      <w:rFonts w:hint="default" w:ascii="Times New Roman" w:hAnsi="Times New Roman" w:eastAsia="宋体" w:cs="Times New Roman"/>
                      <w:b/>
                      <w:bCs/>
                      <w:color w:val="auto"/>
                      <w:sz w:val="21"/>
                      <w:szCs w:val="21"/>
                      <w:highlight w:val="none"/>
                      <w:u w:val="none" w:color="auto"/>
                    </w:rPr>
                  </w:pPr>
                  <w:r>
                    <w:rPr>
                      <w:rFonts w:hint="eastAsia"/>
                      <w:b/>
                      <w:bCs/>
                      <w:color w:val="auto"/>
                      <w:highlight w:val="none"/>
                      <w:lang w:val="en-US" w:eastAsia="zh-CN"/>
                    </w:rPr>
                    <w:t>BOD</w:t>
                  </w:r>
                  <w:r>
                    <w:rPr>
                      <w:rFonts w:hint="eastAsia"/>
                      <w:b/>
                      <w:bCs/>
                      <w:color w:val="auto"/>
                      <w:highlight w:val="none"/>
                      <w:vertAlign w:val="subscript"/>
                      <w:lang w:val="en-US" w:eastAsia="zh-CN"/>
                    </w:rPr>
                    <w:t>5</w:t>
                  </w:r>
                </w:p>
              </w:tc>
              <w:tc>
                <w:tcPr>
                  <w:tcW w:w="888" w:type="dxa"/>
                  <w:tcBorders>
                    <w:top w:val="single" w:color="000000" w:sz="18" w:space="0"/>
                  </w:tcBorders>
                  <w:noWrap w:val="0"/>
                  <w:vAlign w:val="center"/>
                </w:tcPr>
                <w:p w14:paraId="0B1D3999">
                  <w:pPr>
                    <w:pStyle w:val="46"/>
                    <w:tabs>
                      <w:tab w:val="right" w:leader="dot" w:pos="8296"/>
                    </w:tabs>
                    <w:bidi w:val="0"/>
                    <w:ind w:left="0" w:leftChars="0"/>
                    <w:rPr>
                      <w:rFonts w:hint="default"/>
                      <w:b/>
                      <w:bCs/>
                      <w:color w:val="auto"/>
                      <w:highlight w:val="none"/>
                      <w:lang w:val="en-US" w:eastAsia="zh-CN"/>
                    </w:rPr>
                  </w:pPr>
                  <w:r>
                    <w:rPr>
                      <w:rFonts w:hint="eastAsia"/>
                      <w:b/>
                      <w:bCs/>
                      <w:color w:val="auto"/>
                      <w:highlight w:val="none"/>
                    </w:rPr>
                    <w:t>总磷</w:t>
                  </w:r>
                </w:p>
              </w:tc>
              <w:tc>
                <w:tcPr>
                  <w:tcW w:w="888" w:type="dxa"/>
                  <w:tcBorders>
                    <w:top w:val="single" w:color="000000" w:sz="18" w:space="0"/>
                  </w:tcBorders>
                  <w:noWrap w:val="0"/>
                  <w:vAlign w:val="center"/>
                </w:tcPr>
                <w:p w14:paraId="19670CE6">
                  <w:pPr>
                    <w:pStyle w:val="46"/>
                    <w:tabs>
                      <w:tab w:val="right" w:leader="dot" w:pos="8296"/>
                    </w:tabs>
                    <w:bidi w:val="0"/>
                    <w:ind w:left="0" w:leftChars="0"/>
                    <w:rPr>
                      <w:rFonts w:hint="default"/>
                      <w:b/>
                      <w:bCs/>
                      <w:color w:val="auto"/>
                      <w:highlight w:val="none"/>
                      <w:lang w:val="en-US" w:eastAsia="zh-CN"/>
                    </w:rPr>
                  </w:pPr>
                  <w:r>
                    <w:rPr>
                      <w:rFonts w:hint="eastAsia"/>
                      <w:b/>
                      <w:bCs/>
                      <w:color w:val="auto"/>
                      <w:highlight w:val="none"/>
                      <w:lang w:eastAsia="zh-CN"/>
                    </w:rPr>
                    <w:t>总氮</w:t>
                  </w:r>
                </w:p>
              </w:tc>
            </w:tr>
            <w:tr w14:paraId="0BFC52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533" w:type="dxa"/>
                  <w:noWrap w:val="0"/>
                  <w:vAlign w:val="center"/>
                </w:tcPr>
                <w:p w14:paraId="747A8079">
                  <w:pPr>
                    <w:pStyle w:val="46"/>
                    <w:tabs>
                      <w:tab w:val="right" w:leader="dot" w:pos="8296"/>
                    </w:tabs>
                    <w:bidi w:val="0"/>
                    <w:ind w:left="0" w:leftChars="0"/>
                    <w:rPr>
                      <w:rFonts w:hint="default" w:ascii="Times New Roman" w:hAnsi="Times New Roman" w:eastAsia="宋体" w:cs="Times New Roman"/>
                      <w:color w:val="auto"/>
                      <w:sz w:val="21"/>
                      <w:szCs w:val="21"/>
                      <w:highlight w:val="none"/>
                      <w:u w:val="none" w:color="auto"/>
                    </w:rPr>
                  </w:pPr>
                  <w:r>
                    <w:rPr>
                      <w:rFonts w:hint="eastAsia"/>
                      <w:color w:val="auto"/>
                      <w:highlight w:val="none"/>
                    </w:rPr>
                    <w:t>洹河</w:t>
                  </w:r>
                  <w:r>
                    <w:rPr>
                      <w:rFonts w:hint="eastAsia"/>
                      <w:color w:val="auto"/>
                      <w:highlight w:val="none"/>
                      <w:lang w:eastAsia="zh-CN"/>
                    </w:rPr>
                    <w:t>京广铁路桥</w:t>
                  </w:r>
                  <w:r>
                    <w:rPr>
                      <w:rFonts w:hint="eastAsia"/>
                      <w:color w:val="auto"/>
                      <w:highlight w:val="none"/>
                    </w:rPr>
                    <w:t>断面</w:t>
                  </w:r>
                </w:p>
              </w:tc>
              <w:tc>
                <w:tcPr>
                  <w:tcW w:w="1077" w:type="dxa"/>
                  <w:noWrap w:val="0"/>
                  <w:vAlign w:val="center"/>
                </w:tcPr>
                <w:p w14:paraId="0CE23518">
                  <w:pPr>
                    <w:pStyle w:val="46"/>
                    <w:tabs>
                      <w:tab w:val="right" w:leader="dot" w:pos="8296"/>
                    </w:tabs>
                    <w:bidi w:val="0"/>
                    <w:ind w:left="0" w:leftChars="0"/>
                    <w:rPr>
                      <w:rFonts w:hint="default" w:ascii="Times New Roman" w:hAnsi="Times New Roman" w:eastAsia="宋体" w:cs="Times New Roman"/>
                      <w:color w:val="auto"/>
                      <w:sz w:val="21"/>
                      <w:szCs w:val="21"/>
                      <w:highlight w:val="none"/>
                      <w:u w:val="none" w:color="auto"/>
                    </w:rPr>
                  </w:pPr>
                  <w:r>
                    <w:rPr>
                      <w:rFonts w:hint="eastAsia"/>
                      <w:color w:val="auto"/>
                      <w:highlight w:val="none"/>
                      <w:lang w:eastAsia="zh-CN"/>
                    </w:rPr>
                    <w:t>年均值</w:t>
                  </w:r>
                </w:p>
              </w:tc>
              <w:tc>
                <w:tcPr>
                  <w:tcW w:w="1234" w:type="dxa"/>
                  <w:noWrap w:val="0"/>
                  <w:vAlign w:val="center"/>
                </w:tcPr>
                <w:p w14:paraId="37B866FF">
                  <w:pPr>
                    <w:pStyle w:val="46"/>
                    <w:tabs>
                      <w:tab w:val="right" w:leader="dot" w:pos="8296"/>
                    </w:tabs>
                    <w:bidi w:val="0"/>
                    <w:ind w:left="0" w:leftChars="0"/>
                    <w:rPr>
                      <w:rFonts w:hint="default" w:ascii="Times New Roman" w:hAnsi="Times New Roman" w:eastAsia="宋体" w:cs="Times New Roman"/>
                      <w:color w:val="auto"/>
                      <w:sz w:val="21"/>
                      <w:szCs w:val="21"/>
                      <w:highlight w:val="none"/>
                      <w:u w:val="none" w:color="auto"/>
                    </w:rPr>
                  </w:pPr>
                  <w:r>
                    <w:rPr>
                      <w:rFonts w:hint="eastAsia"/>
                      <w:color w:val="auto"/>
                      <w:highlight w:val="none"/>
                      <w:lang w:val="en-US" w:eastAsia="zh-CN"/>
                    </w:rPr>
                    <w:t>10</w:t>
                  </w:r>
                </w:p>
              </w:tc>
              <w:tc>
                <w:tcPr>
                  <w:tcW w:w="939" w:type="dxa"/>
                  <w:noWrap w:val="0"/>
                  <w:vAlign w:val="center"/>
                </w:tcPr>
                <w:p w14:paraId="27272389">
                  <w:pPr>
                    <w:pStyle w:val="46"/>
                    <w:tabs>
                      <w:tab w:val="right" w:leader="dot" w:pos="8296"/>
                    </w:tabs>
                    <w:bidi w:val="0"/>
                    <w:ind w:left="0" w:leftChars="0"/>
                    <w:rPr>
                      <w:rFonts w:hint="default" w:ascii="Times New Roman" w:hAnsi="Times New Roman" w:eastAsia="宋体" w:cs="Times New Roman"/>
                      <w:color w:val="auto"/>
                      <w:sz w:val="21"/>
                      <w:szCs w:val="21"/>
                      <w:highlight w:val="none"/>
                      <w:u w:val="none" w:color="auto"/>
                    </w:rPr>
                  </w:pPr>
                  <w:r>
                    <w:rPr>
                      <w:rFonts w:hint="eastAsia"/>
                      <w:color w:val="auto"/>
                      <w:highlight w:val="none"/>
                      <w:lang w:val="en-US" w:eastAsia="zh-CN"/>
                    </w:rPr>
                    <w:t>0.21</w:t>
                  </w:r>
                </w:p>
              </w:tc>
              <w:tc>
                <w:tcPr>
                  <w:tcW w:w="1358" w:type="dxa"/>
                  <w:noWrap w:val="0"/>
                  <w:vAlign w:val="center"/>
                </w:tcPr>
                <w:p w14:paraId="08B8204A">
                  <w:pPr>
                    <w:pStyle w:val="46"/>
                    <w:tabs>
                      <w:tab w:val="right" w:leader="dot" w:pos="8296"/>
                    </w:tabs>
                    <w:bidi w:val="0"/>
                    <w:ind w:left="0" w:leftChars="0"/>
                    <w:rPr>
                      <w:rFonts w:hint="default" w:ascii="Times New Roman" w:hAnsi="Times New Roman" w:eastAsia="宋体" w:cs="Times New Roman"/>
                      <w:color w:val="auto"/>
                      <w:sz w:val="21"/>
                      <w:szCs w:val="21"/>
                      <w:highlight w:val="none"/>
                      <w:u w:val="none" w:color="auto"/>
                    </w:rPr>
                  </w:pPr>
                  <w:r>
                    <w:rPr>
                      <w:rFonts w:hint="eastAsia"/>
                      <w:color w:val="auto"/>
                      <w:highlight w:val="none"/>
                      <w:lang w:val="en-US" w:eastAsia="zh-CN"/>
                    </w:rPr>
                    <w:t>1.9</w:t>
                  </w:r>
                </w:p>
              </w:tc>
              <w:tc>
                <w:tcPr>
                  <w:tcW w:w="888" w:type="dxa"/>
                  <w:noWrap w:val="0"/>
                  <w:vAlign w:val="center"/>
                </w:tcPr>
                <w:p w14:paraId="49255E7A">
                  <w:pPr>
                    <w:pStyle w:val="46"/>
                    <w:tabs>
                      <w:tab w:val="right" w:leader="dot" w:pos="8296"/>
                    </w:tabs>
                    <w:bidi w:val="0"/>
                    <w:ind w:left="0" w:leftChars="0"/>
                    <w:rPr>
                      <w:rFonts w:hint="eastAsia"/>
                      <w:color w:val="auto"/>
                      <w:highlight w:val="none"/>
                      <w:lang w:val="en-US" w:eastAsia="zh-CN"/>
                    </w:rPr>
                  </w:pPr>
                  <w:r>
                    <w:rPr>
                      <w:rFonts w:hint="eastAsia"/>
                      <w:color w:val="auto"/>
                      <w:highlight w:val="none"/>
                      <w:lang w:val="en-US" w:eastAsia="zh-CN"/>
                    </w:rPr>
                    <w:t>0.06</w:t>
                  </w:r>
                </w:p>
              </w:tc>
              <w:tc>
                <w:tcPr>
                  <w:tcW w:w="888" w:type="dxa"/>
                  <w:noWrap w:val="0"/>
                  <w:vAlign w:val="center"/>
                </w:tcPr>
                <w:p w14:paraId="32F22D9F">
                  <w:pPr>
                    <w:pStyle w:val="46"/>
                    <w:tabs>
                      <w:tab w:val="right" w:leader="dot" w:pos="8296"/>
                    </w:tabs>
                    <w:bidi w:val="0"/>
                    <w:ind w:left="0" w:leftChars="0"/>
                    <w:rPr>
                      <w:rFonts w:hint="eastAsia"/>
                      <w:color w:val="auto"/>
                      <w:highlight w:val="none"/>
                      <w:lang w:val="en-US" w:eastAsia="zh-CN"/>
                    </w:rPr>
                  </w:pPr>
                  <w:r>
                    <w:rPr>
                      <w:rFonts w:hint="eastAsia"/>
                      <w:color w:val="auto"/>
                      <w:highlight w:val="none"/>
                      <w:lang w:val="en-US" w:eastAsia="zh-CN"/>
                    </w:rPr>
                    <w:t>8.37</w:t>
                  </w:r>
                </w:p>
              </w:tc>
            </w:tr>
            <w:tr w14:paraId="4129B3F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1533" w:type="dxa"/>
                  <w:noWrap w:val="0"/>
                  <w:vAlign w:val="center"/>
                </w:tcPr>
                <w:p w14:paraId="52A4CA57">
                  <w:pPr>
                    <w:pStyle w:val="46"/>
                    <w:tabs>
                      <w:tab w:val="right" w:leader="dot" w:pos="8296"/>
                    </w:tabs>
                    <w:bidi w:val="0"/>
                    <w:ind w:left="0" w:leftChars="0"/>
                    <w:rPr>
                      <w:rFonts w:hint="default" w:ascii="Times New Roman" w:hAnsi="Times New Roman" w:eastAsia="宋体" w:cs="Times New Roman"/>
                      <w:color w:val="auto"/>
                      <w:sz w:val="21"/>
                      <w:szCs w:val="21"/>
                      <w:highlight w:val="none"/>
                      <w:u w:val="none" w:color="auto"/>
                    </w:rPr>
                  </w:pPr>
                  <w:r>
                    <w:rPr>
                      <w:rFonts w:hint="eastAsia" w:ascii="Times New Roman" w:hAnsi="Times New Roman" w:cs="Times New Roman"/>
                      <w:color w:val="auto"/>
                      <w:kern w:val="0"/>
                      <w:sz w:val="21"/>
                      <w:szCs w:val="21"/>
                      <w:highlight w:val="none"/>
                      <w:vertAlign w:val="baseline"/>
                      <w:lang w:val="en-US" w:eastAsia="zh-CN"/>
                    </w:rPr>
                    <w:t>III</w:t>
                  </w:r>
                  <w:r>
                    <w:rPr>
                      <w:rFonts w:hint="default" w:ascii="Times New Roman" w:hAnsi="Times New Roman" w:cs="Times New Roman"/>
                      <w:color w:val="auto"/>
                      <w:kern w:val="0"/>
                      <w:sz w:val="21"/>
                      <w:szCs w:val="21"/>
                      <w:highlight w:val="none"/>
                      <w:vertAlign w:val="baseline"/>
                      <w:lang w:val="en-US" w:eastAsia="zh-CN"/>
                    </w:rPr>
                    <w:t>类水质指标</w:t>
                  </w:r>
                </w:p>
              </w:tc>
              <w:tc>
                <w:tcPr>
                  <w:tcW w:w="1077" w:type="dxa"/>
                  <w:noWrap w:val="0"/>
                  <w:vAlign w:val="center"/>
                </w:tcPr>
                <w:p w14:paraId="2C160178">
                  <w:pPr>
                    <w:pStyle w:val="46"/>
                    <w:tabs>
                      <w:tab w:val="right" w:leader="dot" w:pos="8296"/>
                    </w:tabs>
                    <w:bidi w:val="0"/>
                    <w:ind w:left="0" w:leftChars="0"/>
                    <w:rPr>
                      <w:rFonts w:hint="default" w:ascii="Times New Roman" w:hAnsi="Times New Roman" w:eastAsia="宋体" w:cs="Times New Roman"/>
                      <w:color w:val="auto"/>
                      <w:sz w:val="21"/>
                      <w:szCs w:val="21"/>
                      <w:highlight w:val="none"/>
                      <w:u w:val="none" w:color="auto"/>
                    </w:rPr>
                  </w:pPr>
                  <w:r>
                    <w:rPr>
                      <w:rFonts w:hint="eastAsia"/>
                      <w:color w:val="auto"/>
                      <w:highlight w:val="none"/>
                      <w:lang w:val="en-US" w:eastAsia="zh-CN"/>
                    </w:rPr>
                    <w:t>/</w:t>
                  </w:r>
                </w:p>
              </w:tc>
              <w:tc>
                <w:tcPr>
                  <w:tcW w:w="1234" w:type="dxa"/>
                  <w:noWrap w:val="0"/>
                  <w:vAlign w:val="center"/>
                </w:tcPr>
                <w:p w14:paraId="7C061650">
                  <w:pPr>
                    <w:pStyle w:val="46"/>
                    <w:tabs>
                      <w:tab w:val="right" w:leader="dot" w:pos="8296"/>
                    </w:tabs>
                    <w:bidi w:val="0"/>
                    <w:ind w:left="0" w:leftChars="0"/>
                    <w:rPr>
                      <w:rFonts w:hint="default" w:ascii="Times New Roman" w:hAnsi="Times New Roman" w:eastAsia="宋体" w:cs="Times New Roman"/>
                      <w:color w:val="auto"/>
                      <w:sz w:val="21"/>
                      <w:szCs w:val="21"/>
                      <w:highlight w:val="none"/>
                      <w:u w:val="none" w:color="auto"/>
                    </w:rPr>
                  </w:pPr>
                  <w:r>
                    <w:rPr>
                      <w:rFonts w:hint="eastAsia"/>
                      <w:color w:val="auto"/>
                      <w:highlight w:val="none"/>
                      <w:lang w:val="en-US" w:eastAsia="zh-CN"/>
                    </w:rPr>
                    <w:t>20</w:t>
                  </w:r>
                </w:p>
              </w:tc>
              <w:tc>
                <w:tcPr>
                  <w:tcW w:w="939" w:type="dxa"/>
                  <w:noWrap w:val="0"/>
                  <w:vAlign w:val="center"/>
                </w:tcPr>
                <w:p w14:paraId="3E2C5924">
                  <w:pPr>
                    <w:pStyle w:val="46"/>
                    <w:tabs>
                      <w:tab w:val="right" w:leader="dot" w:pos="8296"/>
                    </w:tabs>
                    <w:bidi w:val="0"/>
                    <w:ind w:left="0" w:leftChars="0"/>
                    <w:rPr>
                      <w:rFonts w:hint="default" w:ascii="Times New Roman" w:hAnsi="Times New Roman" w:eastAsia="宋体" w:cs="Times New Roman"/>
                      <w:color w:val="auto"/>
                      <w:sz w:val="21"/>
                      <w:szCs w:val="21"/>
                      <w:highlight w:val="none"/>
                      <w:u w:val="none" w:color="auto"/>
                    </w:rPr>
                  </w:pPr>
                  <w:r>
                    <w:rPr>
                      <w:rFonts w:hint="eastAsia"/>
                      <w:color w:val="auto"/>
                      <w:highlight w:val="none"/>
                      <w:lang w:val="en-US" w:eastAsia="zh-CN"/>
                    </w:rPr>
                    <w:t>1.0</w:t>
                  </w:r>
                </w:p>
              </w:tc>
              <w:tc>
                <w:tcPr>
                  <w:tcW w:w="1358" w:type="dxa"/>
                  <w:noWrap w:val="0"/>
                  <w:vAlign w:val="center"/>
                </w:tcPr>
                <w:p w14:paraId="3C9F9495">
                  <w:pPr>
                    <w:pStyle w:val="46"/>
                    <w:tabs>
                      <w:tab w:val="right" w:leader="dot" w:pos="8296"/>
                    </w:tabs>
                    <w:bidi w:val="0"/>
                    <w:ind w:left="0" w:leftChars="0"/>
                    <w:rPr>
                      <w:rFonts w:hint="default" w:ascii="Times New Roman" w:hAnsi="Times New Roman" w:eastAsia="宋体" w:cs="Times New Roman"/>
                      <w:color w:val="auto"/>
                      <w:sz w:val="21"/>
                      <w:szCs w:val="21"/>
                      <w:highlight w:val="none"/>
                      <w:u w:val="none" w:color="auto"/>
                    </w:rPr>
                  </w:pPr>
                  <w:r>
                    <w:rPr>
                      <w:rFonts w:hint="eastAsia"/>
                      <w:color w:val="auto"/>
                      <w:highlight w:val="none"/>
                      <w:lang w:val="en-US" w:eastAsia="zh-CN"/>
                    </w:rPr>
                    <w:t>4.0</w:t>
                  </w:r>
                </w:p>
              </w:tc>
              <w:tc>
                <w:tcPr>
                  <w:tcW w:w="888" w:type="dxa"/>
                  <w:noWrap w:val="0"/>
                  <w:vAlign w:val="center"/>
                </w:tcPr>
                <w:p w14:paraId="22F1C041">
                  <w:pPr>
                    <w:pStyle w:val="46"/>
                    <w:tabs>
                      <w:tab w:val="right" w:leader="dot" w:pos="8296"/>
                    </w:tabs>
                    <w:bidi w:val="0"/>
                    <w:ind w:left="0" w:leftChars="0"/>
                    <w:rPr>
                      <w:rFonts w:hint="default"/>
                      <w:color w:val="auto"/>
                      <w:highlight w:val="none"/>
                      <w:lang w:val="en-US" w:eastAsia="zh-CN"/>
                    </w:rPr>
                  </w:pPr>
                  <w:r>
                    <w:rPr>
                      <w:rFonts w:hint="eastAsia"/>
                      <w:color w:val="auto"/>
                      <w:highlight w:val="none"/>
                      <w:lang w:val="en-US" w:eastAsia="zh-CN"/>
                    </w:rPr>
                    <w:t>0.2</w:t>
                  </w:r>
                </w:p>
              </w:tc>
              <w:tc>
                <w:tcPr>
                  <w:tcW w:w="888" w:type="dxa"/>
                  <w:noWrap w:val="0"/>
                  <w:vAlign w:val="center"/>
                </w:tcPr>
                <w:p w14:paraId="4295E703">
                  <w:pPr>
                    <w:pStyle w:val="46"/>
                    <w:tabs>
                      <w:tab w:val="right" w:leader="dot" w:pos="8296"/>
                    </w:tabs>
                    <w:bidi w:val="0"/>
                    <w:ind w:left="0" w:leftChars="0"/>
                    <w:rPr>
                      <w:rFonts w:hint="default"/>
                      <w:color w:val="auto"/>
                      <w:highlight w:val="none"/>
                      <w:lang w:val="en-US" w:eastAsia="zh-CN"/>
                    </w:rPr>
                  </w:pPr>
                  <w:r>
                    <w:rPr>
                      <w:rFonts w:hint="eastAsia"/>
                      <w:color w:val="auto"/>
                      <w:highlight w:val="none"/>
                      <w:lang w:val="en-US" w:eastAsia="zh-CN"/>
                    </w:rPr>
                    <w:t>1.0</w:t>
                  </w:r>
                </w:p>
              </w:tc>
            </w:tr>
            <w:tr w14:paraId="7E9851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3" w:hRule="atLeast"/>
                <w:jc w:val="center"/>
              </w:trPr>
              <w:tc>
                <w:tcPr>
                  <w:tcW w:w="1533" w:type="dxa"/>
                  <w:tcBorders>
                    <w:bottom w:val="single" w:color="000000" w:sz="18" w:space="0"/>
                  </w:tcBorders>
                  <w:noWrap w:val="0"/>
                  <w:vAlign w:val="center"/>
                </w:tcPr>
                <w:p w14:paraId="30B88EB0">
                  <w:pPr>
                    <w:pStyle w:val="46"/>
                    <w:tabs>
                      <w:tab w:val="right" w:leader="dot" w:pos="8296"/>
                    </w:tabs>
                    <w:bidi w:val="0"/>
                    <w:spacing w:line="240" w:lineRule="auto"/>
                    <w:ind w:left="0" w:leftChars="0"/>
                    <w:rPr>
                      <w:rFonts w:hint="default" w:ascii="Times New Roman" w:hAnsi="Times New Roman" w:eastAsia="宋体" w:cs="Times New Roman"/>
                      <w:color w:val="auto"/>
                      <w:sz w:val="21"/>
                      <w:szCs w:val="21"/>
                      <w:highlight w:val="none"/>
                      <w:u w:val="none" w:color="auto"/>
                    </w:rPr>
                  </w:pPr>
                  <w:r>
                    <w:rPr>
                      <w:rFonts w:hint="eastAsia"/>
                      <w:color w:val="auto"/>
                      <w:highlight w:val="none"/>
                      <w:lang w:eastAsia="zh-CN"/>
                    </w:rPr>
                    <w:t>达标分析</w:t>
                  </w:r>
                </w:p>
              </w:tc>
              <w:tc>
                <w:tcPr>
                  <w:tcW w:w="1077" w:type="dxa"/>
                  <w:tcBorders>
                    <w:bottom w:val="single" w:color="000000" w:sz="18" w:space="0"/>
                  </w:tcBorders>
                  <w:noWrap w:val="0"/>
                  <w:vAlign w:val="center"/>
                </w:tcPr>
                <w:p w14:paraId="0A91B5BE">
                  <w:pPr>
                    <w:pStyle w:val="46"/>
                    <w:tabs>
                      <w:tab w:val="right" w:leader="dot" w:pos="8296"/>
                    </w:tabs>
                    <w:bidi w:val="0"/>
                    <w:spacing w:line="240" w:lineRule="auto"/>
                    <w:ind w:left="0" w:leftChars="0"/>
                    <w:rPr>
                      <w:rFonts w:hint="default" w:ascii="Times New Roman" w:hAnsi="Times New Roman" w:eastAsia="宋体" w:cs="Times New Roman"/>
                      <w:color w:val="auto"/>
                      <w:sz w:val="21"/>
                      <w:szCs w:val="21"/>
                      <w:highlight w:val="none"/>
                      <w:u w:val="none" w:color="auto"/>
                    </w:rPr>
                  </w:pPr>
                  <w:r>
                    <w:rPr>
                      <w:rFonts w:hint="eastAsia"/>
                      <w:color w:val="auto"/>
                      <w:highlight w:val="none"/>
                      <w:lang w:val="en-US" w:eastAsia="zh-CN"/>
                    </w:rPr>
                    <w:t>/</w:t>
                  </w:r>
                </w:p>
              </w:tc>
              <w:tc>
                <w:tcPr>
                  <w:tcW w:w="1234" w:type="dxa"/>
                  <w:tcBorders>
                    <w:bottom w:val="single" w:color="000000" w:sz="18" w:space="0"/>
                  </w:tcBorders>
                  <w:noWrap w:val="0"/>
                  <w:vAlign w:val="center"/>
                </w:tcPr>
                <w:p w14:paraId="026D29C1">
                  <w:pPr>
                    <w:pStyle w:val="46"/>
                    <w:tabs>
                      <w:tab w:val="right" w:leader="dot" w:pos="8296"/>
                    </w:tabs>
                    <w:bidi w:val="0"/>
                    <w:spacing w:line="240" w:lineRule="auto"/>
                    <w:ind w:left="0" w:leftChars="0"/>
                    <w:rPr>
                      <w:rFonts w:hint="default" w:ascii="Times New Roman" w:hAnsi="Times New Roman" w:eastAsia="宋体" w:cs="Times New Roman"/>
                      <w:color w:val="auto"/>
                      <w:sz w:val="21"/>
                      <w:szCs w:val="21"/>
                      <w:highlight w:val="none"/>
                      <w:u w:val="none" w:color="auto"/>
                    </w:rPr>
                  </w:pPr>
                  <w:r>
                    <w:rPr>
                      <w:rFonts w:hint="eastAsia"/>
                      <w:color w:val="auto"/>
                      <w:highlight w:val="none"/>
                      <w:lang w:eastAsia="zh-CN"/>
                    </w:rPr>
                    <w:t>达标</w:t>
                  </w:r>
                </w:p>
              </w:tc>
              <w:tc>
                <w:tcPr>
                  <w:tcW w:w="939" w:type="dxa"/>
                  <w:tcBorders>
                    <w:bottom w:val="single" w:color="000000" w:sz="18" w:space="0"/>
                  </w:tcBorders>
                  <w:noWrap w:val="0"/>
                  <w:vAlign w:val="center"/>
                </w:tcPr>
                <w:p w14:paraId="361C494B">
                  <w:pPr>
                    <w:pStyle w:val="46"/>
                    <w:tabs>
                      <w:tab w:val="right" w:leader="dot" w:pos="8296"/>
                    </w:tabs>
                    <w:bidi w:val="0"/>
                    <w:spacing w:line="240" w:lineRule="auto"/>
                    <w:ind w:left="0" w:leftChars="0"/>
                    <w:rPr>
                      <w:rFonts w:hint="default" w:ascii="Times New Roman" w:hAnsi="Times New Roman" w:eastAsia="宋体" w:cs="Times New Roman"/>
                      <w:color w:val="auto"/>
                      <w:sz w:val="21"/>
                      <w:szCs w:val="21"/>
                      <w:highlight w:val="none"/>
                      <w:u w:val="none" w:color="auto"/>
                    </w:rPr>
                  </w:pPr>
                  <w:r>
                    <w:rPr>
                      <w:rFonts w:hint="eastAsia"/>
                      <w:color w:val="auto"/>
                      <w:highlight w:val="none"/>
                      <w:lang w:eastAsia="zh-CN"/>
                    </w:rPr>
                    <w:t>达标</w:t>
                  </w:r>
                </w:p>
              </w:tc>
              <w:tc>
                <w:tcPr>
                  <w:tcW w:w="1358" w:type="dxa"/>
                  <w:tcBorders>
                    <w:bottom w:val="single" w:color="000000" w:sz="18" w:space="0"/>
                  </w:tcBorders>
                  <w:noWrap w:val="0"/>
                  <w:vAlign w:val="center"/>
                </w:tcPr>
                <w:p w14:paraId="06E87233">
                  <w:pPr>
                    <w:pStyle w:val="46"/>
                    <w:tabs>
                      <w:tab w:val="right" w:leader="dot" w:pos="8296"/>
                    </w:tabs>
                    <w:bidi w:val="0"/>
                    <w:spacing w:line="240" w:lineRule="auto"/>
                    <w:ind w:left="0" w:leftChars="0"/>
                    <w:rPr>
                      <w:rFonts w:hint="default" w:ascii="Times New Roman" w:hAnsi="Times New Roman" w:eastAsia="宋体" w:cs="Times New Roman"/>
                      <w:color w:val="auto"/>
                      <w:sz w:val="21"/>
                      <w:szCs w:val="21"/>
                      <w:highlight w:val="none"/>
                      <w:u w:val="none" w:color="auto"/>
                    </w:rPr>
                  </w:pPr>
                  <w:r>
                    <w:rPr>
                      <w:rFonts w:hint="eastAsia"/>
                      <w:color w:val="auto"/>
                      <w:highlight w:val="none"/>
                      <w:lang w:eastAsia="zh-CN"/>
                    </w:rPr>
                    <w:t>达标</w:t>
                  </w:r>
                </w:p>
              </w:tc>
              <w:tc>
                <w:tcPr>
                  <w:tcW w:w="888" w:type="dxa"/>
                  <w:tcBorders>
                    <w:bottom w:val="single" w:color="000000" w:sz="18" w:space="0"/>
                  </w:tcBorders>
                  <w:noWrap w:val="0"/>
                  <w:vAlign w:val="center"/>
                </w:tcPr>
                <w:p w14:paraId="59B06E9D">
                  <w:pPr>
                    <w:pStyle w:val="46"/>
                    <w:tabs>
                      <w:tab w:val="right" w:leader="dot" w:pos="8296"/>
                    </w:tabs>
                    <w:bidi w:val="0"/>
                    <w:spacing w:line="240" w:lineRule="auto"/>
                    <w:ind w:left="0" w:leftChars="0"/>
                    <w:rPr>
                      <w:rFonts w:hint="default"/>
                      <w:color w:val="auto"/>
                      <w:highlight w:val="none"/>
                      <w:lang w:val="en-US" w:eastAsia="zh-CN"/>
                    </w:rPr>
                  </w:pPr>
                  <w:r>
                    <w:rPr>
                      <w:rFonts w:hint="eastAsia"/>
                      <w:color w:val="auto"/>
                      <w:highlight w:val="none"/>
                      <w:lang w:eastAsia="zh-CN"/>
                    </w:rPr>
                    <w:t>达标</w:t>
                  </w:r>
                </w:p>
              </w:tc>
              <w:tc>
                <w:tcPr>
                  <w:tcW w:w="888" w:type="dxa"/>
                  <w:tcBorders>
                    <w:bottom w:val="single" w:color="000000" w:sz="18" w:space="0"/>
                  </w:tcBorders>
                  <w:noWrap w:val="0"/>
                  <w:vAlign w:val="center"/>
                </w:tcPr>
                <w:p w14:paraId="6C101E38">
                  <w:pPr>
                    <w:pStyle w:val="46"/>
                    <w:tabs>
                      <w:tab w:val="right" w:leader="dot" w:pos="8296"/>
                    </w:tabs>
                    <w:bidi w:val="0"/>
                    <w:spacing w:line="240" w:lineRule="auto"/>
                    <w:ind w:left="0" w:leftChars="0"/>
                    <w:rPr>
                      <w:rFonts w:hint="default"/>
                      <w:color w:val="auto"/>
                      <w:highlight w:val="none"/>
                      <w:lang w:val="en-US" w:eastAsia="zh-CN"/>
                    </w:rPr>
                  </w:pPr>
                  <w:r>
                    <w:rPr>
                      <w:rFonts w:hint="eastAsia"/>
                      <w:color w:val="auto"/>
                      <w:highlight w:val="none"/>
                      <w:lang w:eastAsia="zh-CN"/>
                    </w:rPr>
                    <w:t>不达标</w:t>
                  </w:r>
                </w:p>
              </w:tc>
            </w:tr>
          </w:tbl>
          <w:p w14:paraId="327D6A9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从上表可知，洹河在京广铁路桥断面的COD、氨氮、BOD</w:t>
            </w:r>
            <w:r>
              <w:rPr>
                <w:rFonts w:hint="default" w:ascii="Times New Roman" w:hAnsi="Times New Roman" w:eastAsia="宋体" w:cs="Times New Roman"/>
                <w:color w:val="auto"/>
                <w:sz w:val="24"/>
                <w:szCs w:val="24"/>
                <w:highlight w:val="none"/>
                <w:vertAlign w:val="subscript"/>
                <w:lang w:val="en-US" w:eastAsia="zh-CN"/>
              </w:rPr>
              <w:t>5</w:t>
            </w:r>
            <w:r>
              <w:rPr>
                <w:rFonts w:hint="default" w:ascii="Times New Roman" w:hAnsi="Times New Roman" w:eastAsia="宋体" w:cs="Times New Roman"/>
                <w:color w:val="auto"/>
                <w:sz w:val="24"/>
                <w:szCs w:val="24"/>
                <w:highlight w:val="none"/>
                <w:lang w:val="en-US" w:eastAsia="zh-CN"/>
              </w:rPr>
              <w:t>、总磷均能满足《地表水环境质量标准》（GB3838-2002）中III类标准的要求。总氮的检测浓度不满足《地表水环境质量标准》（GB3838-2002）中III类标准要求。</w:t>
            </w:r>
          </w:p>
          <w:p w14:paraId="1A517B08">
            <w:pPr>
              <w:spacing w:line="360" w:lineRule="auto"/>
              <w:jc w:val="left"/>
              <w:rPr>
                <w:rFonts w:hint="default" w:ascii="Times New Roman" w:hAnsi="Times New Roman" w:eastAsia="宋体" w:cs="Times New Roman"/>
                <w:b/>
                <w:bCs/>
                <w:color w:val="auto"/>
                <w:sz w:val="24"/>
                <w:szCs w:val="24"/>
                <w:highlight w:val="none"/>
                <w:u w:val="none" w:color="auto"/>
              </w:rPr>
            </w:pPr>
            <w:r>
              <w:rPr>
                <w:rFonts w:hint="default" w:ascii="Times New Roman" w:hAnsi="Times New Roman" w:eastAsia="宋体" w:cs="Times New Roman"/>
                <w:b w:val="0"/>
                <w:bCs w:val="0"/>
                <w:i w:val="0"/>
                <w:iCs w:val="0"/>
                <w:color w:val="auto"/>
                <w:sz w:val="24"/>
                <w:szCs w:val="24"/>
                <w:highlight w:val="none"/>
                <w:u w:val="none"/>
                <w:lang w:eastAsia="zh-CN"/>
              </w:rPr>
              <w:t>因此安阳市生态环境保护委员会办公室文件印发了《安阳市生态环境保护委员会关于印发安阳市202</w:t>
            </w:r>
            <w:r>
              <w:rPr>
                <w:rFonts w:hint="eastAsia" w:ascii="Times New Roman" w:hAnsi="Times New Roman" w:eastAsia="宋体" w:cs="Times New Roman"/>
                <w:b w:val="0"/>
                <w:bCs w:val="0"/>
                <w:i w:val="0"/>
                <w:iCs w:val="0"/>
                <w:color w:val="auto"/>
                <w:sz w:val="24"/>
                <w:szCs w:val="24"/>
                <w:highlight w:val="none"/>
                <w:u w:val="none"/>
                <w:lang w:val="en-US" w:eastAsia="zh-CN"/>
              </w:rPr>
              <w:t>4</w:t>
            </w:r>
            <w:r>
              <w:rPr>
                <w:rFonts w:hint="default" w:ascii="Times New Roman" w:hAnsi="Times New Roman" w:eastAsia="宋体" w:cs="Times New Roman"/>
                <w:b w:val="0"/>
                <w:bCs w:val="0"/>
                <w:i w:val="0"/>
                <w:iCs w:val="0"/>
                <w:color w:val="auto"/>
                <w:sz w:val="24"/>
                <w:szCs w:val="24"/>
                <w:highlight w:val="none"/>
                <w:u w:val="none"/>
                <w:lang w:eastAsia="zh-CN"/>
              </w:rPr>
              <w:t>年碧水保卫战实施方案的通知》（安环委办〔202</w:t>
            </w:r>
            <w:r>
              <w:rPr>
                <w:rFonts w:hint="eastAsia" w:ascii="Times New Roman" w:hAnsi="Times New Roman" w:eastAsia="宋体" w:cs="Times New Roman"/>
                <w:b w:val="0"/>
                <w:bCs w:val="0"/>
                <w:i w:val="0"/>
                <w:iCs w:val="0"/>
                <w:color w:val="auto"/>
                <w:sz w:val="24"/>
                <w:szCs w:val="24"/>
                <w:highlight w:val="none"/>
                <w:u w:val="none"/>
                <w:lang w:val="en-US" w:eastAsia="zh-CN"/>
              </w:rPr>
              <w:t>4</w:t>
            </w:r>
            <w:r>
              <w:rPr>
                <w:rFonts w:hint="default" w:ascii="Times New Roman" w:hAnsi="Times New Roman" w:eastAsia="宋体" w:cs="Times New Roman"/>
                <w:b w:val="0"/>
                <w:bCs w:val="0"/>
                <w:i w:val="0"/>
                <w:iCs w:val="0"/>
                <w:color w:val="auto"/>
                <w:sz w:val="24"/>
                <w:szCs w:val="24"/>
                <w:highlight w:val="none"/>
                <w:u w:val="none"/>
                <w:lang w:eastAsia="zh-CN"/>
              </w:rPr>
              <w:t>〕</w:t>
            </w:r>
            <w:r>
              <w:rPr>
                <w:rFonts w:hint="eastAsia" w:ascii="Times New Roman" w:hAnsi="Times New Roman" w:eastAsia="宋体" w:cs="Times New Roman"/>
                <w:b w:val="0"/>
                <w:bCs w:val="0"/>
                <w:i w:val="0"/>
                <w:iCs w:val="0"/>
                <w:color w:val="auto"/>
                <w:sz w:val="24"/>
                <w:szCs w:val="24"/>
                <w:highlight w:val="none"/>
                <w:u w:val="none"/>
                <w:lang w:val="en-US" w:eastAsia="zh-CN"/>
              </w:rPr>
              <w:t>3</w:t>
            </w:r>
            <w:r>
              <w:rPr>
                <w:rFonts w:hint="default" w:ascii="Times New Roman" w:hAnsi="Times New Roman" w:eastAsia="宋体" w:cs="Times New Roman"/>
                <w:b w:val="0"/>
                <w:bCs w:val="0"/>
                <w:i w:val="0"/>
                <w:iCs w:val="0"/>
                <w:color w:val="auto"/>
                <w:sz w:val="24"/>
                <w:szCs w:val="24"/>
                <w:highlight w:val="none"/>
                <w:u w:val="none"/>
                <w:lang w:eastAsia="zh-CN"/>
              </w:rPr>
              <w:t>号），进一步改善安阳市地表水情况。</w:t>
            </w:r>
          </w:p>
          <w:p w14:paraId="1DAD2685">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eastAsia="宋体" w:cs="Times New Roman"/>
                <w:b/>
                <w:bCs/>
                <w:color w:val="000000" w:themeColor="text1"/>
                <w:kern w:val="0"/>
                <w:sz w:val="24"/>
                <w:szCs w:val="24"/>
                <w:highlight w:val="none"/>
                <w:u w:color="auto"/>
                <w:vertAlign w:val="baseli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4"/>
                <w:szCs w:val="24"/>
                <w:highlight w:val="none"/>
                <w:u w:color="auto"/>
                <w:vertAlign w:val="baseline"/>
                <w:lang w:val="en-US" w:eastAsia="zh-CN" w:bidi="ar-SA"/>
                <w14:textFill>
                  <w14:solidFill>
                    <w14:schemeClr w14:val="tx1"/>
                  </w14:solidFill>
                </w14:textFill>
              </w:rPr>
              <w:t>4.</w:t>
            </w:r>
            <w:r>
              <w:rPr>
                <w:rFonts w:hint="eastAsia" w:eastAsia="宋体" w:cs="Times New Roman"/>
                <w:b/>
                <w:bCs/>
                <w:color w:val="000000" w:themeColor="text1"/>
                <w:kern w:val="0"/>
                <w:sz w:val="24"/>
                <w:szCs w:val="24"/>
                <w:highlight w:val="none"/>
                <w:u w:color="auto"/>
                <w:vertAlign w:val="baseline"/>
                <w:lang w:val="en-US" w:eastAsia="zh-CN" w:bidi="ar-SA"/>
                <w14:textFill>
                  <w14:solidFill>
                    <w14:schemeClr w14:val="tx1"/>
                  </w14:solidFill>
                </w14:textFill>
              </w:rPr>
              <w:t>声环境</w:t>
            </w:r>
          </w:p>
          <w:p w14:paraId="4B28C093">
            <w:pPr>
              <w:spacing w:beforeLines="0" w:afterLines="0" w:line="360" w:lineRule="auto"/>
              <w:ind w:firstLine="480" w:firstLineChars="200"/>
              <w:rPr>
                <w:rFonts w:hint="default" w:ascii="Times New Roman" w:hAnsi="Times New Roman" w:eastAsia="宋体" w:cs="Times New Roman"/>
                <w:b w:val="0"/>
                <w:bCs w:val="0"/>
                <w:color w:val="auto"/>
                <w:sz w:val="24"/>
                <w:szCs w:val="24"/>
                <w:highlight w:val="none"/>
                <w:u w:val="none" w:color="auto"/>
                <w:lang w:eastAsia="zh-CN"/>
              </w:rPr>
            </w:pPr>
            <w:r>
              <w:rPr>
                <w:rFonts w:hint="default" w:ascii="Times New Roman" w:hAnsi="Times New Roman" w:eastAsia="宋体" w:cs="Times New Roman"/>
                <w:b w:val="0"/>
                <w:bCs w:val="0"/>
                <w:color w:val="000000" w:themeColor="text1"/>
                <w:kern w:val="0"/>
                <w:sz w:val="24"/>
                <w:szCs w:val="24"/>
                <w:highlight w:val="none"/>
                <w:u w:color="auto"/>
                <w:vertAlign w:val="baseline"/>
                <w:lang w:val="en-US" w:eastAsia="zh-CN" w:bidi="ar-SA"/>
                <w14:textFill>
                  <w14:solidFill>
                    <w14:schemeClr w14:val="tx1"/>
                  </w14:solidFill>
                </w14:textFill>
              </w:rPr>
              <w:t>根据《声环境质量标准》（GB3096-2008），</w:t>
            </w:r>
            <w:r>
              <w:rPr>
                <w:rFonts w:hint="default" w:ascii="Times New Roman" w:hAnsi="Times New Roman" w:eastAsia="宋体" w:cs="Times New Roman"/>
                <w:b w:val="0"/>
                <w:bCs w:val="0"/>
                <w:color w:val="auto"/>
                <w:sz w:val="24"/>
                <w:szCs w:val="24"/>
                <w:highlight w:val="none"/>
                <w:u w:val="none" w:color="auto"/>
              </w:rPr>
              <w:t>项目为线性工程，项目位于农村地区以居住居民住宅、医疗卫生、文化教育、科研设计、行政办公为主的功能区执行《声环境质量标准》（GB3096-2008）1类标准。根据</w:t>
            </w:r>
            <w:r>
              <w:rPr>
                <w:rFonts w:hint="default" w:ascii="Times New Roman" w:hAnsi="Times New Roman" w:eastAsia="宋体" w:cs="Times New Roman"/>
                <w:b w:val="0"/>
                <w:bCs w:val="0"/>
                <w:color w:val="auto"/>
                <w:sz w:val="24"/>
                <w:szCs w:val="24"/>
                <w:highlight w:val="none"/>
                <w:u w:val="none" w:color="auto"/>
                <w:lang w:eastAsia="zh-CN"/>
              </w:rPr>
              <w:t>《</w:t>
            </w:r>
            <w:r>
              <w:rPr>
                <w:rFonts w:hint="default" w:ascii="Times New Roman" w:hAnsi="Times New Roman" w:eastAsia="宋体" w:cs="Times New Roman"/>
                <w:b w:val="0"/>
                <w:bCs w:val="0"/>
                <w:color w:val="auto"/>
                <w:sz w:val="24"/>
                <w:szCs w:val="24"/>
                <w:highlight w:val="none"/>
                <w:u w:val="none" w:color="auto"/>
              </w:rPr>
              <w:t>202</w:t>
            </w:r>
            <w:r>
              <w:rPr>
                <w:rFonts w:hint="default" w:ascii="Times New Roman" w:hAnsi="Times New Roman" w:eastAsia="宋体" w:cs="Times New Roman"/>
                <w:b w:val="0"/>
                <w:bCs w:val="0"/>
                <w:color w:val="auto"/>
                <w:sz w:val="24"/>
                <w:szCs w:val="24"/>
                <w:highlight w:val="none"/>
                <w:u w:val="none" w:color="auto"/>
                <w:lang w:val="en-US" w:eastAsia="zh-CN"/>
              </w:rPr>
              <w:t>3</w:t>
            </w:r>
            <w:r>
              <w:rPr>
                <w:rFonts w:hint="default" w:ascii="Times New Roman" w:hAnsi="Times New Roman" w:eastAsia="宋体" w:cs="Times New Roman"/>
                <w:b w:val="0"/>
                <w:bCs w:val="0"/>
                <w:color w:val="auto"/>
                <w:sz w:val="24"/>
                <w:szCs w:val="24"/>
                <w:highlight w:val="none"/>
                <w:u w:val="none" w:color="auto"/>
              </w:rPr>
              <w:t>年安阳市生态环境状况公报</w:t>
            </w:r>
            <w:r>
              <w:rPr>
                <w:rFonts w:hint="default" w:ascii="Times New Roman" w:hAnsi="Times New Roman" w:eastAsia="宋体" w:cs="Times New Roman"/>
                <w:b w:val="0"/>
                <w:bCs w:val="0"/>
                <w:color w:val="auto"/>
                <w:sz w:val="24"/>
                <w:szCs w:val="24"/>
                <w:highlight w:val="none"/>
                <w:u w:val="none" w:color="auto"/>
                <w:lang w:eastAsia="zh-CN"/>
              </w:rPr>
              <w:t>》</w:t>
            </w:r>
            <w:r>
              <w:rPr>
                <w:rFonts w:hint="default" w:ascii="Times New Roman" w:hAnsi="Times New Roman" w:eastAsia="宋体" w:cs="Times New Roman"/>
                <w:b w:val="0"/>
                <w:bCs w:val="0"/>
                <w:color w:val="auto"/>
                <w:sz w:val="24"/>
                <w:szCs w:val="24"/>
                <w:highlight w:val="none"/>
                <w:u w:val="none" w:color="auto"/>
              </w:rPr>
              <w:t>，</w:t>
            </w:r>
            <w:r>
              <w:rPr>
                <w:rFonts w:hint="default" w:ascii="Times New Roman" w:hAnsi="Times New Roman" w:eastAsia="宋体" w:cs="Times New Roman"/>
                <w:b w:val="0"/>
                <w:bCs w:val="0"/>
                <w:sz w:val="24"/>
                <w:szCs w:val="24"/>
                <w:highlight w:val="none"/>
              </w:rPr>
              <w:t>2023年，安阳市区域昼间声环境总体水平为较好，平均等效声级为53.0分贝，同比下降0.6分贝；区域夜间声环境总体水平为较好，平均等效声级为43.5分贝。安阳市道路交通昼间声环境质量总体水平为好，平均等效声级为64.2分贝，同比下降1.0分贝；道路交通夜间声环境质量总体水平为较好，平均等效声级为60.0分贝。安阳市功能区声环境昼间达标率为85.0%，夜间达标率为62.5%，同比分别上升7.5、5.0个百分点</w:t>
            </w:r>
            <w:r>
              <w:rPr>
                <w:rFonts w:hint="default" w:ascii="Times New Roman" w:hAnsi="Times New Roman" w:eastAsia="宋体" w:cs="Times New Roman"/>
                <w:b w:val="0"/>
                <w:bCs w:val="0"/>
                <w:sz w:val="24"/>
                <w:szCs w:val="24"/>
                <w:highlight w:val="none"/>
                <w:lang w:eastAsia="zh-CN"/>
              </w:rPr>
              <w:t>，</w:t>
            </w:r>
            <w:r>
              <w:rPr>
                <w:rFonts w:hint="default" w:ascii="Times New Roman" w:hAnsi="Times New Roman" w:eastAsia="宋体" w:cs="Times New Roman"/>
                <w:b w:val="0"/>
                <w:bCs w:val="0"/>
                <w:color w:val="auto"/>
                <w:sz w:val="24"/>
                <w:szCs w:val="24"/>
                <w:highlight w:val="none"/>
                <w:u w:val="none" w:color="auto"/>
              </w:rPr>
              <w:t>声环境质量级别为较好</w:t>
            </w:r>
            <w:r>
              <w:rPr>
                <w:rFonts w:hint="default" w:ascii="Times New Roman" w:hAnsi="Times New Roman" w:eastAsia="宋体" w:cs="Times New Roman"/>
                <w:b w:val="0"/>
                <w:bCs w:val="0"/>
                <w:color w:val="auto"/>
                <w:sz w:val="24"/>
                <w:szCs w:val="24"/>
                <w:highlight w:val="none"/>
                <w:u w:val="none" w:color="auto"/>
                <w:lang w:eastAsia="zh-CN"/>
              </w:rPr>
              <w:t>。</w:t>
            </w:r>
          </w:p>
          <w:p w14:paraId="59B815FE">
            <w:pPr>
              <w:pStyle w:val="12"/>
              <w:numPr>
                <w:ilvl w:val="0"/>
                <w:numId w:val="0"/>
              </w:numPr>
              <w:tabs>
                <w:tab w:val="clear" w:pos="4153"/>
                <w:tab w:val="clear" w:pos="8306"/>
              </w:tabs>
              <w:spacing w:line="360" w:lineRule="auto"/>
              <w:rPr>
                <w:rFonts w:hint="eastAsia"/>
                <w:b/>
                <w:bCs/>
                <w:sz w:val="24"/>
                <w:szCs w:val="24"/>
                <w:highlight w:val="none"/>
                <w:lang w:eastAsia="zh-CN"/>
              </w:rPr>
            </w:pPr>
            <w:r>
              <w:rPr>
                <w:rFonts w:hint="eastAsia" w:ascii="Times New Roman" w:hAnsi="Times New Roman" w:eastAsia="宋体" w:cs="Times New Roman"/>
                <w:b/>
                <w:bCs/>
                <w:kern w:val="2"/>
                <w:sz w:val="24"/>
                <w:szCs w:val="24"/>
                <w:highlight w:val="none"/>
                <w:lang w:val="en-US" w:eastAsia="zh-CN" w:bidi="ar-SA"/>
              </w:rPr>
              <w:t>5.</w:t>
            </w:r>
            <w:r>
              <w:rPr>
                <w:rFonts w:hint="eastAsia"/>
                <w:b/>
                <w:bCs/>
                <w:sz w:val="24"/>
                <w:szCs w:val="24"/>
                <w:highlight w:val="none"/>
                <w:lang w:eastAsia="zh-CN"/>
              </w:rPr>
              <w:t>土壤环境质量现状</w:t>
            </w:r>
          </w:p>
          <w:p w14:paraId="54CA3252">
            <w:pPr>
              <w:pStyle w:val="6"/>
              <w:keepNext w:val="0"/>
              <w:keepLines w:val="0"/>
              <w:pageBreakBefore w:val="0"/>
              <w:widowControl/>
              <w:kinsoku/>
              <w:wordWrap/>
              <w:overflowPunct/>
              <w:topLinePunct w:val="0"/>
              <w:autoSpaceDE/>
              <w:autoSpaceDN/>
              <w:bidi w:val="0"/>
              <w:adjustRightInd w:val="0"/>
              <w:snapToGrid w:val="0"/>
              <w:spacing w:before="0" w:after="0" w:line="360" w:lineRule="auto"/>
              <w:ind w:right="0" w:firstLine="480" w:firstLineChars="200"/>
              <w:textAlignment w:val="auto"/>
              <w:rPr>
                <w:rFonts w:hint="eastAsia" w:ascii="Times New Roman" w:hAnsi="Times New Roman" w:eastAsia="宋体" w:cs="Times New Roman"/>
                <w:color w:val="auto"/>
                <w:kern w:val="0"/>
                <w:sz w:val="24"/>
                <w:szCs w:val="24"/>
                <w:highlight w:val="none"/>
                <w:lang w:val="en-US" w:eastAsia="zh-CN" w:bidi="ar-SA"/>
              </w:rPr>
            </w:pPr>
            <w:r>
              <w:rPr>
                <w:rFonts w:hint="eastAsia" w:ascii="Times New Roman" w:hAnsi="Times New Roman" w:eastAsia="宋体" w:cs="Times New Roman"/>
                <w:color w:val="auto"/>
                <w:kern w:val="0"/>
                <w:sz w:val="24"/>
                <w:szCs w:val="24"/>
                <w:highlight w:val="none"/>
                <w:lang w:val="en-US" w:eastAsia="zh-CN" w:bidi="ar-SA"/>
              </w:rPr>
              <w:t>本项目所在区域土壤环境质量现状评价引用</w:t>
            </w:r>
            <w:r>
              <w:rPr>
                <w:rFonts w:hint="eastAsia" w:ascii="Times New Roman" w:hAnsi="Times New Roman" w:cs="Times New Roman"/>
                <w:color w:val="auto"/>
                <w:kern w:val="0"/>
                <w:sz w:val="24"/>
                <w:szCs w:val="24"/>
                <w:highlight w:val="none"/>
                <w:lang w:val="en-US" w:eastAsia="zh-CN" w:bidi="ar-SA"/>
              </w:rPr>
              <w:t>《</w:t>
            </w:r>
            <w:r>
              <w:rPr>
                <w:rFonts w:hint="default" w:ascii="Times New Roman" w:hAnsi="Times New Roman" w:eastAsia="宋体" w:cs="Times New Roman"/>
                <w:i w:val="0"/>
                <w:iCs w:val="0"/>
                <w:color w:val="auto"/>
                <w:sz w:val="24"/>
                <w:szCs w:val="24"/>
                <w:highlight w:val="none"/>
                <w:u w:val="none"/>
                <w:lang w:val="en-US" w:eastAsia="zh-CN"/>
              </w:rPr>
              <w:t>迁建年产6000吨还原铁粉项目</w:t>
            </w:r>
            <w:r>
              <w:rPr>
                <w:rFonts w:hint="default" w:ascii="Times New Roman" w:hAnsi="Times New Roman" w:eastAsia="宋体" w:cs="Times New Roman"/>
                <w:color w:val="auto"/>
                <w:kern w:val="0"/>
                <w:sz w:val="24"/>
                <w:szCs w:val="24"/>
                <w:highlight w:val="none"/>
                <w:lang w:val="en-US" w:eastAsia="zh-CN" w:bidi="ar-SA"/>
              </w:rPr>
              <w:t>环境影响报告表</w:t>
            </w:r>
            <w:r>
              <w:rPr>
                <w:rFonts w:hint="eastAsia" w:ascii="Times New Roman" w:hAnsi="Times New Roman" w:cs="Times New Roman"/>
                <w:color w:val="auto"/>
                <w:kern w:val="0"/>
                <w:sz w:val="24"/>
                <w:szCs w:val="24"/>
                <w:highlight w:val="none"/>
                <w:lang w:val="en-US" w:eastAsia="zh-CN" w:bidi="ar-SA"/>
              </w:rPr>
              <w:t>》中对殷都区曲沟镇</w:t>
            </w:r>
            <w:r>
              <w:rPr>
                <w:rFonts w:hint="eastAsia" w:ascii="Times New Roman" w:hAnsi="Times New Roman" w:eastAsia="宋体" w:cs="Times New Roman"/>
                <w:color w:val="auto"/>
                <w:kern w:val="0"/>
                <w:sz w:val="24"/>
                <w:szCs w:val="24"/>
                <w:highlight w:val="none"/>
                <w:lang w:val="en-US" w:eastAsia="zh-CN" w:bidi="ar-SA"/>
              </w:rPr>
              <w:t>监测数据，具体监测情况如下：</w:t>
            </w:r>
          </w:p>
          <w:p w14:paraId="75985E89">
            <w:pPr>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eastAsia="宋体" w:cs="Times New Roman"/>
                <w:b/>
                <w:bCs/>
                <w:color w:val="auto"/>
                <w:sz w:val="21"/>
                <w:szCs w:val="21"/>
                <w:highlight w:val="none"/>
                <w:u w:val="none"/>
                <w:lang w:eastAsia="zh-CN"/>
              </w:rPr>
              <w:t>建设用地</w:t>
            </w:r>
            <w:r>
              <w:rPr>
                <w:rFonts w:hint="default" w:ascii="Times New Roman" w:hAnsi="Times New Roman" w:eastAsia="宋体" w:cs="Times New Roman"/>
                <w:b/>
                <w:bCs/>
                <w:color w:val="auto"/>
                <w:sz w:val="21"/>
                <w:szCs w:val="21"/>
                <w:highlight w:val="none"/>
                <w:u w:val="none"/>
                <w:lang w:val="en-US" w:eastAsia="zh-CN"/>
              </w:rPr>
              <w:t>-</w:t>
            </w:r>
            <w:r>
              <w:rPr>
                <w:rFonts w:hint="default" w:ascii="Times New Roman" w:hAnsi="Times New Roman" w:eastAsia="宋体" w:cs="Times New Roman"/>
                <w:b/>
                <w:bCs/>
                <w:color w:val="auto"/>
                <w:sz w:val="21"/>
                <w:szCs w:val="21"/>
                <w:highlight w:val="none"/>
                <w:u w:val="none"/>
              </w:rPr>
              <w:t>土壤现状环境质量监测</w:t>
            </w:r>
            <w:r>
              <w:rPr>
                <w:rFonts w:hint="default" w:ascii="Times New Roman" w:hAnsi="Times New Roman" w:eastAsia="宋体" w:cs="Times New Roman"/>
                <w:b/>
                <w:bCs/>
                <w:color w:val="auto"/>
                <w:sz w:val="21"/>
                <w:szCs w:val="21"/>
                <w:highlight w:val="none"/>
                <w:u w:val="none"/>
                <w:lang w:eastAsia="zh-CN"/>
              </w:rPr>
              <w:t>结果</w:t>
            </w:r>
            <w:r>
              <w:rPr>
                <w:rFonts w:hint="default" w:ascii="Times New Roman" w:hAnsi="Times New Roman" w:eastAsia="宋体" w:cs="Times New Roman"/>
                <w:b/>
                <w:bCs/>
                <w:color w:val="auto"/>
                <w:sz w:val="21"/>
                <w:szCs w:val="21"/>
                <w:highlight w:val="none"/>
                <w:u w:val="none"/>
              </w:rPr>
              <w:t>一览表</w:t>
            </w:r>
          </w:p>
          <w:tbl>
            <w:tblPr>
              <w:tblStyle w:val="18"/>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388"/>
              <w:gridCol w:w="1204"/>
              <w:gridCol w:w="992"/>
              <w:gridCol w:w="992"/>
              <w:gridCol w:w="1067"/>
              <w:gridCol w:w="992"/>
              <w:gridCol w:w="1057"/>
              <w:gridCol w:w="1426"/>
              <w:gridCol w:w="449"/>
            </w:tblGrid>
            <w:tr w14:paraId="54E8E9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vMerge w:val="restart"/>
                  <w:tcBorders>
                    <w:tl2br w:val="nil"/>
                    <w:tr2bl w:val="nil"/>
                  </w:tcBorders>
                  <w:noWrap w:val="0"/>
                  <w:vAlign w:val="center"/>
                </w:tcPr>
                <w:p w14:paraId="70F60D8D">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序号</w:t>
                  </w:r>
                </w:p>
              </w:tc>
              <w:tc>
                <w:tcPr>
                  <w:tcW w:w="732" w:type="pct"/>
                  <w:vMerge w:val="restart"/>
                  <w:tcBorders>
                    <w:tl2br w:val="nil"/>
                    <w:tr2bl w:val="nil"/>
                  </w:tcBorders>
                  <w:noWrap w:val="0"/>
                  <w:vAlign w:val="center"/>
                </w:tcPr>
                <w:p w14:paraId="0CCB7794">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污染物项目</w:t>
                  </w:r>
                </w:p>
              </w:tc>
              <w:tc>
                <w:tcPr>
                  <w:tcW w:w="577" w:type="pct"/>
                  <w:tcBorders>
                    <w:tl2br w:val="nil"/>
                    <w:tr2bl w:val="nil"/>
                  </w:tcBorders>
                  <w:noWrap w:val="0"/>
                  <w:vAlign w:val="center"/>
                </w:tcPr>
                <w:p w14:paraId="7242FC47">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筛选值（mg/kg）</w:t>
                  </w:r>
                </w:p>
              </w:tc>
              <w:tc>
                <w:tcPr>
                  <w:tcW w:w="532" w:type="pct"/>
                  <w:tcBorders>
                    <w:tl2br w:val="nil"/>
                    <w:tr2bl w:val="nil"/>
                  </w:tcBorders>
                  <w:noWrap w:val="0"/>
                  <w:vAlign w:val="center"/>
                </w:tcPr>
                <w:p w14:paraId="0893C102">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管制值（mg/kg）</w:t>
                  </w:r>
                </w:p>
              </w:tc>
              <w:tc>
                <w:tcPr>
                  <w:tcW w:w="2608" w:type="pct"/>
                  <w:gridSpan w:val="4"/>
                  <w:tcBorders>
                    <w:tl2br w:val="nil"/>
                    <w:tr2bl w:val="nil"/>
                  </w:tcBorders>
                  <w:noWrap w:val="0"/>
                  <w:vAlign w:val="center"/>
                </w:tcPr>
                <w:p w14:paraId="395C32BC">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监测结果（mg/kg）</w:t>
                  </w:r>
                </w:p>
              </w:tc>
              <w:tc>
                <w:tcPr>
                  <w:tcW w:w="291" w:type="pct"/>
                  <w:vMerge w:val="restart"/>
                  <w:tcBorders>
                    <w:tl2br w:val="nil"/>
                    <w:tr2bl w:val="nil"/>
                  </w:tcBorders>
                  <w:noWrap w:val="0"/>
                  <w:vAlign w:val="center"/>
                </w:tcPr>
                <w:p w14:paraId="7EA38A3E">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u w:val="none"/>
                      <w:lang w:eastAsia="zh-CN"/>
                    </w:rPr>
                  </w:pPr>
                  <w:r>
                    <w:rPr>
                      <w:rFonts w:hint="default" w:ascii="Times New Roman" w:hAnsi="Times New Roman" w:eastAsia="宋体" w:cs="Times New Roman"/>
                      <w:b/>
                      <w:bCs/>
                      <w:color w:val="auto"/>
                      <w:sz w:val="21"/>
                      <w:szCs w:val="21"/>
                      <w:highlight w:val="none"/>
                      <w:u w:val="none"/>
                      <w:lang w:eastAsia="zh-CN"/>
                    </w:rPr>
                    <w:t>是否</w:t>
                  </w:r>
                </w:p>
                <w:p w14:paraId="5E8654DE">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u w:val="none"/>
                      <w:lang w:eastAsia="zh-CN"/>
                    </w:rPr>
                  </w:pPr>
                  <w:r>
                    <w:rPr>
                      <w:rFonts w:hint="default" w:ascii="Times New Roman" w:hAnsi="Times New Roman" w:eastAsia="宋体" w:cs="Times New Roman"/>
                      <w:b/>
                      <w:bCs/>
                      <w:color w:val="auto"/>
                      <w:sz w:val="21"/>
                      <w:szCs w:val="21"/>
                      <w:highlight w:val="none"/>
                      <w:u w:val="none"/>
                      <w:lang w:eastAsia="zh-CN"/>
                    </w:rPr>
                    <w:t>达标</w:t>
                  </w:r>
                </w:p>
              </w:tc>
            </w:tr>
            <w:tr w14:paraId="73A05A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vMerge w:val="continue"/>
                  <w:tcBorders>
                    <w:tl2br w:val="nil"/>
                    <w:tr2bl w:val="nil"/>
                  </w:tcBorders>
                  <w:noWrap w:val="0"/>
                  <w:vAlign w:val="center"/>
                </w:tcPr>
                <w:p w14:paraId="498F5BF1">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u w:val="none"/>
                    </w:rPr>
                  </w:pPr>
                </w:p>
              </w:tc>
              <w:tc>
                <w:tcPr>
                  <w:tcW w:w="732" w:type="pct"/>
                  <w:vMerge w:val="continue"/>
                  <w:tcBorders>
                    <w:tl2br w:val="nil"/>
                    <w:tr2bl w:val="nil"/>
                  </w:tcBorders>
                  <w:noWrap w:val="0"/>
                  <w:vAlign w:val="center"/>
                </w:tcPr>
                <w:p w14:paraId="2D74CB9E">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u w:val="none"/>
                    </w:rPr>
                  </w:pPr>
                </w:p>
              </w:tc>
              <w:tc>
                <w:tcPr>
                  <w:tcW w:w="577" w:type="pct"/>
                  <w:vMerge w:val="restart"/>
                  <w:tcBorders>
                    <w:tl2br w:val="nil"/>
                    <w:tr2bl w:val="nil"/>
                  </w:tcBorders>
                  <w:noWrap w:val="0"/>
                  <w:vAlign w:val="center"/>
                </w:tcPr>
                <w:p w14:paraId="6A8AA6C4">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第二类</w:t>
                  </w:r>
                </w:p>
                <w:p w14:paraId="5DFE4C38">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用地</w:t>
                  </w:r>
                </w:p>
              </w:tc>
              <w:tc>
                <w:tcPr>
                  <w:tcW w:w="532" w:type="pct"/>
                  <w:vMerge w:val="restart"/>
                  <w:tcBorders>
                    <w:tl2br w:val="nil"/>
                    <w:tr2bl w:val="nil"/>
                  </w:tcBorders>
                  <w:noWrap w:val="0"/>
                  <w:vAlign w:val="center"/>
                </w:tcPr>
                <w:p w14:paraId="7378F0F8">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第二类</w:t>
                  </w:r>
                </w:p>
                <w:p w14:paraId="24E8CEB5">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u w:val="none"/>
                    </w:rPr>
                  </w:pPr>
                  <w:r>
                    <w:rPr>
                      <w:rFonts w:hint="default" w:ascii="Times New Roman" w:hAnsi="Times New Roman" w:eastAsia="宋体" w:cs="Times New Roman"/>
                      <w:b/>
                      <w:bCs/>
                      <w:color w:val="auto"/>
                      <w:sz w:val="21"/>
                      <w:szCs w:val="21"/>
                      <w:highlight w:val="none"/>
                      <w:u w:val="none"/>
                    </w:rPr>
                    <w:t>用地</w:t>
                  </w:r>
                </w:p>
              </w:tc>
              <w:tc>
                <w:tcPr>
                  <w:tcW w:w="1906" w:type="pct"/>
                  <w:gridSpan w:val="3"/>
                  <w:tcBorders>
                    <w:tl2br w:val="nil"/>
                    <w:tr2bl w:val="nil"/>
                  </w:tcBorders>
                  <w:noWrap w:val="0"/>
                  <w:vAlign w:val="center"/>
                </w:tcPr>
                <w:p w14:paraId="00BBA235">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eastAsia="宋体" w:cs="Times New Roman"/>
                      <w:b/>
                      <w:bCs/>
                      <w:color w:val="auto"/>
                      <w:sz w:val="21"/>
                      <w:szCs w:val="21"/>
                      <w:highlight w:val="none"/>
                      <w:vertAlign w:val="baseline"/>
                      <w:lang w:val="en-US" w:eastAsia="zh-CN"/>
                    </w:rPr>
                    <w:t>1#厂区西北角（沉淀池所在位置附近）</w:t>
                  </w:r>
                  <w:r>
                    <w:rPr>
                      <w:rFonts w:hint="default" w:ascii="Times New Roman" w:hAnsi="Times New Roman" w:cs="Times New Roman"/>
                      <w:b/>
                      <w:bCs/>
                      <w:color w:val="auto"/>
                      <w:sz w:val="21"/>
                      <w:szCs w:val="21"/>
                      <w:highlight w:val="none"/>
                      <w:vertAlign w:val="baseline"/>
                      <w:lang w:val="en-US" w:eastAsia="zh-CN"/>
                    </w:rPr>
                    <w:t xml:space="preserve"> (114°11'50''E，36°8'8''N)</w:t>
                  </w:r>
                </w:p>
              </w:tc>
              <w:tc>
                <w:tcPr>
                  <w:tcW w:w="702" w:type="pct"/>
                  <w:tcBorders>
                    <w:tl2br w:val="nil"/>
                    <w:tr2bl w:val="nil"/>
                  </w:tcBorders>
                  <w:noWrap w:val="0"/>
                  <w:vAlign w:val="center"/>
                </w:tcPr>
                <w:p w14:paraId="6917F33A">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cs="Times New Roman"/>
                      <w:b/>
                      <w:bCs/>
                      <w:color w:val="auto"/>
                      <w:sz w:val="21"/>
                      <w:szCs w:val="21"/>
                      <w:highlight w:val="none"/>
                      <w:vertAlign w:val="baseline"/>
                      <w:lang w:val="en-US" w:eastAsia="zh-CN"/>
                    </w:rPr>
                    <w:t>3#办公区附近(114°11'51''E，36°8'5''N)</w:t>
                  </w:r>
                </w:p>
              </w:tc>
              <w:tc>
                <w:tcPr>
                  <w:tcW w:w="291" w:type="pct"/>
                  <w:vMerge w:val="continue"/>
                  <w:tcBorders>
                    <w:tl2br w:val="nil"/>
                    <w:tr2bl w:val="nil"/>
                  </w:tcBorders>
                  <w:noWrap w:val="0"/>
                  <w:vAlign w:val="center"/>
                </w:tcPr>
                <w:p w14:paraId="598681D4">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u w:val="none"/>
                    </w:rPr>
                  </w:pPr>
                </w:p>
              </w:tc>
            </w:tr>
            <w:tr w14:paraId="0F64F1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vMerge w:val="continue"/>
                  <w:tcBorders>
                    <w:tl2br w:val="nil"/>
                    <w:tr2bl w:val="nil"/>
                  </w:tcBorders>
                  <w:noWrap w:val="0"/>
                  <w:vAlign w:val="center"/>
                </w:tcPr>
                <w:p w14:paraId="48FDAAB8">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u w:val="none"/>
                    </w:rPr>
                  </w:pPr>
                </w:p>
              </w:tc>
              <w:tc>
                <w:tcPr>
                  <w:tcW w:w="732" w:type="pct"/>
                  <w:vMerge w:val="continue"/>
                  <w:tcBorders>
                    <w:tl2br w:val="nil"/>
                    <w:tr2bl w:val="nil"/>
                  </w:tcBorders>
                  <w:noWrap w:val="0"/>
                  <w:vAlign w:val="center"/>
                </w:tcPr>
                <w:p w14:paraId="6D33476A">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u w:val="none"/>
                    </w:rPr>
                  </w:pPr>
                </w:p>
              </w:tc>
              <w:tc>
                <w:tcPr>
                  <w:tcW w:w="577" w:type="pct"/>
                  <w:vMerge w:val="continue"/>
                  <w:tcBorders>
                    <w:tl2br w:val="nil"/>
                    <w:tr2bl w:val="nil"/>
                  </w:tcBorders>
                  <w:noWrap w:val="0"/>
                  <w:vAlign w:val="center"/>
                </w:tcPr>
                <w:p w14:paraId="36076710">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u w:val="none"/>
                    </w:rPr>
                  </w:pPr>
                </w:p>
              </w:tc>
              <w:tc>
                <w:tcPr>
                  <w:tcW w:w="532" w:type="pct"/>
                  <w:vMerge w:val="continue"/>
                  <w:tcBorders>
                    <w:tl2br w:val="nil"/>
                    <w:tr2bl w:val="nil"/>
                  </w:tcBorders>
                  <w:noWrap w:val="0"/>
                  <w:vAlign w:val="center"/>
                </w:tcPr>
                <w:p w14:paraId="72475A7D">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u w:val="none"/>
                    </w:rPr>
                  </w:pPr>
                </w:p>
              </w:tc>
              <w:tc>
                <w:tcPr>
                  <w:tcW w:w="652" w:type="pct"/>
                  <w:tcBorders>
                    <w:tl2br w:val="nil"/>
                    <w:tr2bl w:val="nil"/>
                  </w:tcBorders>
                  <w:noWrap w:val="0"/>
                  <w:vAlign w:val="center"/>
                </w:tcPr>
                <w:p w14:paraId="159D49D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eastAsia="宋体" w:cs="Times New Roman"/>
                      <w:b/>
                      <w:bCs/>
                      <w:color w:val="auto"/>
                      <w:sz w:val="21"/>
                      <w:szCs w:val="21"/>
                      <w:highlight w:val="none"/>
                      <w:vertAlign w:val="baseline"/>
                      <w:lang w:val="en-US" w:eastAsia="zh-CN"/>
                    </w:rPr>
                    <w:t>0~0.2m</w:t>
                  </w:r>
                </w:p>
              </w:tc>
              <w:tc>
                <w:tcPr>
                  <w:tcW w:w="608" w:type="pct"/>
                  <w:tcBorders>
                    <w:tl2br w:val="nil"/>
                    <w:tr2bl w:val="nil"/>
                  </w:tcBorders>
                  <w:noWrap w:val="0"/>
                  <w:vAlign w:val="center"/>
                </w:tcPr>
                <w:p w14:paraId="179F09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eastAsia="宋体" w:cs="Times New Roman"/>
                      <w:b/>
                      <w:bCs/>
                      <w:color w:val="auto"/>
                      <w:sz w:val="21"/>
                      <w:szCs w:val="21"/>
                      <w:highlight w:val="none"/>
                      <w:vertAlign w:val="baseline"/>
                      <w:lang w:val="en-US" w:eastAsia="zh-CN"/>
                    </w:rPr>
                    <w:t>0.5~1.5m</w:t>
                  </w:r>
                </w:p>
              </w:tc>
              <w:tc>
                <w:tcPr>
                  <w:tcW w:w="644" w:type="pct"/>
                  <w:tcBorders>
                    <w:tl2br w:val="nil"/>
                    <w:tr2bl w:val="nil"/>
                  </w:tcBorders>
                  <w:noWrap w:val="0"/>
                  <w:vAlign w:val="center"/>
                </w:tcPr>
                <w:p w14:paraId="19E7D98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eastAsia="宋体" w:cs="Times New Roman"/>
                      <w:b/>
                      <w:bCs/>
                      <w:color w:val="auto"/>
                      <w:sz w:val="21"/>
                      <w:szCs w:val="21"/>
                      <w:highlight w:val="none"/>
                      <w:vertAlign w:val="baseline"/>
                      <w:lang w:val="en-US" w:eastAsia="zh-CN"/>
                    </w:rPr>
                    <w:t>1.5~3m</w:t>
                  </w:r>
                </w:p>
              </w:tc>
              <w:tc>
                <w:tcPr>
                  <w:tcW w:w="702" w:type="pct"/>
                  <w:tcBorders>
                    <w:tl2br w:val="nil"/>
                    <w:tr2bl w:val="nil"/>
                  </w:tcBorders>
                  <w:noWrap w:val="0"/>
                  <w:vAlign w:val="center"/>
                </w:tcPr>
                <w:p w14:paraId="5A3D02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eastAsia="宋体" w:cs="Times New Roman"/>
                      <w:b/>
                      <w:bCs/>
                      <w:color w:val="auto"/>
                      <w:sz w:val="21"/>
                      <w:szCs w:val="21"/>
                      <w:highlight w:val="none"/>
                      <w:vertAlign w:val="baseline"/>
                      <w:lang w:val="en-US" w:eastAsia="zh-CN"/>
                    </w:rPr>
                    <w:t>0~0.2m</w:t>
                  </w:r>
                </w:p>
              </w:tc>
              <w:tc>
                <w:tcPr>
                  <w:tcW w:w="291" w:type="pct"/>
                  <w:vMerge w:val="continue"/>
                  <w:tcBorders>
                    <w:tl2br w:val="nil"/>
                    <w:tr2bl w:val="nil"/>
                  </w:tcBorders>
                  <w:noWrap w:val="0"/>
                  <w:vAlign w:val="center"/>
                </w:tcPr>
                <w:p w14:paraId="10372845">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auto"/>
                      <w:sz w:val="21"/>
                      <w:szCs w:val="21"/>
                      <w:highlight w:val="none"/>
                      <w:u w:val="none"/>
                    </w:rPr>
                  </w:pPr>
                </w:p>
              </w:tc>
            </w:tr>
            <w:tr w14:paraId="30B919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474FD5EA">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1</w:t>
                  </w:r>
                </w:p>
              </w:tc>
              <w:tc>
                <w:tcPr>
                  <w:tcW w:w="732" w:type="pct"/>
                  <w:tcBorders>
                    <w:tl2br w:val="nil"/>
                    <w:tr2bl w:val="nil"/>
                  </w:tcBorders>
                  <w:noWrap w:val="0"/>
                  <w:vAlign w:val="center"/>
                </w:tcPr>
                <w:p w14:paraId="48C8EBE6">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砷</w:t>
                  </w:r>
                </w:p>
              </w:tc>
              <w:tc>
                <w:tcPr>
                  <w:tcW w:w="577" w:type="pct"/>
                  <w:tcBorders>
                    <w:tl2br w:val="nil"/>
                    <w:tr2bl w:val="nil"/>
                  </w:tcBorders>
                  <w:noWrap w:val="0"/>
                  <w:vAlign w:val="center"/>
                </w:tcPr>
                <w:p w14:paraId="67EED8D8">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60</w:t>
                  </w:r>
                </w:p>
              </w:tc>
              <w:tc>
                <w:tcPr>
                  <w:tcW w:w="532" w:type="pct"/>
                  <w:tcBorders>
                    <w:tl2br w:val="nil"/>
                    <w:tr2bl w:val="nil"/>
                  </w:tcBorders>
                  <w:noWrap w:val="0"/>
                  <w:vAlign w:val="center"/>
                </w:tcPr>
                <w:p w14:paraId="0C3556E9">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140</w:t>
                  </w:r>
                </w:p>
              </w:tc>
              <w:tc>
                <w:tcPr>
                  <w:tcW w:w="652" w:type="pct"/>
                  <w:tcBorders>
                    <w:tl2br w:val="nil"/>
                    <w:tr2bl w:val="nil"/>
                  </w:tcBorders>
                  <w:noWrap w:val="0"/>
                  <w:vAlign w:val="center"/>
                </w:tcPr>
                <w:p w14:paraId="7E494324">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Cs/>
                      <w:color w:val="auto"/>
                      <w:kern w:val="2"/>
                      <w:sz w:val="21"/>
                      <w:szCs w:val="21"/>
                      <w:highlight w:val="none"/>
                      <w:vertAlign w:val="baseline"/>
                      <w:lang w:val="en-US" w:eastAsia="zh-CN" w:bidi="ar-SA"/>
                    </w:rPr>
                  </w:pPr>
                  <w:r>
                    <w:rPr>
                      <w:rFonts w:hint="eastAsia" w:cs="Times New Roman"/>
                      <w:b w:val="0"/>
                      <w:bCs/>
                      <w:color w:val="auto"/>
                      <w:kern w:val="2"/>
                      <w:sz w:val="21"/>
                      <w:szCs w:val="21"/>
                      <w:highlight w:val="none"/>
                      <w:vertAlign w:val="baseline"/>
                      <w:lang w:val="en-US" w:eastAsia="zh-CN" w:bidi="ar-SA"/>
                    </w:rPr>
                    <w:t>11.4</w:t>
                  </w:r>
                </w:p>
              </w:tc>
              <w:tc>
                <w:tcPr>
                  <w:tcW w:w="608" w:type="pct"/>
                  <w:tcBorders>
                    <w:tl2br w:val="nil"/>
                    <w:tr2bl w:val="nil"/>
                  </w:tcBorders>
                  <w:noWrap w:val="0"/>
                  <w:vAlign w:val="center"/>
                </w:tcPr>
                <w:p w14:paraId="379B6AAD">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Cs/>
                      <w:color w:val="auto"/>
                      <w:kern w:val="2"/>
                      <w:sz w:val="21"/>
                      <w:szCs w:val="21"/>
                      <w:highlight w:val="none"/>
                      <w:vertAlign w:val="baseline"/>
                      <w:lang w:val="en-US" w:eastAsia="zh-CN" w:bidi="ar-SA"/>
                    </w:rPr>
                  </w:pPr>
                  <w:r>
                    <w:rPr>
                      <w:rFonts w:hint="default" w:ascii="Times New Roman" w:hAnsi="Times New Roman" w:cs="Times New Roman"/>
                      <w:b w:val="0"/>
                      <w:bCs/>
                      <w:color w:val="auto"/>
                      <w:kern w:val="2"/>
                      <w:sz w:val="21"/>
                      <w:szCs w:val="21"/>
                      <w:highlight w:val="none"/>
                      <w:vertAlign w:val="baseline"/>
                      <w:lang w:val="en-US" w:eastAsia="zh-CN" w:bidi="ar-SA"/>
                    </w:rPr>
                    <w:t>12.0</w:t>
                  </w:r>
                </w:p>
              </w:tc>
              <w:tc>
                <w:tcPr>
                  <w:tcW w:w="644" w:type="pct"/>
                  <w:tcBorders>
                    <w:tl2br w:val="nil"/>
                    <w:tr2bl w:val="nil"/>
                  </w:tcBorders>
                  <w:noWrap w:val="0"/>
                  <w:vAlign w:val="center"/>
                </w:tcPr>
                <w:p w14:paraId="23172680">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Cs/>
                      <w:color w:val="auto"/>
                      <w:kern w:val="2"/>
                      <w:sz w:val="21"/>
                      <w:szCs w:val="21"/>
                      <w:highlight w:val="none"/>
                      <w:vertAlign w:val="baseline"/>
                      <w:lang w:val="en-US" w:eastAsia="zh-CN" w:bidi="ar-SA"/>
                    </w:rPr>
                  </w:pPr>
                  <w:r>
                    <w:rPr>
                      <w:rFonts w:hint="default" w:ascii="Times New Roman" w:hAnsi="Times New Roman" w:cs="Times New Roman"/>
                      <w:b w:val="0"/>
                      <w:bCs/>
                      <w:color w:val="auto"/>
                      <w:kern w:val="2"/>
                      <w:sz w:val="21"/>
                      <w:szCs w:val="21"/>
                      <w:highlight w:val="none"/>
                      <w:vertAlign w:val="baseline"/>
                      <w:lang w:val="en-US" w:eastAsia="zh-CN" w:bidi="ar-SA"/>
                    </w:rPr>
                    <w:t>12.7</w:t>
                  </w:r>
                </w:p>
              </w:tc>
              <w:tc>
                <w:tcPr>
                  <w:tcW w:w="702" w:type="pct"/>
                  <w:tcBorders>
                    <w:tl2br w:val="nil"/>
                    <w:tr2bl w:val="nil"/>
                  </w:tcBorders>
                  <w:noWrap w:val="0"/>
                  <w:vAlign w:val="center"/>
                </w:tcPr>
                <w:p w14:paraId="339BC105">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Cs/>
                      <w:color w:val="auto"/>
                      <w:kern w:val="2"/>
                      <w:sz w:val="21"/>
                      <w:szCs w:val="21"/>
                      <w:highlight w:val="none"/>
                      <w:vertAlign w:val="baseline"/>
                      <w:lang w:val="en-US" w:eastAsia="zh-CN" w:bidi="ar-SA"/>
                    </w:rPr>
                  </w:pPr>
                  <w:r>
                    <w:rPr>
                      <w:rFonts w:hint="default" w:ascii="Times New Roman" w:hAnsi="Times New Roman" w:cs="Times New Roman"/>
                      <w:b w:val="0"/>
                      <w:bCs/>
                      <w:color w:val="auto"/>
                      <w:kern w:val="2"/>
                      <w:sz w:val="21"/>
                      <w:szCs w:val="21"/>
                      <w:highlight w:val="none"/>
                      <w:vertAlign w:val="baseline"/>
                      <w:lang w:val="en-US" w:eastAsia="zh-CN" w:bidi="ar-SA"/>
                    </w:rPr>
                    <w:t>11.8</w:t>
                  </w:r>
                </w:p>
              </w:tc>
              <w:tc>
                <w:tcPr>
                  <w:tcW w:w="291" w:type="pct"/>
                  <w:tcBorders>
                    <w:tl2br w:val="nil"/>
                    <w:tr2bl w:val="nil"/>
                  </w:tcBorders>
                  <w:noWrap w:val="0"/>
                  <w:vAlign w:val="center"/>
                </w:tcPr>
                <w:p w14:paraId="51A342A8">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达标</w:t>
                  </w:r>
                </w:p>
              </w:tc>
            </w:tr>
            <w:tr w14:paraId="4C1012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67B03431">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2</w:t>
                  </w:r>
                </w:p>
              </w:tc>
              <w:tc>
                <w:tcPr>
                  <w:tcW w:w="732" w:type="pct"/>
                  <w:tcBorders>
                    <w:tl2br w:val="nil"/>
                    <w:tr2bl w:val="nil"/>
                  </w:tcBorders>
                  <w:noWrap w:val="0"/>
                  <w:vAlign w:val="center"/>
                </w:tcPr>
                <w:p w14:paraId="5DB95777">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镉</w:t>
                  </w:r>
                </w:p>
              </w:tc>
              <w:tc>
                <w:tcPr>
                  <w:tcW w:w="577" w:type="pct"/>
                  <w:tcBorders>
                    <w:tl2br w:val="nil"/>
                    <w:tr2bl w:val="nil"/>
                  </w:tcBorders>
                  <w:noWrap w:val="0"/>
                  <w:vAlign w:val="center"/>
                </w:tcPr>
                <w:p w14:paraId="6F8CEF44">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65</w:t>
                  </w:r>
                </w:p>
              </w:tc>
              <w:tc>
                <w:tcPr>
                  <w:tcW w:w="532" w:type="pct"/>
                  <w:tcBorders>
                    <w:tl2br w:val="nil"/>
                    <w:tr2bl w:val="nil"/>
                  </w:tcBorders>
                  <w:noWrap w:val="0"/>
                  <w:vAlign w:val="center"/>
                </w:tcPr>
                <w:p w14:paraId="716C029D">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172</w:t>
                  </w:r>
                </w:p>
              </w:tc>
              <w:tc>
                <w:tcPr>
                  <w:tcW w:w="652" w:type="pct"/>
                  <w:tcBorders>
                    <w:tl2br w:val="nil"/>
                    <w:tr2bl w:val="nil"/>
                  </w:tcBorders>
                  <w:noWrap w:val="0"/>
                  <w:vAlign w:val="center"/>
                </w:tcPr>
                <w:p w14:paraId="351DA614">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kern w:val="2"/>
                      <w:sz w:val="21"/>
                      <w:szCs w:val="21"/>
                      <w:highlight w:val="none"/>
                      <w:vertAlign w:val="baseline"/>
                      <w:lang w:val="en-US" w:eastAsia="zh-CN" w:bidi="ar-SA"/>
                    </w:rPr>
                    <w:t>0.97</w:t>
                  </w:r>
                </w:p>
              </w:tc>
              <w:tc>
                <w:tcPr>
                  <w:tcW w:w="608" w:type="pct"/>
                  <w:tcBorders>
                    <w:tl2br w:val="nil"/>
                    <w:tr2bl w:val="nil"/>
                  </w:tcBorders>
                  <w:noWrap w:val="0"/>
                  <w:vAlign w:val="center"/>
                </w:tcPr>
                <w:p w14:paraId="56E21E78">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kern w:val="2"/>
                      <w:sz w:val="21"/>
                      <w:szCs w:val="21"/>
                      <w:highlight w:val="none"/>
                      <w:vertAlign w:val="baseline"/>
                      <w:lang w:val="en-US" w:eastAsia="zh-CN" w:bidi="ar-SA"/>
                    </w:rPr>
                    <w:t>0.76</w:t>
                  </w:r>
                </w:p>
              </w:tc>
              <w:tc>
                <w:tcPr>
                  <w:tcW w:w="644" w:type="pct"/>
                  <w:tcBorders>
                    <w:tl2br w:val="nil"/>
                    <w:tr2bl w:val="nil"/>
                  </w:tcBorders>
                  <w:noWrap w:val="0"/>
                  <w:vAlign w:val="center"/>
                </w:tcPr>
                <w:p w14:paraId="5BFB5C59">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kern w:val="2"/>
                      <w:sz w:val="21"/>
                      <w:szCs w:val="21"/>
                      <w:highlight w:val="none"/>
                      <w:vertAlign w:val="baseline"/>
                      <w:lang w:val="en-US" w:eastAsia="zh-CN" w:bidi="ar-SA"/>
                    </w:rPr>
                    <w:t>0.68</w:t>
                  </w:r>
                </w:p>
              </w:tc>
              <w:tc>
                <w:tcPr>
                  <w:tcW w:w="702" w:type="pct"/>
                  <w:tcBorders>
                    <w:tl2br w:val="nil"/>
                    <w:tr2bl w:val="nil"/>
                  </w:tcBorders>
                  <w:noWrap w:val="0"/>
                  <w:vAlign w:val="center"/>
                </w:tcPr>
                <w:p w14:paraId="7DE29ED2">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kern w:val="2"/>
                      <w:sz w:val="21"/>
                      <w:szCs w:val="21"/>
                      <w:highlight w:val="none"/>
                      <w:vertAlign w:val="baseline"/>
                      <w:lang w:val="en-US" w:eastAsia="zh-CN" w:bidi="ar-SA"/>
                    </w:rPr>
                    <w:t>0.98</w:t>
                  </w:r>
                </w:p>
              </w:tc>
              <w:tc>
                <w:tcPr>
                  <w:tcW w:w="291" w:type="pct"/>
                  <w:tcBorders>
                    <w:tl2br w:val="nil"/>
                    <w:tr2bl w:val="nil"/>
                  </w:tcBorders>
                  <w:noWrap w:val="0"/>
                  <w:vAlign w:val="center"/>
                </w:tcPr>
                <w:p w14:paraId="590195EF">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达标</w:t>
                  </w:r>
                </w:p>
              </w:tc>
            </w:tr>
            <w:tr w14:paraId="4270353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2BDBFB5F">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3</w:t>
                  </w:r>
                </w:p>
              </w:tc>
              <w:tc>
                <w:tcPr>
                  <w:tcW w:w="732" w:type="pct"/>
                  <w:tcBorders>
                    <w:tl2br w:val="nil"/>
                    <w:tr2bl w:val="nil"/>
                  </w:tcBorders>
                  <w:noWrap w:val="0"/>
                  <w:vAlign w:val="center"/>
                </w:tcPr>
                <w:p w14:paraId="5524E3E7">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铬（六价）</w:t>
                  </w:r>
                </w:p>
              </w:tc>
              <w:tc>
                <w:tcPr>
                  <w:tcW w:w="577" w:type="pct"/>
                  <w:tcBorders>
                    <w:tl2br w:val="nil"/>
                    <w:tr2bl w:val="nil"/>
                  </w:tcBorders>
                  <w:noWrap w:val="0"/>
                  <w:vAlign w:val="center"/>
                </w:tcPr>
                <w:p w14:paraId="414B740A">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5.7</w:t>
                  </w:r>
                </w:p>
              </w:tc>
              <w:tc>
                <w:tcPr>
                  <w:tcW w:w="532" w:type="pct"/>
                  <w:tcBorders>
                    <w:tl2br w:val="nil"/>
                    <w:tr2bl w:val="nil"/>
                  </w:tcBorders>
                  <w:noWrap w:val="0"/>
                  <w:vAlign w:val="center"/>
                </w:tcPr>
                <w:p w14:paraId="571F2582">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78</w:t>
                  </w:r>
                </w:p>
              </w:tc>
              <w:tc>
                <w:tcPr>
                  <w:tcW w:w="652" w:type="pct"/>
                  <w:tcBorders>
                    <w:tl2br w:val="nil"/>
                    <w:tr2bl w:val="nil"/>
                  </w:tcBorders>
                  <w:noWrap w:val="0"/>
                  <w:vAlign w:val="center"/>
                </w:tcPr>
                <w:p w14:paraId="7FF9EFF8">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Cs/>
                      <w:color w:val="auto"/>
                      <w:sz w:val="21"/>
                      <w:szCs w:val="21"/>
                      <w:highlight w:val="none"/>
                      <w:vertAlign w:val="baseline"/>
                      <w:lang w:val="en-US" w:eastAsia="zh-CN"/>
                    </w:rPr>
                    <w:t>ND</w:t>
                  </w:r>
                </w:p>
              </w:tc>
              <w:tc>
                <w:tcPr>
                  <w:tcW w:w="608" w:type="pct"/>
                  <w:tcBorders>
                    <w:tl2br w:val="nil"/>
                    <w:tr2bl w:val="nil"/>
                  </w:tcBorders>
                  <w:noWrap w:val="0"/>
                  <w:vAlign w:val="center"/>
                </w:tcPr>
                <w:p w14:paraId="64FF035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ND</w:t>
                  </w:r>
                </w:p>
              </w:tc>
              <w:tc>
                <w:tcPr>
                  <w:tcW w:w="644" w:type="pct"/>
                  <w:tcBorders>
                    <w:tl2br w:val="nil"/>
                    <w:tr2bl w:val="nil"/>
                  </w:tcBorders>
                  <w:noWrap w:val="0"/>
                  <w:vAlign w:val="center"/>
                </w:tcPr>
                <w:p w14:paraId="195F1A6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ND</w:t>
                  </w:r>
                </w:p>
              </w:tc>
              <w:tc>
                <w:tcPr>
                  <w:tcW w:w="702" w:type="pct"/>
                  <w:tcBorders>
                    <w:tl2br w:val="nil"/>
                    <w:tr2bl w:val="nil"/>
                  </w:tcBorders>
                  <w:noWrap w:val="0"/>
                  <w:vAlign w:val="center"/>
                </w:tcPr>
                <w:p w14:paraId="12AA8B37">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ND</w:t>
                  </w:r>
                </w:p>
              </w:tc>
              <w:tc>
                <w:tcPr>
                  <w:tcW w:w="291" w:type="pct"/>
                  <w:tcBorders>
                    <w:tl2br w:val="nil"/>
                    <w:tr2bl w:val="nil"/>
                  </w:tcBorders>
                  <w:noWrap w:val="0"/>
                  <w:vAlign w:val="center"/>
                </w:tcPr>
                <w:p w14:paraId="0110EC4F">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达标</w:t>
                  </w:r>
                </w:p>
              </w:tc>
            </w:tr>
            <w:tr w14:paraId="47DF34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0AA7AF0A">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4</w:t>
                  </w:r>
                </w:p>
              </w:tc>
              <w:tc>
                <w:tcPr>
                  <w:tcW w:w="732" w:type="pct"/>
                  <w:tcBorders>
                    <w:tl2br w:val="nil"/>
                    <w:tr2bl w:val="nil"/>
                  </w:tcBorders>
                  <w:noWrap w:val="0"/>
                  <w:vAlign w:val="center"/>
                </w:tcPr>
                <w:p w14:paraId="0223326B">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铜</w:t>
                  </w:r>
                </w:p>
              </w:tc>
              <w:tc>
                <w:tcPr>
                  <w:tcW w:w="577" w:type="pct"/>
                  <w:tcBorders>
                    <w:tl2br w:val="nil"/>
                    <w:tr2bl w:val="nil"/>
                  </w:tcBorders>
                  <w:noWrap w:val="0"/>
                  <w:vAlign w:val="center"/>
                </w:tcPr>
                <w:p w14:paraId="7F9F9AB2">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18000</w:t>
                  </w:r>
                </w:p>
              </w:tc>
              <w:tc>
                <w:tcPr>
                  <w:tcW w:w="532" w:type="pct"/>
                  <w:tcBorders>
                    <w:tl2br w:val="nil"/>
                    <w:tr2bl w:val="nil"/>
                  </w:tcBorders>
                  <w:noWrap w:val="0"/>
                  <w:vAlign w:val="center"/>
                </w:tcPr>
                <w:p w14:paraId="4F7244F3">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36000</w:t>
                  </w:r>
                </w:p>
              </w:tc>
              <w:tc>
                <w:tcPr>
                  <w:tcW w:w="652" w:type="pct"/>
                  <w:tcBorders>
                    <w:tl2br w:val="nil"/>
                    <w:tr2bl w:val="nil"/>
                  </w:tcBorders>
                  <w:noWrap w:val="0"/>
                  <w:vAlign w:val="center"/>
                </w:tcPr>
                <w:p w14:paraId="7ECAE68D">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eastAsia" w:cs="Times New Roman"/>
                      <w:bCs/>
                      <w:color w:val="auto"/>
                      <w:sz w:val="21"/>
                      <w:szCs w:val="21"/>
                      <w:highlight w:val="none"/>
                      <w:vertAlign w:val="baseline"/>
                      <w:lang w:val="en-US" w:eastAsia="zh-CN"/>
                    </w:rPr>
                    <w:t>116</w:t>
                  </w:r>
                </w:p>
              </w:tc>
              <w:tc>
                <w:tcPr>
                  <w:tcW w:w="608" w:type="pct"/>
                  <w:tcBorders>
                    <w:tl2br w:val="nil"/>
                    <w:tr2bl w:val="nil"/>
                  </w:tcBorders>
                  <w:noWrap w:val="0"/>
                  <w:vAlign w:val="center"/>
                </w:tcPr>
                <w:p w14:paraId="6A4A4FA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25</w:t>
                  </w:r>
                </w:p>
              </w:tc>
              <w:tc>
                <w:tcPr>
                  <w:tcW w:w="644" w:type="pct"/>
                  <w:tcBorders>
                    <w:tl2br w:val="nil"/>
                    <w:tr2bl w:val="nil"/>
                  </w:tcBorders>
                  <w:noWrap w:val="0"/>
                  <w:vAlign w:val="center"/>
                </w:tcPr>
                <w:p w14:paraId="6EA54856">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Cs/>
                      <w:color w:val="auto"/>
                      <w:sz w:val="21"/>
                      <w:szCs w:val="21"/>
                      <w:highlight w:val="none"/>
                      <w:vertAlign w:val="baseline"/>
                      <w:lang w:val="en-US" w:eastAsia="zh-CN"/>
                    </w:rPr>
                  </w:pPr>
                  <w:r>
                    <w:rPr>
                      <w:rFonts w:hint="default" w:ascii="Times New Roman" w:hAnsi="Times New Roman" w:cs="Times New Roman"/>
                      <w:bCs/>
                      <w:color w:val="auto"/>
                      <w:sz w:val="21"/>
                      <w:szCs w:val="21"/>
                      <w:highlight w:val="none"/>
                      <w:vertAlign w:val="baseline"/>
                      <w:lang w:val="en-US" w:eastAsia="zh-CN"/>
                    </w:rPr>
                    <w:t>24</w:t>
                  </w:r>
                </w:p>
              </w:tc>
              <w:tc>
                <w:tcPr>
                  <w:tcW w:w="702" w:type="pct"/>
                  <w:tcBorders>
                    <w:tl2br w:val="nil"/>
                    <w:tr2bl w:val="nil"/>
                  </w:tcBorders>
                  <w:noWrap w:val="0"/>
                  <w:vAlign w:val="center"/>
                </w:tcPr>
                <w:p w14:paraId="4C8D1C3F">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38</w:t>
                  </w:r>
                </w:p>
              </w:tc>
              <w:tc>
                <w:tcPr>
                  <w:tcW w:w="291" w:type="pct"/>
                  <w:tcBorders>
                    <w:tl2br w:val="nil"/>
                    <w:tr2bl w:val="nil"/>
                  </w:tcBorders>
                  <w:noWrap w:val="0"/>
                  <w:vAlign w:val="center"/>
                </w:tcPr>
                <w:p w14:paraId="11D7BA30">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达标</w:t>
                  </w:r>
                </w:p>
              </w:tc>
            </w:tr>
            <w:tr w14:paraId="47FD8A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34D6CB97">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5</w:t>
                  </w:r>
                </w:p>
              </w:tc>
              <w:tc>
                <w:tcPr>
                  <w:tcW w:w="732" w:type="pct"/>
                  <w:tcBorders>
                    <w:tl2br w:val="nil"/>
                    <w:tr2bl w:val="nil"/>
                  </w:tcBorders>
                  <w:noWrap w:val="0"/>
                  <w:vAlign w:val="center"/>
                </w:tcPr>
                <w:p w14:paraId="6DEF8BFF">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铅</w:t>
                  </w:r>
                </w:p>
              </w:tc>
              <w:tc>
                <w:tcPr>
                  <w:tcW w:w="577" w:type="pct"/>
                  <w:tcBorders>
                    <w:tl2br w:val="nil"/>
                    <w:tr2bl w:val="nil"/>
                  </w:tcBorders>
                  <w:noWrap w:val="0"/>
                  <w:vAlign w:val="center"/>
                </w:tcPr>
                <w:p w14:paraId="3AB38B7D">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800</w:t>
                  </w:r>
                </w:p>
              </w:tc>
              <w:tc>
                <w:tcPr>
                  <w:tcW w:w="532" w:type="pct"/>
                  <w:tcBorders>
                    <w:tl2br w:val="nil"/>
                    <w:tr2bl w:val="nil"/>
                  </w:tcBorders>
                  <w:noWrap w:val="0"/>
                  <w:vAlign w:val="center"/>
                </w:tcPr>
                <w:p w14:paraId="4CA95DC6">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2500</w:t>
                  </w:r>
                </w:p>
              </w:tc>
              <w:tc>
                <w:tcPr>
                  <w:tcW w:w="652" w:type="pct"/>
                  <w:tcBorders>
                    <w:tl2br w:val="nil"/>
                    <w:tr2bl w:val="nil"/>
                  </w:tcBorders>
                  <w:noWrap w:val="0"/>
                  <w:vAlign w:val="center"/>
                </w:tcPr>
                <w:p w14:paraId="6BE19D3F">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eastAsia" w:cs="Times New Roman"/>
                      <w:bCs/>
                      <w:color w:val="auto"/>
                      <w:kern w:val="2"/>
                      <w:sz w:val="21"/>
                      <w:szCs w:val="21"/>
                      <w:highlight w:val="none"/>
                      <w:vertAlign w:val="baseline"/>
                      <w:lang w:val="en-US" w:eastAsia="zh-CN" w:bidi="ar-SA"/>
                    </w:rPr>
                    <w:t>61</w:t>
                  </w:r>
                </w:p>
              </w:tc>
              <w:tc>
                <w:tcPr>
                  <w:tcW w:w="608" w:type="pct"/>
                  <w:tcBorders>
                    <w:tl2br w:val="nil"/>
                    <w:tr2bl w:val="nil"/>
                  </w:tcBorders>
                  <w:noWrap w:val="0"/>
                  <w:vAlign w:val="center"/>
                </w:tcPr>
                <w:p w14:paraId="6CEABB27">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kern w:val="2"/>
                      <w:sz w:val="21"/>
                      <w:szCs w:val="21"/>
                      <w:highlight w:val="none"/>
                      <w:vertAlign w:val="baseline"/>
                      <w:lang w:val="en-US" w:eastAsia="zh-CN" w:bidi="ar-SA"/>
                    </w:rPr>
                    <w:t>34</w:t>
                  </w:r>
                </w:p>
              </w:tc>
              <w:tc>
                <w:tcPr>
                  <w:tcW w:w="644" w:type="pct"/>
                  <w:tcBorders>
                    <w:tl2br w:val="nil"/>
                    <w:tr2bl w:val="nil"/>
                  </w:tcBorders>
                  <w:noWrap w:val="0"/>
                  <w:vAlign w:val="center"/>
                </w:tcPr>
                <w:p w14:paraId="04BF41EC">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kern w:val="2"/>
                      <w:sz w:val="21"/>
                      <w:szCs w:val="21"/>
                      <w:highlight w:val="none"/>
                      <w:vertAlign w:val="baseline"/>
                      <w:lang w:val="en-US" w:eastAsia="zh-CN" w:bidi="ar-SA"/>
                    </w:rPr>
                    <w:t>32</w:t>
                  </w:r>
                </w:p>
              </w:tc>
              <w:tc>
                <w:tcPr>
                  <w:tcW w:w="702" w:type="pct"/>
                  <w:tcBorders>
                    <w:tl2br w:val="nil"/>
                    <w:tr2bl w:val="nil"/>
                  </w:tcBorders>
                  <w:noWrap w:val="0"/>
                  <w:vAlign w:val="center"/>
                </w:tcPr>
                <w:p w14:paraId="64B806F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kern w:val="2"/>
                      <w:sz w:val="21"/>
                      <w:szCs w:val="21"/>
                      <w:highlight w:val="none"/>
                      <w:vertAlign w:val="baseline"/>
                      <w:lang w:val="en-US" w:eastAsia="zh-CN" w:bidi="ar-SA"/>
                    </w:rPr>
                    <w:t>44</w:t>
                  </w:r>
                </w:p>
              </w:tc>
              <w:tc>
                <w:tcPr>
                  <w:tcW w:w="291" w:type="pct"/>
                  <w:tcBorders>
                    <w:tl2br w:val="nil"/>
                    <w:tr2bl w:val="nil"/>
                  </w:tcBorders>
                  <w:noWrap w:val="0"/>
                  <w:vAlign w:val="center"/>
                </w:tcPr>
                <w:p w14:paraId="084333AA">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达标</w:t>
                  </w:r>
                </w:p>
              </w:tc>
            </w:tr>
            <w:tr w14:paraId="6129F9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35D7A204">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6</w:t>
                  </w:r>
                </w:p>
              </w:tc>
              <w:tc>
                <w:tcPr>
                  <w:tcW w:w="732" w:type="pct"/>
                  <w:tcBorders>
                    <w:tl2br w:val="nil"/>
                    <w:tr2bl w:val="nil"/>
                  </w:tcBorders>
                  <w:noWrap w:val="0"/>
                  <w:vAlign w:val="center"/>
                </w:tcPr>
                <w:p w14:paraId="501B236E">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汞</w:t>
                  </w:r>
                </w:p>
              </w:tc>
              <w:tc>
                <w:tcPr>
                  <w:tcW w:w="577" w:type="pct"/>
                  <w:tcBorders>
                    <w:tl2br w:val="nil"/>
                    <w:tr2bl w:val="nil"/>
                  </w:tcBorders>
                  <w:noWrap w:val="0"/>
                  <w:vAlign w:val="center"/>
                </w:tcPr>
                <w:p w14:paraId="74AB8C12">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38</w:t>
                  </w:r>
                </w:p>
              </w:tc>
              <w:tc>
                <w:tcPr>
                  <w:tcW w:w="532" w:type="pct"/>
                  <w:tcBorders>
                    <w:tl2br w:val="nil"/>
                    <w:tr2bl w:val="nil"/>
                  </w:tcBorders>
                  <w:noWrap w:val="0"/>
                  <w:vAlign w:val="center"/>
                </w:tcPr>
                <w:p w14:paraId="43A0191A">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82</w:t>
                  </w:r>
                </w:p>
              </w:tc>
              <w:tc>
                <w:tcPr>
                  <w:tcW w:w="652" w:type="pct"/>
                  <w:tcBorders>
                    <w:tl2br w:val="nil"/>
                    <w:tr2bl w:val="nil"/>
                  </w:tcBorders>
                  <w:noWrap w:val="0"/>
                  <w:vAlign w:val="center"/>
                </w:tcPr>
                <w:p w14:paraId="58B615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eastAsia" w:cs="Times New Roman"/>
                      <w:bCs/>
                      <w:color w:val="auto"/>
                      <w:kern w:val="2"/>
                      <w:sz w:val="21"/>
                      <w:szCs w:val="21"/>
                      <w:highlight w:val="none"/>
                      <w:vertAlign w:val="baseline"/>
                      <w:lang w:val="en-US" w:eastAsia="zh-CN" w:bidi="ar-SA"/>
                    </w:rPr>
                    <w:t>0.095</w:t>
                  </w:r>
                </w:p>
              </w:tc>
              <w:tc>
                <w:tcPr>
                  <w:tcW w:w="608" w:type="pct"/>
                  <w:tcBorders>
                    <w:tl2br w:val="nil"/>
                    <w:tr2bl w:val="nil"/>
                  </w:tcBorders>
                  <w:noWrap w:val="0"/>
                  <w:vAlign w:val="center"/>
                </w:tcPr>
                <w:p w14:paraId="6EA1EEA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kern w:val="2"/>
                      <w:sz w:val="21"/>
                      <w:szCs w:val="21"/>
                      <w:highlight w:val="none"/>
                      <w:vertAlign w:val="baseline"/>
                      <w:lang w:val="en-US" w:eastAsia="zh-CN" w:bidi="ar-SA"/>
                    </w:rPr>
                    <w:t>0.070</w:t>
                  </w:r>
                </w:p>
              </w:tc>
              <w:tc>
                <w:tcPr>
                  <w:tcW w:w="644" w:type="pct"/>
                  <w:tcBorders>
                    <w:tl2br w:val="nil"/>
                    <w:tr2bl w:val="nil"/>
                  </w:tcBorders>
                  <w:noWrap w:val="0"/>
                  <w:vAlign w:val="center"/>
                </w:tcPr>
                <w:p w14:paraId="57CBF5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kern w:val="2"/>
                      <w:sz w:val="21"/>
                      <w:szCs w:val="21"/>
                      <w:highlight w:val="none"/>
                      <w:vertAlign w:val="baseline"/>
                      <w:lang w:val="en-US" w:eastAsia="zh-CN" w:bidi="ar-SA"/>
                    </w:rPr>
                    <w:t>0.043</w:t>
                  </w:r>
                </w:p>
              </w:tc>
              <w:tc>
                <w:tcPr>
                  <w:tcW w:w="702" w:type="pct"/>
                  <w:tcBorders>
                    <w:tl2br w:val="nil"/>
                    <w:tr2bl w:val="nil"/>
                  </w:tcBorders>
                  <w:noWrap w:val="0"/>
                  <w:vAlign w:val="center"/>
                </w:tcPr>
                <w:p w14:paraId="7E3861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kern w:val="2"/>
                      <w:sz w:val="21"/>
                      <w:szCs w:val="21"/>
                      <w:highlight w:val="none"/>
                      <w:vertAlign w:val="baseline"/>
                      <w:lang w:val="en-US" w:eastAsia="zh-CN" w:bidi="ar-SA"/>
                    </w:rPr>
                    <w:t>0.044</w:t>
                  </w:r>
                </w:p>
              </w:tc>
              <w:tc>
                <w:tcPr>
                  <w:tcW w:w="291" w:type="pct"/>
                  <w:tcBorders>
                    <w:tl2br w:val="nil"/>
                    <w:tr2bl w:val="nil"/>
                  </w:tcBorders>
                  <w:noWrap w:val="0"/>
                  <w:vAlign w:val="center"/>
                </w:tcPr>
                <w:p w14:paraId="054AADEF">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达标</w:t>
                  </w:r>
                </w:p>
              </w:tc>
            </w:tr>
            <w:tr w14:paraId="6234BA6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71D7401B">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7</w:t>
                  </w:r>
                </w:p>
              </w:tc>
              <w:tc>
                <w:tcPr>
                  <w:tcW w:w="732" w:type="pct"/>
                  <w:tcBorders>
                    <w:tl2br w:val="nil"/>
                    <w:tr2bl w:val="nil"/>
                  </w:tcBorders>
                  <w:noWrap w:val="0"/>
                  <w:vAlign w:val="center"/>
                </w:tcPr>
                <w:p w14:paraId="7D282588">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镍</w:t>
                  </w:r>
                </w:p>
              </w:tc>
              <w:tc>
                <w:tcPr>
                  <w:tcW w:w="577" w:type="pct"/>
                  <w:tcBorders>
                    <w:tl2br w:val="nil"/>
                    <w:tr2bl w:val="nil"/>
                  </w:tcBorders>
                  <w:noWrap w:val="0"/>
                  <w:vAlign w:val="center"/>
                </w:tcPr>
                <w:p w14:paraId="08018DCF">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900</w:t>
                  </w:r>
                </w:p>
              </w:tc>
              <w:tc>
                <w:tcPr>
                  <w:tcW w:w="532" w:type="pct"/>
                  <w:tcBorders>
                    <w:tl2br w:val="nil"/>
                    <w:tr2bl w:val="nil"/>
                  </w:tcBorders>
                  <w:noWrap w:val="0"/>
                  <w:vAlign w:val="center"/>
                </w:tcPr>
                <w:p w14:paraId="76602C61">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2000</w:t>
                  </w:r>
                </w:p>
              </w:tc>
              <w:tc>
                <w:tcPr>
                  <w:tcW w:w="652" w:type="pct"/>
                  <w:tcBorders>
                    <w:tl2br w:val="nil"/>
                    <w:tr2bl w:val="nil"/>
                  </w:tcBorders>
                  <w:noWrap w:val="0"/>
                  <w:vAlign w:val="center"/>
                </w:tcPr>
                <w:p w14:paraId="6D0DC5E4">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Cs/>
                      <w:color w:val="auto"/>
                      <w:kern w:val="2"/>
                      <w:sz w:val="21"/>
                      <w:szCs w:val="21"/>
                      <w:highlight w:val="none"/>
                      <w:vertAlign w:val="baseline"/>
                      <w:lang w:val="en-US" w:eastAsia="zh-CN" w:bidi="ar-SA"/>
                    </w:rPr>
                    <w:t>41</w:t>
                  </w:r>
                </w:p>
              </w:tc>
              <w:tc>
                <w:tcPr>
                  <w:tcW w:w="608" w:type="pct"/>
                  <w:tcBorders>
                    <w:tl2br w:val="nil"/>
                    <w:tr2bl w:val="nil"/>
                  </w:tcBorders>
                  <w:noWrap w:val="0"/>
                  <w:vAlign w:val="center"/>
                </w:tcPr>
                <w:p w14:paraId="6965AA98">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kern w:val="2"/>
                      <w:sz w:val="21"/>
                      <w:szCs w:val="21"/>
                      <w:highlight w:val="none"/>
                      <w:vertAlign w:val="baseline"/>
                      <w:lang w:val="en-US" w:eastAsia="zh-CN" w:bidi="ar-SA"/>
                    </w:rPr>
                    <w:t>36</w:t>
                  </w:r>
                </w:p>
              </w:tc>
              <w:tc>
                <w:tcPr>
                  <w:tcW w:w="644" w:type="pct"/>
                  <w:tcBorders>
                    <w:tl2br w:val="nil"/>
                    <w:tr2bl w:val="nil"/>
                  </w:tcBorders>
                  <w:noWrap w:val="0"/>
                  <w:vAlign w:val="center"/>
                </w:tcPr>
                <w:p w14:paraId="0DD8C4A3">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kern w:val="2"/>
                      <w:sz w:val="21"/>
                      <w:szCs w:val="21"/>
                      <w:highlight w:val="none"/>
                      <w:vertAlign w:val="baseline"/>
                      <w:lang w:val="en-US" w:eastAsia="zh-CN" w:bidi="ar-SA"/>
                    </w:rPr>
                    <w:t>37</w:t>
                  </w:r>
                </w:p>
              </w:tc>
              <w:tc>
                <w:tcPr>
                  <w:tcW w:w="702" w:type="pct"/>
                  <w:tcBorders>
                    <w:tl2br w:val="nil"/>
                    <w:tr2bl w:val="nil"/>
                  </w:tcBorders>
                  <w:noWrap w:val="0"/>
                  <w:vAlign w:val="center"/>
                </w:tcPr>
                <w:p w14:paraId="08D94098">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kern w:val="2"/>
                      <w:sz w:val="21"/>
                      <w:szCs w:val="21"/>
                      <w:highlight w:val="none"/>
                      <w:vertAlign w:val="baseline"/>
                      <w:lang w:val="en-US" w:eastAsia="zh-CN" w:bidi="ar-SA"/>
                    </w:rPr>
                    <w:t>36</w:t>
                  </w:r>
                </w:p>
              </w:tc>
              <w:tc>
                <w:tcPr>
                  <w:tcW w:w="291" w:type="pct"/>
                  <w:tcBorders>
                    <w:tl2br w:val="nil"/>
                    <w:tr2bl w:val="nil"/>
                  </w:tcBorders>
                  <w:noWrap w:val="0"/>
                  <w:vAlign w:val="center"/>
                </w:tcPr>
                <w:p w14:paraId="2B3C1EC0">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达标</w:t>
                  </w:r>
                </w:p>
              </w:tc>
            </w:tr>
            <w:tr w14:paraId="4AD58B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2A175A9C">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8</w:t>
                  </w:r>
                </w:p>
              </w:tc>
              <w:tc>
                <w:tcPr>
                  <w:tcW w:w="732" w:type="pct"/>
                  <w:tcBorders>
                    <w:tl2br w:val="nil"/>
                    <w:tr2bl w:val="nil"/>
                  </w:tcBorders>
                  <w:noWrap w:val="0"/>
                  <w:vAlign w:val="center"/>
                </w:tcPr>
                <w:p w14:paraId="62204D05">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四氯化碳</w:t>
                  </w:r>
                </w:p>
              </w:tc>
              <w:tc>
                <w:tcPr>
                  <w:tcW w:w="577" w:type="pct"/>
                  <w:tcBorders>
                    <w:tl2br w:val="nil"/>
                    <w:tr2bl w:val="nil"/>
                  </w:tcBorders>
                  <w:noWrap w:val="0"/>
                  <w:vAlign w:val="center"/>
                </w:tcPr>
                <w:p w14:paraId="34844C5E">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2.8</w:t>
                  </w:r>
                </w:p>
              </w:tc>
              <w:tc>
                <w:tcPr>
                  <w:tcW w:w="532" w:type="pct"/>
                  <w:tcBorders>
                    <w:tl2br w:val="nil"/>
                    <w:tr2bl w:val="nil"/>
                  </w:tcBorders>
                  <w:noWrap w:val="0"/>
                  <w:vAlign w:val="center"/>
                </w:tcPr>
                <w:p w14:paraId="1EFB9E38">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36</w:t>
                  </w:r>
                </w:p>
              </w:tc>
              <w:tc>
                <w:tcPr>
                  <w:tcW w:w="652" w:type="pct"/>
                  <w:tcBorders>
                    <w:tl2br w:val="nil"/>
                    <w:tr2bl w:val="nil"/>
                  </w:tcBorders>
                  <w:noWrap w:val="0"/>
                  <w:vAlign w:val="center"/>
                </w:tcPr>
                <w:p w14:paraId="5E6B9365">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6B42E787">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7103C976">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476CB0F7">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18344091">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246D8ED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4A552B51">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9</w:t>
                  </w:r>
                </w:p>
              </w:tc>
              <w:tc>
                <w:tcPr>
                  <w:tcW w:w="732" w:type="pct"/>
                  <w:tcBorders>
                    <w:tl2br w:val="nil"/>
                    <w:tr2bl w:val="nil"/>
                  </w:tcBorders>
                  <w:noWrap w:val="0"/>
                  <w:vAlign w:val="center"/>
                </w:tcPr>
                <w:p w14:paraId="52DD070D">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氯仿</w:t>
                  </w:r>
                </w:p>
              </w:tc>
              <w:tc>
                <w:tcPr>
                  <w:tcW w:w="577" w:type="pct"/>
                  <w:tcBorders>
                    <w:tl2br w:val="nil"/>
                    <w:tr2bl w:val="nil"/>
                  </w:tcBorders>
                  <w:noWrap w:val="0"/>
                  <w:vAlign w:val="center"/>
                </w:tcPr>
                <w:p w14:paraId="3366160A">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0.9</w:t>
                  </w:r>
                </w:p>
              </w:tc>
              <w:tc>
                <w:tcPr>
                  <w:tcW w:w="532" w:type="pct"/>
                  <w:tcBorders>
                    <w:tl2br w:val="nil"/>
                    <w:tr2bl w:val="nil"/>
                  </w:tcBorders>
                  <w:noWrap w:val="0"/>
                  <w:vAlign w:val="center"/>
                </w:tcPr>
                <w:p w14:paraId="442FC506">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10</w:t>
                  </w:r>
                </w:p>
              </w:tc>
              <w:tc>
                <w:tcPr>
                  <w:tcW w:w="652" w:type="pct"/>
                  <w:tcBorders>
                    <w:tl2br w:val="nil"/>
                    <w:tr2bl w:val="nil"/>
                  </w:tcBorders>
                  <w:noWrap w:val="0"/>
                  <w:vAlign w:val="center"/>
                </w:tcPr>
                <w:p w14:paraId="333F0270">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754D6CD9">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0824E220">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5863FA4C">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575B9AE3">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2F913C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64507B77">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10</w:t>
                  </w:r>
                </w:p>
              </w:tc>
              <w:tc>
                <w:tcPr>
                  <w:tcW w:w="732" w:type="pct"/>
                  <w:tcBorders>
                    <w:tl2br w:val="nil"/>
                    <w:tr2bl w:val="nil"/>
                  </w:tcBorders>
                  <w:noWrap w:val="0"/>
                  <w:vAlign w:val="center"/>
                </w:tcPr>
                <w:p w14:paraId="50FA0ADB">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氯甲烷</w:t>
                  </w:r>
                </w:p>
              </w:tc>
              <w:tc>
                <w:tcPr>
                  <w:tcW w:w="577" w:type="pct"/>
                  <w:tcBorders>
                    <w:tl2br w:val="nil"/>
                    <w:tr2bl w:val="nil"/>
                  </w:tcBorders>
                  <w:noWrap w:val="0"/>
                  <w:vAlign w:val="center"/>
                </w:tcPr>
                <w:p w14:paraId="353E26F6">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37</w:t>
                  </w:r>
                </w:p>
              </w:tc>
              <w:tc>
                <w:tcPr>
                  <w:tcW w:w="532" w:type="pct"/>
                  <w:tcBorders>
                    <w:tl2br w:val="nil"/>
                    <w:tr2bl w:val="nil"/>
                  </w:tcBorders>
                  <w:noWrap w:val="0"/>
                  <w:vAlign w:val="center"/>
                </w:tcPr>
                <w:p w14:paraId="543490F6">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120</w:t>
                  </w:r>
                </w:p>
              </w:tc>
              <w:tc>
                <w:tcPr>
                  <w:tcW w:w="652" w:type="pct"/>
                  <w:tcBorders>
                    <w:tl2br w:val="nil"/>
                    <w:tr2bl w:val="nil"/>
                  </w:tcBorders>
                  <w:noWrap w:val="0"/>
                  <w:vAlign w:val="center"/>
                </w:tcPr>
                <w:p w14:paraId="07DF839E">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0EF912F6">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286A25F0">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53DE343F">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4F7C76C0">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7670E9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72F815DF">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rPr>
                    <w:t>11</w:t>
                  </w:r>
                </w:p>
              </w:tc>
              <w:tc>
                <w:tcPr>
                  <w:tcW w:w="732" w:type="pct"/>
                  <w:tcBorders>
                    <w:tl2br w:val="nil"/>
                    <w:tr2bl w:val="nil"/>
                  </w:tcBorders>
                  <w:noWrap w:val="0"/>
                  <w:vAlign w:val="center"/>
                </w:tcPr>
                <w:p w14:paraId="00244429">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1</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rPr>
                    <w:t>1-二氯乙烷</w:t>
                  </w:r>
                </w:p>
              </w:tc>
              <w:tc>
                <w:tcPr>
                  <w:tcW w:w="577" w:type="pct"/>
                  <w:tcBorders>
                    <w:tl2br w:val="nil"/>
                    <w:tr2bl w:val="nil"/>
                  </w:tcBorders>
                  <w:noWrap w:val="0"/>
                  <w:vAlign w:val="center"/>
                </w:tcPr>
                <w:p w14:paraId="1B8C0818">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9</w:t>
                  </w:r>
                </w:p>
              </w:tc>
              <w:tc>
                <w:tcPr>
                  <w:tcW w:w="532" w:type="pct"/>
                  <w:tcBorders>
                    <w:tl2br w:val="nil"/>
                    <w:tr2bl w:val="nil"/>
                  </w:tcBorders>
                  <w:noWrap w:val="0"/>
                  <w:vAlign w:val="center"/>
                </w:tcPr>
                <w:p w14:paraId="41E22489">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100</w:t>
                  </w:r>
                </w:p>
              </w:tc>
              <w:tc>
                <w:tcPr>
                  <w:tcW w:w="652" w:type="pct"/>
                  <w:tcBorders>
                    <w:tl2br w:val="nil"/>
                    <w:tr2bl w:val="nil"/>
                  </w:tcBorders>
                  <w:noWrap w:val="0"/>
                  <w:vAlign w:val="center"/>
                </w:tcPr>
                <w:p w14:paraId="4DC9122C">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4DBA549E">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1702701C">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37FBCAEC">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0849082B">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685D89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066FEC4E">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12</w:t>
                  </w:r>
                </w:p>
              </w:tc>
              <w:tc>
                <w:tcPr>
                  <w:tcW w:w="732" w:type="pct"/>
                  <w:tcBorders>
                    <w:tl2br w:val="nil"/>
                    <w:tr2bl w:val="nil"/>
                  </w:tcBorders>
                  <w:noWrap w:val="0"/>
                  <w:vAlign w:val="center"/>
                </w:tcPr>
                <w:p w14:paraId="3141C708">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1</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rPr>
                    <w:t>2-二氯乙烷</w:t>
                  </w:r>
                </w:p>
              </w:tc>
              <w:tc>
                <w:tcPr>
                  <w:tcW w:w="577" w:type="pct"/>
                  <w:tcBorders>
                    <w:tl2br w:val="nil"/>
                    <w:tr2bl w:val="nil"/>
                  </w:tcBorders>
                  <w:noWrap w:val="0"/>
                  <w:vAlign w:val="center"/>
                </w:tcPr>
                <w:p w14:paraId="5EF4CB86">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5</w:t>
                  </w:r>
                </w:p>
              </w:tc>
              <w:tc>
                <w:tcPr>
                  <w:tcW w:w="532" w:type="pct"/>
                  <w:tcBorders>
                    <w:tl2br w:val="nil"/>
                    <w:tr2bl w:val="nil"/>
                  </w:tcBorders>
                  <w:noWrap w:val="0"/>
                  <w:vAlign w:val="center"/>
                </w:tcPr>
                <w:p w14:paraId="43D61B02">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21</w:t>
                  </w:r>
                </w:p>
              </w:tc>
              <w:tc>
                <w:tcPr>
                  <w:tcW w:w="652" w:type="pct"/>
                  <w:tcBorders>
                    <w:tl2br w:val="nil"/>
                    <w:tr2bl w:val="nil"/>
                  </w:tcBorders>
                  <w:noWrap w:val="0"/>
                  <w:vAlign w:val="center"/>
                </w:tcPr>
                <w:p w14:paraId="3ADE9622">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02A059BF">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4C0DCDD9">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6A30ED3B">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0DC7BDE1">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313425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2F52B635">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13</w:t>
                  </w:r>
                </w:p>
              </w:tc>
              <w:tc>
                <w:tcPr>
                  <w:tcW w:w="732" w:type="pct"/>
                  <w:tcBorders>
                    <w:tl2br w:val="nil"/>
                    <w:tr2bl w:val="nil"/>
                  </w:tcBorders>
                  <w:noWrap w:val="0"/>
                  <w:vAlign w:val="center"/>
                </w:tcPr>
                <w:p w14:paraId="2F0872EE">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1</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rPr>
                    <w:t>1-二氯乙烯</w:t>
                  </w:r>
                </w:p>
              </w:tc>
              <w:tc>
                <w:tcPr>
                  <w:tcW w:w="577" w:type="pct"/>
                  <w:tcBorders>
                    <w:tl2br w:val="nil"/>
                    <w:tr2bl w:val="nil"/>
                  </w:tcBorders>
                  <w:noWrap w:val="0"/>
                  <w:vAlign w:val="center"/>
                </w:tcPr>
                <w:p w14:paraId="58F1D393">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66</w:t>
                  </w:r>
                </w:p>
              </w:tc>
              <w:tc>
                <w:tcPr>
                  <w:tcW w:w="532" w:type="pct"/>
                  <w:tcBorders>
                    <w:tl2br w:val="nil"/>
                    <w:tr2bl w:val="nil"/>
                  </w:tcBorders>
                  <w:noWrap w:val="0"/>
                  <w:vAlign w:val="center"/>
                </w:tcPr>
                <w:p w14:paraId="30A37E8D">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200</w:t>
                  </w:r>
                </w:p>
              </w:tc>
              <w:tc>
                <w:tcPr>
                  <w:tcW w:w="652" w:type="pct"/>
                  <w:tcBorders>
                    <w:tl2br w:val="nil"/>
                    <w:tr2bl w:val="nil"/>
                  </w:tcBorders>
                  <w:noWrap w:val="0"/>
                  <w:vAlign w:val="center"/>
                </w:tcPr>
                <w:p w14:paraId="7CA20B43">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4A062359">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0F2358ED">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344E507C">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156ABD46">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30E8AE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7A74E783">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14</w:t>
                  </w:r>
                </w:p>
              </w:tc>
              <w:tc>
                <w:tcPr>
                  <w:tcW w:w="732" w:type="pct"/>
                  <w:tcBorders>
                    <w:tl2br w:val="nil"/>
                    <w:tr2bl w:val="nil"/>
                  </w:tcBorders>
                  <w:noWrap w:val="0"/>
                  <w:vAlign w:val="center"/>
                </w:tcPr>
                <w:p w14:paraId="0E333EB1">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顺-1</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rPr>
                    <w:t>2-二氯乙烯</w:t>
                  </w:r>
                </w:p>
              </w:tc>
              <w:tc>
                <w:tcPr>
                  <w:tcW w:w="577" w:type="pct"/>
                  <w:tcBorders>
                    <w:tl2br w:val="nil"/>
                    <w:tr2bl w:val="nil"/>
                  </w:tcBorders>
                  <w:noWrap w:val="0"/>
                  <w:vAlign w:val="center"/>
                </w:tcPr>
                <w:p w14:paraId="3DF2C5DF">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596</w:t>
                  </w:r>
                </w:p>
              </w:tc>
              <w:tc>
                <w:tcPr>
                  <w:tcW w:w="532" w:type="pct"/>
                  <w:tcBorders>
                    <w:tl2br w:val="nil"/>
                    <w:tr2bl w:val="nil"/>
                  </w:tcBorders>
                  <w:noWrap w:val="0"/>
                  <w:vAlign w:val="center"/>
                </w:tcPr>
                <w:p w14:paraId="507EC73E">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2000</w:t>
                  </w:r>
                </w:p>
              </w:tc>
              <w:tc>
                <w:tcPr>
                  <w:tcW w:w="652" w:type="pct"/>
                  <w:tcBorders>
                    <w:tl2br w:val="nil"/>
                    <w:tr2bl w:val="nil"/>
                  </w:tcBorders>
                  <w:noWrap w:val="0"/>
                  <w:vAlign w:val="center"/>
                </w:tcPr>
                <w:p w14:paraId="54F4CAF9">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0667258F">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729C5243">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3F5FAD01">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55854453">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7AF1A65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001B9E5F">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15</w:t>
                  </w:r>
                </w:p>
              </w:tc>
              <w:tc>
                <w:tcPr>
                  <w:tcW w:w="732" w:type="pct"/>
                  <w:tcBorders>
                    <w:tl2br w:val="nil"/>
                    <w:tr2bl w:val="nil"/>
                  </w:tcBorders>
                  <w:noWrap w:val="0"/>
                  <w:vAlign w:val="center"/>
                </w:tcPr>
                <w:p w14:paraId="25072924">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反-1</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rPr>
                    <w:t>2-二氯乙烯</w:t>
                  </w:r>
                </w:p>
              </w:tc>
              <w:tc>
                <w:tcPr>
                  <w:tcW w:w="577" w:type="pct"/>
                  <w:tcBorders>
                    <w:tl2br w:val="nil"/>
                    <w:tr2bl w:val="nil"/>
                  </w:tcBorders>
                  <w:noWrap w:val="0"/>
                  <w:vAlign w:val="center"/>
                </w:tcPr>
                <w:p w14:paraId="34BDE640">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54</w:t>
                  </w:r>
                </w:p>
              </w:tc>
              <w:tc>
                <w:tcPr>
                  <w:tcW w:w="532" w:type="pct"/>
                  <w:tcBorders>
                    <w:tl2br w:val="nil"/>
                    <w:tr2bl w:val="nil"/>
                  </w:tcBorders>
                  <w:noWrap w:val="0"/>
                  <w:vAlign w:val="center"/>
                </w:tcPr>
                <w:p w14:paraId="391EC6CA">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163</w:t>
                  </w:r>
                </w:p>
              </w:tc>
              <w:tc>
                <w:tcPr>
                  <w:tcW w:w="652" w:type="pct"/>
                  <w:tcBorders>
                    <w:tl2br w:val="nil"/>
                    <w:tr2bl w:val="nil"/>
                  </w:tcBorders>
                  <w:noWrap w:val="0"/>
                  <w:vAlign w:val="center"/>
                </w:tcPr>
                <w:p w14:paraId="2EFA7E3F">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39CF0F1E">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32769764">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67702699">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2EFCB581">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4F41111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05B2037A">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16</w:t>
                  </w:r>
                </w:p>
              </w:tc>
              <w:tc>
                <w:tcPr>
                  <w:tcW w:w="732" w:type="pct"/>
                  <w:tcBorders>
                    <w:tl2br w:val="nil"/>
                    <w:tr2bl w:val="nil"/>
                  </w:tcBorders>
                  <w:noWrap w:val="0"/>
                  <w:vAlign w:val="center"/>
                </w:tcPr>
                <w:p w14:paraId="494EE026">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二氯甲烷</w:t>
                  </w:r>
                </w:p>
              </w:tc>
              <w:tc>
                <w:tcPr>
                  <w:tcW w:w="577" w:type="pct"/>
                  <w:tcBorders>
                    <w:tl2br w:val="nil"/>
                    <w:tr2bl w:val="nil"/>
                  </w:tcBorders>
                  <w:noWrap w:val="0"/>
                  <w:vAlign w:val="center"/>
                </w:tcPr>
                <w:p w14:paraId="0C6CED47">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616</w:t>
                  </w:r>
                </w:p>
              </w:tc>
              <w:tc>
                <w:tcPr>
                  <w:tcW w:w="532" w:type="pct"/>
                  <w:tcBorders>
                    <w:tl2br w:val="nil"/>
                    <w:tr2bl w:val="nil"/>
                  </w:tcBorders>
                  <w:noWrap w:val="0"/>
                  <w:vAlign w:val="center"/>
                </w:tcPr>
                <w:p w14:paraId="728B9A3A">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2000</w:t>
                  </w:r>
                </w:p>
              </w:tc>
              <w:tc>
                <w:tcPr>
                  <w:tcW w:w="652" w:type="pct"/>
                  <w:tcBorders>
                    <w:tl2br w:val="nil"/>
                    <w:tr2bl w:val="nil"/>
                  </w:tcBorders>
                  <w:noWrap w:val="0"/>
                  <w:vAlign w:val="center"/>
                </w:tcPr>
                <w:p w14:paraId="79458574">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2C26D6DC">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083A83FE">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573B5CB4">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75B7220D">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7FA28D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1BB796C0">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17</w:t>
                  </w:r>
                </w:p>
              </w:tc>
              <w:tc>
                <w:tcPr>
                  <w:tcW w:w="732" w:type="pct"/>
                  <w:tcBorders>
                    <w:tl2br w:val="nil"/>
                    <w:tr2bl w:val="nil"/>
                  </w:tcBorders>
                  <w:noWrap w:val="0"/>
                  <w:vAlign w:val="center"/>
                </w:tcPr>
                <w:p w14:paraId="407986F4">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1</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rPr>
                    <w:t>2-二氯丙烷</w:t>
                  </w:r>
                </w:p>
              </w:tc>
              <w:tc>
                <w:tcPr>
                  <w:tcW w:w="577" w:type="pct"/>
                  <w:tcBorders>
                    <w:tl2br w:val="nil"/>
                    <w:tr2bl w:val="nil"/>
                  </w:tcBorders>
                  <w:noWrap w:val="0"/>
                  <w:vAlign w:val="center"/>
                </w:tcPr>
                <w:p w14:paraId="61DE0DBB">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5</w:t>
                  </w:r>
                </w:p>
              </w:tc>
              <w:tc>
                <w:tcPr>
                  <w:tcW w:w="532" w:type="pct"/>
                  <w:tcBorders>
                    <w:tl2br w:val="nil"/>
                    <w:tr2bl w:val="nil"/>
                  </w:tcBorders>
                  <w:noWrap w:val="0"/>
                  <w:vAlign w:val="center"/>
                </w:tcPr>
                <w:p w14:paraId="00210A0C">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47</w:t>
                  </w:r>
                </w:p>
              </w:tc>
              <w:tc>
                <w:tcPr>
                  <w:tcW w:w="652" w:type="pct"/>
                  <w:tcBorders>
                    <w:tl2br w:val="nil"/>
                    <w:tr2bl w:val="nil"/>
                  </w:tcBorders>
                  <w:noWrap w:val="0"/>
                  <w:vAlign w:val="center"/>
                </w:tcPr>
                <w:p w14:paraId="7E29EEE9">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4E9EA3E7">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7D3B19BD">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3C3CA8B3">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5D143E2B">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025D908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487D827F">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18</w:t>
                  </w:r>
                </w:p>
              </w:tc>
              <w:tc>
                <w:tcPr>
                  <w:tcW w:w="732" w:type="pct"/>
                  <w:tcBorders>
                    <w:tl2br w:val="nil"/>
                    <w:tr2bl w:val="nil"/>
                  </w:tcBorders>
                  <w:noWrap w:val="0"/>
                  <w:vAlign w:val="center"/>
                </w:tcPr>
                <w:p w14:paraId="6BFAA589">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1</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rPr>
                    <w:t>1</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rPr>
                    <w:t>1</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rPr>
                    <w:t>2-四氯乙烷</w:t>
                  </w:r>
                </w:p>
              </w:tc>
              <w:tc>
                <w:tcPr>
                  <w:tcW w:w="577" w:type="pct"/>
                  <w:tcBorders>
                    <w:tl2br w:val="nil"/>
                    <w:tr2bl w:val="nil"/>
                  </w:tcBorders>
                  <w:noWrap w:val="0"/>
                  <w:vAlign w:val="center"/>
                </w:tcPr>
                <w:p w14:paraId="3BDC1571">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10</w:t>
                  </w:r>
                </w:p>
              </w:tc>
              <w:tc>
                <w:tcPr>
                  <w:tcW w:w="532" w:type="pct"/>
                  <w:tcBorders>
                    <w:tl2br w:val="nil"/>
                    <w:tr2bl w:val="nil"/>
                  </w:tcBorders>
                  <w:noWrap w:val="0"/>
                  <w:vAlign w:val="center"/>
                </w:tcPr>
                <w:p w14:paraId="12BE5968">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100</w:t>
                  </w:r>
                </w:p>
              </w:tc>
              <w:tc>
                <w:tcPr>
                  <w:tcW w:w="652" w:type="pct"/>
                  <w:tcBorders>
                    <w:tl2br w:val="nil"/>
                    <w:tr2bl w:val="nil"/>
                  </w:tcBorders>
                  <w:noWrap w:val="0"/>
                  <w:vAlign w:val="center"/>
                </w:tcPr>
                <w:p w14:paraId="63FC2841">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7F6F3CC6">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36BA1783">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0699CAFC">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2DEB84A4">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5876C8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1D05420F">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19</w:t>
                  </w:r>
                </w:p>
              </w:tc>
              <w:tc>
                <w:tcPr>
                  <w:tcW w:w="732" w:type="pct"/>
                  <w:tcBorders>
                    <w:tl2br w:val="nil"/>
                    <w:tr2bl w:val="nil"/>
                  </w:tcBorders>
                  <w:noWrap w:val="0"/>
                  <w:vAlign w:val="center"/>
                </w:tcPr>
                <w:p w14:paraId="2B3A1C0C">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1</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rPr>
                    <w:t>1</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rPr>
                    <w:t>2</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rPr>
                    <w:t>2-四氯乙烷</w:t>
                  </w:r>
                </w:p>
              </w:tc>
              <w:tc>
                <w:tcPr>
                  <w:tcW w:w="577" w:type="pct"/>
                  <w:tcBorders>
                    <w:tl2br w:val="nil"/>
                    <w:tr2bl w:val="nil"/>
                  </w:tcBorders>
                  <w:noWrap w:val="0"/>
                  <w:vAlign w:val="center"/>
                </w:tcPr>
                <w:p w14:paraId="2AFE5F32">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6.8</w:t>
                  </w:r>
                </w:p>
              </w:tc>
              <w:tc>
                <w:tcPr>
                  <w:tcW w:w="532" w:type="pct"/>
                  <w:tcBorders>
                    <w:tl2br w:val="nil"/>
                    <w:tr2bl w:val="nil"/>
                  </w:tcBorders>
                  <w:noWrap w:val="0"/>
                  <w:vAlign w:val="center"/>
                </w:tcPr>
                <w:p w14:paraId="3B25562F">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50</w:t>
                  </w:r>
                </w:p>
              </w:tc>
              <w:tc>
                <w:tcPr>
                  <w:tcW w:w="652" w:type="pct"/>
                  <w:tcBorders>
                    <w:tl2br w:val="nil"/>
                    <w:tr2bl w:val="nil"/>
                  </w:tcBorders>
                  <w:noWrap w:val="0"/>
                  <w:vAlign w:val="center"/>
                </w:tcPr>
                <w:p w14:paraId="567AC566">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0E75C3B0">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1EEAE005">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48927BBB">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7C840572">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0894FD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21859DD9">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20</w:t>
                  </w:r>
                </w:p>
              </w:tc>
              <w:tc>
                <w:tcPr>
                  <w:tcW w:w="732" w:type="pct"/>
                  <w:tcBorders>
                    <w:tl2br w:val="nil"/>
                    <w:tr2bl w:val="nil"/>
                  </w:tcBorders>
                  <w:noWrap w:val="0"/>
                  <w:vAlign w:val="center"/>
                </w:tcPr>
                <w:p w14:paraId="78D94816">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四氯乙烯</w:t>
                  </w:r>
                </w:p>
              </w:tc>
              <w:tc>
                <w:tcPr>
                  <w:tcW w:w="577" w:type="pct"/>
                  <w:tcBorders>
                    <w:tl2br w:val="nil"/>
                    <w:tr2bl w:val="nil"/>
                  </w:tcBorders>
                  <w:noWrap w:val="0"/>
                  <w:vAlign w:val="center"/>
                </w:tcPr>
                <w:p w14:paraId="7097A738">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53</w:t>
                  </w:r>
                </w:p>
              </w:tc>
              <w:tc>
                <w:tcPr>
                  <w:tcW w:w="532" w:type="pct"/>
                  <w:tcBorders>
                    <w:tl2br w:val="nil"/>
                    <w:tr2bl w:val="nil"/>
                  </w:tcBorders>
                  <w:noWrap w:val="0"/>
                  <w:vAlign w:val="center"/>
                </w:tcPr>
                <w:p w14:paraId="0B450050">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183</w:t>
                  </w:r>
                </w:p>
              </w:tc>
              <w:tc>
                <w:tcPr>
                  <w:tcW w:w="652" w:type="pct"/>
                  <w:tcBorders>
                    <w:tl2br w:val="nil"/>
                    <w:tr2bl w:val="nil"/>
                  </w:tcBorders>
                  <w:noWrap w:val="0"/>
                  <w:vAlign w:val="center"/>
                </w:tcPr>
                <w:p w14:paraId="67FE9C46">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1B830B85">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68C95D7A">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346B2C7C">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663851A6">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1F0232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06422044">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21</w:t>
                  </w:r>
                </w:p>
              </w:tc>
              <w:tc>
                <w:tcPr>
                  <w:tcW w:w="732" w:type="pct"/>
                  <w:tcBorders>
                    <w:tl2br w:val="nil"/>
                    <w:tr2bl w:val="nil"/>
                  </w:tcBorders>
                  <w:noWrap w:val="0"/>
                  <w:vAlign w:val="center"/>
                </w:tcPr>
                <w:p w14:paraId="09699579">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1</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rPr>
                    <w:t>1</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rPr>
                    <w:t>1-三氯乙烷</w:t>
                  </w:r>
                </w:p>
              </w:tc>
              <w:tc>
                <w:tcPr>
                  <w:tcW w:w="577" w:type="pct"/>
                  <w:tcBorders>
                    <w:tl2br w:val="nil"/>
                    <w:tr2bl w:val="nil"/>
                  </w:tcBorders>
                  <w:noWrap w:val="0"/>
                  <w:vAlign w:val="center"/>
                </w:tcPr>
                <w:p w14:paraId="0D6C64C5">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840</w:t>
                  </w:r>
                </w:p>
              </w:tc>
              <w:tc>
                <w:tcPr>
                  <w:tcW w:w="532" w:type="pct"/>
                  <w:tcBorders>
                    <w:tl2br w:val="nil"/>
                    <w:tr2bl w:val="nil"/>
                  </w:tcBorders>
                  <w:noWrap w:val="0"/>
                  <w:vAlign w:val="center"/>
                </w:tcPr>
                <w:p w14:paraId="5381D443">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840</w:t>
                  </w:r>
                </w:p>
              </w:tc>
              <w:tc>
                <w:tcPr>
                  <w:tcW w:w="652" w:type="pct"/>
                  <w:tcBorders>
                    <w:tl2br w:val="nil"/>
                    <w:tr2bl w:val="nil"/>
                  </w:tcBorders>
                  <w:noWrap w:val="0"/>
                  <w:vAlign w:val="center"/>
                </w:tcPr>
                <w:p w14:paraId="1DC70E45">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16C1FC75">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56A3A04E">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2B4845D9">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66EEF629">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5640B5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1595E6EE">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22</w:t>
                  </w:r>
                </w:p>
              </w:tc>
              <w:tc>
                <w:tcPr>
                  <w:tcW w:w="732" w:type="pct"/>
                  <w:tcBorders>
                    <w:tl2br w:val="nil"/>
                    <w:tr2bl w:val="nil"/>
                  </w:tcBorders>
                  <w:noWrap w:val="0"/>
                  <w:vAlign w:val="center"/>
                </w:tcPr>
                <w:p w14:paraId="4FB9D130">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1</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rPr>
                    <w:t>1</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rPr>
                    <w:t>2-三氯乙烷</w:t>
                  </w:r>
                </w:p>
              </w:tc>
              <w:tc>
                <w:tcPr>
                  <w:tcW w:w="577" w:type="pct"/>
                  <w:tcBorders>
                    <w:tl2br w:val="nil"/>
                    <w:tr2bl w:val="nil"/>
                  </w:tcBorders>
                  <w:noWrap w:val="0"/>
                  <w:vAlign w:val="center"/>
                </w:tcPr>
                <w:p w14:paraId="53D74549">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2.8</w:t>
                  </w:r>
                </w:p>
              </w:tc>
              <w:tc>
                <w:tcPr>
                  <w:tcW w:w="532" w:type="pct"/>
                  <w:tcBorders>
                    <w:tl2br w:val="nil"/>
                    <w:tr2bl w:val="nil"/>
                  </w:tcBorders>
                  <w:noWrap w:val="0"/>
                  <w:vAlign w:val="center"/>
                </w:tcPr>
                <w:p w14:paraId="07782DAB">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15</w:t>
                  </w:r>
                </w:p>
              </w:tc>
              <w:tc>
                <w:tcPr>
                  <w:tcW w:w="652" w:type="pct"/>
                  <w:tcBorders>
                    <w:tl2br w:val="nil"/>
                    <w:tr2bl w:val="nil"/>
                  </w:tcBorders>
                  <w:noWrap w:val="0"/>
                  <w:vAlign w:val="center"/>
                </w:tcPr>
                <w:p w14:paraId="5970B08E">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2370D446">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693C7C3E">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03C7433A">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3B72A4A0">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52E949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37BD6AFC">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23</w:t>
                  </w:r>
                </w:p>
              </w:tc>
              <w:tc>
                <w:tcPr>
                  <w:tcW w:w="732" w:type="pct"/>
                  <w:tcBorders>
                    <w:tl2br w:val="nil"/>
                    <w:tr2bl w:val="nil"/>
                  </w:tcBorders>
                  <w:noWrap w:val="0"/>
                  <w:vAlign w:val="center"/>
                </w:tcPr>
                <w:p w14:paraId="484C628C">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三氯乙烯</w:t>
                  </w:r>
                </w:p>
              </w:tc>
              <w:tc>
                <w:tcPr>
                  <w:tcW w:w="577" w:type="pct"/>
                  <w:tcBorders>
                    <w:tl2br w:val="nil"/>
                    <w:tr2bl w:val="nil"/>
                  </w:tcBorders>
                  <w:noWrap w:val="0"/>
                  <w:vAlign w:val="center"/>
                </w:tcPr>
                <w:p w14:paraId="00747433">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2.8</w:t>
                  </w:r>
                </w:p>
              </w:tc>
              <w:tc>
                <w:tcPr>
                  <w:tcW w:w="532" w:type="pct"/>
                  <w:tcBorders>
                    <w:tl2br w:val="nil"/>
                    <w:tr2bl w:val="nil"/>
                  </w:tcBorders>
                  <w:noWrap w:val="0"/>
                  <w:vAlign w:val="center"/>
                </w:tcPr>
                <w:p w14:paraId="58D8EB9E">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20</w:t>
                  </w:r>
                </w:p>
              </w:tc>
              <w:tc>
                <w:tcPr>
                  <w:tcW w:w="652" w:type="pct"/>
                  <w:tcBorders>
                    <w:tl2br w:val="nil"/>
                    <w:tr2bl w:val="nil"/>
                  </w:tcBorders>
                  <w:noWrap w:val="0"/>
                  <w:vAlign w:val="center"/>
                </w:tcPr>
                <w:p w14:paraId="3F20570C">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001E0AA9">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04C9A1FA">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3A38FAC9">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63BF2B64">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68DE2D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2A0F8B14">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24</w:t>
                  </w:r>
                </w:p>
              </w:tc>
              <w:tc>
                <w:tcPr>
                  <w:tcW w:w="732" w:type="pct"/>
                  <w:tcBorders>
                    <w:tl2br w:val="nil"/>
                    <w:tr2bl w:val="nil"/>
                  </w:tcBorders>
                  <w:noWrap w:val="0"/>
                  <w:vAlign w:val="center"/>
                </w:tcPr>
                <w:p w14:paraId="78D16F83">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1</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rPr>
                    <w:t>2</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rPr>
                    <w:t>3-三氯丙烷</w:t>
                  </w:r>
                </w:p>
              </w:tc>
              <w:tc>
                <w:tcPr>
                  <w:tcW w:w="577" w:type="pct"/>
                  <w:tcBorders>
                    <w:tl2br w:val="nil"/>
                    <w:tr2bl w:val="nil"/>
                  </w:tcBorders>
                  <w:noWrap w:val="0"/>
                  <w:vAlign w:val="center"/>
                </w:tcPr>
                <w:p w14:paraId="715F4856">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0.5</w:t>
                  </w:r>
                </w:p>
              </w:tc>
              <w:tc>
                <w:tcPr>
                  <w:tcW w:w="532" w:type="pct"/>
                  <w:tcBorders>
                    <w:tl2br w:val="nil"/>
                    <w:tr2bl w:val="nil"/>
                  </w:tcBorders>
                  <w:noWrap w:val="0"/>
                  <w:vAlign w:val="center"/>
                </w:tcPr>
                <w:p w14:paraId="7EC744AB">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5</w:t>
                  </w:r>
                </w:p>
              </w:tc>
              <w:tc>
                <w:tcPr>
                  <w:tcW w:w="652" w:type="pct"/>
                  <w:tcBorders>
                    <w:tl2br w:val="nil"/>
                    <w:tr2bl w:val="nil"/>
                  </w:tcBorders>
                  <w:noWrap w:val="0"/>
                  <w:vAlign w:val="center"/>
                </w:tcPr>
                <w:p w14:paraId="64913C6C">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6302F0A6">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7D3A7923">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5809BB9D">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262B654B">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77384F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64774D33">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25</w:t>
                  </w:r>
                </w:p>
              </w:tc>
              <w:tc>
                <w:tcPr>
                  <w:tcW w:w="732" w:type="pct"/>
                  <w:tcBorders>
                    <w:tl2br w:val="nil"/>
                    <w:tr2bl w:val="nil"/>
                  </w:tcBorders>
                  <w:noWrap w:val="0"/>
                  <w:vAlign w:val="center"/>
                </w:tcPr>
                <w:p w14:paraId="4C513533">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氯乙烯</w:t>
                  </w:r>
                </w:p>
              </w:tc>
              <w:tc>
                <w:tcPr>
                  <w:tcW w:w="577" w:type="pct"/>
                  <w:tcBorders>
                    <w:tl2br w:val="nil"/>
                    <w:tr2bl w:val="nil"/>
                  </w:tcBorders>
                  <w:noWrap w:val="0"/>
                  <w:vAlign w:val="center"/>
                </w:tcPr>
                <w:p w14:paraId="004EB68A">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0.43</w:t>
                  </w:r>
                </w:p>
              </w:tc>
              <w:tc>
                <w:tcPr>
                  <w:tcW w:w="532" w:type="pct"/>
                  <w:tcBorders>
                    <w:tl2br w:val="nil"/>
                    <w:tr2bl w:val="nil"/>
                  </w:tcBorders>
                  <w:noWrap w:val="0"/>
                  <w:vAlign w:val="center"/>
                </w:tcPr>
                <w:p w14:paraId="6DD48EB4">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4.3</w:t>
                  </w:r>
                </w:p>
              </w:tc>
              <w:tc>
                <w:tcPr>
                  <w:tcW w:w="652" w:type="pct"/>
                  <w:tcBorders>
                    <w:tl2br w:val="nil"/>
                    <w:tr2bl w:val="nil"/>
                  </w:tcBorders>
                  <w:noWrap w:val="0"/>
                  <w:vAlign w:val="center"/>
                </w:tcPr>
                <w:p w14:paraId="0042C26D">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393C5D53">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25650570">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768BF84F">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2636F2E9">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4D043B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294607B4">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26</w:t>
                  </w:r>
                </w:p>
              </w:tc>
              <w:tc>
                <w:tcPr>
                  <w:tcW w:w="732" w:type="pct"/>
                  <w:tcBorders>
                    <w:tl2br w:val="nil"/>
                    <w:tr2bl w:val="nil"/>
                  </w:tcBorders>
                  <w:noWrap w:val="0"/>
                  <w:vAlign w:val="center"/>
                </w:tcPr>
                <w:p w14:paraId="429FBDA7">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苯</w:t>
                  </w:r>
                </w:p>
              </w:tc>
              <w:tc>
                <w:tcPr>
                  <w:tcW w:w="577" w:type="pct"/>
                  <w:tcBorders>
                    <w:tl2br w:val="nil"/>
                    <w:tr2bl w:val="nil"/>
                  </w:tcBorders>
                  <w:noWrap w:val="0"/>
                  <w:vAlign w:val="center"/>
                </w:tcPr>
                <w:p w14:paraId="23E08047">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4</w:t>
                  </w:r>
                </w:p>
              </w:tc>
              <w:tc>
                <w:tcPr>
                  <w:tcW w:w="532" w:type="pct"/>
                  <w:tcBorders>
                    <w:tl2br w:val="nil"/>
                    <w:tr2bl w:val="nil"/>
                  </w:tcBorders>
                  <w:noWrap w:val="0"/>
                  <w:vAlign w:val="center"/>
                </w:tcPr>
                <w:p w14:paraId="53C10B2E">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40</w:t>
                  </w:r>
                </w:p>
              </w:tc>
              <w:tc>
                <w:tcPr>
                  <w:tcW w:w="652" w:type="pct"/>
                  <w:tcBorders>
                    <w:tl2br w:val="nil"/>
                    <w:tr2bl w:val="nil"/>
                  </w:tcBorders>
                  <w:noWrap w:val="0"/>
                  <w:vAlign w:val="center"/>
                </w:tcPr>
                <w:p w14:paraId="120BB923">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1E975379">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110173B0">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253AAC86">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581AE45B">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602DDD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66C3EA21">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27</w:t>
                  </w:r>
                </w:p>
              </w:tc>
              <w:tc>
                <w:tcPr>
                  <w:tcW w:w="732" w:type="pct"/>
                  <w:tcBorders>
                    <w:tl2br w:val="nil"/>
                    <w:tr2bl w:val="nil"/>
                  </w:tcBorders>
                  <w:noWrap w:val="0"/>
                  <w:vAlign w:val="center"/>
                </w:tcPr>
                <w:p w14:paraId="4ECD5A93">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氯苯</w:t>
                  </w:r>
                </w:p>
              </w:tc>
              <w:tc>
                <w:tcPr>
                  <w:tcW w:w="577" w:type="pct"/>
                  <w:tcBorders>
                    <w:tl2br w:val="nil"/>
                    <w:tr2bl w:val="nil"/>
                  </w:tcBorders>
                  <w:noWrap w:val="0"/>
                  <w:vAlign w:val="center"/>
                </w:tcPr>
                <w:p w14:paraId="09805E35">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270</w:t>
                  </w:r>
                </w:p>
              </w:tc>
              <w:tc>
                <w:tcPr>
                  <w:tcW w:w="532" w:type="pct"/>
                  <w:tcBorders>
                    <w:tl2br w:val="nil"/>
                    <w:tr2bl w:val="nil"/>
                  </w:tcBorders>
                  <w:noWrap w:val="0"/>
                  <w:vAlign w:val="center"/>
                </w:tcPr>
                <w:p w14:paraId="52B77490">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1000</w:t>
                  </w:r>
                </w:p>
              </w:tc>
              <w:tc>
                <w:tcPr>
                  <w:tcW w:w="652" w:type="pct"/>
                  <w:tcBorders>
                    <w:tl2br w:val="nil"/>
                    <w:tr2bl w:val="nil"/>
                  </w:tcBorders>
                  <w:noWrap w:val="0"/>
                  <w:vAlign w:val="center"/>
                </w:tcPr>
                <w:p w14:paraId="5D2AA268">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5DBB02F8">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663A1B0F">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06F57B9E">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03AE4D64">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08DAFB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7EE0FF2A">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28</w:t>
                  </w:r>
                </w:p>
              </w:tc>
              <w:tc>
                <w:tcPr>
                  <w:tcW w:w="732" w:type="pct"/>
                  <w:tcBorders>
                    <w:tl2br w:val="nil"/>
                    <w:tr2bl w:val="nil"/>
                  </w:tcBorders>
                  <w:noWrap w:val="0"/>
                  <w:vAlign w:val="center"/>
                </w:tcPr>
                <w:p w14:paraId="367FF7FB">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1</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rPr>
                    <w:t>2-二氯苯</w:t>
                  </w:r>
                </w:p>
              </w:tc>
              <w:tc>
                <w:tcPr>
                  <w:tcW w:w="577" w:type="pct"/>
                  <w:tcBorders>
                    <w:tl2br w:val="nil"/>
                    <w:tr2bl w:val="nil"/>
                  </w:tcBorders>
                  <w:noWrap w:val="0"/>
                  <w:vAlign w:val="center"/>
                </w:tcPr>
                <w:p w14:paraId="724B6B30">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560</w:t>
                  </w:r>
                </w:p>
              </w:tc>
              <w:tc>
                <w:tcPr>
                  <w:tcW w:w="532" w:type="pct"/>
                  <w:tcBorders>
                    <w:tl2br w:val="nil"/>
                    <w:tr2bl w:val="nil"/>
                  </w:tcBorders>
                  <w:noWrap w:val="0"/>
                  <w:vAlign w:val="center"/>
                </w:tcPr>
                <w:p w14:paraId="0CE9CA00">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560</w:t>
                  </w:r>
                </w:p>
              </w:tc>
              <w:tc>
                <w:tcPr>
                  <w:tcW w:w="652" w:type="pct"/>
                  <w:tcBorders>
                    <w:tl2br w:val="nil"/>
                    <w:tr2bl w:val="nil"/>
                  </w:tcBorders>
                  <w:noWrap w:val="0"/>
                  <w:vAlign w:val="center"/>
                </w:tcPr>
                <w:p w14:paraId="26D904FC">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16A31D8D">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1839D3FD">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27CDA4EF">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08E17EAF">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442D76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33BAE5CA">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29</w:t>
                  </w:r>
                </w:p>
              </w:tc>
              <w:tc>
                <w:tcPr>
                  <w:tcW w:w="732" w:type="pct"/>
                  <w:tcBorders>
                    <w:tl2br w:val="nil"/>
                    <w:tr2bl w:val="nil"/>
                  </w:tcBorders>
                  <w:noWrap w:val="0"/>
                  <w:vAlign w:val="center"/>
                </w:tcPr>
                <w:p w14:paraId="1658FE4B">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1</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rPr>
                    <w:t>4-二氯苯</w:t>
                  </w:r>
                </w:p>
              </w:tc>
              <w:tc>
                <w:tcPr>
                  <w:tcW w:w="577" w:type="pct"/>
                  <w:tcBorders>
                    <w:tl2br w:val="nil"/>
                    <w:tr2bl w:val="nil"/>
                  </w:tcBorders>
                  <w:noWrap w:val="0"/>
                  <w:vAlign w:val="center"/>
                </w:tcPr>
                <w:p w14:paraId="53E4C895">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20</w:t>
                  </w:r>
                </w:p>
              </w:tc>
              <w:tc>
                <w:tcPr>
                  <w:tcW w:w="532" w:type="pct"/>
                  <w:tcBorders>
                    <w:tl2br w:val="nil"/>
                    <w:tr2bl w:val="nil"/>
                  </w:tcBorders>
                  <w:noWrap w:val="0"/>
                  <w:vAlign w:val="center"/>
                </w:tcPr>
                <w:p w14:paraId="66698CC4">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200</w:t>
                  </w:r>
                </w:p>
              </w:tc>
              <w:tc>
                <w:tcPr>
                  <w:tcW w:w="652" w:type="pct"/>
                  <w:tcBorders>
                    <w:tl2br w:val="nil"/>
                    <w:tr2bl w:val="nil"/>
                  </w:tcBorders>
                  <w:noWrap w:val="0"/>
                  <w:vAlign w:val="center"/>
                </w:tcPr>
                <w:p w14:paraId="2A7785FD">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53099FBA">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1BEE8A71">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299DC94D">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79957C97">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4ACAA5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5E3E866B">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30</w:t>
                  </w:r>
                </w:p>
              </w:tc>
              <w:tc>
                <w:tcPr>
                  <w:tcW w:w="732" w:type="pct"/>
                  <w:tcBorders>
                    <w:tl2br w:val="nil"/>
                    <w:tr2bl w:val="nil"/>
                  </w:tcBorders>
                  <w:noWrap w:val="0"/>
                  <w:vAlign w:val="center"/>
                </w:tcPr>
                <w:p w14:paraId="1E85A238">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乙苯</w:t>
                  </w:r>
                </w:p>
              </w:tc>
              <w:tc>
                <w:tcPr>
                  <w:tcW w:w="577" w:type="pct"/>
                  <w:tcBorders>
                    <w:tl2br w:val="nil"/>
                    <w:tr2bl w:val="nil"/>
                  </w:tcBorders>
                  <w:noWrap w:val="0"/>
                  <w:vAlign w:val="center"/>
                </w:tcPr>
                <w:p w14:paraId="2EE39040">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28</w:t>
                  </w:r>
                </w:p>
              </w:tc>
              <w:tc>
                <w:tcPr>
                  <w:tcW w:w="532" w:type="pct"/>
                  <w:tcBorders>
                    <w:tl2br w:val="nil"/>
                    <w:tr2bl w:val="nil"/>
                  </w:tcBorders>
                  <w:noWrap w:val="0"/>
                  <w:vAlign w:val="center"/>
                </w:tcPr>
                <w:p w14:paraId="0381ECC7">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280</w:t>
                  </w:r>
                </w:p>
              </w:tc>
              <w:tc>
                <w:tcPr>
                  <w:tcW w:w="652" w:type="pct"/>
                  <w:tcBorders>
                    <w:tl2br w:val="nil"/>
                    <w:tr2bl w:val="nil"/>
                  </w:tcBorders>
                  <w:noWrap w:val="0"/>
                  <w:vAlign w:val="center"/>
                </w:tcPr>
                <w:p w14:paraId="69D8F8D4">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5EB63BFF">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57D3134E">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12906050">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5C0EF518">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0E3CD7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6827D7EB">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31</w:t>
                  </w:r>
                </w:p>
              </w:tc>
              <w:tc>
                <w:tcPr>
                  <w:tcW w:w="732" w:type="pct"/>
                  <w:tcBorders>
                    <w:tl2br w:val="nil"/>
                    <w:tr2bl w:val="nil"/>
                  </w:tcBorders>
                  <w:noWrap w:val="0"/>
                  <w:vAlign w:val="center"/>
                </w:tcPr>
                <w:p w14:paraId="4A7CD777">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苯乙烯</w:t>
                  </w:r>
                </w:p>
              </w:tc>
              <w:tc>
                <w:tcPr>
                  <w:tcW w:w="577" w:type="pct"/>
                  <w:tcBorders>
                    <w:tl2br w:val="nil"/>
                    <w:tr2bl w:val="nil"/>
                  </w:tcBorders>
                  <w:noWrap w:val="0"/>
                  <w:vAlign w:val="center"/>
                </w:tcPr>
                <w:p w14:paraId="233B6066">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1290</w:t>
                  </w:r>
                </w:p>
              </w:tc>
              <w:tc>
                <w:tcPr>
                  <w:tcW w:w="532" w:type="pct"/>
                  <w:tcBorders>
                    <w:tl2br w:val="nil"/>
                    <w:tr2bl w:val="nil"/>
                  </w:tcBorders>
                  <w:noWrap w:val="0"/>
                  <w:vAlign w:val="center"/>
                </w:tcPr>
                <w:p w14:paraId="35B31368">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1290</w:t>
                  </w:r>
                </w:p>
              </w:tc>
              <w:tc>
                <w:tcPr>
                  <w:tcW w:w="652" w:type="pct"/>
                  <w:tcBorders>
                    <w:tl2br w:val="nil"/>
                    <w:tr2bl w:val="nil"/>
                  </w:tcBorders>
                  <w:noWrap w:val="0"/>
                  <w:vAlign w:val="center"/>
                </w:tcPr>
                <w:p w14:paraId="0524BD38">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09E71B23">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59EDE261">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25C37447">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6ECFF0C2">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52C20B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79FF19FC">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32</w:t>
                  </w:r>
                </w:p>
              </w:tc>
              <w:tc>
                <w:tcPr>
                  <w:tcW w:w="732" w:type="pct"/>
                  <w:tcBorders>
                    <w:tl2br w:val="nil"/>
                    <w:tr2bl w:val="nil"/>
                  </w:tcBorders>
                  <w:noWrap w:val="0"/>
                  <w:vAlign w:val="center"/>
                </w:tcPr>
                <w:p w14:paraId="08142034">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甲苯</w:t>
                  </w:r>
                </w:p>
              </w:tc>
              <w:tc>
                <w:tcPr>
                  <w:tcW w:w="577" w:type="pct"/>
                  <w:tcBorders>
                    <w:tl2br w:val="nil"/>
                    <w:tr2bl w:val="nil"/>
                  </w:tcBorders>
                  <w:noWrap w:val="0"/>
                  <w:vAlign w:val="center"/>
                </w:tcPr>
                <w:p w14:paraId="72E3C4AE">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1200</w:t>
                  </w:r>
                </w:p>
              </w:tc>
              <w:tc>
                <w:tcPr>
                  <w:tcW w:w="532" w:type="pct"/>
                  <w:tcBorders>
                    <w:tl2br w:val="nil"/>
                    <w:tr2bl w:val="nil"/>
                  </w:tcBorders>
                  <w:noWrap w:val="0"/>
                  <w:vAlign w:val="center"/>
                </w:tcPr>
                <w:p w14:paraId="52544DCC">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1200</w:t>
                  </w:r>
                </w:p>
              </w:tc>
              <w:tc>
                <w:tcPr>
                  <w:tcW w:w="652" w:type="pct"/>
                  <w:tcBorders>
                    <w:tl2br w:val="nil"/>
                    <w:tr2bl w:val="nil"/>
                  </w:tcBorders>
                  <w:noWrap w:val="0"/>
                  <w:vAlign w:val="center"/>
                </w:tcPr>
                <w:p w14:paraId="2EF3C2C2">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5110C9BE">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0A4E708C">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3BBC8F53">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150AE657">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3AFC56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10284AB2">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33</w:t>
                  </w:r>
                </w:p>
              </w:tc>
              <w:tc>
                <w:tcPr>
                  <w:tcW w:w="732" w:type="pct"/>
                  <w:tcBorders>
                    <w:tl2br w:val="nil"/>
                    <w:tr2bl w:val="nil"/>
                  </w:tcBorders>
                  <w:noWrap w:val="0"/>
                  <w:vAlign w:val="center"/>
                </w:tcPr>
                <w:p w14:paraId="40091F43">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间二甲苯+对二甲苯</w:t>
                  </w:r>
                </w:p>
              </w:tc>
              <w:tc>
                <w:tcPr>
                  <w:tcW w:w="577" w:type="pct"/>
                  <w:tcBorders>
                    <w:tl2br w:val="nil"/>
                    <w:tr2bl w:val="nil"/>
                  </w:tcBorders>
                  <w:noWrap w:val="0"/>
                  <w:vAlign w:val="center"/>
                </w:tcPr>
                <w:p w14:paraId="39DC44CD">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570</w:t>
                  </w:r>
                </w:p>
              </w:tc>
              <w:tc>
                <w:tcPr>
                  <w:tcW w:w="532" w:type="pct"/>
                  <w:tcBorders>
                    <w:tl2br w:val="nil"/>
                    <w:tr2bl w:val="nil"/>
                  </w:tcBorders>
                  <w:noWrap w:val="0"/>
                  <w:vAlign w:val="center"/>
                </w:tcPr>
                <w:p w14:paraId="1D65FBB6">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570</w:t>
                  </w:r>
                </w:p>
              </w:tc>
              <w:tc>
                <w:tcPr>
                  <w:tcW w:w="652" w:type="pct"/>
                  <w:tcBorders>
                    <w:tl2br w:val="nil"/>
                    <w:tr2bl w:val="nil"/>
                  </w:tcBorders>
                  <w:noWrap w:val="0"/>
                  <w:vAlign w:val="center"/>
                </w:tcPr>
                <w:p w14:paraId="6F869977">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55436A31">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2E976590">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3DD34DA2">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4C4337A6">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3642F9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4980771B">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34</w:t>
                  </w:r>
                </w:p>
              </w:tc>
              <w:tc>
                <w:tcPr>
                  <w:tcW w:w="732" w:type="pct"/>
                  <w:tcBorders>
                    <w:tl2br w:val="nil"/>
                    <w:tr2bl w:val="nil"/>
                  </w:tcBorders>
                  <w:noWrap w:val="0"/>
                  <w:vAlign w:val="center"/>
                </w:tcPr>
                <w:p w14:paraId="38A60D9E">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邻二甲苯</w:t>
                  </w:r>
                </w:p>
              </w:tc>
              <w:tc>
                <w:tcPr>
                  <w:tcW w:w="577" w:type="pct"/>
                  <w:tcBorders>
                    <w:tl2br w:val="nil"/>
                    <w:tr2bl w:val="nil"/>
                  </w:tcBorders>
                  <w:noWrap w:val="0"/>
                  <w:vAlign w:val="center"/>
                </w:tcPr>
                <w:p w14:paraId="1088DEBD">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640</w:t>
                  </w:r>
                </w:p>
              </w:tc>
              <w:tc>
                <w:tcPr>
                  <w:tcW w:w="532" w:type="pct"/>
                  <w:tcBorders>
                    <w:tl2br w:val="nil"/>
                    <w:tr2bl w:val="nil"/>
                  </w:tcBorders>
                  <w:noWrap w:val="0"/>
                  <w:vAlign w:val="center"/>
                </w:tcPr>
                <w:p w14:paraId="0B7A51BD">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640</w:t>
                  </w:r>
                </w:p>
              </w:tc>
              <w:tc>
                <w:tcPr>
                  <w:tcW w:w="652" w:type="pct"/>
                  <w:tcBorders>
                    <w:tl2br w:val="nil"/>
                    <w:tr2bl w:val="nil"/>
                  </w:tcBorders>
                  <w:noWrap w:val="0"/>
                  <w:vAlign w:val="center"/>
                </w:tcPr>
                <w:p w14:paraId="5DFDD768">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781E43D0">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5CC14361">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7F93FF7C">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2F020DF2">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76A2BC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7C55A2B1">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35</w:t>
                  </w:r>
                </w:p>
              </w:tc>
              <w:tc>
                <w:tcPr>
                  <w:tcW w:w="732" w:type="pct"/>
                  <w:tcBorders>
                    <w:tl2br w:val="nil"/>
                    <w:tr2bl w:val="nil"/>
                  </w:tcBorders>
                  <w:noWrap w:val="0"/>
                  <w:vAlign w:val="center"/>
                </w:tcPr>
                <w:p w14:paraId="542B4D59">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硝基苯</w:t>
                  </w:r>
                </w:p>
              </w:tc>
              <w:tc>
                <w:tcPr>
                  <w:tcW w:w="577" w:type="pct"/>
                  <w:tcBorders>
                    <w:tl2br w:val="nil"/>
                    <w:tr2bl w:val="nil"/>
                  </w:tcBorders>
                  <w:noWrap w:val="0"/>
                  <w:vAlign w:val="center"/>
                </w:tcPr>
                <w:p w14:paraId="037433E3">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76</w:t>
                  </w:r>
                </w:p>
              </w:tc>
              <w:tc>
                <w:tcPr>
                  <w:tcW w:w="532" w:type="pct"/>
                  <w:tcBorders>
                    <w:tl2br w:val="nil"/>
                    <w:tr2bl w:val="nil"/>
                  </w:tcBorders>
                  <w:noWrap w:val="0"/>
                  <w:vAlign w:val="center"/>
                </w:tcPr>
                <w:p w14:paraId="586F8CB3">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760</w:t>
                  </w:r>
                </w:p>
              </w:tc>
              <w:tc>
                <w:tcPr>
                  <w:tcW w:w="652" w:type="pct"/>
                  <w:tcBorders>
                    <w:tl2br w:val="nil"/>
                    <w:tr2bl w:val="nil"/>
                  </w:tcBorders>
                  <w:noWrap w:val="0"/>
                  <w:vAlign w:val="center"/>
                </w:tcPr>
                <w:p w14:paraId="5C25DB29">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0AC8A640">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63258D85">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1C8B54CB">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311CB317">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5041F2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41C553D6">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36</w:t>
                  </w:r>
                </w:p>
              </w:tc>
              <w:tc>
                <w:tcPr>
                  <w:tcW w:w="732" w:type="pct"/>
                  <w:tcBorders>
                    <w:tl2br w:val="nil"/>
                    <w:tr2bl w:val="nil"/>
                  </w:tcBorders>
                  <w:noWrap w:val="0"/>
                  <w:vAlign w:val="center"/>
                </w:tcPr>
                <w:p w14:paraId="3A9708F7">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苯胺</w:t>
                  </w:r>
                </w:p>
              </w:tc>
              <w:tc>
                <w:tcPr>
                  <w:tcW w:w="577" w:type="pct"/>
                  <w:tcBorders>
                    <w:tl2br w:val="nil"/>
                    <w:tr2bl w:val="nil"/>
                  </w:tcBorders>
                  <w:noWrap w:val="0"/>
                  <w:vAlign w:val="center"/>
                </w:tcPr>
                <w:p w14:paraId="50069AA2">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260</w:t>
                  </w:r>
                </w:p>
              </w:tc>
              <w:tc>
                <w:tcPr>
                  <w:tcW w:w="532" w:type="pct"/>
                  <w:tcBorders>
                    <w:tl2br w:val="nil"/>
                    <w:tr2bl w:val="nil"/>
                  </w:tcBorders>
                  <w:noWrap w:val="0"/>
                  <w:vAlign w:val="center"/>
                </w:tcPr>
                <w:p w14:paraId="00268140">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663</w:t>
                  </w:r>
                </w:p>
              </w:tc>
              <w:tc>
                <w:tcPr>
                  <w:tcW w:w="652" w:type="pct"/>
                  <w:tcBorders>
                    <w:tl2br w:val="nil"/>
                    <w:tr2bl w:val="nil"/>
                  </w:tcBorders>
                  <w:noWrap w:val="0"/>
                  <w:vAlign w:val="center"/>
                </w:tcPr>
                <w:p w14:paraId="017F9DF2">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6DBF6934">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663C5A65">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3BC36D48">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45F5CAE5">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140A65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7A29F641">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37</w:t>
                  </w:r>
                </w:p>
              </w:tc>
              <w:tc>
                <w:tcPr>
                  <w:tcW w:w="732" w:type="pct"/>
                  <w:tcBorders>
                    <w:tl2br w:val="nil"/>
                    <w:tr2bl w:val="nil"/>
                  </w:tcBorders>
                  <w:noWrap w:val="0"/>
                  <w:vAlign w:val="center"/>
                </w:tcPr>
                <w:p w14:paraId="679BA513">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2-氯酚</w:t>
                  </w:r>
                </w:p>
              </w:tc>
              <w:tc>
                <w:tcPr>
                  <w:tcW w:w="577" w:type="pct"/>
                  <w:tcBorders>
                    <w:tl2br w:val="nil"/>
                    <w:tr2bl w:val="nil"/>
                  </w:tcBorders>
                  <w:noWrap w:val="0"/>
                  <w:vAlign w:val="center"/>
                </w:tcPr>
                <w:p w14:paraId="41C4119C">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2256</w:t>
                  </w:r>
                </w:p>
              </w:tc>
              <w:tc>
                <w:tcPr>
                  <w:tcW w:w="532" w:type="pct"/>
                  <w:tcBorders>
                    <w:tl2br w:val="nil"/>
                    <w:tr2bl w:val="nil"/>
                  </w:tcBorders>
                  <w:noWrap w:val="0"/>
                  <w:vAlign w:val="center"/>
                </w:tcPr>
                <w:p w14:paraId="29258174">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4500</w:t>
                  </w:r>
                </w:p>
              </w:tc>
              <w:tc>
                <w:tcPr>
                  <w:tcW w:w="652" w:type="pct"/>
                  <w:tcBorders>
                    <w:tl2br w:val="nil"/>
                    <w:tr2bl w:val="nil"/>
                  </w:tcBorders>
                  <w:noWrap w:val="0"/>
                  <w:vAlign w:val="center"/>
                </w:tcPr>
                <w:p w14:paraId="07C18A39">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35ABD06D">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1F29453C">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31C1F274">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5ABBD9A2">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06ED23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7E18D88A">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38</w:t>
                  </w:r>
                </w:p>
              </w:tc>
              <w:tc>
                <w:tcPr>
                  <w:tcW w:w="732" w:type="pct"/>
                  <w:tcBorders>
                    <w:tl2br w:val="nil"/>
                    <w:tr2bl w:val="nil"/>
                  </w:tcBorders>
                  <w:noWrap w:val="0"/>
                  <w:vAlign w:val="center"/>
                </w:tcPr>
                <w:p w14:paraId="39C5F9EB">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苯并[a]蒽</w:t>
                  </w:r>
                </w:p>
              </w:tc>
              <w:tc>
                <w:tcPr>
                  <w:tcW w:w="577" w:type="pct"/>
                  <w:tcBorders>
                    <w:tl2br w:val="nil"/>
                    <w:tr2bl w:val="nil"/>
                  </w:tcBorders>
                  <w:noWrap w:val="0"/>
                  <w:vAlign w:val="center"/>
                </w:tcPr>
                <w:p w14:paraId="749E692D">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15</w:t>
                  </w:r>
                </w:p>
              </w:tc>
              <w:tc>
                <w:tcPr>
                  <w:tcW w:w="532" w:type="pct"/>
                  <w:tcBorders>
                    <w:tl2br w:val="nil"/>
                    <w:tr2bl w:val="nil"/>
                  </w:tcBorders>
                  <w:noWrap w:val="0"/>
                  <w:vAlign w:val="center"/>
                </w:tcPr>
                <w:p w14:paraId="2FFB16CB">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151</w:t>
                  </w:r>
                </w:p>
              </w:tc>
              <w:tc>
                <w:tcPr>
                  <w:tcW w:w="652" w:type="pct"/>
                  <w:tcBorders>
                    <w:tl2br w:val="nil"/>
                    <w:tr2bl w:val="nil"/>
                  </w:tcBorders>
                  <w:noWrap w:val="0"/>
                  <w:vAlign w:val="center"/>
                </w:tcPr>
                <w:p w14:paraId="66A26191">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0.13</w:t>
                  </w:r>
                </w:p>
              </w:tc>
              <w:tc>
                <w:tcPr>
                  <w:tcW w:w="608" w:type="pct"/>
                  <w:tcBorders>
                    <w:tl2br w:val="nil"/>
                    <w:tr2bl w:val="nil"/>
                  </w:tcBorders>
                  <w:noWrap w:val="0"/>
                  <w:vAlign w:val="center"/>
                </w:tcPr>
                <w:p w14:paraId="71DB5F73">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0.12</w:t>
                  </w:r>
                </w:p>
              </w:tc>
              <w:tc>
                <w:tcPr>
                  <w:tcW w:w="644" w:type="pct"/>
                  <w:tcBorders>
                    <w:tl2br w:val="nil"/>
                    <w:tr2bl w:val="nil"/>
                  </w:tcBorders>
                  <w:noWrap w:val="0"/>
                  <w:vAlign w:val="center"/>
                </w:tcPr>
                <w:p w14:paraId="63443B0E">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0.12</w:t>
                  </w:r>
                </w:p>
              </w:tc>
              <w:tc>
                <w:tcPr>
                  <w:tcW w:w="702" w:type="pct"/>
                  <w:tcBorders>
                    <w:tl2br w:val="nil"/>
                    <w:tr2bl w:val="nil"/>
                  </w:tcBorders>
                  <w:noWrap w:val="0"/>
                  <w:vAlign w:val="center"/>
                </w:tcPr>
                <w:p w14:paraId="1C4CF79F">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0.16</w:t>
                  </w:r>
                </w:p>
              </w:tc>
              <w:tc>
                <w:tcPr>
                  <w:tcW w:w="291" w:type="pct"/>
                  <w:tcBorders>
                    <w:tl2br w:val="nil"/>
                    <w:tr2bl w:val="nil"/>
                  </w:tcBorders>
                  <w:noWrap w:val="0"/>
                  <w:vAlign w:val="center"/>
                </w:tcPr>
                <w:p w14:paraId="252CDAF5">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6BBEC9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70AF53CB">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39</w:t>
                  </w:r>
                </w:p>
              </w:tc>
              <w:tc>
                <w:tcPr>
                  <w:tcW w:w="732" w:type="pct"/>
                  <w:tcBorders>
                    <w:tl2br w:val="nil"/>
                    <w:tr2bl w:val="nil"/>
                  </w:tcBorders>
                  <w:noWrap w:val="0"/>
                  <w:vAlign w:val="center"/>
                </w:tcPr>
                <w:p w14:paraId="35A446CA">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苯并[a]芘</w:t>
                  </w:r>
                </w:p>
              </w:tc>
              <w:tc>
                <w:tcPr>
                  <w:tcW w:w="577" w:type="pct"/>
                  <w:tcBorders>
                    <w:tl2br w:val="nil"/>
                    <w:tr2bl w:val="nil"/>
                  </w:tcBorders>
                  <w:noWrap w:val="0"/>
                  <w:vAlign w:val="center"/>
                </w:tcPr>
                <w:p w14:paraId="76900368">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1.5</w:t>
                  </w:r>
                </w:p>
              </w:tc>
              <w:tc>
                <w:tcPr>
                  <w:tcW w:w="532" w:type="pct"/>
                  <w:tcBorders>
                    <w:tl2br w:val="nil"/>
                    <w:tr2bl w:val="nil"/>
                  </w:tcBorders>
                  <w:noWrap w:val="0"/>
                  <w:vAlign w:val="center"/>
                </w:tcPr>
                <w:p w14:paraId="230B9B8E">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15</w:t>
                  </w:r>
                </w:p>
              </w:tc>
              <w:tc>
                <w:tcPr>
                  <w:tcW w:w="652" w:type="pct"/>
                  <w:tcBorders>
                    <w:tl2br w:val="nil"/>
                    <w:tr2bl w:val="nil"/>
                  </w:tcBorders>
                  <w:noWrap w:val="0"/>
                  <w:vAlign w:val="center"/>
                </w:tcPr>
                <w:p w14:paraId="3E911F16">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5AEA85CD">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5887BDDC">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470EA54A">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4115B714">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0FA6FF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3224FC07">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40</w:t>
                  </w:r>
                </w:p>
              </w:tc>
              <w:tc>
                <w:tcPr>
                  <w:tcW w:w="732" w:type="pct"/>
                  <w:tcBorders>
                    <w:tl2br w:val="nil"/>
                    <w:tr2bl w:val="nil"/>
                  </w:tcBorders>
                  <w:noWrap w:val="0"/>
                  <w:vAlign w:val="center"/>
                </w:tcPr>
                <w:p w14:paraId="49428E8F">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苯并[b]荧蒽</w:t>
                  </w:r>
                </w:p>
              </w:tc>
              <w:tc>
                <w:tcPr>
                  <w:tcW w:w="577" w:type="pct"/>
                  <w:tcBorders>
                    <w:tl2br w:val="nil"/>
                    <w:tr2bl w:val="nil"/>
                  </w:tcBorders>
                  <w:noWrap w:val="0"/>
                  <w:vAlign w:val="center"/>
                </w:tcPr>
                <w:p w14:paraId="1CBC7854">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15</w:t>
                  </w:r>
                </w:p>
              </w:tc>
              <w:tc>
                <w:tcPr>
                  <w:tcW w:w="532" w:type="pct"/>
                  <w:tcBorders>
                    <w:tl2br w:val="nil"/>
                    <w:tr2bl w:val="nil"/>
                  </w:tcBorders>
                  <w:noWrap w:val="0"/>
                  <w:vAlign w:val="center"/>
                </w:tcPr>
                <w:p w14:paraId="27CA2BC1">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151</w:t>
                  </w:r>
                </w:p>
              </w:tc>
              <w:tc>
                <w:tcPr>
                  <w:tcW w:w="652" w:type="pct"/>
                  <w:tcBorders>
                    <w:tl2br w:val="nil"/>
                    <w:tr2bl w:val="nil"/>
                  </w:tcBorders>
                  <w:noWrap w:val="0"/>
                  <w:vAlign w:val="center"/>
                </w:tcPr>
                <w:p w14:paraId="056BF1A3">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6DDCE15D">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1AD7E77B">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58F52758">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0.20</w:t>
                  </w:r>
                </w:p>
              </w:tc>
              <w:tc>
                <w:tcPr>
                  <w:tcW w:w="291" w:type="pct"/>
                  <w:tcBorders>
                    <w:tl2br w:val="nil"/>
                    <w:tr2bl w:val="nil"/>
                  </w:tcBorders>
                  <w:noWrap w:val="0"/>
                  <w:vAlign w:val="center"/>
                </w:tcPr>
                <w:p w14:paraId="7A3F5EFA">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48E40B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349748CB">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41</w:t>
                  </w:r>
                </w:p>
              </w:tc>
              <w:tc>
                <w:tcPr>
                  <w:tcW w:w="732" w:type="pct"/>
                  <w:tcBorders>
                    <w:tl2br w:val="nil"/>
                    <w:tr2bl w:val="nil"/>
                  </w:tcBorders>
                  <w:noWrap w:val="0"/>
                  <w:vAlign w:val="center"/>
                </w:tcPr>
                <w:p w14:paraId="7E64CA51">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苯并[k]荧蒽</w:t>
                  </w:r>
                </w:p>
              </w:tc>
              <w:tc>
                <w:tcPr>
                  <w:tcW w:w="577" w:type="pct"/>
                  <w:tcBorders>
                    <w:tl2br w:val="nil"/>
                    <w:tr2bl w:val="nil"/>
                  </w:tcBorders>
                  <w:noWrap w:val="0"/>
                  <w:vAlign w:val="center"/>
                </w:tcPr>
                <w:p w14:paraId="4999759E">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151</w:t>
                  </w:r>
                </w:p>
              </w:tc>
              <w:tc>
                <w:tcPr>
                  <w:tcW w:w="532" w:type="pct"/>
                  <w:tcBorders>
                    <w:tl2br w:val="nil"/>
                    <w:tr2bl w:val="nil"/>
                  </w:tcBorders>
                  <w:noWrap w:val="0"/>
                  <w:vAlign w:val="center"/>
                </w:tcPr>
                <w:p w14:paraId="5B3C2A7C">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1500</w:t>
                  </w:r>
                </w:p>
              </w:tc>
              <w:tc>
                <w:tcPr>
                  <w:tcW w:w="652" w:type="pct"/>
                  <w:tcBorders>
                    <w:tl2br w:val="nil"/>
                    <w:tr2bl w:val="nil"/>
                  </w:tcBorders>
                  <w:noWrap w:val="0"/>
                  <w:vAlign w:val="center"/>
                </w:tcPr>
                <w:p w14:paraId="21520020">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29FB7C10">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6E08F528">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674EDF37">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4C1B45A1">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1DC1B4B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105F4096">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42</w:t>
                  </w:r>
                </w:p>
              </w:tc>
              <w:tc>
                <w:tcPr>
                  <w:tcW w:w="732" w:type="pct"/>
                  <w:tcBorders>
                    <w:tl2br w:val="nil"/>
                    <w:tr2bl w:val="nil"/>
                  </w:tcBorders>
                  <w:noWrap w:val="0"/>
                  <w:vAlign w:val="center"/>
                </w:tcPr>
                <w:p w14:paraId="58440F88">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䓛</w:t>
                  </w:r>
                </w:p>
              </w:tc>
              <w:tc>
                <w:tcPr>
                  <w:tcW w:w="577" w:type="pct"/>
                  <w:tcBorders>
                    <w:tl2br w:val="nil"/>
                    <w:tr2bl w:val="nil"/>
                  </w:tcBorders>
                  <w:noWrap w:val="0"/>
                  <w:vAlign w:val="center"/>
                </w:tcPr>
                <w:p w14:paraId="46A80A36">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1293</w:t>
                  </w:r>
                </w:p>
              </w:tc>
              <w:tc>
                <w:tcPr>
                  <w:tcW w:w="532" w:type="pct"/>
                  <w:tcBorders>
                    <w:tl2br w:val="nil"/>
                    <w:tr2bl w:val="nil"/>
                  </w:tcBorders>
                  <w:noWrap w:val="0"/>
                  <w:vAlign w:val="center"/>
                </w:tcPr>
                <w:p w14:paraId="68D55C3B">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12900</w:t>
                  </w:r>
                </w:p>
              </w:tc>
              <w:tc>
                <w:tcPr>
                  <w:tcW w:w="652" w:type="pct"/>
                  <w:tcBorders>
                    <w:tl2br w:val="nil"/>
                    <w:tr2bl w:val="nil"/>
                  </w:tcBorders>
                  <w:noWrap w:val="0"/>
                  <w:vAlign w:val="center"/>
                </w:tcPr>
                <w:p w14:paraId="7C22F8E0">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69B0CE68">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0ECFAF5C">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5BEFD662">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10BDE5D8">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057DD4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1115F436">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43</w:t>
                  </w:r>
                </w:p>
              </w:tc>
              <w:tc>
                <w:tcPr>
                  <w:tcW w:w="732" w:type="pct"/>
                  <w:tcBorders>
                    <w:tl2br w:val="nil"/>
                    <w:tr2bl w:val="nil"/>
                  </w:tcBorders>
                  <w:noWrap w:val="0"/>
                  <w:vAlign w:val="center"/>
                </w:tcPr>
                <w:p w14:paraId="6CC899A1">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二苯并[a</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rPr>
                    <w:t>h]蒽</w:t>
                  </w:r>
                </w:p>
              </w:tc>
              <w:tc>
                <w:tcPr>
                  <w:tcW w:w="577" w:type="pct"/>
                  <w:tcBorders>
                    <w:tl2br w:val="nil"/>
                    <w:tr2bl w:val="nil"/>
                  </w:tcBorders>
                  <w:noWrap w:val="0"/>
                  <w:vAlign w:val="center"/>
                </w:tcPr>
                <w:p w14:paraId="1D9D120F">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1.5</w:t>
                  </w:r>
                </w:p>
              </w:tc>
              <w:tc>
                <w:tcPr>
                  <w:tcW w:w="532" w:type="pct"/>
                  <w:tcBorders>
                    <w:tl2br w:val="nil"/>
                    <w:tr2bl w:val="nil"/>
                  </w:tcBorders>
                  <w:noWrap w:val="0"/>
                  <w:vAlign w:val="center"/>
                </w:tcPr>
                <w:p w14:paraId="0371AC15">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15</w:t>
                  </w:r>
                </w:p>
              </w:tc>
              <w:tc>
                <w:tcPr>
                  <w:tcW w:w="652" w:type="pct"/>
                  <w:tcBorders>
                    <w:tl2br w:val="nil"/>
                    <w:tr2bl w:val="nil"/>
                  </w:tcBorders>
                  <w:noWrap w:val="0"/>
                  <w:vAlign w:val="center"/>
                </w:tcPr>
                <w:p w14:paraId="6C0A7CAA">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0.15</w:t>
                  </w:r>
                </w:p>
              </w:tc>
              <w:tc>
                <w:tcPr>
                  <w:tcW w:w="608" w:type="pct"/>
                  <w:tcBorders>
                    <w:tl2br w:val="nil"/>
                    <w:tr2bl w:val="nil"/>
                  </w:tcBorders>
                  <w:noWrap w:val="0"/>
                  <w:vAlign w:val="center"/>
                </w:tcPr>
                <w:p w14:paraId="77203E8F">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0.16</w:t>
                  </w:r>
                </w:p>
              </w:tc>
              <w:tc>
                <w:tcPr>
                  <w:tcW w:w="644" w:type="pct"/>
                  <w:tcBorders>
                    <w:tl2br w:val="nil"/>
                    <w:tr2bl w:val="nil"/>
                  </w:tcBorders>
                  <w:noWrap w:val="0"/>
                  <w:vAlign w:val="center"/>
                </w:tcPr>
                <w:p w14:paraId="36D66DE2">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0.15</w:t>
                  </w:r>
                </w:p>
              </w:tc>
              <w:tc>
                <w:tcPr>
                  <w:tcW w:w="702" w:type="pct"/>
                  <w:tcBorders>
                    <w:tl2br w:val="nil"/>
                    <w:tr2bl w:val="nil"/>
                  </w:tcBorders>
                  <w:noWrap w:val="0"/>
                  <w:vAlign w:val="center"/>
                </w:tcPr>
                <w:p w14:paraId="709CFBBC">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0.14</w:t>
                  </w:r>
                </w:p>
              </w:tc>
              <w:tc>
                <w:tcPr>
                  <w:tcW w:w="291" w:type="pct"/>
                  <w:tcBorders>
                    <w:tl2br w:val="nil"/>
                    <w:tr2bl w:val="nil"/>
                  </w:tcBorders>
                  <w:noWrap w:val="0"/>
                  <w:vAlign w:val="center"/>
                </w:tcPr>
                <w:p w14:paraId="2F6FFD53">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68AB80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1AFA2B02">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44</w:t>
                  </w:r>
                </w:p>
              </w:tc>
              <w:tc>
                <w:tcPr>
                  <w:tcW w:w="732" w:type="pct"/>
                  <w:tcBorders>
                    <w:tl2br w:val="nil"/>
                    <w:tr2bl w:val="nil"/>
                  </w:tcBorders>
                  <w:noWrap w:val="0"/>
                  <w:vAlign w:val="center"/>
                </w:tcPr>
                <w:p w14:paraId="434EFC67">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茚并[1</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rPr>
                    <w:t>2</w:t>
                  </w:r>
                  <w:r>
                    <w:rPr>
                      <w:rFonts w:hint="default" w:ascii="Times New Roman" w:hAnsi="Times New Roman" w:eastAsia="宋体" w:cs="Times New Roman"/>
                      <w:b w:val="0"/>
                      <w:bCs/>
                      <w:color w:val="auto"/>
                      <w:sz w:val="21"/>
                      <w:szCs w:val="21"/>
                      <w:highlight w:val="none"/>
                      <w:u w:val="none"/>
                      <w:lang w:eastAsia="zh-CN"/>
                    </w:rPr>
                    <w:t>，</w:t>
                  </w:r>
                  <w:r>
                    <w:rPr>
                      <w:rFonts w:hint="default" w:ascii="Times New Roman" w:hAnsi="Times New Roman" w:eastAsia="宋体" w:cs="Times New Roman"/>
                      <w:b w:val="0"/>
                      <w:bCs/>
                      <w:color w:val="auto"/>
                      <w:sz w:val="21"/>
                      <w:szCs w:val="21"/>
                      <w:highlight w:val="none"/>
                      <w:u w:val="none"/>
                    </w:rPr>
                    <w:t>3-cd]芘</w:t>
                  </w:r>
                </w:p>
              </w:tc>
              <w:tc>
                <w:tcPr>
                  <w:tcW w:w="577" w:type="pct"/>
                  <w:tcBorders>
                    <w:tl2br w:val="nil"/>
                    <w:tr2bl w:val="nil"/>
                  </w:tcBorders>
                  <w:noWrap w:val="0"/>
                  <w:vAlign w:val="center"/>
                </w:tcPr>
                <w:p w14:paraId="0C5025A9">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15</w:t>
                  </w:r>
                </w:p>
              </w:tc>
              <w:tc>
                <w:tcPr>
                  <w:tcW w:w="532" w:type="pct"/>
                  <w:tcBorders>
                    <w:tl2br w:val="nil"/>
                    <w:tr2bl w:val="nil"/>
                  </w:tcBorders>
                  <w:noWrap w:val="0"/>
                  <w:vAlign w:val="center"/>
                </w:tcPr>
                <w:p w14:paraId="3A9F41B8">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151</w:t>
                  </w:r>
                </w:p>
              </w:tc>
              <w:tc>
                <w:tcPr>
                  <w:tcW w:w="652" w:type="pct"/>
                  <w:tcBorders>
                    <w:tl2br w:val="nil"/>
                    <w:tr2bl w:val="nil"/>
                  </w:tcBorders>
                  <w:noWrap w:val="0"/>
                  <w:vAlign w:val="center"/>
                </w:tcPr>
                <w:p w14:paraId="2A83DB10">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50CFD127">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4B6A9531">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125E4757">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4B495149">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563D75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6F1FD3DA">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45</w:t>
                  </w:r>
                </w:p>
              </w:tc>
              <w:tc>
                <w:tcPr>
                  <w:tcW w:w="732" w:type="pct"/>
                  <w:tcBorders>
                    <w:tl2br w:val="nil"/>
                    <w:tr2bl w:val="nil"/>
                  </w:tcBorders>
                  <w:noWrap w:val="0"/>
                  <w:vAlign w:val="center"/>
                </w:tcPr>
                <w:p w14:paraId="2A77B349">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萘</w:t>
                  </w:r>
                </w:p>
              </w:tc>
              <w:tc>
                <w:tcPr>
                  <w:tcW w:w="577" w:type="pct"/>
                  <w:tcBorders>
                    <w:tl2br w:val="nil"/>
                    <w:tr2bl w:val="nil"/>
                  </w:tcBorders>
                  <w:noWrap w:val="0"/>
                  <w:vAlign w:val="center"/>
                </w:tcPr>
                <w:p w14:paraId="65D4CC13">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70</w:t>
                  </w:r>
                </w:p>
              </w:tc>
              <w:tc>
                <w:tcPr>
                  <w:tcW w:w="532" w:type="pct"/>
                  <w:tcBorders>
                    <w:tl2br w:val="nil"/>
                    <w:tr2bl w:val="nil"/>
                  </w:tcBorders>
                  <w:noWrap w:val="0"/>
                  <w:vAlign w:val="center"/>
                </w:tcPr>
                <w:p w14:paraId="472890F9">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700</w:t>
                  </w:r>
                </w:p>
              </w:tc>
              <w:tc>
                <w:tcPr>
                  <w:tcW w:w="652" w:type="pct"/>
                  <w:tcBorders>
                    <w:tl2br w:val="nil"/>
                    <w:tr2bl w:val="nil"/>
                  </w:tcBorders>
                  <w:noWrap w:val="0"/>
                  <w:vAlign w:val="center"/>
                </w:tcPr>
                <w:p w14:paraId="71F8F7E8">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08" w:type="pct"/>
                  <w:tcBorders>
                    <w:tl2br w:val="nil"/>
                    <w:tr2bl w:val="nil"/>
                  </w:tcBorders>
                  <w:noWrap w:val="0"/>
                  <w:vAlign w:val="center"/>
                </w:tcPr>
                <w:p w14:paraId="12C27EB4">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644" w:type="pct"/>
                  <w:tcBorders>
                    <w:tl2br w:val="nil"/>
                    <w:tr2bl w:val="nil"/>
                  </w:tcBorders>
                  <w:noWrap w:val="0"/>
                  <w:vAlign w:val="center"/>
                </w:tcPr>
                <w:p w14:paraId="4A04311D">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702" w:type="pct"/>
                  <w:tcBorders>
                    <w:tl2br w:val="nil"/>
                    <w:tr2bl w:val="nil"/>
                  </w:tcBorders>
                  <w:noWrap w:val="0"/>
                  <w:vAlign w:val="center"/>
                </w:tcPr>
                <w:p w14:paraId="3EBBE195">
                  <w:pPr>
                    <w:keepNext w:val="0"/>
                    <w:keepLines w:val="0"/>
                    <w:pageBreakBefore w:val="0"/>
                    <w:widowControl w:val="0"/>
                    <w:numPr>
                      <w:ilvl w:val="0"/>
                      <w:numId w:val="0"/>
                    </w:numPr>
                    <w:kinsoku/>
                    <w:wordWrap/>
                    <w:overflowPunct/>
                    <w:topLinePunct w:val="0"/>
                    <w:autoSpaceDE/>
                    <w:autoSpaceDN/>
                    <w:bidi w:val="0"/>
                    <w:spacing w:line="240" w:lineRule="auto"/>
                    <w:ind w:left="0" w:leftChars="0" w:firstLine="0" w:firstLineChars="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val="0"/>
                      <w:color w:val="auto"/>
                      <w:kern w:val="2"/>
                      <w:sz w:val="21"/>
                      <w:szCs w:val="21"/>
                      <w:highlight w:val="none"/>
                      <w:vertAlign w:val="baseline"/>
                      <w:lang w:val="en-US" w:eastAsia="zh-CN" w:bidi="ar-SA"/>
                    </w:rPr>
                    <w:t>ND</w:t>
                  </w:r>
                </w:p>
              </w:tc>
              <w:tc>
                <w:tcPr>
                  <w:tcW w:w="291" w:type="pct"/>
                  <w:tcBorders>
                    <w:tl2br w:val="nil"/>
                    <w:tr2bl w:val="nil"/>
                  </w:tcBorders>
                  <w:noWrap w:val="0"/>
                  <w:vAlign w:val="center"/>
                </w:tcPr>
                <w:p w14:paraId="74B2D068">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lang w:val="en-US" w:eastAsia="zh-CN"/>
                    </w:rPr>
                    <w:t>达标</w:t>
                  </w:r>
                </w:p>
              </w:tc>
            </w:tr>
            <w:tr w14:paraId="1C3EE4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256" w:type="pct"/>
                  <w:tcBorders>
                    <w:tl2br w:val="nil"/>
                    <w:tr2bl w:val="nil"/>
                  </w:tcBorders>
                  <w:noWrap w:val="0"/>
                  <w:vAlign w:val="center"/>
                </w:tcPr>
                <w:p w14:paraId="0C447013">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46</w:t>
                  </w:r>
                </w:p>
              </w:tc>
              <w:tc>
                <w:tcPr>
                  <w:tcW w:w="732" w:type="pct"/>
                  <w:tcBorders>
                    <w:tl2br w:val="nil"/>
                    <w:tr2bl w:val="nil"/>
                  </w:tcBorders>
                  <w:noWrap w:val="0"/>
                  <w:vAlign w:val="center"/>
                </w:tcPr>
                <w:p w14:paraId="29A1B246">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kern w:val="0"/>
                      <w:sz w:val="21"/>
                      <w:szCs w:val="21"/>
                      <w:highlight w:val="none"/>
                      <w:u w:val="none"/>
                      <w:lang w:val="en-US" w:eastAsia="zh-CN" w:bidi="ar"/>
                    </w:rPr>
                    <w:t>pH</w:t>
                  </w:r>
                </w:p>
              </w:tc>
              <w:tc>
                <w:tcPr>
                  <w:tcW w:w="577" w:type="pct"/>
                  <w:tcBorders>
                    <w:tl2br w:val="nil"/>
                    <w:tr2bl w:val="nil"/>
                  </w:tcBorders>
                  <w:noWrap w:val="0"/>
                  <w:vAlign w:val="center"/>
                </w:tcPr>
                <w:p w14:paraId="58D6D176">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w:t>
                  </w:r>
                </w:p>
              </w:tc>
              <w:tc>
                <w:tcPr>
                  <w:tcW w:w="532" w:type="pct"/>
                  <w:tcBorders>
                    <w:tl2br w:val="nil"/>
                    <w:tr2bl w:val="nil"/>
                  </w:tcBorders>
                  <w:noWrap w:val="0"/>
                  <w:vAlign w:val="center"/>
                </w:tcPr>
                <w:p w14:paraId="05B8CD0C">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w:t>
                  </w:r>
                </w:p>
              </w:tc>
              <w:tc>
                <w:tcPr>
                  <w:tcW w:w="652" w:type="pct"/>
                  <w:tcBorders>
                    <w:tl2br w:val="nil"/>
                    <w:tr2bl w:val="nil"/>
                  </w:tcBorders>
                  <w:noWrap w:val="0"/>
                  <w:vAlign w:val="center"/>
                </w:tcPr>
                <w:p w14:paraId="37394250">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color w:val="auto"/>
                      <w:kern w:val="2"/>
                      <w:sz w:val="21"/>
                      <w:szCs w:val="21"/>
                      <w:highlight w:val="none"/>
                      <w:vertAlign w:val="baseline"/>
                      <w:lang w:val="en-US" w:eastAsia="zh-CN" w:bidi="ar-SA"/>
                    </w:rPr>
                    <w:t>6.73</w:t>
                  </w:r>
                </w:p>
              </w:tc>
              <w:tc>
                <w:tcPr>
                  <w:tcW w:w="608" w:type="pct"/>
                  <w:tcBorders>
                    <w:tl2br w:val="nil"/>
                    <w:tr2bl w:val="nil"/>
                  </w:tcBorders>
                  <w:noWrap w:val="0"/>
                  <w:vAlign w:val="center"/>
                </w:tcPr>
                <w:p w14:paraId="7173DFF3">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highlight w:val="none"/>
                      <w:vertAlign w:val="baseline"/>
                      <w:lang w:val="en-US" w:eastAsia="zh-CN" w:bidi="ar-SA"/>
                    </w:rPr>
                  </w:pPr>
                  <w:r>
                    <w:rPr>
                      <w:rFonts w:hint="default" w:ascii="Times New Roman" w:hAnsi="Times New Roman" w:cs="Times New Roman"/>
                      <w:b w:val="0"/>
                      <w:bCs/>
                      <w:color w:val="auto"/>
                      <w:kern w:val="2"/>
                      <w:sz w:val="21"/>
                      <w:szCs w:val="21"/>
                      <w:highlight w:val="none"/>
                      <w:vertAlign w:val="baseline"/>
                      <w:lang w:val="en-US" w:eastAsia="zh-CN" w:bidi="ar-SA"/>
                    </w:rPr>
                    <w:t>6.83</w:t>
                  </w:r>
                </w:p>
              </w:tc>
              <w:tc>
                <w:tcPr>
                  <w:tcW w:w="644" w:type="pct"/>
                  <w:tcBorders>
                    <w:tl2br w:val="nil"/>
                    <w:tr2bl w:val="nil"/>
                  </w:tcBorders>
                  <w:noWrap w:val="0"/>
                  <w:vAlign w:val="center"/>
                </w:tcPr>
                <w:p w14:paraId="14466E74">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highlight w:val="none"/>
                      <w:vertAlign w:val="baseline"/>
                      <w:lang w:val="en-US" w:eastAsia="zh-CN" w:bidi="ar-SA"/>
                    </w:rPr>
                  </w:pPr>
                  <w:r>
                    <w:rPr>
                      <w:rFonts w:hint="default" w:ascii="Times New Roman" w:hAnsi="Times New Roman" w:cs="Times New Roman"/>
                      <w:b w:val="0"/>
                      <w:bCs/>
                      <w:color w:val="auto"/>
                      <w:kern w:val="2"/>
                      <w:sz w:val="21"/>
                      <w:szCs w:val="21"/>
                      <w:highlight w:val="none"/>
                      <w:vertAlign w:val="baseline"/>
                      <w:lang w:val="en-US" w:eastAsia="zh-CN" w:bidi="ar-SA"/>
                    </w:rPr>
                    <w:t>6.77</w:t>
                  </w:r>
                </w:p>
              </w:tc>
              <w:tc>
                <w:tcPr>
                  <w:tcW w:w="702" w:type="pct"/>
                  <w:tcBorders>
                    <w:tl2br w:val="nil"/>
                    <w:tr2bl w:val="nil"/>
                  </w:tcBorders>
                  <w:noWrap w:val="0"/>
                  <w:vAlign w:val="center"/>
                </w:tcPr>
                <w:p w14:paraId="7CA4F248">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 w:val="0"/>
                      <w:bCs/>
                      <w:color w:val="auto"/>
                      <w:kern w:val="2"/>
                      <w:sz w:val="21"/>
                      <w:szCs w:val="21"/>
                      <w:highlight w:val="none"/>
                      <w:vertAlign w:val="baseline"/>
                      <w:lang w:val="en-US" w:eastAsia="zh-CN" w:bidi="ar-SA"/>
                    </w:rPr>
                    <w:t>6.69</w:t>
                  </w:r>
                </w:p>
              </w:tc>
              <w:tc>
                <w:tcPr>
                  <w:tcW w:w="291" w:type="pct"/>
                  <w:tcBorders>
                    <w:tl2br w:val="nil"/>
                    <w:tr2bl w:val="nil"/>
                  </w:tcBorders>
                  <w:noWrap w:val="0"/>
                  <w:vAlign w:val="center"/>
                </w:tcPr>
                <w:p w14:paraId="1FD76780">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w:t>
                  </w:r>
                </w:p>
              </w:tc>
            </w:tr>
          </w:tbl>
          <w:p w14:paraId="5199F5BC">
            <w:pPr>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eastAsia="宋体" w:cs="Times New Roman"/>
                <w:b/>
                <w:bCs/>
                <w:color w:val="auto"/>
                <w:sz w:val="21"/>
                <w:szCs w:val="21"/>
                <w:highlight w:val="none"/>
                <w:u w:val="none"/>
                <w:lang w:eastAsia="zh-CN"/>
              </w:rPr>
              <w:t>建设用地</w:t>
            </w:r>
            <w:r>
              <w:rPr>
                <w:rFonts w:hint="default" w:ascii="Times New Roman" w:hAnsi="Times New Roman" w:eastAsia="宋体" w:cs="Times New Roman"/>
                <w:b/>
                <w:bCs/>
                <w:color w:val="auto"/>
                <w:sz w:val="21"/>
                <w:szCs w:val="21"/>
                <w:highlight w:val="none"/>
                <w:u w:val="none"/>
                <w:lang w:val="en-US" w:eastAsia="zh-CN"/>
              </w:rPr>
              <w:t>-</w:t>
            </w:r>
            <w:r>
              <w:rPr>
                <w:rFonts w:hint="default" w:ascii="Times New Roman" w:hAnsi="Times New Roman" w:eastAsia="宋体" w:cs="Times New Roman"/>
                <w:b/>
                <w:bCs/>
                <w:color w:val="auto"/>
                <w:sz w:val="21"/>
                <w:szCs w:val="21"/>
                <w:highlight w:val="none"/>
                <w:u w:val="none"/>
              </w:rPr>
              <w:t>土壤现状环境质量监测</w:t>
            </w:r>
            <w:r>
              <w:rPr>
                <w:rFonts w:hint="default" w:ascii="Times New Roman" w:hAnsi="Times New Roman" w:eastAsia="宋体" w:cs="Times New Roman"/>
                <w:b/>
                <w:bCs/>
                <w:color w:val="auto"/>
                <w:sz w:val="21"/>
                <w:szCs w:val="21"/>
                <w:highlight w:val="none"/>
                <w:u w:val="none"/>
                <w:lang w:eastAsia="zh-CN"/>
              </w:rPr>
              <w:t>结果</w:t>
            </w:r>
            <w:r>
              <w:rPr>
                <w:rFonts w:hint="default" w:ascii="Times New Roman" w:hAnsi="Times New Roman" w:eastAsia="宋体" w:cs="Times New Roman"/>
                <w:b/>
                <w:bCs/>
                <w:color w:val="auto"/>
                <w:sz w:val="21"/>
                <w:szCs w:val="21"/>
                <w:highlight w:val="none"/>
                <w:u w:val="none"/>
              </w:rPr>
              <w:t>一览表</w:t>
            </w:r>
            <w:r>
              <w:rPr>
                <w:rFonts w:hint="default" w:ascii="Times New Roman" w:hAnsi="Times New Roman" w:eastAsia="宋体" w:cs="Times New Roman"/>
                <w:b/>
                <w:bCs/>
                <w:color w:val="auto"/>
                <w:sz w:val="21"/>
                <w:szCs w:val="21"/>
                <w:highlight w:val="none"/>
                <w:u w:val="none"/>
                <w:lang w:val="en-US" w:eastAsia="zh-CN"/>
              </w:rPr>
              <w:t>-2</w:t>
            </w:r>
          </w:p>
          <w:tbl>
            <w:tblPr>
              <w:tblStyle w:val="18"/>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660"/>
              <w:gridCol w:w="1610"/>
              <w:gridCol w:w="1715"/>
              <w:gridCol w:w="1440"/>
              <w:gridCol w:w="2456"/>
              <w:gridCol w:w="686"/>
            </w:tblGrid>
            <w:tr w14:paraId="4CBC9F3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5" w:type="pct"/>
                  <w:vMerge w:val="restart"/>
                  <w:tcBorders>
                    <w:tl2br w:val="nil"/>
                    <w:tr2bl w:val="nil"/>
                  </w:tcBorders>
                  <w:noWrap w:val="0"/>
                  <w:vAlign w:val="center"/>
                </w:tcPr>
                <w:p w14:paraId="12CAFD04">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val="0"/>
                      <w:color w:val="auto"/>
                      <w:sz w:val="21"/>
                      <w:szCs w:val="21"/>
                      <w:highlight w:val="none"/>
                      <w:u w:val="none"/>
                    </w:rPr>
                  </w:pPr>
                  <w:r>
                    <w:rPr>
                      <w:rFonts w:hint="default" w:ascii="Times New Roman" w:hAnsi="Times New Roman" w:eastAsia="宋体" w:cs="Times New Roman"/>
                      <w:b/>
                      <w:bCs w:val="0"/>
                      <w:color w:val="auto"/>
                      <w:sz w:val="21"/>
                      <w:szCs w:val="21"/>
                      <w:highlight w:val="none"/>
                      <w:u w:val="none"/>
                    </w:rPr>
                    <w:t>序号</w:t>
                  </w:r>
                </w:p>
              </w:tc>
              <w:tc>
                <w:tcPr>
                  <w:tcW w:w="939" w:type="pct"/>
                  <w:vMerge w:val="restart"/>
                  <w:tcBorders>
                    <w:tl2br w:val="nil"/>
                    <w:tr2bl w:val="nil"/>
                  </w:tcBorders>
                  <w:noWrap w:val="0"/>
                  <w:vAlign w:val="center"/>
                </w:tcPr>
                <w:p w14:paraId="2D12EAAA">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val="0"/>
                      <w:color w:val="auto"/>
                      <w:sz w:val="21"/>
                      <w:szCs w:val="21"/>
                      <w:highlight w:val="none"/>
                      <w:u w:val="none"/>
                    </w:rPr>
                  </w:pPr>
                  <w:r>
                    <w:rPr>
                      <w:rFonts w:hint="default" w:ascii="Times New Roman" w:hAnsi="Times New Roman" w:eastAsia="宋体" w:cs="Times New Roman"/>
                      <w:b/>
                      <w:bCs w:val="0"/>
                      <w:color w:val="auto"/>
                      <w:sz w:val="21"/>
                      <w:szCs w:val="21"/>
                      <w:highlight w:val="none"/>
                      <w:u w:val="none"/>
                    </w:rPr>
                    <w:t>污染物项目</w:t>
                  </w:r>
                </w:p>
              </w:tc>
              <w:tc>
                <w:tcPr>
                  <w:tcW w:w="1000" w:type="pct"/>
                  <w:tcBorders>
                    <w:tl2br w:val="nil"/>
                    <w:tr2bl w:val="nil"/>
                  </w:tcBorders>
                  <w:noWrap w:val="0"/>
                  <w:vAlign w:val="center"/>
                </w:tcPr>
                <w:p w14:paraId="49F0CA1A">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val="0"/>
                      <w:color w:val="auto"/>
                      <w:sz w:val="21"/>
                      <w:szCs w:val="21"/>
                      <w:highlight w:val="none"/>
                      <w:u w:val="none"/>
                    </w:rPr>
                  </w:pPr>
                  <w:r>
                    <w:rPr>
                      <w:rFonts w:hint="default" w:ascii="Times New Roman" w:hAnsi="Times New Roman" w:eastAsia="宋体" w:cs="Times New Roman"/>
                      <w:b/>
                      <w:bCs w:val="0"/>
                      <w:color w:val="auto"/>
                      <w:sz w:val="21"/>
                      <w:szCs w:val="21"/>
                      <w:highlight w:val="none"/>
                      <w:u w:val="none"/>
                    </w:rPr>
                    <w:t>筛选值（mg/kg）</w:t>
                  </w:r>
                </w:p>
              </w:tc>
              <w:tc>
                <w:tcPr>
                  <w:tcW w:w="840" w:type="pct"/>
                  <w:tcBorders>
                    <w:tl2br w:val="nil"/>
                    <w:tr2bl w:val="nil"/>
                  </w:tcBorders>
                  <w:noWrap w:val="0"/>
                  <w:vAlign w:val="center"/>
                </w:tcPr>
                <w:p w14:paraId="041F07C2">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val="0"/>
                      <w:color w:val="auto"/>
                      <w:sz w:val="21"/>
                      <w:szCs w:val="21"/>
                      <w:highlight w:val="none"/>
                      <w:u w:val="none"/>
                    </w:rPr>
                  </w:pPr>
                  <w:r>
                    <w:rPr>
                      <w:rFonts w:hint="default" w:ascii="Times New Roman" w:hAnsi="Times New Roman" w:eastAsia="宋体" w:cs="Times New Roman"/>
                      <w:b/>
                      <w:bCs w:val="0"/>
                      <w:color w:val="auto"/>
                      <w:sz w:val="21"/>
                      <w:szCs w:val="21"/>
                      <w:highlight w:val="none"/>
                      <w:u w:val="none"/>
                    </w:rPr>
                    <w:t>管制值（mg/kg）</w:t>
                  </w:r>
                </w:p>
              </w:tc>
              <w:tc>
                <w:tcPr>
                  <w:tcW w:w="1432" w:type="pct"/>
                  <w:tcBorders>
                    <w:tl2br w:val="nil"/>
                    <w:tr2bl w:val="nil"/>
                  </w:tcBorders>
                  <w:noWrap w:val="0"/>
                  <w:vAlign w:val="center"/>
                </w:tcPr>
                <w:p w14:paraId="1F5B7DAD">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val="0"/>
                      <w:color w:val="auto"/>
                      <w:sz w:val="21"/>
                      <w:szCs w:val="21"/>
                      <w:highlight w:val="none"/>
                      <w:u w:val="none"/>
                    </w:rPr>
                  </w:pPr>
                  <w:r>
                    <w:rPr>
                      <w:rFonts w:hint="default" w:ascii="Times New Roman" w:hAnsi="Times New Roman" w:eastAsia="宋体" w:cs="Times New Roman"/>
                      <w:b/>
                      <w:bCs w:val="0"/>
                      <w:color w:val="auto"/>
                      <w:sz w:val="21"/>
                      <w:szCs w:val="21"/>
                      <w:highlight w:val="none"/>
                      <w:u w:val="none"/>
                    </w:rPr>
                    <w:t>监测结果（mg/kg）</w:t>
                  </w:r>
                </w:p>
              </w:tc>
              <w:tc>
                <w:tcPr>
                  <w:tcW w:w="400" w:type="pct"/>
                  <w:vMerge w:val="restart"/>
                  <w:tcBorders>
                    <w:tl2br w:val="nil"/>
                    <w:tr2bl w:val="nil"/>
                  </w:tcBorders>
                  <w:noWrap w:val="0"/>
                  <w:vAlign w:val="center"/>
                </w:tcPr>
                <w:p w14:paraId="009FB225">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val="0"/>
                      <w:color w:val="auto"/>
                      <w:sz w:val="21"/>
                      <w:szCs w:val="21"/>
                      <w:highlight w:val="none"/>
                      <w:u w:val="none"/>
                      <w:lang w:eastAsia="zh-CN"/>
                    </w:rPr>
                  </w:pPr>
                  <w:r>
                    <w:rPr>
                      <w:rFonts w:hint="default" w:ascii="Times New Roman" w:hAnsi="Times New Roman" w:eastAsia="宋体" w:cs="Times New Roman"/>
                      <w:b/>
                      <w:bCs w:val="0"/>
                      <w:color w:val="auto"/>
                      <w:sz w:val="21"/>
                      <w:szCs w:val="21"/>
                      <w:highlight w:val="none"/>
                      <w:u w:val="none"/>
                      <w:lang w:eastAsia="zh-CN"/>
                    </w:rPr>
                    <w:t>是否</w:t>
                  </w:r>
                </w:p>
                <w:p w14:paraId="6AAA3DF4">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val="0"/>
                      <w:color w:val="auto"/>
                      <w:sz w:val="21"/>
                      <w:szCs w:val="21"/>
                      <w:highlight w:val="none"/>
                      <w:u w:val="none"/>
                      <w:lang w:eastAsia="zh-CN"/>
                    </w:rPr>
                  </w:pPr>
                  <w:r>
                    <w:rPr>
                      <w:rFonts w:hint="default" w:ascii="Times New Roman" w:hAnsi="Times New Roman" w:eastAsia="宋体" w:cs="Times New Roman"/>
                      <w:b/>
                      <w:bCs w:val="0"/>
                      <w:color w:val="auto"/>
                      <w:sz w:val="21"/>
                      <w:szCs w:val="21"/>
                      <w:highlight w:val="none"/>
                      <w:u w:val="none"/>
                      <w:lang w:eastAsia="zh-CN"/>
                    </w:rPr>
                    <w:t>达标</w:t>
                  </w:r>
                </w:p>
              </w:tc>
            </w:tr>
            <w:tr w14:paraId="334A90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5" w:type="pct"/>
                  <w:vMerge w:val="continue"/>
                  <w:tcBorders>
                    <w:tl2br w:val="nil"/>
                    <w:tr2bl w:val="nil"/>
                  </w:tcBorders>
                  <w:noWrap w:val="0"/>
                  <w:vAlign w:val="center"/>
                </w:tcPr>
                <w:p w14:paraId="5186915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u w:val="none"/>
                    </w:rPr>
                  </w:pPr>
                </w:p>
              </w:tc>
              <w:tc>
                <w:tcPr>
                  <w:tcW w:w="939" w:type="pct"/>
                  <w:vMerge w:val="continue"/>
                  <w:tcBorders>
                    <w:tl2br w:val="nil"/>
                    <w:tr2bl w:val="nil"/>
                  </w:tcBorders>
                  <w:noWrap w:val="0"/>
                  <w:vAlign w:val="center"/>
                </w:tcPr>
                <w:p w14:paraId="392AE05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u w:val="none"/>
                    </w:rPr>
                  </w:pPr>
                </w:p>
              </w:tc>
              <w:tc>
                <w:tcPr>
                  <w:tcW w:w="1000" w:type="pct"/>
                  <w:tcBorders>
                    <w:tl2br w:val="nil"/>
                    <w:tr2bl w:val="nil"/>
                  </w:tcBorders>
                  <w:noWrap w:val="0"/>
                  <w:vAlign w:val="center"/>
                </w:tcPr>
                <w:p w14:paraId="0BD34C4E">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val="0"/>
                      <w:color w:val="auto"/>
                      <w:sz w:val="21"/>
                      <w:szCs w:val="21"/>
                      <w:highlight w:val="none"/>
                      <w:u w:val="none"/>
                    </w:rPr>
                  </w:pPr>
                  <w:r>
                    <w:rPr>
                      <w:rFonts w:hint="default" w:ascii="Times New Roman" w:hAnsi="Times New Roman" w:eastAsia="宋体" w:cs="Times New Roman"/>
                      <w:b/>
                      <w:bCs w:val="0"/>
                      <w:color w:val="auto"/>
                      <w:sz w:val="21"/>
                      <w:szCs w:val="21"/>
                      <w:highlight w:val="none"/>
                      <w:u w:val="none"/>
                    </w:rPr>
                    <w:t>第二类用地</w:t>
                  </w:r>
                </w:p>
              </w:tc>
              <w:tc>
                <w:tcPr>
                  <w:tcW w:w="840" w:type="pct"/>
                  <w:tcBorders>
                    <w:tl2br w:val="nil"/>
                    <w:tr2bl w:val="nil"/>
                  </w:tcBorders>
                  <w:noWrap w:val="0"/>
                  <w:vAlign w:val="center"/>
                </w:tcPr>
                <w:p w14:paraId="572F9A9D">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val="0"/>
                      <w:color w:val="auto"/>
                      <w:sz w:val="21"/>
                      <w:szCs w:val="21"/>
                      <w:highlight w:val="none"/>
                      <w:u w:val="none"/>
                    </w:rPr>
                  </w:pPr>
                  <w:r>
                    <w:rPr>
                      <w:rFonts w:hint="default" w:ascii="Times New Roman" w:hAnsi="Times New Roman" w:eastAsia="宋体" w:cs="Times New Roman"/>
                      <w:b/>
                      <w:bCs w:val="0"/>
                      <w:color w:val="auto"/>
                      <w:sz w:val="21"/>
                      <w:szCs w:val="21"/>
                      <w:highlight w:val="none"/>
                      <w:u w:val="none"/>
                    </w:rPr>
                    <w:t>第二类用地</w:t>
                  </w:r>
                </w:p>
              </w:tc>
              <w:tc>
                <w:tcPr>
                  <w:tcW w:w="1432" w:type="pct"/>
                  <w:tcBorders>
                    <w:tl2br w:val="nil"/>
                    <w:tr2bl w:val="nil"/>
                  </w:tcBorders>
                  <w:noWrap w:val="0"/>
                  <w:vAlign w:val="center"/>
                </w:tcPr>
                <w:p w14:paraId="68D8AEF8">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val="0"/>
                      <w:color w:val="auto"/>
                      <w:sz w:val="21"/>
                      <w:szCs w:val="21"/>
                      <w:highlight w:val="none"/>
                      <w:u w:val="none"/>
                      <w:lang w:val="en-US" w:eastAsia="zh-CN"/>
                    </w:rPr>
                  </w:pPr>
                  <w:r>
                    <w:rPr>
                      <w:rFonts w:hint="default" w:ascii="Times New Roman" w:hAnsi="Times New Roman" w:eastAsia="宋体" w:cs="Times New Roman"/>
                      <w:b/>
                      <w:bCs w:val="0"/>
                      <w:color w:val="auto"/>
                      <w:sz w:val="21"/>
                      <w:szCs w:val="21"/>
                      <w:highlight w:val="none"/>
                      <w:vertAlign w:val="baseline"/>
                      <w:lang w:val="en-US" w:eastAsia="zh-CN"/>
                    </w:rPr>
                    <w:t>2#厂区东部</w:t>
                  </w:r>
                  <w:r>
                    <w:rPr>
                      <w:rFonts w:hint="default" w:ascii="Times New Roman" w:hAnsi="Times New Roman" w:cs="Times New Roman"/>
                      <w:b/>
                      <w:bCs w:val="0"/>
                      <w:color w:val="auto"/>
                      <w:sz w:val="21"/>
                      <w:szCs w:val="21"/>
                      <w:highlight w:val="none"/>
                      <w:vertAlign w:val="baseline"/>
                      <w:lang w:val="en-US" w:eastAsia="zh-CN"/>
                    </w:rPr>
                    <w:t xml:space="preserve"> (114°11'54''E，36°8'9''N)</w:t>
                  </w:r>
                </w:p>
              </w:tc>
              <w:tc>
                <w:tcPr>
                  <w:tcW w:w="400" w:type="pct"/>
                  <w:vMerge w:val="continue"/>
                  <w:tcBorders>
                    <w:tl2br w:val="nil"/>
                    <w:tr2bl w:val="nil"/>
                  </w:tcBorders>
                  <w:noWrap w:val="0"/>
                  <w:vAlign w:val="center"/>
                </w:tcPr>
                <w:p w14:paraId="67C8A966">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val="0"/>
                      <w:color w:val="auto"/>
                      <w:sz w:val="21"/>
                      <w:szCs w:val="21"/>
                      <w:highlight w:val="none"/>
                      <w:u w:val="none"/>
                    </w:rPr>
                  </w:pPr>
                </w:p>
              </w:tc>
            </w:tr>
            <w:tr w14:paraId="525540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5" w:type="pct"/>
                  <w:tcBorders>
                    <w:tl2br w:val="nil"/>
                    <w:tr2bl w:val="nil"/>
                  </w:tcBorders>
                  <w:noWrap w:val="0"/>
                  <w:vAlign w:val="center"/>
                </w:tcPr>
                <w:p w14:paraId="74CCC348">
                  <w:pPr>
                    <w:pStyle w:val="49"/>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color w:val="auto"/>
                      <w:kern w:val="0"/>
                      <w:sz w:val="21"/>
                      <w:szCs w:val="21"/>
                      <w:highlight w:val="none"/>
                      <w:u w:val="none"/>
                      <w:lang w:val="en-US" w:eastAsia="zh-CN" w:bidi="ar"/>
                    </w:rPr>
                  </w:pPr>
                  <w:r>
                    <w:rPr>
                      <w:rFonts w:hint="default" w:ascii="Times New Roman" w:hAnsi="Times New Roman" w:eastAsia="宋体" w:cs="Times New Roman"/>
                      <w:b w:val="0"/>
                      <w:bCs/>
                      <w:color w:val="auto"/>
                      <w:sz w:val="21"/>
                      <w:szCs w:val="21"/>
                      <w:highlight w:val="none"/>
                      <w:u w:val="none"/>
                    </w:rPr>
                    <w:t>1</w:t>
                  </w:r>
                </w:p>
              </w:tc>
              <w:tc>
                <w:tcPr>
                  <w:tcW w:w="939" w:type="pct"/>
                  <w:tcBorders>
                    <w:tl2br w:val="nil"/>
                    <w:tr2bl w:val="nil"/>
                  </w:tcBorders>
                  <w:noWrap w:val="0"/>
                  <w:vAlign w:val="center"/>
                </w:tcPr>
                <w:p w14:paraId="1DDCBAFF">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val="0"/>
                      <w:color w:val="auto"/>
                      <w:sz w:val="21"/>
                      <w:szCs w:val="21"/>
                      <w:highlight w:val="none"/>
                      <w:u w:val="none"/>
                    </w:rPr>
                  </w:pPr>
                  <w:r>
                    <w:rPr>
                      <w:rFonts w:hint="default" w:ascii="Times New Roman" w:hAnsi="Times New Roman" w:eastAsia="宋体" w:cs="Times New Roman"/>
                      <w:b w:val="0"/>
                      <w:bCs/>
                      <w:color w:val="auto"/>
                      <w:kern w:val="0"/>
                      <w:sz w:val="21"/>
                      <w:szCs w:val="21"/>
                      <w:highlight w:val="none"/>
                      <w:u w:val="none"/>
                      <w:lang w:val="en-US" w:eastAsia="zh-CN" w:bidi="ar"/>
                    </w:rPr>
                    <w:t>pH</w:t>
                  </w:r>
                </w:p>
              </w:tc>
              <w:tc>
                <w:tcPr>
                  <w:tcW w:w="1000" w:type="pct"/>
                  <w:tcBorders>
                    <w:tl2br w:val="nil"/>
                    <w:tr2bl w:val="nil"/>
                  </w:tcBorders>
                  <w:noWrap w:val="0"/>
                  <w:vAlign w:val="center"/>
                </w:tcPr>
                <w:p w14:paraId="572C8848">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w:t>
                  </w:r>
                </w:p>
              </w:tc>
              <w:tc>
                <w:tcPr>
                  <w:tcW w:w="840" w:type="pct"/>
                  <w:tcBorders>
                    <w:tl2br w:val="nil"/>
                    <w:tr2bl w:val="nil"/>
                  </w:tcBorders>
                  <w:noWrap w:val="0"/>
                  <w:vAlign w:val="center"/>
                </w:tcPr>
                <w:p w14:paraId="0FE28089">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w:t>
                  </w:r>
                </w:p>
              </w:tc>
              <w:tc>
                <w:tcPr>
                  <w:tcW w:w="1432" w:type="pct"/>
                  <w:tcBorders>
                    <w:tl2br w:val="nil"/>
                    <w:tr2bl w:val="nil"/>
                  </w:tcBorders>
                  <w:noWrap w:val="0"/>
                  <w:vAlign w:val="center"/>
                </w:tcPr>
                <w:p w14:paraId="7DACEA9C">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color w:val="auto"/>
                      <w:kern w:val="2"/>
                      <w:sz w:val="21"/>
                      <w:szCs w:val="21"/>
                      <w:highlight w:val="none"/>
                      <w:vertAlign w:val="baseline"/>
                      <w:lang w:val="en-US" w:eastAsia="zh-CN" w:bidi="ar-SA"/>
                    </w:rPr>
                    <w:t>6.76</w:t>
                  </w:r>
                </w:p>
              </w:tc>
              <w:tc>
                <w:tcPr>
                  <w:tcW w:w="400" w:type="pct"/>
                  <w:tcBorders>
                    <w:tl2br w:val="nil"/>
                    <w:tr2bl w:val="nil"/>
                  </w:tcBorders>
                  <w:noWrap w:val="0"/>
                  <w:vAlign w:val="center"/>
                </w:tcPr>
                <w:p w14:paraId="3EDA4557">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w:t>
                  </w:r>
                </w:p>
              </w:tc>
            </w:tr>
            <w:tr w14:paraId="5C89E37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5" w:type="pct"/>
                  <w:tcBorders>
                    <w:tl2br w:val="nil"/>
                    <w:tr2bl w:val="nil"/>
                  </w:tcBorders>
                  <w:noWrap w:val="0"/>
                  <w:vAlign w:val="center"/>
                </w:tcPr>
                <w:p w14:paraId="438377BB">
                  <w:pPr>
                    <w:pStyle w:val="49"/>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color w:val="auto"/>
                      <w:kern w:val="0"/>
                      <w:sz w:val="21"/>
                      <w:szCs w:val="21"/>
                      <w:highlight w:val="none"/>
                      <w:u w:val="none"/>
                      <w:lang w:val="en-US" w:eastAsia="zh-CN" w:bidi="ar"/>
                    </w:rPr>
                  </w:pPr>
                  <w:r>
                    <w:rPr>
                      <w:rFonts w:hint="default" w:ascii="Times New Roman" w:hAnsi="Times New Roman" w:eastAsia="宋体" w:cs="Times New Roman"/>
                      <w:b w:val="0"/>
                      <w:bCs/>
                      <w:color w:val="auto"/>
                      <w:sz w:val="21"/>
                      <w:szCs w:val="21"/>
                      <w:highlight w:val="none"/>
                      <w:u w:val="none"/>
                    </w:rPr>
                    <w:t>2</w:t>
                  </w:r>
                </w:p>
              </w:tc>
              <w:tc>
                <w:tcPr>
                  <w:tcW w:w="939" w:type="pct"/>
                  <w:tcBorders>
                    <w:tl2br w:val="nil"/>
                    <w:tr2bl w:val="nil"/>
                  </w:tcBorders>
                  <w:noWrap w:val="0"/>
                  <w:vAlign w:val="center"/>
                </w:tcPr>
                <w:p w14:paraId="4F53F46C">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砷</w:t>
                  </w:r>
                </w:p>
              </w:tc>
              <w:tc>
                <w:tcPr>
                  <w:tcW w:w="1000" w:type="pct"/>
                  <w:tcBorders>
                    <w:tl2br w:val="nil"/>
                    <w:tr2bl w:val="nil"/>
                  </w:tcBorders>
                  <w:noWrap w:val="0"/>
                  <w:vAlign w:val="center"/>
                </w:tcPr>
                <w:p w14:paraId="7F7F292C">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60</w:t>
                  </w:r>
                </w:p>
              </w:tc>
              <w:tc>
                <w:tcPr>
                  <w:tcW w:w="840" w:type="pct"/>
                  <w:tcBorders>
                    <w:tl2br w:val="nil"/>
                    <w:tr2bl w:val="nil"/>
                  </w:tcBorders>
                  <w:noWrap w:val="0"/>
                  <w:vAlign w:val="center"/>
                </w:tcPr>
                <w:p w14:paraId="28264867">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140</w:t>
                  </w:r>
                </w:p>
              </w:tc>
              <w:tc>
                <w:tcPr>
                  <w:tcW w:w="1432" w:type="pct"/>
                  <w:tcBorders>
                    <w:tl2br w:val="nil"/>
                    <w:tr2bl w:val="nil"/>
                  </w:tcBorders>
                  <w:noWrap w:val="0"/>
                  <w:vAlign w:val="center"/>
                </w:tcPr>
                <w:p w14:paraId="3021938F">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color w:val="auto"/>
                      <w:kern w:val="2"/>
                      <w:sz w:val="21"/>
                      <w:szCs w:val="21"/>
                      <w:highlight w:val="none"/>
                      <w:vertAlign w:val="baseline"/>
                      <w:lang w:val="en-US" w:eastAsia="zh-CN" w:bidi="ar-SA"/>
                    </w:rPr>
                    <w:t>17.4</w:t>
                  </w:r>
                </w:p>
              </w:tc>
              <w:tc>
                <w:tcPr>
                  <w:tcW w:w="400" w:type="pct"/>
                  <w:tcBorders>
                    <w:tl2br w:val="nil"/>
                    <w:tr2bl w:val="nil"/>
                  </w:tcBorders>
                  <w:noWrap w:val="0"/>
                  <w:vAlign w:val="center"/>
                </w:tcPr>
                <w:p w14:paraId="11A93329">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达标</w:t>
                  </w:r>
                </w:p>
              </w:tc>
            </w:tr>
            <w:tr w14:paraId="67101A3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5" w:type="pct"/>
                  <w:tcBorders>
                    <w:tl2br w:val="nil"/>
                    <w:tr2bl w:val="nil"/>
                  </w:tcBorders>
                  <w:noWrap w:val="0"/>
                  <w:vAlign w:val="center"/>
                </w:tcPr>
                <w:p w14:paraId="5D72ECF4">
                  <w:pPr>
                    <w:pStyle w:val="49"/>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color w:val="auto"/>
                      <w:kern w:val="0"/>
                      <w:sz w:val="21"/>
                      <w:szCs w:val="21"/>
                      <w:highlight w:val="none"/>
                      <w:u w:val="none"/>
                      <w:lang w:val="en-US" w:eastAsia="zh-CN" w:bidi="ar"/>
                    </w:rPr>
                  </w:pPr>
                  <w:r>
                    <w:rPr>
                      <w:rFonts w:hint="default" w:ascii="Times New Roman" w:hAnsi="Times New Roman" w:eastAsia="宋体" w:cs="Times New Roman"/>
                      <w:b w:val="0"/>
                      <w:bCs/>
                      <w:color w:val="auto"/>
                      <w:sz w:val="21"/>
                      <w:szCs w:val="21"/>
                      <w:highlight w:val="none"/>
                      <w:u w:val="none"/>
                    </w:rPr>
                    <w:t>3</w:t>
                  </w:r>
                </w:p>
              </w:tc>
              <w:tc>
                <w:tcPr>
                  <w:tcW w:w="939" w:type="pct"/>
                  <w:tcBorders>
                    <w:tl2br w:val="nil"/>
                    <w:tr2bl w:val="nil"/>
                  </w:tcBorders>
                  <w:noWrap w:val="0"/>
                  <w:vAlign w:val="center"/>
                </w:tcPr>
                <w:p w14:paraId="0342F397">
                  <w:pPr>
                    <w:pStyle w:val="49"/>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color w:val="auto"/>
                      <w:kern w:val="0"/>
                      <w:sz w:val="21"/>
                      <w:szCs w:val="21"/>
                      <w:highlight w:val="none"/>
                      <w:u w:val="none"/>
                      <w:lang w:val="en-US" w:eastAsia="zh-CN" w:bidi="ar"/>
                    </w:rPr>
                  </w:pPr>
                  <w:r>
                    <w:rPr>
                      <w:rFonts w:hint="default" w:ascii="Times New Roman" w:hAnsi="Times New Roman" w:eastAsia="宋体" w:cs="Times New Roman"/>
                      <w:b w:val="0"/>
                      <w:bCs/>
                      <w:color w:val="auto"/>
                      <w:sz w:val="21"/>
                      <w:szCs w:val="21"/>
                      <w:highlight w:val="none"/>
                      <w:u w:val="none"/>
                    </w:rPr>
                    <w:t>汞</w:t>
                  </w:r>
                </w:p>
              </w:tc>
              <w:tc>
                <w:tcPr>
                  <w:tcW w:w="1000" w:type="pct"/>
                  <w:tcBorders>
                    <w:tl2br w:val="nil"/>
                    <w:tr2bl w:val="nil"/>
                  </w:tcBorders>
                  <w:noWrap w:val="0"/>
                  <w:vAlign w:val="center"/>
                </w:tcPr>
                <w:p w14:paraId="771790D4">
                  <w:pPr>
                    <w:pStyle w:val="49"/>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color w:val="auto"/>
                      <w:kern w:val="0"/>
                      <w:sz w:val="21"/>
                      <w:szCs w:val="21"/>
                      <w:highlight w:val="none"/>
                      <w:u w:val="none"/>
                      <w:lang w:val="en-US" w:eastAsia="zh-CN" w:bidi="ar"/>
                    </w:rPr>
                  </w:pPr>
                  <w:r>
                    <w:rPr>
                      <w:rFonts w:hint="default" w:ascii="Times New Roman" w:hAnsi="Times New Roman" w:eastAsia="宋体" w:cs="Times New Roman"/>
                      <w:b w:val="0"/>
                      <w:bCs/>
                      <w:color w:val="auto"/>
                      <w:sz w:val="21"/>
                      <w:szCs w:val="21"/>
                      <w:highlight w:val="none"/>
                      <w:u w:val="none"/>
                      <w:lang w:val="en-US" w:eastAsia="zh-CN"/>
                    </w:rPr>
                    <w:t>38</w:t>
                  </w:r>
                </w:p>
              </w:tc>
              <w:tc>
                <w:tcPr>
                  <w:tcW w:w="840" w:type="pct"/>
                  <w:tcBorders>
                    <w:tl2br w:val="nil"/>
                    <w:tr2bl w:val="nil"/>
                  </w:tcBorders>
                  <w:noWrap w:val="0"/>
                  <w:vAlign w:val="center"/>
                </w:tcPr>
                <w:p w14:paraId="5E275B92">
                  <w:pPr>
                    <w:pStyle w:val="49"/>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color w:val="auto"/>
                      <w:kern w:val="0"/>
                      <w:sz w:val="21"/>
                      <w:szCs w:val="21"/>
                      <w:highlight w:val="none"/>
                      <w:u w:val="none"/>
                      <w:lang w:val="en-US" w:eastAsia="zh-CN" w:bidi="ar"/>
                    </w:rPr>
                  </w:pPr>
                  <w:r>
                    <w:rPr>
                      <w:rFonts w:hint="default" w:ascii="Times New Roman" w:hAnsi="Times New Roman" w:eastAsia="宋体" w:cs="Times New Roman"/>
                      <w:b w:val="0"/>
                      <w:bCs/>
                      <w:color w:val="auto"/>
                      <w:sz w:val="21"/>
                      <w:szCs w:val="21"/>
                      <w:highlight w:val="none"/>
                      <w:u w:val="none"/>
                      <w:lang w:val="en-US" w:eastAsia="zh-CN"/>
                    </w:rPr>
                    <w:t>82</w:t>
                  </w:r>
                </w:p>
              </w:tc>
              <w:tc>
                <w:tcPr>
                  <w:tcW w:w="1432" w:type="pct"/>
                  <w:tcBorders>
                    <w:tl2br w:val="nil"/>
                    <w:tr2bl w:val="nil"/>
                  </w:tcBorders>
                  <w:noWrap w:val="0"/>
                  <w:vAlign w:val="center"/>
                </w:tcPr>
                <w:p w14:paraId="74A6AA8D">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highlight w:val="none"/>
                      <w:vertAlign w:val="baseline"/>
                      <w:lang w:val="en-US" w:eastAsia="zh-CN" w:bidi="ar-SA"/>
                    </w:rPr>
                  </w:pPr>
                  <w:r>
                    <w:rPr>
                      <w:rFonts w:hint="default" w:ascii="Times New Roman" w:hAnsi="Times New Roman" w:cs="Times New Roman"/>
                      <w:b w:val="0"/>
                      <w:bCs/>
                      <w:color w:val="auto"/>
                      <w:kern w:val="2"/>
                      <w:sz w:val="21"/>
                      <w:szCs w:val="21"/>
                      <w:highlight w:val="none"/>
                      <w:vertAlign w:val="baseline"/>
                      <w:lang w:val="en-US" w:eastAsia="zh-CN" w:bidi="ar-SA"/>
                    </w:rPr>
                    <w:t>0.084</w:t>
                  </w:r>
                </w:p>
              </w:tc>
              <w:tc>
                <w:tcPr>
                  <w:tcW w:w="400" w:type="pct"/>
                  <w:tcBorders>
                    <w:tl2br w:val="nil"/>
                    <w:tr2bl w:val="nil"/>
                  </w:tcBorders>
                  <w:noWrap w:val="0"/>
                  <w:vAlign w:val="center"/>
                </w:tcPr>
                <w:p w14:paraId="4DA5988D">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kern w:val="2"/>
                      <w:sz w:val="21"/>
                      <w:szCs w:val="21"/>
                      <w:highlight w:val="none"/>
                      <w:u w:val="none"/>
                      <w:lang w:val="en-US" w:eastAsia="zh-CN" w:bidi="ar-SA"/>
                    </w:rPr>
                  </w:pPr>
                  <w:r>
                    <w:rPr>
                      <w:rFonts w:hint="default" w:ascii="Times New Roman" w:hAnsi="Times New Roman" w:eastAsia="宋体" w:cs="Times New Roman"/>
                      <w:b w:val="0"/>
                      <w:bCs/>
                      <w:color w:val="auto"/>
                      <w:sz w:val="21"/>
                      <w:szCs w:val="21"/>
                      <w:highlight w:val="none"/>
                      <w:u w:val="none"/>
                      <w:lang w:val="en-US" w:eastAsia="zh-CN"/>
                    </w:rPr>
                    <w:t>达标</w:t>
                  </w:r>
                </w:p>
              </w:tc>
            </w:tr>
            <w:tr w14:paraId="4ABE3C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5" w:type="pct"/>
                  <w:tcBorders>
                    <w:tl2br w:val="nil"/>
                    <w:tr2bl w:val="nil"/>
                  </w:tcBorders>
                  <w:noWrap w:val="0"/>
                  <w:vAlign w:val="center"/>
                </w:tcPr>
                <w:p w14:paraId="23265FB5">
                  <w:pPr>
                    <w:pStyle w:val="49"/>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color w:val="auto"/>
                      <w:kern w:val="0"/>
                      <w:sz w:val="21"/>
                      <w:szCs w:val="21"/>
                      <w:highlight w:val="none"/>
                      <w:u w:val="none"/>
                      <w:lang w:val="en-US" w:eastAsia="zh-CN" w:bidi="ar"/>
                    </w:rPr>
                  </w:pPr>
                  <w:r>
                    <w:rPr>
                      <w:rFonts w:hint="default" w:ascii="Times New Roman" w:hAnsi="Times New Roman" w:eastAsia="宋体" w:cs="Times New Roman"/>
                      <w:b w:val="0"/>
                      <w:bCs/>
                      <w:color w:val="auto"/>
                      <w:sz w:val="21"/>
                      <w:szCs w:val="21"/>
                      <w:highlight w:val="none"/>
                      <w:u w:val="none"/>
                    </w:rPr>
                    <w:t>4</w:t>
                  </w:r>
                </w:p>
              </w:tc>
              <w:tc>
                <w:tcPr>
                  <w:tcW w:w="939" w:type="pct"/>
                  <w:tcBorders>
                    <w:tl2br w:val="nil"/>
                    <w:tr2bl w:val="nil"/>
                  </w:tcBorders>
                  <w:noWrap w:val="0"/>
                  <w:vAlign w:val="center"/>
                </w:tcPr>
                <w:p w14:paraId="40817338">
                  <w:pPr>
                    <w:pStyle w:val="49"/>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color w:val="auto"/>
                      <w:kern w:val="0"/>
                      <w:sz w:val="21"/>
                      <w:szCs w:val="21"/>
                      <w:highlight w:val="none"/>
                      <w:u w:val="none"/>
                      <w:lang w:val="en-US" w:eastAsia="zh-CN" w:bidi="ar"/>
                    </w:rPr>
                  </w:pPr>
                  <w:r>
                    <w:rPr>
                      <w:rFonts w:hint="default" w:ascii="Times New Roman" w:hAnsi="Times New Roman" w:eastAsia="宋体" w:cs="Times New Roman"/>
                      <w:b w:val="0"/>
                      <w:bCs/>
                      <w:color w:val="auto"/>
                      <w:sz w:val="21"/>
                      <w:szCs w:val="21"/>
                      <w:highlight w:val="none"/>
                      <w:u w:val="none"/>
                      <w:lang w:val="en-US" w:eastAsia="zh-CN"/>
                    </w:rPr>
                    <w:t>铬（六价）</w:t>
                  </w:r>
                </w:p>
              </w:tc>
              <w:tc>
                <w:tcPr>
                  <w:tcW w:w="1000" w:type="pct"/>
                  <w:tcBorders>
                    <w:tl2br w:val="nil"/>
                    <w:tr2bl w:val="nil"/>
                  </w:tcBorders>
                  <w:noWrap w:val="0"/>
                  <w:vAlign w:val="center"/>
                </w:tcPr>
                <w:p w14:paraId="5D8A2DB4">
                  <w:pPr>
                    <w:pStyle w:val="49"/>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color w:val="auto"/>
                      <w:kern w:val="0"/>
                      <w:sz w:val="21"/>
                      <w:szCs w:val="21"/>
                      <w:highlight w:val="none"/>
                      <w:u w:val="none"/>
                      <w:lang w:val="en-US" w:eastAsia="zh-CN" w:bidi="ar"/>
                    </w:rPr>
                  </w:pPr>
                  <w:r>
                    <w:rPr>
                      <w:rFonts w:hint="default" w:ascii="Times New Roman" w:hAnsi="Times New Roman" w:eastAsia="宋体" w:cs="Times New Roman"/>
                      <w:b w:val="0"/>
                      <w:bCs/>
                      <w:color w:val="auto"/>
                      <w:sz w:val="21"/>
                      <w:szCs w:val="21"/>
                      <w:highlight w:val="none"/>
                      <w:u w:val="none"/>
                      <w:lang w:val="en-US" w:eastAsia="zh-CN"/>
                    </w:rPr>
                    <w:t>5.7</w:t>
                  </w:r>
                </w:p>
              </w:tc>
              <w:tc>
                <w:tcPr>
                  <w:tcW w:w="840" w:type="pct"/>
                  <w:tcBorders>
                    <w:tl2br w:val="nil"/>
                    <w:tr2bl w:val="nil"/>
                  </w:tcBorders>
                  <w:noWrap w:val="0"/>
                  <w:vAlign w:val="center"/>
                </w:tcPr>
                <w:p w14:paraId="582814D0">
                  <w:pPr>
                    <w:pStyle w:val="49"/>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color w:val="auto"/>
                      <w:kern w:val="0"/>
                      <w:sz w:val="21"/>
                      <w:szCs w:val="21"/>
                      <w:highlight w:val="none"/>
                      <w:u w:val="none"/>
                      <w:lang w:val="en-US" w:eastAsia="zh-CN" w:bidi="ar"/>
                    </w:rPr>
                  </w:pPr>
                  <w:r>
                    <w:rPr>
                      <w:rFonts w:hint="default" w:ascii="Times New Roman" w:hAnsi="Times New Roman" w:eastAsia="宋体" w:cs="Times New Roman"/>
                      <w:b w:val="0"/>
                      <w:bCs/>
                      <w:color w:val="auto"/>
                      <w:sz w:val="21"/>
                      <w:szCs w:val="21"/>
                      <w:highlight w:val="none"/>
                      <w:u w:val="none"/>
                      <w:lang w:val="en-US" w:eastAsia="zh-CN"/>
                    </w:rPr>
                    <w:t>78</w:t>
                  </w:r>
                </w:p>
              </w:tc>
              <w:tc>
                <w:tcPr>
                  <w:tcW w:w="1432" w:type="pct"/>
                  <w:tcBorders>
                    <w:tl2br w:val="nil"/>
                    <w:tr2bl w:val="nil"/>
                  </w:tcBorders>
                  <w:noWrap w:val="0"/>
                  <w:vAlign w:val="center"/>
                </w:tcPr>
                <w:p w14:paraId="47ED9CEB">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ND</w:t>
                  </w:r>
                </w:p>
              </w:tc>
              <w:tc>
                <w:tcPr>
                  <w:tcW w:w="400" w:type="pct"/>
                  <w:tcBorders>
                    <w:tl2br w:val="nil"/>
                    <w:tr2bl w:val="nil"/>
                  </w:tcBorders>
                  <w:noWrap w:val="0"/>
                  <w:vAlign w:val="center"/>
                </w:tcPr>
                <w:p w14:paraId="6F78C2D7">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kern w:val="2"/>
                      <w:sz w:val="21"/>
                      <w:szCs w:val="21"/>
                      <w:highlight w:val="none"/>
                      <w:u w:val="none"/>
                      <w:lang w:val="en-US" w:eastAsia="zh-CN" w:bidi="ar-SA"/>
                    </w:rPr>
                  </w:pPr>
                  <w:r>
                    <w:rPr>
                      <w:rFonts w:hint="default" w:ascii="Times New Roman" w:hAnsi="Times New Roman" w:eastAsia="宋体" w:cs="Times New Roman"/>
                      <w:b w:val="0"/>
                      <w:bCs/>
                      <w:color w:val="auto"/>
                      <w:sz w:val="21"/>
                      <w:szCs w:val="21"/>
                      <w:highlight w:val="none"/>
                      <w:u w:val="none"/>
                      <w:lang w:val="en-US" w:eastAsia="zh-CN"/>
                    </w:rPr>
                    <w:t>达标</w:t>
                  </w:r>
                </w:p>
              </w:tc>
            </w:tr>
            <w:tr w14:paraId="1077534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5" w:type="pct"/>
                  <w:tcBorders>
                    <w:tl2br w:val="nil"/>
                    <w:tr2bl w:val="nil"/>
                  </w:tcBorders>
                  <w:noWrap w:val="0"/>
                  <w:vAlign w:val="center"/>
                </w:tcPr>
                <w:p w14:paraId="2FDAB129">
                  <w:pPr>
                    <w:pStyle w:val="49"/>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color w:val="auto"/>
                      <w:kern w:val="0"/>
                      <w:sz w:val="21"/>
                      <w:szCs w:val="21"/>
                      <w:highlight w:val="none"/>
                      <w:u w:val="none"/>
                      <w:lang w:val="en-US" w:eastAsia="zh-CN" w:bidi="ar"/>
                    </w:rPr>
                  </w:pPr>
                  <w:r>
                    <w:rPr>
                      <w:rFonts w:hint="default" w:ascii="Times New Roman" w:hAnsi="Times New Roman" w:eastAsia="宋体" w:cs="Times New Roman"/>
                      <w:b w:val="0"/>
                      <w:bCs/>
                      <w:color w:val="auto"/>
                      <w:sz w:val="21"/>
                      <w:szCs w:val="21"/>
                      <w:highlight w:val="none"/>
                      <w:u w:val="none"/>
                    </w:rPr>
                    <w:t>5</w:t>
                  </w:r>
                </w:p>
              </w:tc>
              <w:tc>
                <w:tcPr>
                  <w:tcW w:w="939" w:type="pct"/>
                  <w:tcBorders>
                    <w:tl2br w:val="nil"/>
                    <w:tr2bl w:val="nil"/>
                  </w:tcBorders>
                  <w:noWrap w:val="0"/>
                  <w:vAlign w:val="center"/>
                </w:tcPr>
                <w:p w14:paraId="05C2E812">
                  <w:pPr>
                    <w:pStyle w:val="49"/>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color w:val="auto"/>
                      <w:kern w:val="0"/>
                      <w:sz w:val="21"/>
                      <w:szCs w:val="21"/>
                      <w:highlight w:val="none"/>
                      <w:u w:val="none"/>
                      <w:lang w:val="en-US" w:eastAsia="zh-CN" w:bidi="ar"/>
                    </w:rPr>
                  </w:pPr>
                  <w:r>
                    <w:rPr>
                      <w:rFonts w:hint="default" w:ascii="Times New Roman" w:hAnsi="Times New Roman" w:eastAsia="宋体" w:cs="Times New Roman"/>
                      <w:b w:val="0"/>
                      <w:bCs/>
                      <w:color w:val="auto"/>
                      <w:sz w:val="21"/>
                      <w:szCs w:val="21"/>
                      <w:highlight w:val="none"/>
                      <w:u w:val="none"/>
                    </w:rPr>
                    <w:t>铜</w:t>
                  </w:r>
                </w:p>
              </w:tc>
              <w:tc>
                <w:tcPr>
                  <w:tcW w:w="1000" w:type="pct"/>
                  <w:tcBorders>
                    <w:tl2br w:val="nil"/>
                    <w:tr2bl w:val="nil"/>
                  </w:tcBorders>
                  <w:noWrap w:val="0"/>
                  <w:vAlign w:val="center"/>
                </w:tcPr>
                <w:p w14:paraId="799094B3">
                  <w:pPr>
                    <w:pStyle w:val="49"/>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color w:val="auto"/>
                      <w:kern w:val="0"/>
                      <w:sz w:val="21"/>
                      <w:szCs w:val="21"/>
                      <w:highlight w:val="none"/>
                      <w:u w:val="none"/>
                      <w:lang w:val="en-US" w:eastAsia="zh-CN" w:bidi="ar"/>
                    </w:rPr>
                  </w:pPr>
                  <w:r>
                    <w:rPr>
                      <w:rFonts w:hint="default" w:ascii="Times New Roman" w:hAnsi="Times New Roman" w:eastAsia="宋体" w:cs="Times New Roman"/>
                      <w:b w:val="0"/>
                      <w:bCs/>
                      <w:color w:val="auto"/>
                      <w:sz w:val="21"/>
                      <w:szCs w:val="21"/>
                      <w:highlight w:val="none"/>
                      <w:u w:val="none"/>
                      <w:lang w:val="en-US" w:eastAsia="zh-CN"/>
                    </w:rPr>
                    <w:t>18000</w:t>
                  </w:r>
                </w:p>
              </w:tc>
              <w:tc>
                <w:tcPr>
                  <w:tcW w:w="840" w:type="pct"/>
                  <w:tcBorders>
                    <w:tl2br w:val="nil"/>
                    <w:tr2bl w:val="nil"/>
                  </w:tcBorders>
                  <w:noWrap w:val="0"/>
                  <w:vAlign w:val="center"/>
                </w:tcPr>
                <w:p w14:paraId="5817CAA1">
                  <w:pPr>
                    <w:pStyle w:val="49"/>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color w:val="auto"/>
                      <w:kern w:val="0"/>
                      <w:sz w:val="21"/>
                      <w:szCs w:val="21"/>
                      <w:highlight w:val="none"/>
                      <w:u w:val="none"/>
                      <w:lang w:val="en-US" w:eastAsia="zh-CN" w:bidi="ar"/>
                    </w:rPr>
                  </w:pPr>
                  <w:r>
                    <w:rPr>
                      <w:rFonts w:hint="default" w:ascii="Times New Roman" w:hAnsi="Times New Roman" w:eastAsia="宋体" w:cs="Times New Roman"/>
                      <w:b w:val="0"/>
                      <w:bCs/>
                      <w:color w:val="auto"/>
                      <w:sz w:val="21"/>
                      <w:szCs w:val="21"/>
                      <w:highlight w:val="none"/>
                      <w:u w:val="none"/>
                      <w:lang w:val="en-US" w:eastAsia="zh-CN"/>
                    </w:rPr>
                    <w:t>36000</w:t>
                  </w:r>
                </w:p>
              </w:tc>
              <w:tc>
                <w:tcPr>
                  <w:tcW w:w="1432" w:type="pct"/>
                  <w:tcBorders>
                    <w:tl2br w:val="nil"/>
                    <w:tr2bl w:val="nil"/>
                  </w:tcBorders>
                  <w:noWrap w:val="0"/>
                  <w:vAlign w:val="center"/>
                </w:tcPr>
                <w:p w14:paraId="374898C7">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highlight w:val="none"/>
                      <w:vertAlign w:val="baseline"/>
                      <w:lang w:val="en-US" w:eastAsia="zh-CN" w:bidi="ar-SA"/>
                    </w:rPr>
                  </w:pPr>
                  <w:r>
                    <w:rPr>
                      <w:rFonts w:hint="default" w:ascii="Times New Roman" w:hAnsi="Times New Roman" w:cs="Times New Roman"/>
                      <w:b w:val="0"/>
                      <w:bCs/>
                      <w:color w:val="auto"/>
                      <w:kern w:val="2"/>
                      <w:sz w:val="21"/>
                      <w:szCs w:val="21"/>
                      <w:highlight w:val="none"/>
                      <w:vertAlign w:val="baseline"/>
                      <w:lang w:val="en-US" w:eastAsia="zh-CN" w:bidi="ar-SA"/>
                    </w:rPr>
                    <w:t>50</w:t>
                  </w:r>
                </w:p>
              </w:tc>
              <w:tc>
                <w:tcPr>
                  <w:tcW w:w="400" w:type="pct"/>
                  <w:tcBorders>
                    <w:tl2br w:val="nil"/>
                    <w:tr2bl w:val="nil"/>
                  </w:tcBorders>
                  <w:noWrap w:val="0"/>
                  <w:vAlign w:val="center"/>
                </w:tcPr>
                <w:p w14:paraId="06572BBD">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kern w:val="2"/>
                      <w:sz w:val="21"/>
                      <w:szCs w:val="21"/>
                      <w:highlight w:val="none"/>
                      <w:u w:val="none"/>
                      <w:lang w:val="en-US" w:eastAsia="zh-CN" w:bidi="ar-SA"/>
                    </w:rPr>
                  </w:pPr>
                  <w:r>
                    <w:rPr>
                      <w:rFonts w:hint="default" w:ascii="Times New Roman" w:hAnsi="Times New Roman" w:eastAsia="宋体" w:cs="Times New Roman"/>
                      <w:b w:val="0"/>
                      <w:bCs/>
                      <w:color w:val="auto"/>
                      <w:sz w:val="21"/>
                      <w:szCs w:val="21"/>
                      <w:highlight w:val="none"/>
                      <w:u w:val="none"/>
                      <w:lang w:val="en-US" w:eastAsia="zh-CN"/>
                    </w:rPr>
                    <w:t>达标</w:t>
                  </w:r>
                </w:p>
              </w:tc>
            </w:tr>
            <w:tr w14:paraId="7B10FD8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5" w:type="pct"/>
                  <w:tcBorders>
                    <w:tl2br w:val="nil"/>
                    <w:tr2bl w:val="nil"/>
                  </w:tcBorders>
                  <w:noWrap w:val="0"/>
                  <w:vAlign w:val="center"/>
                </w:tcPr>
                <w:p w14:paraId="3B85EE09">
                  <w:pPr>
                    <w:pStyle w:val="49"/>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color w:val="auto"/>
                      <w:kern w:val="0"/>
                      <w:sz w:val="21"/>
                      <w:szCs w:val="21"/>
                      <w:highlight w:val="none"/>
                      <w:u w:val="none"/>
                      <w:lang w:val="en-US" w:eastAsia="zh-CN" w:bidi="ar"/>
                    </w:rPr>
                  </w:pPr>
                  <w:r>
                    <w:rPr>
                      <w:rFonts w:hint="default" w:ascii="Times New Roman" w:hAnsi="Times New Roman" w:eastAsia="宋体" w:cs="Times New Roman"/>
                      <w:b w:val="0"/>
                      <w:bCs/>
                      <w:color w:val="auto"/>
                      <w:sz w:val="21"/>
                      <w:szCs w:val="21"/>
                      <w:highlight w:val="none"/>
                      <w:u w:val="none"/>
                    </w:rPr>
                    <w:t>6</w:t>
                  </w:r>
                </w:p>
              </w:tc>
              <w:tc>
                <w:tcPr>
                  <w:tcW w:w="939" w:type="pct"/>
                  <w:tcBorders>
                    <w:tl2br w:val="nil"/>
                    <w:tr2bl w:val="nil"/>
                  </w:tcBorders>
                  <w:noWrap w:val="0"/>
                  <w:vAlign w:val="center"/>
                </w:tcPr>
                <w:p w14:paraId="20340536">
                  <w:pPr>
                    <w:pStyle w:val="49"/>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color w:val="auto"/>
                      <w:kern w:val="0"/>
                      <w:sz w:val="21"/>
                      <w:szCs w:val="21"/>
                      <w:highlight w:val="none"/>
                      <w:u w:val="none"/>
                      <w:lang w:val="en-US" w:eastAsia="zh-CN" w:bidi="ar"/>
                    </w:rPr>
                  </w:pPr>
                  <w:r>
                    <w:rPr>
                      <w:rFonts w:hint="default" w:ascii="Times New Roman" w:hAnsi="Times New Roman" w:eastAsia="宋体" w:cs="Times New Roman"/>
                      <w:b w:val="0"/>
                      <w:bCs/>
                      <w:color w:val="auto"/>
                      <w:sz w:val="21"/>
                      <w:szCs w:val="21"/>
                      <w:highlight w:val="none"/>
                      <w:u w:val="none"/>
                    </w:rPr>
                    <w:t>铅</w:t>
                  </w:r>
                </w:p>
              </w:tc>
              <w:tc>
                <w:tcPr>
                  <w:tcW w:w="1000" w:type="pct"/>
                  <w:tcBorders>
                    <w:tl2br w:val="nil"/>
                    <w:tr2bl w:val="nil"/>
                  </w:tcBorders>
                  <w:noWrap w:val="0"/>
                  <w:vAlign w:val="center"/>
                </w:tcPr>
                <w:p w14:paraId="26CF0F6E">
                  <w:pPr>
                    <w:pStyle w:val="49"/>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color w:val="auto"/>
                      <w:kern w:val="0"/>
                      <w:sz w:val="21"/>
                      <w:szCs w:val="21"/>
                      <w:highlight w:val="none"/>
                      <w:u w:val="none"/>
                      <w:lang w:val="en-US" w:eastAsia="zh-CN" w:bidi="ar"/>
                    </w:rPr>
                  </w:pPr>
                  <w:r>
                    <w:rPr>
                      <w:rFonts w:hint="default" w:ascii="Times New Roman" w:hAnsi="Times New Roman" w:eastAsia="宋体" w:cs="Times New Roman"/>
                      <w:b w:val="0"/>
                      <w:bCs/>
                      <w:color w:val="auto"/>
                      <w:sz w:val="21"/>
                      <w:szCs w:val="21"/>
                      <w:highlight w:val="none"/>
                      <w:u w:val="none"/>
                      <w:lang w:val="en-US" w:eastAsia="zh-CN"/>
                    </w:rPr>
                    <w:t>800</w:t>
                  </w:r>
                </w:p>
              </w:tc>
              <w:tc>
                <w:tcPr>
                  <w:tcW w:w="840" w:type="pct"/>
                  <w:tcBorders>
                    <w:tl2br w:val="nil"/>
                    <w:tr2bl w:val="nil"/>
                  </w:tcBorders>
                  <w:noWrap w:val="0"/>
                  <w:vAlign w:val="center"/>
                </w:tcPr>
                <w:p w14:paraId="51363B6F">
                  <w:pPr>
                    <w:pStyle w:val="49"/>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color w:val="auto"/>
                      <w:kern w:val="0"/>
                      <w:sz w:val="21"/>
                      <w:szCs w:val="21"/>
                      <w:highlight w:val="none"/>
                      <w:u w:val="none"/>
                      <w:lang w:val="en-US" w:eastAsia="zh-CN" w:bidi="ar"/>
                    </w:rPr>
                  </w:pPr>
                  <w:r>
                    <w:rPr>
                      <w:rFonts w:hint="default" w:ascii="Times New Roman" w:hAnsi="Times New Roman" w:eastAsia="宋体" w:cs="Times New Roman"/>
                      <w:b w:val="0"/>
                      <w:bCs/>
                      <w:color w:val="auto"/>
                      <w:sz w:val="21"/>
                      <w:szCs w:val="21"/>
                      <w:highlight w:val="none"/>
                      <w:u w:val="none"/>
                      <w:lang w:val="en-US" w:eastAsia="zh-CN"/>
                    </w:rPr>
                    <w:t>2500</w:t>
                  </w:r>
                </w:p>
              </w:tc>
              <w:tc>
                <w:tcPr>
                  <w:tcW w:w="1432" w:type="pct"/>
                  <w:tcBorders>
                    <w:tl2br w:val="nil"/>
                    <w:tr2bl w:val="nil"/>
                  </w:tcBorders>
                  <w:noWrap w:val="0"/>
                  <w:vAlign w:val="center"/>
                </w:tcPr>
                <w:p w14:paraId="37F488B7">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highlight w:val="none"/>
                      <w:vertAlign w:val="baseline"/>
                      <w:lang w:val="en-US" w:eastAsia="zh-CN" w:bidi="ar-SA"/>
                    </w:rPr>
                  </w:pPr>
                  <w:r>
                    <w:rPr>
                      <w:rFonts w:hint="default" w:ascii="Times New Roman" w:hAnsi="Times New Roman" w:cs="Times New Roman"/>
                      <w:b w:val="0"/>
                      <w:bCs/>
                      <w:color w:val="auto"/>
                      <w:kern w:val="2"/>
                      <w:sz w:val="21"/>
                      <w:szCs w:val="21"/>
                      <w:highlight w:val="none"/>
                      <w:vertAlign w:val="baseline"/>
                      <w:lang w:val="en-US" w:eastAsia="zh-CN" w:bidi="ar-SA"/>
                    </w:rPr>
                    <w:t>58</w:t>
                  </w:r>
                </w:p>
              </w:tc>
              <w:tc>
                <w:tcPr>
                  <w:tcW w:w="400" w:type="pct"/>
                  <w:tcBorders>
                    <w:tl2br w:val="nil"/>
                    <w:tr2bl w:val="nil"/>
                  </w:tcBorders>
                  <w:noWrap w:val="0"/>
                  <w:vAlign w:val="center"/>
                </w:tcPr>
                <w:p w14:paraId="0789FD86">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kern w:val="2"/>
                      <w:sz w:val="21"/>
                      <w:szCs w:val="21"/>
                      <w:highlight w:val="none"/>
                      <w:u w:val="none"/>
                      <w:lang w:val="en-US" w:eastAsia="zh-CN" w:bidi="ar-SA"/>
                    </w:rPr>
                  </w:pPr>
                  <w:r>
                    <w:rPr>
                      <w:rFonts w:hint="default" w:ascii="Times New Roman" w:hAnsi="Times New Roman" w:eastAsia="宋体" w:cs="Times New Roman"/>
                      <w:b w:val="0"/>
                      <w:bCs/>
                      <w:color w:val="auto"/>
                      <w:sz w:val="21"/>
                      <w:szCs w:val="21"/>
                      <w:highlight w:val="none"/>
                      <w:u w:val="none"/>
                      <w:lang w:val="en-US" w:eastAsia="zh-CN"/>
                    </w:rPr>
                    <w:t>达标</w:t>
                  </w:r>
                </w:p>
              </w:tc>
            </w:tr>
            <w:tr w14:paraId="066098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5" w:type="pct"/>
                  <w:tcBorders>
                    <w:tl2br w:val="nil"/>
                    <w:tr2bl w:val="nil"/>
                  </w:tcBorders>
                  <w:noWrap w:val="0"/>
                  <w:vAlign w:val="center"/>
                </w:tcPr>
                <w:p w14:paraId="3B1DBB92">
                  <w:pPr>
                    <w:pStyle w:val="49"/>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color w:val="auto"/>
                      <w:kern w:val="0"/>
                      <w:sz w:val="21"/>
                      <w:szCs w:val="21"/>
                      <w:highlight w:val="none"/>
                      <w:u w:val="none"/>
                      <w:lang w:val="en-US" w:eastAsia="zh-CN" w:bidi="ar"/>
                    </w:rPr>
                  </w:pPr>
                  <w:r>
                    <w:rPr>
                      <w:rFonts w:hint="default" w:ascii="Times New Roman" w:hAnsi="Times New Roman" w:eastAsia="宋体" w:cs="Times New Roman"/>
                      <w:b w:val="0"/>
                      <w:bCs/>
                      <w:color w:val="auto"/>
                      <w:kern w:val="0"/>
                      <w:sz w:val="21"/>
                      <w:szCs w:val="21"/>
                      <w:highlight w:val="none"/>
                      <w:u w:val="none"/>
                      <w:lang w:val="en-US" w:eastAsia="zh-CN" w:bidi="ar"/>
                    </w:rPr>
                    <w:t>7</w:t>
                  </w:r>
                </w:p>
              </w:tc>
              <w:tc>
                <w:tcPr>
                  <w:tcW w:w="939" w:type="pct"/>
                  <w:tcBorders>
                    <w:tl2br w:val="nil"/>
                    <w:tr2bl w:val="nil"/>
                  </w:tcBorders>
                  <w:noWrap w:val="0"/>
                  <w:vAlign w:val="center"/>
                </w:tcPr>
                <w:p w14:paraId="30AB3489">
                  <w:pPr>
                    <w:pStyle w:val="49"/>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color w:val="auto"/>
                      <w:kern w:val="0"/>
                      <w:sz w:val="21"/>
                      <w:szCs w:val="21"/>
                      <w:highlight w:val="none"/>
                      <w:u w:val="none"/>
                      <w:lang w:val="en-US" w:eastAsia="zh-CN" w:bidi="ar"/>
                    </w:rPr>
                  </w:pPr>
                  <w:r>
                    <w:rPr>
                      <w:rFonts w:hint="default" w:ascii="Times New Roman" w:hAnsi="Times New Roman" w:eastAsia="宋体" w:cs="Times New Roman"/>
                      <w:b w:val="0"/>
                      <w:bCs/>
                      <w:color w:val="auto"/>
                      <w:sz w:val="21"/>
                      <w:szCs w:val="21"/>
                      <w:highlight w:val="none"/>
                      <w:u w:val="none"/>
                    </w:rPr>
                    <w:t>镍</w:t>
                  </w:r>
                </w:p>
              </w:tc>
              <w:tc>
                <w:tcPr>
                  <w:tcW w:w="1000" w:type="pct"/>
                  <w:tcBorders>
                    <w:tl2br w:val="nil"/>
                    <w:tr2bl w:val="nil"/>
                  </w:tcBorders>
                  <w:noWrap w:val="0"/>
                  <w:vAlign w:val="center"/>
                </w:tcPr>
                <w:p w14:paraId="54F618D8">
                  <w:pPr>
                    <w:pStyle w:val="49"/>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color w:val="auto"/>
                      <w:kern w:val="0"/>
                      <w:sz w:val="21"/>
                      <w:szCs w:val="21"/>
                      <w:highlight w:val="none"/>
                      <w:u w:val="none"/>
                      <w:lang w:val="en-US" w:eastAsia="zh-CN" w:bidi="ar"/>
                    </w:rPr>
                  </w:pPr>
                  <w:r>
                    <w:rPr>
                      <w:rFonts w:hint="default" w:ascii="Times New Roman" w:hAnsi="Times New Roman" w:eastAsia="宋体" w:cs="Times New Roman"/>
                      <w:b w:val="0"/>
                      <w:bCs/>
                      <w:color w:val="auto"/>
                      <w:sz w:val="21"/>
                      <w:szCs w:val="21"/>
                      <w:highlight w:val="none"/>
                      <w:u w:val="none"/>
                      <w:lang w:val="en-US" w:eastAsia="zh-CN"/>
                    </w:rPr>
                    <w:t>900</w:t>
                  </w:r>
                </w:p>
              </w:tc>
              <w:tc>
                <w:tcPr>
                  <w:tcW w:w="840" w:type="pct"/>
                  <w:tcBorders>
                    <w:tl2br w:val="nil"/>
                    <w:tr2bl w:val="nil"/>
                  </w:tcBorders>
                  <w:noWrap w:val="0"/>
                  <w:vAlign w:val="center"/>
                </w:tcPr>
                <w:p w14:paraId="0826355F">
                  <w:pPr>
                    <w:pStyle w:val="49"/>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color w:val="auto"/>
                      <w:kern w:val="0"/>
                      <w:sz w:val="21"/>
                      <w:szCs w:val="21"/>
                      <w:highlight w:val="none"/>
                      <w:u w:val="none"/>
                      <w:lang w:val="en-US" w:eastAsia="zh-CN" w:bidi="ar"/>
                    </w:rPr>
                  </w:pPr>
                  <w:r>
                    <w:rPr>
                      <w:rFonts w:hint="default" w:ascii="Times New Roman" w:hAnsi="Times New Roman" w:eastAsia="宋体" w:cs="Times New Roman"/>
                      <w:b w:val="0"/>
                      <w:bCs/>
                      <w:color w:val="auto"/>
                      <w:sz w:val="21"/>
                      <w:szCs w:val="21"/>
                      <w:highlight w:val="none"/>
                      <w:u w:val="none"/>
                      <w:lang w:val="en-US" w:eastAsia="zh-CN"/>
                    </w:rPr>
                    <w:t>2000</w:t>
                  </w:r>
                </w:p>
              </w:tc>
              <w:tc>
                <w:tcPr>
                  <w:tcW w:w="1432" w:type="pct"/>
                  <w:tcBorders>
                    <w:tl2br w:val="nil"/>
                    <w:tr2bl w:val="nil"/>
                  </w:tcBorders>
                  <w:noWrap w:val="0"/>
                  <w:vAlign w:val="center"/>
                </w:tcPr>
                <w:p w14:paraId="1EA4A8FC">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 w:val="0"/>
                      <w:bCs/>
                      <w:color w:val="auto"/>
                      <w:kern w:val="2"/>
                      <w:sz w:val="21"/>
                      <w:szCs w:val="21"/>
                      <w:highlight w:val="none"/>
                      <w:vertAlign w:val="baseline"/>
                      <w:lang w:val="en-US" w:eastAsia="zh-CN" w:bidi="ar-SA"/>
                    </w:rPr>
                  </w:pPr>
                  <w:r>
                    <w:rPr>
                      <w:rFonts w:hint="default" w:ascii="Times New Roman" w:hAnsi="Times New Roman" w:cs="Times New Roman"/>
                      <w:b w:val="0"/>
                      <w:bCs/>
                      <w:color w:val="auto"/>
                      <w:kern w:val="2"/>
                      <w:sz w:val="21"/>
                      <w:szCs w:val="21"/>
                      <w:highlight w:val="none"/>
                      <w:vertAlign w:val="baseline"/>
                      <w:lang w:val="en-US" w:eastAsia="zh-CN" w:bidi="ar-SA"/>
                    </w:rPr>
                    <w:t>45</w:t>
                  </w:r>
                </w:p>
              </w:tc>
              <w:tc>
                <w:tcPr>
                  <w:tcW w:w="400" w:type="pct"/>
                  <w:tcBorders>
                    <w:tl2br w:val="nil"/>
                    <w:tr2bl w:val="nil"/>
                  </w:tcBorders>
                  <w:noWrap w:val="0"/>
                  <w:vAlign w:val="center"/>
                </w:tcPr>
                <w:p w14:paraId="3BE684DC">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kern w:val="2"/>
                      <w:sz w:val="21"/>
                      <w:szCs w:val="21"/>
                      <w:highlight w:val="none"/>
                      <w:u w:val="none"/>
                      <w:lang w:val="en-US" w:eastAsia="zh-CN" w:bidi="ar-SA"/>
                    </w:rPr>
                  </w:pPr>
                  <w:r>
                    <w:rPr>
                      <w:rFonts w:hint="default" w:ascii="Times New Roman" w:hAnsi="Times New Roman" w:eastAsia="宋体" w:cs="Times New Roman"/>
                      <w:b w:val="0"/>
                      <w:bCs/>
                      <w:color w:val="auto"/>
                      <w:sz w:val="21"/>
                      <w:szCs w:val="21"/>
                      <w:highlight w:val="none"/>
                      <w:u w:val="none"/>
                      <w:lang w:val="en-US" w:eastAsia="zh-CN"/>
                    </w:rPr>
                    <w:t>达标</w:t>
                  </w:r>
                </w:p>
              </w:tc>
            </w:tr>
            <w:tr w14:paraId="3A8322C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385" w:type="pct"/>
                  <w:tcBorders>
                    <w:tl2br w:val="nil"/>
                    <w:tr2bl w:val="nil"/>
                  </w:tcBorders>
                  <w:noWrap w:val="0"/>
                  <w:vAlign w:val="center"/>
                </w:tcPr>
                <w:p w14:paraId="47DDF03A">
                  <w:pPr>
                    <w:pStyle w:val="49"/>
                    <w:keepNext w:val="0"/>
                    <w:keepLines w:val="0"/>
                    <w:pageBreakBefore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color w:val="auto"/>
                      <w:kern w:val="0"/>
                      <w:sz w:val="21"/>
                      <w:szCs w:val="21"/>
                      <w:highlight w:val="none"/>
                      <w:u w:val="none"/>
                      <w:lang w:val="en-US" w:eastAsia="zh-CN" w:bidi="ar"/>
                    </w:rPr>
                  </w:pPr>
                  <w:r>
                    <w:rPr>
                      <w:rFonts w:hint="default" w:ascii="Times New Roman" w:hAnsi="Times New Roman" w:eastAsia="宋体" w:cs="Times New Roman"/>
                      <w:b w:val="0"/>
                      <w:bCs/>
                      <w:color w:val="auto"/>
                      <w:kern w:val="0"/>
                      <w:sz w:val="21"/>
                      <w:szCs w:val="21"/>
                      <w:highlight w:val="none"/>
                      <w:u w:val="none"/>
                      <w:lang w:val="en-US" w:eastAsia="zh-CN" w:bidi="ar"/>
                    </w:rPr>
                    <w:t>8</w:t>
                  </w:r>
                </w:p>
              </w:tc>
              <w:tc>
                <w:tcPr>
                  <w:tcW w:w="939" w:type="pct"/>
                  <w:tcBorders>
                    <w:tl2br w:val="nil"/>
                    <w:tr2bl w:val="nil"/>
                  </w:tcBorders>
                  <w:noWrap w:val="0"/>
                  <w:vAlign w:val="center"/>
                </w:tcPr>
                <w:p w14:paraId="7640C4DC">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rPr>
                  </w:pPr>
                  <w:r>
                    <w:rPr>
                      <w:rFonts w:hint="default" w:ascii="Times New Roman" w:hAnsi="Times New Roman" w:eastAsia="宋体" w:cs="Times New Roman"/>
                      <w:b w:val="0"/>
                      <w:bCs/>
                      <w:color w:val="auto"/>
                      <w:sz w:val="21"/>
                      <w:szCs w:val="21"/>
                      <w:highlight w:val="none"/>
                      <w:u w:val="none"/>
                    </w:rPr>
                    <w:t>镉</w:t>
                  </w:r>
                </w:p>
              </w:tc>
              <w:tc>
                <w:tcPr>
                  <w:tcW w:w="1000" w:type="pct"/>
                  <w:tcBorders>
                    <w:tl2br w:val="nil"/>
                    <w:tr2bl w:val="nil"/>
                  </w:tcBorders>
                  <w:noWrap w:val="0"/>
                  <w:vAlign w:val="center"/>
                </w:tcPr>
                <w:p w14:paraId="228E82F5">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65</w:t>
                  </w:r>
                </w:p>
              </w:tc>
              <w:tc>
                <w:tcPr>
                  <w:tcW w:w="840" w:type="pct"/>
                  <w:tcBorders>
                    <w:tl2br w:val="nil"/>
                    <w:tr2bl w:val="nil"/>
                  </w:tcBorders>
                  <w:noWrap w:val="0"/>
                  <w:vAlign w:val="center"/>
                </w:tcPr>
                <w:p w14:paraId="58BCAFB6">
                  <w:pPr>
                    <w:pStyle w:val="49"/>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eastAsia="宋体" w:cs="Times New Roman"/>
                      <w:b w:val="0"/>
                      <w:bCs/>
                      <w:color w:val="auto"/>
                      <w:sz w:val="21"/>
                      <w:szCs w:val="21"/>
                      <w:highlight w:val="none"/>
                      <w:u w:val="none"/>
                      <w:lang w:val="en-US" w:eastAsia="zh-CN"/>
                    </w:rPr>
                    <w:t>172</w:t>
                  </w:r>
                </w:p>
              </w:tc>
              <w:tc>
                <w:tcPr>
                  <w:tcW w:w="1432" w:type="pct"/>
                  <w:tcBorders>
                    <w:tl2br w:val="nil"/>
                    <w:tr2bl w:val="nil"/>
                  </w:tcBorders>
                  <w:noWrap w:val="0"/>
                  <w:vAlign w:val="center"/>
                </w:tcPr>
                <w:p w14:paraId="018F728E">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val="0"/>
                      <w:bCs/>
                      <w:color w:val="auto"/>
                      <w:sz w:val="21"/>
                      <w:szCs w:val="21"/>
                      <w:highlight w:val="none"/>
                      <w:u w:val="none"/>
                      <w:lang w:val="en-US" w:eastAsia="zh-CN"/>
                    </w:rPr>
                  </w:pPr>
                  <w:r>
                    <w:rPr>
                      <w:rFonts w:hint="default" w:ascii="Times New Roman" w:hAnsi="Times New Roman" w:cs="Times New Roman"/>
                      <w:b w:val="0"/>
                      <w:bCs/>
                      <w:color w:val="auto"/>
                      <w:kern w:val="2"/>
                      <w:sz w:val="21"/>
                      <w:szCs w:val="21"/>
                      <w:highlight w:val="none"/>
                      <w:vertAlign w:val="baseline"/>
                      <w:lang w:val="en-US" w:eastAsia="zh-CN" w:bidi="ar-SA"/>
                    </w:rPr>
                    <w:t>0.72</w:t>
                  </w:r>
                </w:p>
              </w:tc>
              <w:tc>
                <w:tcPr>
                  <w:tcW w:w="400" w:type="pct"/>
                  <w:tcBorders>
                    <w:tl2br w:val="nil"/>
                    <w:tr2bl w:val="nil"/>
                  </w:tcBorders>
                  <w:noWrap w:val="0"/>
                  <w:vAlign w:val="center"/>
                </w:tcPr>
                <w:p w14:paraId="7A4D654C">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color w:val="auto"/>
                      <w:kern w:val="2"/>
                      <w:sz w:val="21"/>
                      <w:szCs w:val="21"/>
                      <w:highlight w:val="none"/>
                      <w:u w:val="none"/>
                      <w:lang w:val="en-US" w:eastAsia="zh-CN" w:bidi="ar-SA"/>
                    </w:rPr>
                  </w:pPr>
                  <w:r>
                    <w:rPr>
                      <w:rFonts w:hint="default" w:ascii="Times New Roman" w:hAnsi="Times New Roman" w:eastAsia="宋体" w:cs="Times New Roman"/>
                      <w:b w:val="0"/>
                      <w:bCs/>
                      <w:color w:val="auto"/>
                      <w:sz w:val="21"/>
                      <w:szCs w:val="21"/>
                      <w:highlight w:val="none"/>
                      <w:u w:val="none"/>
                      <w:lang w:val="en-US" w:eastAsia="zh-CN"/>
                    </w:rPr>
                    <w:t>达标</w:t>
                  </w:r>
                </w:p>
              </w:tc>
            </w:tr>
          </w:tbl>
          <w:p w14:paraId="4AA2C2A0">
            <w:pPr>
              <w:pStyle w:val="8"/>
              <w:keepNext w:val="0"/>
              <w:keepLines w:val="0"/>
              <w:pageBreakBefore w:val="0"/>
              <w:widowControl/>
              <w:kinsoku/>
              <w:wordWrap/>
              <w:overflowPunct/>
              <w:topLinePunct w:val="0"/>
              <w:autoSpaceDE/>
              <w:autoSpaceDN/>
              <w:bidi w:val="0"/>
              <w:adjustRightInd w:val="0"/>
              <w:snapToGrid w:val="0"/>
              <w:spacing w:before="156" w:beforeLines="50" w:line="240" w:lineRule="auto"/>
              <w:ind w:left="0" w:right="0" w:firstLine="0"/>
              <w:jc w:val="center"/>
              <w:textAlignment w:val="auto"/>
              <w:rPr>
                <w:rFonts w:hint="default" w:ascii="Times New Roman" w:hAnsi="Times New Roman" w:eastAsia="宋体" w:cs="Times New Roman"/>
                <w:b/>
                <w:bCs/>
                <w:color w:val="auto"/>
                <w:kern w:val="2"/>
                <w:sz w:val="21"/>
                <w:szCs w:val="21"/>
                <w:highlight w:val="none"/>
                <w:u w:val="none"/>
                <w:lang w:val="en-US" w:eastAsia="zh-CN" w:bidi="ar-SA"/>
              </w:rPr>
            </w:pPr>
            <w:r>
              <w:rPr>
                <w:rFonts w:hint="default" w:ascii="Times New Roman" w:hAnsi="Times New Roman" w:eastAsia="宋体" w:cs="Times New Roman"/>
                <w:b/>
                <w:bCs/>
                <w:color w:val="auto"/>
                <w:kern w:val="2"/>
                <w:sz w:val="21"/>
                <w:szCs w:val="21"/>
                <w:highlight w:val="none"/>
                <w:u w:val="none"/>
                <w:lang w:val="en-US" w:eastAsia="zh-CN" w:bidi="ar-SA"/>
              </w:rPr>
              <w:t>土壤理化性质检测分析结果</w:t>
            </w:r>
          </w:p>
          <w:tbl>
            <w:tblPr>
              <w:tblStyle w:val="19"/>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07"/>
              <w:gridCol w:w="2076"/>
              <w:gridCol w:w="2108"/>
              <w:gridCol w:w="2077"/>
            </w:tblGrid>
            <w:tr w14:paraId="3D7566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346" w:type="pct"/>
                  <w:tcBorders>
                    <w:tl2br w:val="nil"/>
                    <w:tr2bl w:val="nil"/>
                  </w:tcBorders>
                  <w:noWrap w:val="0"/>
                  <w:vAlign w:val="center"/>
                </w:tcPr>
                <w:p w14:paraId="0D17F590">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bCs w:val="0"/>
                      <w:color w:val="auto"/>
                      <w:sz w:val="21"/>
                      <w:szCs w:val="21"/>
                      <w:highlight w:val="none"/>
                      <w:vertAlign w:val="baseline"/>
                      <w:lang w:eastAsia="zh-CN"/>
                    </w:rPr>
                  </w:pPr>
                  <w:r>
                    <w:rPr>
                      <w:rFonts w:hint="default" w:ascii="Times New Roman" w:hAnsi="Times New Roman" w:eastAsia="宋体" w:cs="Times New Roman"/>
                      <w:b/>
                      <w:bCs w:val="0"/>
                      <w:color w:val="auto"/>
                      <w:sz w:val="21"/>
                      <w:szCs w:val="21"/>
                      <w:highlight w:val="none"/>
                      <w:vertAlign w:val="baseline"/>
                      <w:lang w:eastAsia="zh-CN"/>
                    </w:rPr>
                    <w:t>检测点位</w:t>
                  </w:r>
                </w:p>
              </w:tc>
              <w:tc>
                <w:tcPr>
                  <w:tcW w:w="3653" w:type="pct"/>
                  <w:gridSpan w:val="3"/>
                  <w:tcBorders>
                    <w:tl2br w:val="nil"/>
                    <w:tr2bl w:val="nil"/>
                  </w:tcBorders>
                  <w:noWrap w:val="0"/>
                  <w:vAlign w:val="center"/>
                </w:tcPr>
                <w:p w14:paraId="56722D6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
                      <w:bCs w:val="0"/>
                      <w:color w:val="auto"/>
                      <w:sz w:val="21"/>
                      <w:szCs w:val="21"/>
                      <w:highlight w:val="none"/>
                      <w:lang w:val="en-US" w:eastAsia="zh-CN" w:bidi="ar-SA"/>
                    </w:rPr>
                  </w:pPr>
                  <w:r>
                    <w:rPr>
                      <w:rFonts w:hint="default" w:ascii="Times New Roman" w:hAnsi="Times New Roman" w:eastAsia="宋体" w:cs="Times New Roman"/>
                      <w:b/>
                      <w:bCs w:val="0"/>
                      <w:color w:val="auto"/>
                      <w:sz w:val="21"/>
                      <w:szCs w:val="21"/>
                      <w:highlight w:val="none"/>
                      <w:vertAlign w:val="baseline"/>
                      <w:lang w:val="en-US" w:eastAsia="zh-CN"/>
                    </w:rPr>
                    <w:t>1#厂区西北角 (114°11'50''E，36°8'8''N)</w:t>
                  </w:r>
                </w:p>
              </w:tc>
            </w:tr>
            <w:tr w14:paraId="2B2BE8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346" w:type="pct"/>
                  <w:tcBorders>
                    <w:tl2br w:val="nil"/>
                    <w:tr2bl w:val="nil"/>
                  </w:tcBorders>
                  <w:noWrap w:val="0"/>
                  <w:vAlign w:val="center"/>
                </w:tcPr>
                <w:p w14:paraId="62CDB30D">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vertAlign w:val="baseline"/>
                      <w:lang w:val="en-US" w:eastAsia="zh-CN"/>
                    </w:rPr>
                    <w:t>采样深度</w:t>
                  </w:r>
                </w:p>
              </w:tc>
              <w:tc>
                <w:tcPr>
                  <w:tcW w:w="1211" w:type="pct"/>
                  <w:tcBorders>
                    <w:tl2br w:val="nil"/>
                    <w:tr2bl w:val="nil"/>
                  </w:tcBorders>
                  <w:noWrap w:val="0"/>
                  <w:vAlign w:val="center"/>
                </w:tcPr>
                <w:p w14:paraId="5885600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vertAlign w:val="baseline"/>
                      <w:lang w:val="en-US" w:eastAsia="zh-CN"/>
                    </w:rPr>
                    <w:t>0~0.2m</w:t>
                  </w:r>
                </w:p>
              </w:tc>
              <w:tc>
                <w:tcPr>
                  <w:tcW w:w="1230" w:type="pct"/>
                  <w:tcBorders>
                    <w:tl2br w:val="nil"/>
                    <w:tr2bl w:val="nil"/>
                  </w:tcBorders>
                  <w:noWrap w:val="0"/>
                  <w:vAlign w:val="center"/>
                </w:tcPr>
                <w:p w14:paraId="111343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0.5~1.5m</w:t>
                  </w:r>
                </w:p>
              </w:tc>
              <w:tc>
                <w:tcPr>
                  <w:tcW w:w="1211" w:type="pct"/>
                  <w:tcBorders>
                    <w:tl2br w:val="nil"/>
                    <w:tr2bl w:val="nil"/>
                  </w:tcBorders>
                  <w:noWrap w:val="0"/>
                  <w:vAlign w:val="center"/>
                </w:tcPr>
                <w:p w14:paraId="68D663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1.5~3m</w:t>
                  </w:r>
                </w:p>
              </w:tc>
            </w:tr>
            <w:tr w14:paraId="684249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346" w:type="pct"/>
                  <w:tcBorders>
                    <w:tl2br w:val="nil"/>
                    <w:tr2bl w:val="nil"/>
                  </w:tcBorders>
                  <w:noWrap w:val="0"/>
                  <w:vAlign w:val="center"/>
                </w:tcPr>
                <w:p w14:paraId="5D269FA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Cs/>
                      <w:color w:val="auto"/>
                      <w:sz w:val="21"/>
                      <w:szCs w:val="21"/>
                      <w:highlight w:val="none"/>
                      <w:vertAlign w:val="baseline"/>
                      <w:lang w:eastAsia="zh-CN"/>
                    </w:rPr>
                  </w:pPr>
                  <w:r>
                    <w:rPr>
                      <w:rFonts w:hint="default" w:ascii="Times New Roman" w:hAnsi="Times New Roman" w:eastAsia="宋体" w:cs="Times New Roman"/>
                      <w:bCs/>
                      <w:color w:val="auto"/>
                      <w:sz w:val="21"/>
                      <w:szCs w:val="21"/>
                      <w:highlight w:val="none"/>
                      <w:vertAlign w:val="baseline"/>
                      <w:lang w:eastAsia="zh-CN"/>
                    </w:rPr>
                    <w:t>采样时间</w:t>
                  </w:r>
                </w:p>
              </w:tc>
              <w:tc>
                <w:tcPr>
                  <w:tcW w:w="3653" w:type="pct"/>
                  <w:gridSpan w:val="3"/>
                  <w:tcBorders>
                    <w:tl2br w:val="nil"/>
                    <w:tr2bl w:val="nil"/>
                  </w:tcBorders>
                  <w:noWrap w:val="0"/>
                  <w:vAlign w:val="center"/>
                </w:tcPr>
                <w:p w14:paraId="0F7D502D">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Cs/>
                      <w:color w:val="auto"/>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bidi="ar-SA"/>
                    </w:rPr>
                    <w:t>2020.11.10</w:t>
                  </w:r>
                </w:p>
              </w:tc>
            </w:tr>
            <w:tr w14:paraId="1B093B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6" w:type="pct"/>
                  <w:tcBorders>
                    <w:tl2br w:val="nil"/>
                    <w:tr2bl w:val="nil"/>
                  </w:tcBorders>
                  <w:noWrap w:val="0"/>
                  <w:vAlign w:val="center"/>
                </w:tcPr>
                <w:p w14:paraId="435DC72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颜色</w:t>
                  </w:r>
                </w:p>
              </w:tc>
              <w:tc>
                <w:tcPr>
                  <w:tcW w:w="1211" w:type="pct"/>
                  <w:tcBorders>
                    <w:tl2br w:val="nil"/>
                    <w:tr2bl w:val="nil"/>
                  </w:tcBorders>
                  <w:noWrap w:val="0"/>
                  <w:vAlign w:val="center"/>
                </w:tcPr>
                <w:p w14:paraId="15443FA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vertAlign w:val="baseline"/>
                      <w:lang w:val="en-US" w:eastAsia="zh-CN"/>
                    </w:rPr>
                    <w:t>褐</w:t>
                  </w:r>
                  <w:r>
                    <w:rPr>
                      <w:rFonts w:hint="default" w:ascii="Times New Roman" w:hAnsi="Times New Roman" w:eastAsia="宋体" w:cs="Times New Roman"/>
                      <w:bCs/>
                      <w:color w:val="auto"/>
                      <w:sz w:val="21"/>
                      <w:szCs w:val="21"/>
                      <w:highlight w:val="none"/>
                      <w:vertAlign w:val="baseline"/>
                      <w:lang w:eastAsia="zh-CN"/>
                    </w:rPr>
                    <w:t>色</w:t>
                  </w:r>
                </w:p>
              </w:tc>
              <w:tc>
                <w:tcPr>
                  <w:tcW w:w="1230" w:type="pct"/>
                  <w:tcBorders>
                    <w:tl2br w:val="nil"/>
                    <w:tr2bl w:val="nil"/>
                  </w:tcBorders>
                  <w:noWrap w:val="0"/>
                  <w:vAlign w:val="center"/>
                </w:tcPr>
                <w:p w14:paraId="3DE63F09">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vertAlign w:val="baseline"/>
                      <w:lang w:val="en-US" w:eastAsia="zh-CN"/>
                    </w:rPr>
                    <w:t>黄棕色</w:t>
                  </w:r>
                </w:p>
              </w:tc>
              <w:tc>
                <w:tcPr>
                  <w:tcW w:w="1211" w:type="pct"/>
                  <w:tcBorders>
                    <w:tl2br w:val="nil"/>
                    <w:tr2bl w:val="nil"/>
                  </w:tcBorders>
                  <w:noWrap w:val="0"/>
                  <w:vAlign w:val="center"/>
                </w:tcPr>
                <w:p w14:paraId="66DBE119">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Cs/>
                      <w:color w:val="auto"/>
                      <w:sz w:val="21"/>
                      <w:szCs w:val="21"/>
                      <w:highlight w:val="none"/>
                      <w:vertAlign w:val="baseline"/>
                      <w:lang w:eastAsia="zh-CN"/>
                    </w:rPr>
                  </w:pPr>
                  <w:r>
                    <w:rPr>
                      <w:rFonts w:hint="default" w:ascii="Times New Roman" w:hAnsi="Times New Roman" w:eastAsia="宋体" w:cs="Times New Roman"/>
                      <w:bCs/>
                      <w:color w:val="auto"/>
                      <w:sz w:val="21"/>
                      <w:szCs w:val="21"/>
                      <w:highlight w:val="none"/>
                      <w:vertAlign w:val="baseline"/>
                      <w:lang w:val="en-US" w:eastAsia="zh-CN"/>
                    </w:rPr>
                    <w:t>黄棕色</w:t>
                  </w:r>
                </w:p>
              </w:tc>
            </w:tr>
            <w:tr w14:paraId="0C20A4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6" w:type="pct"/>
                  <w:tcBorders>
                    <w:tl2br w:val="nil"/>
                    <w:tr2bl w:val="nil"/>
                  </w:tcBorders>
                  <w:noWrap w:val="0"/>
                  <w:vAlign w:val="center"/>
                </w:tcPr>
                <w:p w14:paraId="43D7ADD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结构</w:t>
                  </w:r>
                </w:p>
              </w:tc>
              <w:tc>
                <w:tcPr>
                  <w:tcW w:w="1211" w:type="pct"/>
                  <w:tcBorders>
                    <w:tl2br w:val="nil"/>
                    <w:tr2bl w:val="nil"/>
                  </w:tcBorders>
                  <w:noWrap w:val="0"/>
                  <w:vAlign w:val="center"/>
                </w:tcPr>
                <w:p w14:paraId="654C9A3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屑粒状</w:t>
                  </w:r>
                </w:p>
              </w:tc>
              <w:tc>
                <w:tcPr>
                  <w:tcW w:w="1230" w:type="pct"/>
                  <w:tcBorders>
                    <w:tl2br w:val="nil"/>
                    <w:tr2bl w:val="nil"/>
                  </w:tcBorders>
                  <w:noWrap w:val="0"/>
                  <w:vAlign w:val="center"/>
                </w:tcPr>
                <w:p w14:paraId="2F2FD6C1">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屑粒状</w:t>
                  </w:r>
                </w:p>
              </w:tc>
              <w:tc>
                <w:tcPr>
                  <w:tcW w:w="1211" w:type="pct"/>
                  <w:tcBorders>
                    <w:tl2br w:val="nil"/>
                    <w:tr2bl w:val="nil"/>
                  </w:tcBorders>
                  <w:noWrap w:val="0"/>
                  <w:vAlign w:val="center"/>
                </w:tcPr>
                <w:p w14:paraId="15E20044">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屑粒状</w:t>
                  </w:r>
                </w:p>
              </w:tc>
            </w:tr>
            <w:tr w14:paraId="5205E4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6" w:type="pct"/>
                  <w:tcBorders>
                    <w:tl2br w:val="nil"/>
                    <w:tr2bl w:val="nil"/>
                  </w:tcBorders>
                  <w:noWrap w:val="0"/>
                  <w:vAlign w:val="center"/>
                </w:tcPr>
                <w:p w14:paraId="0F719439">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质地</w:t>
                  </w:r>
                </w:p>
              </w:tc>
              <w:tc>
                <w:tcPr>
                  <w:tcW w:w="1211" w:type="pct"/>
                  <w:tcBorders>
                    <w:tl2br w:val="nil"/>
                    <w:tr2bl w:val="nil"/>
                  </w:tcBorders>
                  <w:noWrap w:val="0"/>
                  <w:vAlign w:val="center"/>
                </w:tcPr>
                <w:p w14:paraId="63C4951B">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Cs/>
                      <w:color w:val="auto"/>
                      <w:sz w:val="21"/>
                      <w:szCs w:val="21"/>
                      <w:highlight w:val="none"/>
                      <w:vertAlign w:val="baseline"/>
                      <w:lang w:eastAsia="zh-CN"/>
                    </w:rPr>
                  </w:pPr>
                  <w:r>
                    <w:rPr>
                      <w:rFonts w:hint="default" w:ascii="Times New Roman" w:hAnsi="Times New Roman" w:eastAsia="宋体" w:cs="Times New Roman"/>
                      <w:bCs/>
                      <w:color w:val="auto"/>
                      <w:sz w:val="21"/>
                      <w:szCs w:val="21"/>
                      <w:highlight w:val="none"/>
                      <w:vertAlign w:val="baseline"/>
                      <w:lang w:eastAsia="zh-CN"/>
                    </w:rPr>
                    <w:t>轻壤土</w:t>
                  </w:r>
                </w:p>
              </w:tc>
              <w:tc>
                <w:tcPr>
                  <w:tcW w:w="1230" w:type="pct"/>
                  <w:tcBorders>
                    <w:tl2br w:val="nil"/>
                    <w:tr2bl w:val="nil"/>
                  </w:tcBorders>
                  <w:noWrap w:val="0"/>
                  <w:vAlign w:val="center"/>
                </w:tcPr>
                <w:p w14:paraId="5BB77C63">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eastAsia="宋体" w:cs="Times New Roman"/>
                      <w:bCs/>
                      <w:color w:val="auto"/>
                      <w:sz w:val="21"/>
                      <w:szCs w:val="21"/>
                      <w:highlight w:val="none"/>
                      <w:vertAlign w:val="baseline"/>
                      <w:lang w:val="en-US" w:eastAsia="zh-CN"/>
                    </w:rPr>
                    <w:t>重壤土</w:t>
                  </w:r>
                </w:p>
              </w:tc>
              <w:tc>
                <w:tcPr>
                  <w:tcW w:w="1211" w:type="pct"/>
                  <w:tcBorders>
                    <w:tl2br w:val="nil"/>
                    <w:tr2bl w:val="nil"/>
                  </w:tcBorders>
                  <w:noWrap w:val="0"/>
                  <w:vAlign w:val="center"/>
                </w:tcPr>
                <w:p w14:paraId="1098DDA3">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Cs/>
                      <w:color w:val="auto"/>
                      <w:sz w:val="21"/>
                      <w:szCs w:val="21"/>
                      <w:highlight w:val="none"/>
                      <w:vertAlign w:val="baseline"/>
                      <w:lang w:eastAsia="zh-CN"/>
                    </w:rPr>
                  </w:pPr>
                  <w:r>
                    <w:rPr>
                      <w:rFonts w:hint="default" w:ascii="Times New Roman" w:hAnsi="Times New Roman" w:eastAsia="宋体" w:cs="Times New Roman"/>
                      <w:bCs/>
                      <w:color w:val="auto"/>
                      <w:sz w:val="21"/>
                      <w:szCs w:val="21"/>
                      <w:highlight w:val="none"/>
                      <w:vertAlign w:val="baseline"/>
                      <w:lang w:val="en-US" w:eastAsia="zh-CN"/>
                    </w:rPr>
                    <w:t>重壤土</w:t>
                  </w:r>
                </w:p>
              </w:tc>
            </w:tr>
            <w:tr w14:paraId="21C4BE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6" w:type="pct"/>
                  <w:tcBorders>
                    <w:tl2br w:val="nil"/>
                    <w:tr2bl w:val="nil"/>
                  </w:tcBorders>
                  <w:noWrap w:val="0"/>
                  <w:vAlign w:val="center"/>
                </w:tcPr>
                <w:p w14:paraId="6EE4B9D6">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砂砾含量</w:t>
                  </w:r>
                </w:p>
              </w:tc>
              <w:tc>
                <w:tcPr>
                  <w:tcW w:w="1211" w:type="pct"/>
                  <w:tcBorders>
                    <w:tl2br w:val="nil"/>
                    <w:tr2bl w:val="nil"/>
                  </w:tcBorders>
                  <w:noWrap w:val="0"/>
                  <w:vAlign w:val="center"/>
                </w:tcPr>
                <w:p w14:paraId="02EAAE8D">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低砂砾</w:t>
                  </w:r>
                </w:p>
              </w:tc>
              <w:tc>
                <w:tcPr>
                  <w:tcW w:w="1230" w:type="pct"/>
                  <w:tcBorders>
                    <w:tl2br w:val="nil"/>
                    <w:tr2bl w:val="nil"/>
                  </w:tcBorders>
                  <w:noWrap w:val="0"/>
                  <w:vAlign w:val="center"/>
                </w:tcPr>
                <w:p w14:paraId="322F1E31">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低砂砾</w:t>
                  </w:r>
                </w:p>
              </w:tc>
              <w:tc>
                <w:tcPr>
                  <w:tcW w:w="1211" w:type="pct"/>
                  <w:tcBorders>
                    <w:tl2br w:val="nil"/>
                    <w:tr2bl w:val="nil"/>
                  </w:tcBorders>
                  <w:noWrap w:val="0"/>
                  <w:vAlign w:val="center"/>
                </w:tcPr>
                <w:p w14:paraId="70C9B1C6">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低砂砾</w:t>
                  </w:r>
                </w:p>
              </w:tc>
            </w:tr>
            <w:tr w14:paraId="10382C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6" w:type="pct"/>
                  <w:tcBorders>
                    <w:tl2br w:val="nil"/>
                    <w:tr2bl w:val="nil"/>
                  </w:tcBorders>
                  <w:noWrap w:val="0"/>
                  <w:vAlign w:val="center"/>
                </w:tcPr>
                <w:p w14:paraId="62E51870">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其他异物</w:t>
                  </w:r>
                </w:p>
              </w:tc>
              <w:tc>
                <w:tcPr>
                  <w:tcW w:w="1211" w:type="pct"/>
                  <w:tcBorders>
                    <w:tl2br w:val="nil"/>
                    <w:tr2bl w:val="nil"/>
                  </w:tcBorders>
                  <w:noWrap w:val="0"/>
                  <w:vAlign w:val="center"/>
                </w:tcPr>
                <w:p w14:paraId="174F58A7">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无</w:t>
                  </w:r>
                </w:p>
              </w:tc>
              <w:tc>
                <w:tcPr>
                  <w:tcW w:w="1230" w:type="pct"/>
                  <w:tcBorders>
                    <w:tl2br w:val="nil"/>
                    <w:tr2bl w:val="nil"/>
                  </w:tcBorders>
                  <w:noWrap w:val="0"/>
                  <w:vAlign w:val="center"/>
                </w:tcPr>
                <w:p w14:paraId="7332B95A">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无</w:t>
                  </w:r>
                </w:p>
              </w:tc>
              <w:tc>
                <w:tcPr>
                  <w:tcW w:w="1211" w:type="pct"/>
                  <w:tcBorders>
                    <w:tl2br w:val="nil"/>
                    <w:tr2bl w:val="nil"/>
                  </w:tcBorders>
                  <w:noWrap w:val="0"/>
                  <w:vAlign w:val="center"/>
                </w:tcPr>
                <w:p w14:paraId="40816655">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无</w:t>
                  </w:r>
                </w:p>
              </w:tc>
            </w:tr>
            <w:tr w14:paraId="387BF6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6" w:type="pct"/>
                  <w:tcBorders>
                    <w:tl2br w:val="nil"/>
                    <w:tr2bl w:val="nil"/>
                  </w:tcBorders>
                  <w:noWrap w:val="0"/>
                  <w:vAlign w:val="center"/>
                </w:tcPr>
                <w:p w14:paraId="75EDA547">
                  <w:pPr>
                    <w:keepNext w:val="0"/>
                    <w:keepLines w:val="0"/>
                    <w:pageBreakBefore w:val="0"/>
                    <w:numPr>
                      <w:ilvl w:val="0"/>
                      <w:numId w:val="0"/>
                    </w:numPr>
                    <w:kinsoku/>
                    <w:wordWrap/>
                    <w:overflowPunct/>
                    <w:topLinePunct w:val="0"/>
                    <w:autoSpaceDE/>
                    <w:autoSpaceDN/>
                    <w:bidi w:val="0"/>
                    <w:adjustRightInd w:val="0"/>
                    <w:snapToGrid w:val="0"/>
                    <w:spacing w:line="240" w:lineRule="auto"/>
                    <w:ind w:left="0" w:leftChars="0" w:firstLine="0" w:firstLineChars="0"/>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阳离子交换量，cmol(+)/kg</w:t>
                  </w:r>
                </w:p>
              </w:tc>
              <w:tc>
                <w:tcPr>
                  <w:tcW w:w="1211" w:type="pct"/>
                  <w:tcBorders>
                    <w:tl2br w:val="nil"/>
                    <w:tr2bl w:val="nil"/>
                  </w:tcBorders>
                  <w:noWrap w:val="0"/>
                  <w:vAlign w:val="center"/>
                </w:tcPr>
                <w:p w14:paraId="1203E9E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14.7</w:t>
                  </w:r>
                </w:p>
              </w:tc>
              <w:tc>
                <w:tcPr>
                  <w:tcW w:w="1230" w:type="pct"/>
                  <w:tcBorders>
                    <w:tl2br w:val="nil"/>
                    <w:tr2bl w:val="nil"/>
                  </w:tcBorders>
                  <w:noWrap w:val="0"/>
                  <w:vAlign w:val="center"/>
                </w:tcPr>
                <w:p w14:paraId="40F0F4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eastAsia="宋体" w:cs="Times New Roman"/>
                      <w:b w:val="0"/>
                      <w:bCs/>
                      <w:color w:val="auto"/>
                      <w:kern w:val="2"/>
                      <w:sz w:val="21"/>
                      <w:szCs w:val="21"/>
                      <w:highlight w:val="none"/>
                      <w:vertAlign w:val="baseline"/>
                      <w:lang w:val="en-US" w:eastAsia="zh-CN" w:bidi="ar-SA"/>
                    </w:rPr>
                    <w:t>10.8</w:t>
                  </w:r>
                </w:p>
              </w:tc>
              <w:tc>
                <w:tcPr>
                  <w:tcW w:w="1211" w:type="pct"/>
                  <w:tcBorders>
                    <w:tl2br w:val="nil"/>
                    <w:tr2bl w:val="nil"/>
                  </w:tcBorders>
                  <w:noWrap w:val="0"/>
                  <w:vAlign w:val="center"/>
                </w:tcPr>
                <w:p w14:paraId="16CE12B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eastAsia="宋体" w:cs="Times New Roman"/>
                      <w:b w:val="0"/>
                      <w:bCs/>
                      <w:color w:val="auto"/>
                      <w:kern w:val="2"/>
                      <w:sz w:val="21"/>
                      <w:szCs w:val="21"/>
                      <w:highlight w:val="none"/>
                      <w:vertAlign w:val="baseline"/>
                      <w:lang w:val="en-US" w:eastAsia="zh-CN" w:bidi="ar-SA"/>
                    </w:rPr>
                    <w:t>12.1</w:t>
                  </w:r>
                </w:p>
              </w:tc>
            </w:tr>
            <w:tr w14:paraId="739CD4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6" w:type="pct"/>
                  <w:tcBorders>
                    <w:tl2br w:val="nil"/>
                    <w:tr2bl w:val="nil"/>
                  </w:tcBorders>
                  <w:noWrap w:val="0"/>
                  <w:vAlign w:val="center"/>
                </w:tcPr>
                <w:p w14:paraId="6E2D1C66">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氧化还原电位，mV</w:t>
                  </w:r>
                </w:p>
              </w:tc>
              <w:tc>
                <w:tcPr>
                  <w:tcW w:w="1211" w:type="pct"/>
                  <w:tcBorders>
                    <w:tl2br w:val="nil"/>
                    <w:tr2bl w:val="nil"/>
                  </w:tcBorders>
                  <w:noWrap w:val="0"/>
                  <w:vAlign w:val="center"/>
                </w:tcPr>
                <w:p w14:paraId="5400F4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323</w:t>
                  </w:r>
                </w:p>
              </w:tc>
              <w:tc>
                <w:tcPr>
                  <w:tcW w:w="1230" w:type="pct"/>
                  <w:tcBorders>
                    <w:tl2br w:val="nil"/>
                    <w:tr2bl w:val="nil"/>
                  </w:tcBorders>
                  <w:noWrap w:val="0"/>
                  <w:vAlign w:val="center"/>
                </w:tcPr>
                <w:p w14:paraId="6B3E72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eastAsia="宋体" w:cs="Times New Roman"/>
                      <w:b w:val="0"/>
                      <w:bCs/>
                      <w:color w:val="auto"/>
                      <w:kern w:val="2"/>
                      <w:sz w:val="21"/>
                      <w:szCs w:val="21"/>
                      <w:highlight w:val="none"/>
                      <w:vertAlign w:val="baseline"/>
                      <w:lang w:val="en-US" w:eastAsia="zh-CN" w:bidi="ar-SA"/>
                    </w:rPr>
                    <w:t>328</w:t>
                  </w:r>
                </w:p>
              </w:tc>
              <w:tc>
                <w:tcPr>
                  <w:tcW w:w="1211" w:type="pct"/>
                  <w:tcBorders>
                    <w:tl2br w:val="nil"/>
                    <w:tr2bl w:val="nil"/>
                  </w:tcBorders>
                  <w:noWrap w:val="0"/>
                  <w:vAlign w:val="center"/>
                </w:tcPr>
                <w:p w14:paraId="73FC15E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highlight w:val="none"/>
                      <w:vertAlign w:val="baseline"/>
                      <w:lang w:val="en-US" w:eastAsia="zh-CN"/>
                    </w:rPr>
                  </w:pPr>
                  <w:r>
                    <w:rPr>
                      <w:rFonts w:hint="default" w:ascii="Times New Roman" w:hAnsi="Times New Roman" w:eastAsia="宋体" w:cs="Times New Roman"/>
                      <w:b w:val="0"/>
                      <w:bCs/>
                      <w:color w:val="auto"/>
                      <w:kern w:val="2"/>
                      <w:sz w:val="21"/>
                      <w:szCs w:val="21"/>
                      <w:highlight w:val="none"/>
                      <w:vertAlign w:val="baseline"/>
                      <w:lang w:val="en-US" w:eastAsia="zh-CN" w:bidi="ar-SA"/>
                    </w:rPr>
                    <w:t>333</w:t>
                  </w:r>
                </w:p>
              </w:tc>
            </w:tr>
            <w:tr w14:paraId="0DFD13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6" w:type="pct"/>
                  <w:tcBorders>
                    <w:tl2br w:val="nil"/>
                    <w:tr2bl w:val="nil"/>
                  </w:tcBorders>
                  <w:noWrap w:val="0"/>
                  <w:vAlign w:val="center"/>
                </w:tcPr>
                <w:p w14:paraId="7EDFAD8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容重，g/cm</w:t>
                  </w:r>
                  <w:r>
                    <w:rPr>
                      <w:rFonts w:hint="default" w:ascii="Times New Roman" w:hAnsi="Times New Roman" w:eastAsia="宋体" w:cs="Times New Roman"/>
                      <w:color w:val="auto"/>
                      <w:sz w:val="21"/>
                      <w:szCs w:val="21"/>
                      <w:highlight w:val="none"/>
                      <w:vertAlign w:val="superscript"/>
                      <w:lang w:val="en-US" w:eastAsia="zh-CN"/>
                    </w:rPr>
                    <w:t>3</w:t>
                  </w:r>
                </w:p>
              </w:tc>
              <w:tc>
                <w:tcPr>
                  <w:tcW w:w="1211" w:type="pct"/>
                  <w:tcBorders>
                    <w:tl2br w:val="nil"/>
                    <w:tr2bl w:val="nil"/>
                  </w:tcBorders>
                  <w:noWrap w:val="0"/>
                  <w:vAlign w:val="center"/>
                </w:tcPr>
                <w:p w14:paraId="013DC58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1.13</w:t>
                  </w:r>
                </w:p>
              </w:tc>
              <w:tc>
                <w:tcPr>
                  <w:tcW w:w="1230" w:type="pct"/>
                  <w:tcBorders>
                    <w:tl2br w:val="nil"/>
                    <w:tr2bl w:val="nil"/>
                  </w:tcBorders>
                  <w:noWrap w:val="0"/>
                  <w:vAlign w:val="center"/>
                </w:tcPr>
                <w:p w14:paraId="18BBF0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1.71</w:t>
                  </w:r>
                </w:p>
              </w:tc>
              <w:tc>
                <w:tcPr>
                  <w:tcW w:w="1211" w:type="pct"/>
                  <w:tcBorders>
                    <w:tl2br w:val="nil"/>
                    <w:tr2bl w:val="nil"/>
                  </w:tcBorders>
                  <w:noWrap w:val="0"/>
                  <w:vAlign w:val="center"/>
                </w:tcPr>
                <w:p w14:paraId="10ED977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eastAsia="宋体" w:cs="Times New Roman"/>
                      <w:b w:val="0"/>
                      <w:bCs/>
                      <w:color w:val="auto"/>
                      <w:kern w:val="2"/>
                      <w:sz w:val="21"/>
                      <w:szCs w:val="21"/>
                      <w:highlight w:val="none"/>
                      <w:vertAlign w:val="baseline"/>
                      <w:lang w:val="en-US" w:eastAsia="zh-CN" w:bidi="ar-SA"/>
                    </w:rPr>
                    <w:t>1.68</w:t>
                  </w:r>
                </w:p>
              </w:tc>
            </w:tr>
            <w:tr w14:paraId="2A3503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6" w:type="pct"/>
                  <w:tcBorders>
                    <w:tl2br w:val="nil"/>
                    <w:tr2bl w:val="nil"/>
                  </w:tcBorders>
                  <w:noWrap w:val="0"/>
                  <w:vAlign w:val="center"/>
                </w:tcPr>
                <w:p w14:paraId="29AE5C03">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饱和导水率</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cm/s</w:t>
                  </w:r>
                </w:p>
              </w:tc>
              <w:tc>
                <w:tcPr>
                  <w:tcW w:w="1211" w:type="pct"/>
                  <w:tcBorders>
                    <w:tl2br w:val="nil"/>
                    <w:tr2bl w:val="nil"/>
                  </w:tcBorders>
                  <w:noWrap w:val="0"/>
                  <w:vAlign w:val="center"/>
                </w:tcPr>
                <w:p w14:paraId="10176F08">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eastAsia="宋体" w:cs="Times New Roman"/>
                      <w:bCs/>
                      <w:color w:val="auto"/>
                      <w:kern w:val="2"/>
                      <w:sz w:val="21"/>
                      <w:szCs w:val="21"/>
                      <w:highlight w:val="none"/>
                      <w:vertAlign w:val="baseline"/>
                      <w:lang w:val="en-US" w:eastAsia="zh-CN" w:bidi="ar-SA"/>
                    </w:rPr>
                    <w:t>0.51</w:t>
                  </w:r>
                </w:p>
              </w:tc>
              <w:tc>
                <w:tcPr>
                  <w:tcW w:w="1230" w:type="pct"/>
                  <w:tcBorders>
                    <w:tl2br w:val="nil"/>
                    <w:tr2bl w:val="nil"/>
                  </w:tcBorders>
                  <w:noWrap w:val="0"/>
                  <w:vAlign w:val="center"/>
                </w:tcPr>
                <w:p w14:paraId="135AB472">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0.46</w:t>
                  </w:r>
                </w:p>
              </w:tc>
              <w:tc>
                <w:tcPr>
                  <w:tcW w:w="1211" w:type="pct"/>
                  <w:tcBorders>
                    <w:tl2br w:val="nil"/>
                    <w:tr2bl w:val="nil"/>
                  </w:tcBorders>
                  <w:noWrap w:val="0"/>
                  <w:vAlign w:val="center"/>
                </w:tcPr>
                <w:p w14:paraId="2AA16230">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0.44</w:t>
                  </w:r>
                </w:p>
              </w:tc>
            </w:tr>
            <w:tr w14:paraId="54E381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6" w:type="pct"/>
                  <w:tcBorders>
                    <w:tl2br w:val="nil"/>
                    <w:tr2bl w:val="nil"/>
                  </w:tcBorders>
                  <w:noWrap w:val="0"/>
                  <w:vAlign w:val="center"/>
                </w:tcPr>
                <w:p w14:paraId="42018770">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孔隙度</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w:t>
                  </w:r>
                </w:p>
              </w:tc>
              <w:tc>
                <w:tcPr>
                  <w:tcW w:w="1211" w:type="pct"/>
                  <w:tcBorders>
                    <w:tl2br w:val="nil"/>
                    <w:tr2bl w:val="nil"/>
                  </w:tcBorders>
                  <w:noWrap w:val="0"/>
                  <w:vAlign w:val="center"/>
                </w:tcPr>
                <w:p w14:paraId="4B67C41A">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eastAsia="宋体" w:cs="Times New Roman"/>
                      <w:bCs/>
                      <w:color w:val="auto"/>
                      <w:kern w:val="2"/>
                      <w:sz w:val="21"/>
                      <w:szCs w:val="21"/>
                      <w:highlight w:val="none"/>
                      <w:vertAlign w:val="baseline"/>
                      <w:lang w:val="en-US" w:eastAsia="zh-CN" w:bidi="ar-SA"/>
                    </w:rPr>
                    <w:t>44.5</w:t>
                  </w:r>
                </w:p>
              </w:tc>
              <w:tc>
                <w:tcPr>
                  <w:tcW w:w="1230" w:type="pct"/>
                  <w:tcBorders>
                    <w:tl2br w:val="nil"/>
                    <w:tr2bl w:val="nil"/>
                  </w:tcBorders>
                  <w:noWrap w:val="0"/>
                  <w:vAlign w:val="center"/>
                </w:tcPr>
                <w:p w14:paraId="471F81F5">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40.2</w:t>
                  </w:r>
                </w:p>
              </w:tc>
              <w:tc>
                <w:tcPr>
                  <w:tcW w:w="1211" w:type="pct"/>
                  <w:tcBorders>
                    <w:tl2br w:val="nil"/>
                    <w:tr2bl w:val="nil"/>
                  </w:tcBorders>
                  <w:noWrap w:val="0"/>
                  <w:vAlign w:val="center"/>
                </w:tcPr>
                <w:p w14:paraId="264D9EF3">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41.0</w:t>
                  </w:r>
                </w:p>
              </w:tc>
            </w:tr>
          </w:tbl>
          <w:p w14:paraId="363C4B0B">
            <w:pPr>
              <w:keepNext w:val="0"/>
              <w:keepLines w:val="0"/>
              <w:pageBreakBefore w:val="0"/>
              <w:widowControl w:val="0"/>
              <w:kinsoku/>
              <w:wordWrap/>
              <w:overflowPunct/>
              <w:topLinePunct w:val="0"/>
              <w:autoSpaceDE/>
              <w:autoSpaceDN/>
              <w:bidi w:val="0"/>
              <w:adjustRightInd w:val="0"/>
              <w:snapToGrid w:val="0"/>
              <w:spacing w:before="157" w:beforeLines="50" w:line="360" w:lineRule="auto"/>
              <w:ind w:left="0" w:right="0" w:firstLine="480" w:firstLineChars="200"/>
              <w:jc w:val="both"/>
              <w:textAlignment w:val="auto"/>
              <w:rPr>
                <w:rFonts w:hint="default"/>
                <w:b/>
                <w:bCs/>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由上表可知，</w:t>
            </w:r>
            <w:r>
              <w:rPr>
                <w:rFonts w:hint="default" w:ascii="Times New Roman" w:hAnsi="Times New Roman" w:eastAsia="宋体" w:cs="Times New Roman"/>
                <w:b w:val="0"/>
                <w:bCs/>
                <w:color w:val="auto"/>
                <w:spacing w:val="-6"/>
                <w:sz w:val="24"/>
                <w:szCs w:val="24"/>
                <w:highlight w:val="none"/>
                <w:u w:val="none"/>
                <w:lang w:eastAsia="zh-CN"/>
              </w:rPr>
              <w:t xml:space="preserve">本项目厂区内土壤监测结果均满足《土壤环境质量 </w:t>
            </w:r>
            <w:r>
              <w:rPr>
                <w:rFonts w:hint="default" w:ascii="Times New Roman" w:hAnsi="Times New Roman" w:eastAsia="宋体" w:cs="Times New Roman"/>
                <w:b w:val="0"/>
                <w:bCs/>
                <w:color w:val="auto"/>
                <w:spacing w:val="-6"/>
                <w:sz w:val="24"/>
                <w:szCs w:val="24"/>
                <w:highlight w:val="none"/>
                <w:u w:val="none"/>
                <w:lang w:val="en-US" w:eastAsia="zh-CN"/>
              </w:rPr>
              <w:t xml:space="preserve"> </w:t>
            </w:r>
            <w:r>
              <w:rPr>
                <w:rFonts w:hint="default" w:ascii="Times New Roman" w:hAnsi="Times New Roman" w:eastAsia="宋体" w:cs="Times New Roman"/>
                <w:b w:val="0"/>
                <w:bCs/>
                <w:color w:val="auto"/>
                <w:spacing w:val="-6"/>
                <w:sz w:val="24"/>
                <w:szCs w:val="24"/>
                <w:highlight w:val="none"/>
                <w:u w:val="none"/>
                <w:lang w:eastAsia="zh-CN"/>
              </w:rPr>
              <w:t>建设用地土壤污染风险管控标准（试行）》（GB36600</w:t>
            </w:r>
            <w:r>
              <w:rPr>
                <w:rFonts w:hint="default" w:ascii="Times New Roman" w:hAnsi="Times New Roman" w:eastAsia="宋体" w:cs="Times New Roman"/>
                <w:b w:val="0"/>
                <w:bCs/>
                <w:color w:val="auto"/>
                <w:spacing w:val="-6"/>
                <w:sz w:val="24"/>
                <w:szCs w:val="24"/>
                <w:highlight w:val="none"/>
                <w:u w:val="none"/>
                <w:lang w:val="en-US" w:eastAsia="zh-CN"/>
              </w:rPr>
              <w:t>-</w:t>
            </w:r>
            <w:r>
              <w:rPr>
                <w:rFonts w:hint="default" w:ascii="Times New Roman" w:hAnsi="Times New Roman" w:eastAsia="宋体" w:cs="Times New Roman"/>
                <w:b w:val="0"/>
                <w:bCs/>
                <w:color w:val="auto"/>
                <w:spacing w:val="-6"/>
                <w:sz w:val="24"/>
                <w:szCs w:val="24"/>
                <w:highlight w:val="none"/>
                <w:u w:val="none"/>
                <w:lang w:eastAsia="zh-CN"/>
              </w:rPr>
              <w:t>2018）第二类用地标准筛选值</w:t>
            </w:r>
            <w:r>
              <w:rPr>
                <w:rFonts w:hint="default" w:ascii="Times New Roman" w:hAnsi="Times New Roman" w:eastAsia="宋体" w:cs="Times New Roman"/>
                <w:b w:val="0"/>
                <w:bCs/>
                <w:color w:val="auto"/>
                <w:sz w:val="24"/>
                <w:szCs w:val="24"/>
                <w:highlight w:val="none"/>
                <w:u w:val="none"/>
              </w:rPr>
              <w:t>，项目所在地土壤环境质量较好</w:t>
            </w:r>
            <w:r>
              <w:rPr>
                <w:rFonts w:hint="default" w:ascii="Times New Roman" w:hAnsi="Times New Roman" w:eastAsia="宋体" w:cs="Times New Roman"/>
                <w:b w:val="0"/>
                <w:bCs/>
                <w:color w:val="auto"/>
                <w:spacing w:val="-6"/>
                <w:sz w:val="24"/>
                <w:szCs w:val="24"/>
                <w:highlight w:val="none"/>
                <w:u w:val="none"/>
                <w:lang w:eastAsia="zh-CN"/>
              </w:rPr>
              <w:t>。</w:t>
            </w:r>
          </w:p>
        </w:tc>
      </w:tr>
      <w:tr w14:paraId="2EFE15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720" w:type="dxa"/>
            <w:noWrap w:val="0"/>
            <w:vAlign w:val="center"/>
          </w:tcPr>
          <w:p w14:paraId="0F7E2B86">
            <w:pPr>
              <w:adjustRightInd w:val="0"/>
              <w:snapToGrid w:val="0"/>
              <w:jc w:val="center"/>
              <w:rPr>
                <w:rFonts w:ascii="宋体" w:hAnsi="宋体" w:cs="宋体"/>
                <w:kern w:val="0"/>
                <w:szCs w:val="21"/>
                <w:highlight w:val="none"/>
              </w:rPr>
            </w:pPr>
            <w:r>
              <w:rPr>
                <w:rFonts w:hint="eastAsia" w:ascii="宋体" w:hAnsi="宋体"/>
                <w:bCs/>
                <w:sz w:val="24"/>
                <w:szCs w:val="24"/>
                <w:highlight w:val="none"/>
              </w:rPr>
              <w:t>与项目有关的原有环境污染和生态破坏问题</w:t>
            </w:r>
          </w:p>
        </w:tc>
        <w:tc>
          <w:tcPr>
            <w:tcW w:w="8786" w:type="dxa"/>
            <w:noWrap w:val="0"/>
            <w:vAlign w:val="center"/>
          </w:tcPr>
          <w:p w14:paraId="2FCDDCD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宋体" w:hAnsi="宋体" w:eastAsia="宋体" w:cs="宋体"/>
                <w:kern w:val="0"/>
                <w:szCs w:val="21"/>
                <w:highlight w:val="none"/>
                <w:lang w:val="en-US" w:eastAsia="zh-CN"/>
              </w:rPr>
            </w:pPr>
            <w:r>
              <w:rPr>
                <w:rFonts w:hint="eastAsia" w:ascii="宋体" w:hAnsi="宋体" w:cs="宋体"/>
                <w:kern w:val="0"/>
                <w:sz w:val="24"/>
                <w:szCs w:val="24"/>
                <w:highlight w:val="none"/>
                <w:lang w:eastAsia="zh-CN"/>
              </w:rPr>
              <w:t>由于本项目所治理河流是存在时间较长的河流，不存在原有环境污染和生态破坏问题。</w:t>
            </w:r>
          </w:p>
        </w:tc>
      </w:tr>
      <w:tr w14:paraId="7ABA61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2" w:hRule="atLeast"/>
          <w:jc w:val="center"/>
        </w:trPr>
        <w:tc>
          <w:tcPr>
            <w:tcW w:w="720" w:type="dxa"/>
            <w:noWrap w:val="0"/>
            <w:vAlign w:val="center"/>
          </w:tcPr>
          <w:p w14:paraId="7D0C75F4">
            <w:pPr>
              <w:adjustRightInd w:val="0"/>
              <w:snapToGrid w:val="0"/>
              <w:jc w:val="center"/>
              <w:rPr>
                <w:rFonts w:hint="eastAsia" w:ascii="宋体" w:hAnsi="宋体" w:cs="宋体"/>
                <w:kern w:val="0"/>
                <w:sz w:val="24"/>
                <w:szCs w:val="24"/>
                <w:highlight w:val="none"/>
              </w:rPr>
            </w:pPr>
            <w:r>
              <w:rPr>
                <w:rFonts w:hint="eastAsia" w:ascii="宋体" w:hAnsi="宋体" w:cs="宋体"/>
                <w:kern w:val="0"/>
                <w:sz w:val="24"/>
                <w:szCs w:val="24"/>
                <w:highlight w:val="none"/>
              </w:rPr>
              <w:t>生态环境保护目标</w:t>
            </w:r>
          </w:p>
          <w:p w14:paraId="182D737F">
            <w:pPr>
              <w:adjustRightInd w:val="0"/>
              <w:snapToGrid w:val="0"/>
              <w:jc w:val="both"/>
              <w:rPr>
                <w:rFonts w:hint="eastAsia" w:ascii="宋体" w:hAnsi="宋体" w:cs="宋体"/>
                <w:kern w:val="0"/>
                <w:sz w:val="24"/>
                <w:szCs w:val="24"/>
                <w:highlight w:val="none"/>
              </w:rPr>
            </w:pPr>
          </w:p>
        </w:tc>
        <w:tc>
          <w:tcPr>
            <w:tcW w:w="8786" w:type="dxa"/>
            <w:noWrap w:val="0"/>
            <w:vAlign w:val="center"/>
          </w:tcPr>
          <w:p w14:paraId="22CCE8F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kern w:val="0"/>
                <w:sz w:val="24"/>
                <w:szCs w:val="24"/>
                <w:highlight w:val="none"/>
                <w:lang w:val="en-US" w:eastAsia="zh-CN"/>
              </w:rPr>
            </w:pPr>
            <w:r>
              <w:rPr>
                <w:rFonts w:hint="default" w:ascii="Times New Roman" w:hAnsi="Times New Roman" w:cs="Times New Roman"/>
                <w:kern w:val="0"/>
                <w:sz w:val="24"/>
                <w:szCs w:val="24"/>
                <w:highlight w:val="none"/>
                <w:lang w:eastAsia="zh-CN"/>
              </w:rPr>
              <w:t>本项目位于安阳市</w:t>
            </w:r>
            <w:r>
              <w:rPr>
                <w:rFonts w:hint="eastAsia" w:cs="Times New Roman"/>
                <w:kern w:val="0"/>
                <w:sz w:val="24"/>
                <w:szCs w:val="24"/>
                <w:highlight w:val="none"/>
                <w:lang w:eastAsia="zh-CN"/>
              </w:rPr>
              <w:t>殷都区</w:t>
            </w:r>
            <w:r>
              <w:rPr>
                <w:rFonts w:hint="default" w:ascii="Times New Roman" w:hAnsi="Times New Roman" w:cs="Times New Roman"/>
                <w:kern w:val="0"/>
                <w:sz w:val="24"/>
                <w:szCs w:val="24"/>
                <w:highlight w:val="none"/>
                <w:lang w:eastAsia="zh-CN"/>
              </w:rPr>
              <w:t>，项目周围</w:t>
            </w:r>
            <w:r>
              <w:rPr>
                <w:rFonts w:hint="eastAsia" w:cs="Times New Roman"/>
                <w:kern w:val="0"/>
                <w:sz w:val="24"/>
                <w:szCs w:val="24"/>
                <w:highlight w:val="none"/>
                <w:lang w:val="en-US" w:eastAsia="zh-CN"/>
              </w:rPr>
              <w:t>500</w:t>
            </w:r>
            <w:r>
              <w:rPr>
                <w:rFonts w:hint="default" w:ascii="Times New Roman" w:hAnsi="Times New Roman" w:cs="Times New Roman"/>
                <w:kern w:val="0"/>
                <w:sz w:val="24"/>
                <w:szCs w:val="24"/>
                <w:highlight w:val="none"/>
                <w:lang w:val="en-US" w:eastAsia="zh-CN"/>
              </w:rPr>
              <w:t>m范围内有居民区等大气敏感目标</w:t>
            </w:r>
            <w:r>
              <w:rPr>
                <w:rFonts w:hint="eastAsia" w:cs="Times New Roman"/>
                <w:kern w:val="0"/>
                <w:sz w:val="24"/>
                <w:szCs w:val="24"/>
                <w:highlight w:val="none"/>
                <w:lang w:val="en-US" w:eastAsia="zh-CN"/>
              </w:rPr>
              <w:t>，周边50m内有居民区等</w:t>
            </w:r>
            <w:r>
              <w:rPr>
                <w:rFonts w:hint="default" w:ascii="Times New Roman" w:hAnsi="Times New Roman" w:cs="Times New Roman"/>
                <w:kern w:val="0"/>
                <w:sz w:val="24"/>
                <w:szCs w:val="24"/>
                <w:highlight w:val="none"/>
                <w:lang w:val="en-US" w:eastAsia="zh-CN"/>
              </w:rPr>
              <w:t>声环境</w:t>
            </w:r>
            <w:r>
              <w:rPr>
                <w:rFonts w:hint="eastAsia" w:cs="Times New Roman"/>
                <w:kern w:val="0"/>
                <w:sz w:val="24"/>
                <w:szCs w:val="24"/>
                <w:highlight w:val="none"/>
                <w:lang w:val="en-US" w:eastAsia="zh-CN"/>
              </w:rPr>
              <w:t>敏感目标。</w:t>
            </w:r>
            <w:r>
              <w:rPr>
                <w:rFonts w:hint="default" w:ascii="Times New Roman" w:hAnsi="Times New Roman" w:eastAsia="宋体" w:cs="Times New Roman"/>
                <w:color w:val="auto"/>
                <w:kern w:val="0"/>
                <w:sz w:val="24"/>
                <w:szCs w:val="24"/>
                <w:highlight w:val="none"/>
                <w:u w:val="none" w:color="auto"/>
              </w:rPr>
              <w:t>项目周边不涉及自然保护区、风景名胜区等重要生态敏感区</w:t>
            </w:r>
            <w:r>
              <w:rPr>
                <w:rFonts w:hint="default" w:ascii="Times New Roman" w:hAnsi="Times New Roman" w:cs="Times New Roman"/>
                <w:kern w:val="0"/>
                <w:sz w:val="24"/>
                <w:szCs w:val="24"/>
                <w:highlight w:val="none"/>
                <w:lang w:val="en-US" w:eastAsia="zh-CN"/>
              </w:rPr>
              <w:t>。结合工程对各环境要素的影响分析，确定本项目主要环境保护目标如下表所示。</w:t>
            </w:r>
          </w:p>
          <w:p w14:paraId="6A4B699F">
            <w:pPr>
              <w:adjustRightInd w:val="0"/>
              <w:snapToGrid w:val="0"/>
              <w:jc w:val="center"/>
              <w:rPr>
                <w:rFonts w:hint="eastAsia" w:ascii="宋体" w:hAnsi="宋体" w:cs="宋体"/>
                <w:b/>
                <w:bCs/>
                <w:kern w:val="0"/>
                <w:szCs w:val="21"/>
                <w:highlight w:val="none"/>
                <w:lang w:val="en-US" w:eastAsia="zh-CN"/>
              </w:rPr>
            </w:pPr>
            <w:r>
              <w:rPr>
                <w:rFonts w:hint="eastAsia" w:ascii="宋体" w:hAnsi="宋体" w:cs="宋体"/>
                <w:b/>
                <w:bCs/>
                <w:kern w:val="0"/>
                <w:szCs w:val="21"/>
                <w:highlight w:val="none"/>
                <w:lang w:val="en-US" w:eastAsia="zh-CN"/>
              </w:rPr>
              <w:t>主要环境保护目标</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66"/>
              <w:gridCol w:w="511"/>
              <w:gridCol w:w="1431"/>
              <w:gridCol w:w="2566"/>
              <w:gridCol w:w="3093"/>
            </w:tblGrid>
            <w:tr w14:paraId="7E2A6E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4" w:type="pct"/>
                  <w:tcBorders>
                    <w:top w:val="single" w:color="auto" w:sz="18" w:space="0"/>
                  </w:tcBorders>
                  <w:vAlign w:val="center"/>
                </w:tcPr>
                <w:p w14:paraId="6CB7CC60">
                  <w:pPr>
                    <w:adjustRightInd w:val="0"/>
                    <w:snapToGrid w:val="0"/>
                    <w:jc w:val="center"/>
                    <w:rPr>
                      <w:rFonts w:hint="default" w:ascii="Times New Roman" w:hAnsi="Times New Roman" w:cs="Times New Roman"/>
                      <w:b/>
                      <w:bCs/>
                      <w:i w:val="0"/>
                      <w:iCs w:val="0"/>
                      <w:kern w:val="0"/>
                      <w:szCs w:val="21"/>
                      <w:highlight w:val="none"/>
                      <w:vertAlign w:val="baseline"/>
                      <w:lang w:val="en-US" w:eastAsia="zh-CN"/>
                    </w:rPr>
                  </w:pPr>
                  <w:r>
                    <w:rPr>
                      <w:rFonts w:hint="default" w:ascii="Times New Roman" w:hAnsi="Times New Roman" w:cs="Times New Roman"/>
                      <w:b/>
                      <w:bCs/>
                      <w:i w:val="0"/>
                      <w:iCs w:val="0"/>
                      <w:kern w:val="0"/>
                      <w:szCs w:val="21"/>
                      <w:highlight w:val="none"/>
                      <w:vertAlign w:val="baseline"/>
                      <w:lang w:val="en-US" w:eastAsia="zh-CN"/>
                    </w:rPr>
                    <w:t>环境要素</w:t>
                  </w:r>
                </w:p>
              </w:tc>
              <w:tc>
                <w:tcPr>
                  <w:tcW w:w="298" w:type="pct"/>
                  <w:tcBorders>
                    <w:top w:val="single" w:color="auto" w:sz="18" w:space="0"/>
                  </w:tcBorders>
                  <w:vAlign w:val="center"/>
                </w:tcPr>
                <w:p w14:paraId="40024DC4">
                  <w:pPr>
                    <w:adjustRightInd w:val="0"/>
                    <w:snapToGrid w:val="0"/>
                    <w:jc w:val="center"/>
                    <w:rPr>
                      <w:rFonts w:hint="default" w:ascii="Times New Roman" w:hAnsi="Times New Roman" w:cs="Times New Roman"/>
                      <w:b/>
                      <w:bCs/>
                      <w:i w:val="0"/>
                      <w:iCs w:val="0"/>
                      <w:kern w:val="0"/>
                      <w:szCs w:val="21"/>
                      <w:highlight w:val="none"/>
                      <w:vertAlign w:val="baseline"/>
                      <w:lang w:val="en-US" w:eastAsia="zh-CN"/>
                    </w:rPr>
                  </w:pPr>
                  <w:r>
                    <w:rPr>
                      <w:rFonts w:hint="default" w:ascii="Times New Roman" w:hAnsi="Times New Roman" w:cs="Times New Roman"/>
                      <w:b/>
                      <w:bCs/>
                      <w:i w:val="0"/>
                      <w:iCs w:val="0"/>
                      <w:kern w:val="0"/>
                      <w:szCs w:val="21"/>
                      <w:highlight w:val="none"/>
                      <w:vertAlign w:val="baseline"/>
                      <w:lang w:val="en-US" w:eastAsia="zh-CN"/>
                    </w:rPr>
                    <w:t>序号</w:t>
                  </w:r>
                </w:p>
              </w:tc>
              <w:tc>
                <w:tcPr>
                  <w:tcW w:w="835" w:type="pct"/>
                  <w:tcBorders>
                    <w:top w:val="single" w:color="auto" w:sz="18" w:space="0"/>
                  </w:tcBorders>
                  <w:vAlign w:val="center"/>
                </w:tcPr>
                <w:p w14:paraId="67AC8E97">
                  <w:pPr>
                    <w:adjustRightInd w:val="0"/>
                    <w:snapToGrid w:val="0"/>
                    <w:jc w:val="center"/>
                    <w:rPr>
                      <w:rFonts w:hint="default" w:ascii="Times New Roman" w:hAnsi="Times New Roman" w:cs="Times New Roman"/>
                      <w:b/>
                      <w:bCs/>
                      <w:i w:val="0"/>
                      <w:iCs w:val="0"/>
                      <w:kern w:val="0"/>
                      <w:szCs w:val="21"/>
                      <w:highlight w:val="none"/>
                      <w:vertAlign w:val="baseline"/>
                      <w:lang w:val="en-US" w:eastAsia="zh-CN"/>
                    </w:rPr>
                  </w:pPr>
                  <w:r>
                    <w:rPr>
                      <w:rFonts w:hint="default" w:ascii="Times New Roman" w:hAnsi="Times New Roman" w:cs="Times New Roman"/>
                      <w:b/>
                      <w:bCs/>
                      <w:i w:val="0"/>
                      <w:iCs w:val="0"/>
                      <w:kern w:val="0"/>
                      <w:szCs w:val="21"/>
                      <w:highlight w:val="none"/>
                      <w:vertAlign w:val="baseline"/>
                      <w:lang w:val="en-US" w:eastAsia="zh-CN"/>
                    </w:rPr>
                    <w:t>保护目标</w:t>
                  </w:r>
                </w:p>
              </w:tc>
              <w:tc>
                <w:tcPr>
                  <w:tcW w:w="1497" w:type="pct"/>
                  <w:tcBorders>
                    <w:top w:val="single" w:color="auto" w:sz="18" w:space="0"/>
                  </w:tcBorders>
                  <w:vAlign w:val="center"/>
                </w:tcPr>
                <w:p w14:paraId="67AA973C">
                  <w:pPr>
                    <w:adjustRightInd w:val="0"/>
                    <w:snapToGrid w:val="0"/>
                    <w:jc w:val="center"/>
                    <w:rPr>
                      <w:rFonts w:hint="default" w:ascii="Times New Roman" w:hAnsi="Times New Roman" w:cs="Times New Roman"/>
                      <w:b/>
                      <w:bCs/>
                      <w:i w:val="0"/>
                      <w:iCs w:val="0"/>
                      <w:kern w:val="0"/>
                      <w:szCs w:val="21"/>
                      <w:highlight w:val="none"/>
                      <w:vertAlign w:val="baseline"/>
                      <w:lang w:val="en-US" w:eastAsia="zh-CN"/>
                    </w:rPr>
                  </w:pPr>
                  <w:r>
                    <w:rPr>
                      <w:rFonts w:hint="default" w:ascii="Times New Roman" w:hAnsi="Times New Roman" w:cs="Times New Roman"/>
                      <w:b/>
                      <w:bCs/>
                      <w:i w:val="0"/>
                      <w:iCs w:val="0"/>
                      <w:kern w:val="0"/>
                      <w:szCs w:val="21"/>
                      <w:highlight w:val="none"/>
                      <w:vertAlign w:val="baseline"/>
                      <w:lang w:val="en-US" w:eastAsia="zh-CN"/>
                    </w:rPr>
                    <w:t>相对项目位置距离</w:t>
                  </w:r>
                </w:p>
              </w:tc>
              <w:tc>
                <w:tcPr>
                  <w:tcW w:w="1804" w:type="pct"/>
                  <w:tcBorders>
                    <w:top w:val="single" w:color="auto" w:sz="18" w:space="0"/>
                  </w:tcBorders>
                  <w:vAlign w:val="center"/>
                </w:tcPr>
                <w:p w14:paraId="0C20D062">
                  <w:pPr>
                    <w:adjustRightInd w:val="0"/>
                    <w:snapToGrid w:val="0"/>
                    <w:jc w:val="center"/>
                    <w:rPr>
                      <w:rFonts w:hint="default" w:ascii="Times New Roman" w:hAnsi="Times New Roman" w:cs="Times New Roman"/>
                      <w:b/>
                      <w:bCs/>
                      <w:i w:val="0"/>
                      <w:iCs w:val="0"/>
                      <w:kern w:val="0"/>
                      <w:szCs w:val="21"/>
                      <w:highlight w:val="none"/>
                      <w:vertAlign w:val="baseline"/>
                      <w:lang w:val="en-US" w:eastAsia="zh-CN"/>
                    </w:rPr>
                  </w:pPr>
                  <w:r>
                    <w:rPr>
                      <w:rFonts w:hint="default" w:ascii="Times New Roman" w:hAnsi="Times New Roman" w:cs="Times New Roman"/>
                      <w:b/>
                      <w:bCs/>
                      <w:i w:val="0"/>
                      <w:iCs w:val="0"/>
                      <w:kern w:val="0"/>
                      <w:szCs w:val="21"/>
                      <w:highlight w:val="none"/>
                      <w:vertAlign w:val="baseline"/>
                      <w:lang w:val="en-US" w:eastAsia="zh-CN"/>
                    </w:rPr>
                    <w:t>规模与特征</w:t>
                  </w:r>
                </w:p>
              </w:tc>
            </w:tr>
            <w:tr w14:paraId="6C8569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4" w:type="pct"/>
                  <w:vMerge w:val="restart"/>
                  <w:vAlign w:val="center"/>
                </w:tcPr>
                <w:p w14:paraId="483E98EB">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default" w:ascii="Times New Roman" w:hAnsi="Times New Roman" w:cs="Times New Roman"/>
                      <w:i w:val="0"/>
                      <w:iCs w:val="0"/>
                      <w:kern w:val="0"/>
                      <w:szCs w:val="21"/>
                      <w:highlight w:val="none"/>
                      <w:vertAlign w:val="baseline"/>
                      <w:lang w:val="en-US" w:eastAsia="zh-CN"/>
                    </w:rPr>
                    <w:t>大气及声环境</w:t>
                  </w:r>
                </w:p>
              </w:tc>
              <w:tc>
                <w:tcPr>
                  <w:tcW w:w="298" w:type="pct"/>
                  <w:vAlign w:val="center"/>
                </w:tcPr>
                <w:p w14:paraId="6D8C8959">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default" w:ascii="Times New Roman" w:hAnsi="Times New Roman" w:cs="Times New Roman"/>
                      <w:i w:val="0"/>
                      <w:iCs w:val="0"/>
                      <w:kern w:val="0"/>
                      <w:szCs w:val="21"/>
                      <w:highlight w:val="none"/>
                      <w:vertAlign w:val="baseline"/>
                      <w:lang w:val="en-US" w:eastAsia="zh-CN"/>
                    </w:rPr>
                    <w:t>1</w:t>
                  </w:r>
                </w:p>
              </w:tc>
              <w:tc>
                <w:tcPr>
                  <w:tcW w:w="835" w:type="pct"/>
                  <w:vAlign w:val="center"/>
                </w:tcPr>
                <w:p w14:paraId="4DCE0178">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西曲沟村</w:t>
                  </w:r>
                </w:p>
              </w:tc>
              <w:tc>
                <w:tcPr>
                  <w:tcW w:w="1497" w:type="pct"/>
                  <w:vAlign w:val="center"/>
                </w:tcPr>
                <w:p w14:paraId="1A2A6BD8">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default" w:ascii="Times New Roman" w:hAnsi="Times New Roman" w:cs="Times New Roman"/>
                      <w:i w:val="0"/>
                      <w:iCs w:val="0"/>
                      <w:kern w:val="0"/>
                      <w:szCs w:val="21"/>
                      <w:highlight w:val="none"/>
                      <w:vertAlign w:val="baseline"/>
                      <w:lang w:val="en-US" w:eastAsia="zh-CN"/>
                    </w:rPr>
                    <w:t>紧邻村庄</w:t>
                  </w:r>
                </w:p>
              </w:tc>
              <w:tc>
                <w:tcPr>
                  <w:tcW w:w="1804" w:type="pct"/>
                  <w:vAlign w:val="center"/>
                </w:tcPr>
                <w:p w14:paraId="580E93D0">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default" w:ascii="Times New Roman" w:hAnsi="Times New Roman" w:cs="Times New Roman"/>
                      <w:i w:val="0"/>
                      <w:iCs w:val="0"/>
                      <w:kern w:val="0"/>
                      <w:szCs w:val="21"/>
                      <w:highlight w:val="none"/>
                      <w:vertAlign w:val="baseline"/>
                      <w:lang w:val="en-US" w:eastAsia="zh-CN"/>
                    </w:rPr>
                    <w:t>1类声环境功能区、2类环境空气质量功能区</w:t>
                  </w:r>
                </w:p>
              </w:tc>
            </w:tr>
            <w:tr w14:paraId="636350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564" w:type="pct"/>
                  <w:vMerge w:val="continue"/>
                  <w:vAlign w:val="center"/>
                </w:tcPr>
                <w:p w14:paraId="5DF60CF5">
                  <w:pPr>
                    <w:adjustRightInd w:val="0"/>
                    <w:snapToGrid w:val="0"/>
                    <w:jc w:val="center"/>
                    <w:rPr>
                      <w:rFonts w:hint="default" w:ascii="Times New Roman" w:hAnsi="Times New Roman" w:cs="Times New Roman"/>
                      <w:i w:val="0"/>
                      <w:iCs w:val="0"/>
                      <w:kern w:val="0"/>
                      <w:szCs w:val="21"/>
                      <w:highlight w:val="none"/>
                      <w:vertAlign w:val="baseline"/>
                      <w:lang w:val="en-US" w:eastAsia="zh-CN"/>
                    </w:rPr>
                  </w:pPr>
                </w:p>
              </w:tc>
              <w:tc>
                <w:tcPr>
                  <w:tcW w:w="298" w:type="pct"/>
                  <w:vAlign w:val="center"/>
                </w:tcPr>
                <w:p w14:paraId="1D264C7F">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default" w:ascii="Times New Roman" w:hAnsi="Times New Roman" w:cs="Times New Roman"/>
                      <w:i w:val="0"/>
                      <w:iCs w:val="0"/>
                      <w:kern w:val="0"/>
                      <w:szCs w:val="21"/>
                      <w:highlight w:val="none"/>
                      <w:vertAlign w:val="baseline"/>
                      <w:lang w:val="en-US" w:eastAsia="zh-CN"/>
                    </w:rPr>
                    <w:t>2</w:t>
                  </w:r>
                </w:p>
              </w:tc>
              <w:tc>
                <w:tcPr>
                  <w:tcW w:w="835" w:type="pct"/>
                  <w:vAlign w:val="center"/>
                </w:tcPr>
                <w:p w14:paraId="04E0A728">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新城御景</w:t>
                  </w:r>
                </w:p>
              </w:tc>
              <w:tc>
                <w:tcPr>
                  <w:tcW w:w="1497" w:type="pct"/>
                  <w:vAlign w:val="center"/>
                </w:tcPr>
                <w:p w14:paraId="65C0DDC9">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default" w:ascii="Times New Roman" w:hAnsi="Times New Roman" w:cs="Times New Roman"/>
                      <w:i w:val="0"/>
                      <w:iCs w:val="0"/>
                      <w:kern w:val="0"/>
                      <w:szCs w:val="21"/>
                      <w:highlight w:val="none"/>
                      <w:vertAlign w:val="baseline"/>
                      <w:lang w:val="en-US" w:eastAsia="zh-CN"/>
                    </w:rPr>
                    <w:t>紧邻</w:t>
                  </w:r>
                  <w:r>
                    <w:rPr>
                      <w:rFonts w:hint="eastAsia" w:ascii="Times New Roman" w:hAnsi="Times New Roman" w:cs="Times New Roman"/>
                      <w:i w:val="0"/>
                      <w:iCs w:val="0"/>
                      <w:kern w:val="0"/>
                      <w:szCs w:val="21"/>
                      <w:highlight w:val="none"/>
                      <w:vertAlign w:val="baseline"/>
                      <w:lang w:val="en-US" w:eastAsia="zh-CN"/>
                    </w:rPr>
                    <w:t>社区</w:t>
                  </w:r>
                </w:p>
              </w:tc>
              <w:tc>
                <w:tcPr>
                  <w:tcW w:w="1804" w:type="pct"/>
                  <w:vAlign w:val="center"/>
                </w:tcPr>
                <w:p w14:paraId="2C83234C">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1</w:t>
                  </w:r>
                  <w:r>
                    <w:rPr>
                      <w:rFonts w:hint="default" w:ascii="Times New Roman" w:hAnsi="Times New Roman" w:cs="Times New Roman"/>
                      <w:i w:val="0"/>
                      <w:iCs w:val="0"/>
                      <w:kern w:val="0"/>
                      <w:szCs w:val="21"/>
                      <w:highlight w:val="none"/>
                      <w:vertAlign w:val="baseline"/>
                      <w:lang w:val="en-US" w:eastAsia="zh-CN"/>
                    </w:rPr>
                    <w:t>类声环境功能区、2类环境空气质量功能区</w:t>
                  </w:r>
                </w:p>
              </w:tc>
            </w:tr>
            <w:tr w14:paraId="2BD5E3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564" w:type="pct"/>
                  <w:vMerge w:val="continue"/>
                  <w:vAlign w:val="center"/>
                </w:tcPr>
                <w:p w14:paraId="4592CB15">
                  <w:pPr>
                    <w:adjustRightInd w:val="0"/>
                    <w:snapToGrid w:val="0"/>
                    <w:jc w:val="center"/>
                    <w:rPr>
                      <w:rFonts w:hint="default" w:ascii="Times New Roman" w:hAnsi="Times New Roman" w:cs="Times New Roman"/>
                      <w:i w:val="0"/>
                      <w:iCs w:val="0"/>
                      <w:kern w:val="0"/>
                      <w:szCs w:val="21"/>
                      <w:highlight w:val="none"/>
                      <w:vertAlign w:val="baseline"/>
                      <w:lang w:val="en-US" w:eastAsia="zh-CN"/>
                    </w:rPr>
                  </w:pPr>
                </w:p>
              </w:tc>
              <w:tc>
                <w:tcPr>
                  <w:tcW w:w="298" w:type="pct"/>
                  <w:vAlign w:val="center"/>
                </w:tcPr>
                <w:p w14:paraId="6CF0D5DD">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3</w:t>
                  </w:r>
                </w:p>
              </w:tc>
              <w:tc>
                <w:tcPr>
                  <w:tcW w:w="835" w:type="pct"/>
                  <w:vAlign w:val="center"/>
                </w:tcPr>
                <w:p w14:paraId="11BAF7C6">
                  <w:pPr>
                    <w:adjustRightInd w:val="0"/>
                    <w:snapToGrid w:val="0"/>
                    <w:jc w:val="center"/>
                    <w:rPr>
                      <w:rFonts w:hint="eastAsia"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曲沟苑小区</w:t>
                  </w:r>
                </w:p>
              </w:tc>
              <w:tc>
                <w:tcPr>
                  <w:tcW w:w="1497" w:type="pct"/>
                  <w:vAlign w:val="center"/>
                </w:tcPr>
                <w:p w14:paraId="531F4EE4">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紧邻社区</w:t>
                  </w:r>
                </w:p>
              </w:tc>
              <w:tc>
                <w:tcPr>
                  <w:tcW w:w="1804" w:type="pct"/>
                  <w:vAlign w:val="center"/>
                </w:tcPr>
                <w:p w14:paraId="055C95A8">
                  <w:pPr>
                    <w:adjustRightInd w:val="0"/>
                    <w:snapToGrid w:val="0"/>
                    <w:jc w:val="center"/>
                    <w:rPr>
                      <w:rFonts w:hint="eastAsia"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1</w:t>
                  </w:r>
                  <w:r>
                    <w:rPr>
                      <w:rFonts w:hint="default" w:ascii="Times New Roman" w:hAnsi="Times New Roman" w:cs="Times New Roman"/>
                      <w:i w:val="0"/>
                      <w:iCs w:val="0"/>
                      <w:kern w:val="0"/>
                      <w:szCs w:val="21"/>
                      <w:highlight w:val="none"/>
                      <w:vertAlign w:val="baseline"/>
                      <w:lang w:val="en-US" w:eastAsia="zh-CN"/>
                    </w:rPr>
                    <w:t>类声环境功能区、2类环境空气质量功能区</w:t>
                  </w:r>
                </w:p>
              </w:tc>
            </w:tr>
            <w:tr w14:paraId="260FA4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4" w:type="pct"/>
                  <w:vMerge w:val="continue"/>
                  <w:vAlign w:val="center"/>
                </w:tcPr>
                <w:p w14:paraId="32D0BA57">
                  <w:pPr>
                    <w:adjustRightInd w:val="0"/>
                    <w:snapToGrid w:val="0"/>
                    <w:jc w:val="center"/>
                    <w:rPr>
                      <w:rFonts w:hint="default" w:ascii="Times New Roman" w:hAnsi="Times New Roman" w:cs="Times New Roman"/>
                      <w:i w:val="0"/>
                      <w:iCs w:val="0"/>
                      <w:kern w:val="0"/>
                      <w:szCs w:val="21"/>
                      <w:highlight w:val="none"/>
                      <w:vertAlign w:val="baseline"/>
                      <w:lang w:val="en-US" w:eastAsia="zh-CN"/>
                    </w:rPr>
                  </w:pPr>
                </w:p>
              </w:tc>
              <w:tc>
                <w:tcPr>
                  <w:tcW w:w="298" w:type="pct"/>
                  <w:vAlign w:val="center"/>
                </w:tcPr>
                <w:p w14:paraId="5062F9EA">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4</w:t>
                  </w:r>
                </w:p>
              </w:tc>
              <w:tc>
                <w:tcPr>
                  <w:tcW w:w="835" w:type="pct"/>
                  <w:vAlign w:val="center"/>
                </w:tcPr>
                <w:p w14:paraId="7890E674">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曲沟村</w:t>
                  </w:r>
                </w:p>
              </w:tc>
              <w:tc>
                <w:tcPr>
                  <w:tcW w:w="1497" w:type="pct"/>
                  <w:vAlign w:val="center"/>
                </w:tcPr>
                <w:p w14:paraId="7C4838F5">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default" w:ascii="Times New Roman" w:hAnsi="Times New Roman" w:cs="Times New Roman"/>
                      <w:i w:val="0"/>
                      <w:iCs w:val="0"/>
                      <w:kern w:val="0"/>
                      <w:szCs w:val="21"/>
                      <w:highlight w:val="none"/>
                      <w:vertAlign w:val="baseline"/>
                      <w:lang w:val="en-US" w:eastAsia="zh-CN"/>
                    </w:rPr>
                    <w:t>紧邻村庄</w:t>
                  </w:r>
                </w:p>
              </w:tc>
              <w:tc>
                <w:tcPr>
                  <w:tcW w:w="1804" w:type="pct"/>
                  <w:vAlign w:val="center"/>
                </w:tcPr>
                <w:p w14:paraId="37A8DFCA">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1</w:t>
                  </w:r>
                  <w:r>
                    <w:rPr>
                      <w:rFonts w:hint="default" w:ascii="Times New Roman" w:hAnsi="Times New Roman" w:cs="Times New Roman"/>
                      <w:i w:val="0"/>
                      <w:iCs w:val="0"/>
                      <w:kern w:val="0"/>
                      <w:szCs w:val="21"/>
                      <w:highlight w:val="none"/>
                      <w:vertAlign w:val="baseline"/>
                      <w:lang w:val="en-US" w:eastAsia="zh-CN"/>
                    </w:rPr>
                    <w:t>类声环境功能区、2类环境空气质量功能区</w:t>
                  </w:r>
                </w:p>
              </w:tc>
            </w:tr>
            <w:tr w14:paraId="380AB6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4" w:type="pct"/>
                  <w:vMerge w:val="continue"/>
                  <w:vAlign w:val="center"/>
                </w:tcPr>
                <w:p w14:paraId="401F4A1C">
                  <w:pPr>
                    <w:adjustRightInd w:val="0"/>
                    <w:snapToGrid w:val="0"/>
                    <w:jc w:val="center"/>
                    <w:rPr>
                      <w:rFonts w:hint="default" w:ascii="Times New Roman" w:hAnsi="Times New Roman" w:cs="Times New Roman"/>
                      <w:i w:val="0"/>
                      <w:iCs w:val="0"/>
                      <w:kern w:val="0"/>
                      <w:szCs w:val="21"/>
                      <w:highlight w:val="none"/>
                      <w:vertAlign w:val="baseline"/>
                      <w:lang w:val="en-US" w:eastAsia="zh-CN"/>
                    </w:rPr>
                  </w:pPr>
                </w:p>
              </w:tc>
              <w:tc>
                <w:tcPr>
                  <w:tcW w:w="298" w:type="pct"/>
                  <w:vAlign w:val="center"/>
                </w:tcPr>
                <w:p w14:paraId="37A741F5">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5</w:t>
                  </w:r>
                </w:p>
              </w:tc>
              <w:tc>
                <w:tcPr>
                  <w:tcW w:w="835" w:type="pct"/>
                  <w:vAlign w:val="center"/>
                </w:tcPr>
                <w:p w14:paraId="308434D8">
                  <w:pPr>
                    <w:adjustRightInd w:val="0"/>
                    <w:snapToGrid w:val="0"/>
                    <w:jc w:val="center"/>
                    <w:rPr>
                      <w:rFonts w:hint="eastAsia"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西夏寒村</w:t>
                  </w:r>
                </w:p>
              </w:tc>
              <w:tc>
                <w:tcPr>
                  <w:tcW w:w="1497" w:type="pct"/>
                  <w:vAlign w:val="center"/>
                </w:tcPr>
                <w:p w14:paraId="7F060DFB">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default" w:ascii="Times New Roman" w:hAnsi="Times New Roman" w:cs="Times New Roman"/>
                      <w:i w:val="0"/>
                      <w:iCs w:val="0"/>
                      <w:kern w:val="0"/>
                      <w:szCs w:val="21"/>
                      <w:highlight w:val="none"/>
                      <w:vertAlign w:val="baseline"/>
                      <w:lang w:val="en-US" w:eastAsia="zh-CN"/>
                    </w:rPr>
                    <w:t>紧邻村庄</w:t>
                  </w:r>
                </w:p>
              </w:tc>
              <w:tc>
                <w:tcPr>
                  <w:tcW w:w="1804" w:type="pct"/>
                  <w:vAlign w:val="center"/>
                </w:tcPr>
                <w:p w14:paraId="0DE06530">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1</w:t>
                  </w:r>
                  <w:r>
                    <w:rPr>
                      <w:rFonts w:hint="default" w:ascii="Times New Roman" w:hAnsi="Times New Roman" w:cs="Times New Roman"/>
                      <w:i w:val="0"/>
                      <w:iCs w:val="0"/>
                      <w:kern w:val="0"/>
                      <w:szCs w:val="21"/>
                      <w:highlight w:val="none"/>
                      <w:vertAlign w:val="baseline"/>
                      <w:lang w:val="en-US" w:eastAsia="zh-CN"/>
                    </w:rPr>
                    <w:t>类声环境功能区、2类环境空气质量功能区</w:t>
                  </w:r>
                </w:p>
              </w:tc>
            </w:tr>
            <w:tr w14:paraId="63E638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4" w:type="pct"/>
                  <w:vMerge w:val="continue"/>
                  <w:vAlign w:val="center"/>
                </w:tcPr>
                <w:p w14:paraId="13A451DE">
                  <w:pPr>
                    <w:adjustRightInd w:val="0"/>
                    <w:snapToGrid w:val="0"/>
                    <w:jc w:val="center"/>
                    <w:rPr>
                      <w:rFonts w:hint="default" w:ascii="Times New Roman" w:hAnsi="Times New Roman" w:cs="Times New Roman"/>
                      <w:i w:val="0"/>
                      <w:iCs w:val="0"/>
                      <w:kern w:val="0"/>
                      <w:szCs w:val="21"/>
                      <w:highlight w:val="none"/>
                      <w:vertAlign w:val="baseline"/>
                      <w:lang w:val="en-US" w:eastAsia="zh-CN"/>
                    </w:rPr>
                  </w:pPr>
                </w:p>
              </w:tc>
              <w:tc>
                <w:tcPr>
                  <w:tcW w:w="298" w:type="pct"/>
                  <w:vAlign w:val="center"/>
                </w:tcPr>
                <w:p w14:paraId="228A49FE">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6</w:t>
                  </w:r>
                </w:p>
              </w:tc>
              <w:tc>
                <w:tcPr>
                  <w:tcW w:w="835" w:type="pct"/>
                  <w:vAlign w:val="center"/>
                </w:tcPr>
                <w:p w14:paraId="259952D7">
                  <w:pPr>
                    <w:adjustRightInd w:val="0"/>
                    <w:snapToGrid w:val="0"/>
                    <w:jc w:val="center"/>
                    <w:rPr>
                      <w:rFonts w:hint="eastAsia"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东夏寒村</w:t>
                  </w:r>
                </w:p>
              </w:tc>
              <w:tc>
                <w:tcPr>
                  <w:tcW w:w="1497" w:type="pct"/>
                  <w:vAlign w:val="center"/>
                </w:tcPr>
                <w:p w14:paraId="59798608">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default" w:ascii="Times New Roman" w:hAnsi="Times New Roman" w:cs="Times New Roman"/>
                      <w:i w:val="0"/>
                      <w:iCs w:val="0"/>
                      <w:kern w:val="0"/>
                      <w:szCs w:val="21"/>
                      <w:highlight w:val="none"/>
                      <w:vertAlign w:val="baseline"/>
                      <w:lang w:val="en-US" w:eastAsia="zh-CN"/>
                    </w:rPr>
                    <w:t>紧邻村庄</w:t>
                  </w:r>
                </w:p>
              </w:tc>
              <w:tc>
                <w:tcPr>
                  <w:tcW w:w="1804" w:type="pct"/>
                  <w:vAlign w:val="center"/>
                </w:tcPr>
                <w:p w14:paraId="4F298057">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1</w:t>
                  </w:r>
                  <w:r>
                    <w:rPr>
                      <w:rFonts w:hint="default" w:ascii="Times New Roman" w:hAnsi="Times New Roman" w:cs="Times New Roman"/>
                      <w:i w:val="0"/>
                      <w:iCs w:val="0"/>
                      <w:kern w:val="0"/>
                      <w:szCs w:val="21"/>
                      <w:highlight w:val="none"/>
                      <w:vertAlign w:val="baseline"/>
                      <w:lang w:val="en-US" w:eastAsia="zh-CN"/>
                    </w:rPr>
                    <w:t>类声环境功能区、2类环境空气质量功能区</w:t>
                  </w:r>
                </w:p>
              </w:tc>
            </w:tr>
            <w:tr w14:paraId="6C4048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4" w:type="pct"/>
                  <w:vMerge w:val="restart"/>
                  <w:vAlign w:val="center"/>
                </w:tcPr>
                <w:p w14:paraId="70D5D593">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大气环境</w:t>
                  </w:r>
                </w:p>
              </w:tc>
              <w:tc>
                <w:tcPr>
                  <w:tcW w:w="298" w:type="pct"/>
                  <w:vAlign w:val="center"/>
                </w:tcPr>
                <w:p w14:paraId="4112B738">
                  <w:pPr>
                    <w:adjustRightInd w:val="0"/>
                    <w:snapToGrid w:val="0"/>
                    <w:jc w:val="center"/>
                    <w:rPr>
                      <w:rFonts w:hint="default"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1</w:t>
                  </w:r>
                </w:p>
              </w:tc>
              <w:tc>
                <w:tcPr>
                  <w:tcW w:w="835" w:type="pct"/>
                  <w:vAlign w:val="center"/>
                </w:tcPr>
                <w:p w14:paraId="5871F57E">
                  <w:pPr>
                    <w:adjustRightInd w:val="0"/>
                    <w:snapToGrid w:val="0"/>
                    <w:jc w:val="center"/>
                    <w:rPr>
                      <w:rFonts w:hint="eastAsia"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武旺村</w:t>
                  </w:r>
                </w:p>
              </w:tc>
              <w:tc>
                <w:tcPr>
                  <w:tcW w:w="1497" w:type="pct"/>
                  <w:vAlign w:val="center"/>
                </w:tcPr>
                <w:p w14:paraId="247998F2">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西侧150m</w:t>
                  </w:r>
                </w:p>
              </w:tc>
              <w:tc>
                <w:tcPr>
                  <w:tcW w:w="1804" w:type="pct"/>
                  <w:vAlign w:val="center"/>
                </w:tcPr>
                <w:p w14:paraId="571D312A">
                  <w:pPr>
                    <w:adjustRightInd w:val="0"/>
                    <w:snapToGrid w:val="0"/>
                    <w:jc w:val="center"/>
                    <w:rPr>
                      <w:rFonts w:hint="eastAsia" w:cs="Times New Roman"/>
                      <w:i w:val="0"/>
                      <w:iCs w:val="0"/>
                      <w:kern w:val="0"/>
                      <w:szCs w:val="21"/>
                      <w:highlight w:val="none"/>
                      <w:vertAlign w:val="baseline"/>
                      <w:lang w:val="en-US" w:eastAsia="zh-CN"/>
                    </w:rPr>
                  </w:pPr>
                  <w:r>
                    <w:rPr>
                      <w:rFonts w:hint="default" w:ascii="Times New Roman" w:hAnsi="Times New Roman" w:cs="Times New Roman"/>
                      <w:i w:val="0"/>
                      <w:iCs w:val="0"/>
                      <w:kern w:val="0"/>
                      <w:szCs w:val="21"/>
                      <w:highlight w:val="none"/>
                      <w:vertAlign w:val="baseline"/>
                      <w:lang w:val="en-US" w:eastAsia="zh-CN"/>
                    </w:rPr>
                    <w:t>2类环境空气质量功能区</w:t>
                  </w:r>
                </w:p>
              </w:tc>
            </w:tr>
            <w:tr w14:paraId="4F7662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4" w:type="pct"/>
                  <w:vMerge w:val="continue"/>
                  <w:vAlign w:val="center"/>
                </w:tcPr>
                <w:p w14:paraId="47B99FFF">
                  <w:pPr>
                    <w:adjustRightInd w:val="0"/>
                    <w:snapToGrid w:val="0"/>
                    <w:jc w:val="center"/>
                    <w:rPr>
                      <w:rFonts w:hint="default" w:ascii="Times New Roman" w:hAnsi="Times New Roman" w:cs="Times New Roman"/>
                      <w:i w:val="0"/>
                      <w:iCs w:val="0"/>
                      <w:kern w:val="0"/>
                      <w:szCs w:val="21"/>
                      <w:highlight w:val="none"/>
                      <w:vertAlign w:val="baseline"/>
                      <w:lang w:val="en-US" w:eastAsia="zh-CN"/>
                    </w:rPr>
                  </w:pPr>
                </w:p>
              </w:tc>
              <w:tc>
                <w:tcPr>
                  <w:tcW w:w="298" w:type="pct"/>
                  <w:vAlign w:val="center"/>
                </w:tcPr>
                <w:p w14:paraId="1222B9C9">
                  <w:pPr>
                    <w:adjustRightInd w:val="0"/>
                    <w:snapToGrid w:val="0"/>
                    <w:jc w:val="center"/>
                    <w:rPr>
                      <w:rFonts w:hint="default"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2</w:t>
                  </w:r>
                </w:p>
              </w:tc>
              <w:tc>
                <w:tcPr>
                  <w:tcW w:w="835" w:type="pct"/>
                  <w:vAlign w:val="center"/>
                </w:tcPr>
                <w:p w14:paraId="23E5C2D8">
                  <w:pPr>
                    <w:adjustRightInd w:val="0"/>
                    <w:snapToGrid w:val="0"/>
                    <w:jc w:val="center"/>
                    <w:rPr>
                      <w:rFonts w:hint="eastAsia"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世纪新城</w:t>
                  </w:r>
                </w:p>
              </w:tc>
              <w:tc>
                <w:tcPr>
                  <w:tcW w:w="1497" w:type="pct"/>
                  <w:vAlign w:val="center"/>
                </w:tcPr>
                <w:p w14:paraId="50209935">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北侧170m</w:t>
                  </w:r>
                </w:p>
              </w:tc>
              <w:tc>
                <w:tcPr>
                  <w:tcW w:w="1804" w:type="pct"/>
                  <w:vAlign w:val="center"/>
                </w:tcPr>
                <w:p w14:paraId="0D455D41">
                  <w:pPr>
                    <w:adjustRightInd w:val="0"/>
                    <w:snapToGrid w:val="0"/>
                    <w:jc w:val="center"/>
                    <w:rPr>
                      <w:rFonts w:hint="eastAsia" w:cs="Times New Roman"/>
                      <w:i w:val="0"/>
                      <w:iCs w:val="0"/>
                      <w:kern w:val="0"/>
                      <w:szCs w:val="21"/>
                      <w:highlight w:val="none"/>
                      <w:vertAlign w:val="baseline"/>
                      <w:lang w:val="en-US" w:eastAsia="zh-CN"/>
                    </w:rPr>
                  </w:pPr>
                  <w:r>
                    <w:rPr>
                      <w:rFonts w:hint="default" w:ascii="Times New Roman" w:hAnsi="Times New Roman" w:cs="Times New Roman"/>
                      <w:i w:val="0"/>
                      <w:iCs w:val="0"/>
                      <w:kern w:val="0"/>
                      <w:szCs w:val="21"/>
                      <w:highlight w:val="none"/>
                      <w:vertAlign w:val="baseline"/>
                      <w:lang w:val="en-US" w:eastAsia="zh-CN"/>
                    </w:rPr>
                    <w:t>2类环境空气质量功能区</w:t>
                  </w:r>
                </w:p>
              </w:tc>
            </w:tr>
            <w:tr w14:paraId="040EDD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4" w:type="pct"/>
                  <w:vMerge w:val="continue"/>
                  <w:vAlign w:val="center"/>
                </w:tcPr>
                <w:p w14:paraId="135532DF">
                  <w:pPr>
                    <w:adjustRightInd w:val="0"/>
                    <w:snapToGrid w:val="0"/>
                    <w:jc w:val="center"/>
                    <w:rPr>
                      <w:rFonts w:hint="default" w:ascii="Times New Roman" w:hAnsi="Times New Roman" w:cs="Times New Roman"/>
                      <w:i w:val="0"/>
                      <w:iCs w:val="0"/>
                      <w:kern w:val="0"/>
                      <w:szCs w:val="21"/>
                      <w:highlight w:val="none"/>
                      <w:vertAlign w:val="baseline"/>
                      <w:lang w:val="en-US" w:eastAsia="zh-CN"/>
                    </w:rPr>
                  </w:pPr>
                </w:p>
              </w:tc>
              <w:tc>
                <w:tcPr>
                  <w:tcW w:w="298" w:type="pct"/>
                  <w:vAlign w:val="center"/>
                </w:tcPr>
                <w:p w14:paraId="20CF28CE">
                  <w:pPr>
                    <w:adjustRightInd w:val="0"/>
                    <w:snapToGrid w:val="0"/>
                    <w:jc w:val="center"/>
                    <w:rPr>
                      <w:rFonts w:hint="default"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3</w:t>
                  </w:r>
                </w:p>
              </w:tc>
              <w:tc>
                <w:tcPr>
                  <w:tcW w:w="835" w:type="pct"/>
                  <w:vAlign w:val="center"/>
                </w:tcPr>
                <w:p w14:paraId="11F0921D">
                  <w:pPr>
                    <w:adjustRightInd w:val="0"/>
                    <w:snapToGrid w:val="0"/>
                    <w:jc w:val="center"/>
                    <w:rPr>
                      <w:rFonts w:hint="eastAsia"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四磨盘村</w:t>
                  </w:r>
                </w:p>
              </w:tc>
              <w:tc>
                <w:tcPr>
                  <w:tcW w:w="1497" w:type="pct"/>
                  <w:vAlign w:val="center"/>
                </w:tcPr>
                <w:p w14:paraId="79295D18">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东侧200m</w:t>
                  </w:r>
                </w:p>
              </w:tc>
              <w:tc>
                <w:tcPr>
                  <w:tcW w:w="1804" w:type="pct"/>
                  <w:vAlign w:val="center"/>
                </w:tcPr>
                <w:p w14:paraId="25540CFF">
                  <w:pPr>
                    <w:adjustRightInd w:val="0"/>
                    <w:snapToGrid w:val="0"/>
                    <w:jc w:val="center"/>
                    <w:rPr>
                      <w:rFonts w:hint="eastAsia" w:cs="Times New Roman"/>
                      <w:i w:val="0"/>
                      <w:iCs w:val="0"/>
                      <w:kern w:val="0"/>
                      <w:szCs w:val="21"/>
                      <w:highlight w:val="none"/>
                      <w:vertAlign w:val="baseline"/>
                      <w:lang w:val="en-US" w:eastAsia="zh-CN"/>
                    </w:rPr>
                  </w:pPr>
                  <w:r>
                    <w:rPr>
                      <w:rFonts w:hint="default" w:ascii="Times New Roman" w:hAnsi="Times New Roman" w:cs="Times New Roman"/>
                      <w:i w:val="0"/>
                      <w:iCs w:val="0"/>
                      <w:kern w:val="0"/>
                      <w:szCs w:val="21"/>
                      <w:highlight w:val="none"/>
                      <w:vertAlign w:val="baseline"/>
                      <w:lang w:val="en-US" w:eastAsia="zh-CN"/>
                    </w:rPr>
                    <w:t>2类环境空气质量功能区</w:t>
                  </w:r>
                </w:p>
              </w:tc>
            </w:tr>
            <w:tr w14:paraId="476338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4" w:type="pct"/>
                  <w:vAlign w:val="center"/>
                </w:tcPr>
                <w:p w14:paraId="6500EB48">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default" w:ascii="Times New Roman" w:hAnsi="Times New Roman" w:cs="Times New Roman"/>
                      <w:i w:val="0"/>
                      <w:iCs w:val="0"/>
                      <w:kern w:val="0"/>
                      <w:szCs w:val="21"/>
                      <w:highlight w:val="none"/>
                      <w:vertAlign w:val="baseline"/>
                      <w:lang w:val="en-US" w:eastAsia="zh-CN"/>
                    </w:rPr>
                    <w:t>地表水环境</w:t>
                  </w:r>
                </w:p>
              </w:tc>
              <w:tc>
                <w:tcPr>
                  <w:tcW w:w="298" w:type="pct"/>
                  <w:vAlign w:val="center"/>
                </w:tcPr>
                <w:p w14:paraId="49305A7C">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default" w:ascii="Times New Roman" w:hAnsi="Times New Roman" w:cs="Times New Roman"/>
                      <w:i w:val="0"/>
                      <w:iCs w:val="0"/>
                      <w:kern w:val="0"/>
                      <w:szCs w:val="21"/>
                      <w:highlight w:val="none"/>
                      <w:vertAlign w:val="baseline"/>
                      <w:lang w:val="en-US" w:eastAsia="zh-CN"/>
                    </w:rPr>
                    <w:t>1</w:t>
                  </w:r>
                </w:p>
              </w:tc>
              <w:tc>
                <w:tcPr>
                  <w:tcW w:w="835" w:type="pct"/>
                  <w:vAlign w:val="center"/>
                </w:tcPr>
                <w:p w14:paraId="409D8BFA">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洹</w:t>
                  </w:r>
                  <w:r>
                    <w:rPr>
                      <w:rFonts w:hint="default" w:ascii="Times New Roman" w:hAnsi="Times New Roman" w:cs="Times New Roman"/>
                      <w:i w:val="0"/>
                      <w:iCs w:val="0"/>
                      <w:kern w:val="0"/>
                      <w:szCs w:val="21"/>
                      <w:highlight w:val="none"/>
                      <w:vertAlign w:val="baseline"/>
                      <w:lang w:val="en-US" w:eastAsia="zh-CN"/>
                    </w:rPr>
                    <w:t>河</w:t>
                  </w:r>
                </w:p>
              </w:tc>
              <w:tc>
                <w:tcPr>
                  <w:tcW w:w="1497" w:type="pct"/>
                  <w:vAlign w:val="center"/>
                </w:tcPr>
                <w:p w14:paraId="063DBE9B">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eastAsia" w:cs="Times New Roman"/>
                      <w:i w:val="0"/>
                      <w:iCs w:val="0"/>
                      <w:kern w:val="0"/>
                      <w:szCs w:val="21"/>
                      <w:highlight w:val="none"/>
                      <w:vertAlign w:val="baseline"/>
                      <w:lang w:val="en-US" w:eastAsia="zh-CN"/>
                    </w:rPr>
                    <w:t>北侧70m</w:t>
                  </w:r>
                </w:p>
              </w:tc>
              <w:tc>
                <w:tcPr>
                  <w:tcW w:w="1804" w:type="pct"/>
                  <w:vAlign w:val="center"/>
                </w:tcPr>
                <w:p w14:paraId="03F19A5C">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default" w:ascii="Times New Roman" w:hAnsi="Times New Roman" w:cs="Times New Roman"/>
                      <w:i w:val="0"/>
                      <w:iCs w:val="0"/>
                      <w:kern w:val="0"/>
                      <w:szCs w:val="21"/>
                      <w:highlight w:val="none"/>
                      <w:vertAlign w:val="baseline"/>
                      <w:lang w:val="en-US" w:eastAsia="zh-CN"/>
                    </w:rPr>
                    <w:t>《地表水环境质量标准》（GB3838-2002）III类标准</w:t>
                  </w:r>
                </w:p>
              </w:tc>
            </w:tr>
            <w:tr w14:paraId="0D39E8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3" w:hRule="atLeast"/>
              </w:trPr>
              <w:tc>
                <w:tcPr>
                  <w:tcW w:w="564" w:type="pct"/>
                  <w:vAlign w:val="center"/>
                </w:tcPr>
                <w:p w14:paraId="104BCA6F">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default" w:ascii="Times New Roman" w:hAnsi="Times New Roman" w:cs="Times New Roman"/>
                      <w:i w:val="0"/>
                      <w:iCs w:val="0"/>
                      <w:kern w:val="0"/>
                      <w:szCs w:val="21"/>
                      <w:highlight w:val="none"/>
                      <w:vertAlign w:val="baseline"/>
                      <w:lang w:val="en-US" w:eastAsia="zh-CN"/>
                    </w:rPr>
                    <w:t>地下水环境</w:t>
                  </w:r>
                </w:p>
              </w:tc>
              <w:tc>
                <w:tcPr>
                  <w:tcW w:w="4435" w:type="pct"/>
                  <w:gridSpan w:val="4"/>
                  <w:vAlign w:val="center"/>
                </w:tcPr>
                <w:p w14:paraId="4362BCDB">
                  <w:pPr>
                    <w:adjustRightInd w:val="0"/>
                    <w:snapToGrid w:val="0"/>
                    <w:jc w:val="center"/>
                    <w:rPr>
                      <w:rFonts w:hint="default" w:ascii="Times New Roman" w:hAnsi="Times New Roman" w:cs="Times New Roman"/>
                      <w:i w:val="0"/>
                      <w:iCs w:val="0"/>
                      <w:kern w:val="0"/>
                      <w:szCs w:val="21"/>
                      <w:highlight w:val="none"/>
                      <w:vertAlign w:val="baseline"/>
                      <w:lang w:val="en-US" w:eastAsia="zh-CN"/>
                    </w:rPr>
                  </w:pPr>
                  <w:r>
                    <w:rPr>
                      <w:rFonts w:hint="default" w:ascii="Times New Roman" w:hAnsi="Times New Roman" w:cs="Times New Roman"/>
                      <w:i w:val="0"/>
                      <w:iCs w:val="0"/>
                      <w:kern w:val="0"/>
                      <w:szCs w:val="21"/>
                      <w:highlight w:val="none"/>
                      <w:vertAlign w:val="baseline"/>
                      <w:lang w:val="en-US" w:eastAsia="zh-CN"/>
                    </w:rPr>
                    <w:t>项目周界外500米范围内无地下水集中式饮用水水源和热水、矿泉水、温泉等特殊地下水资源。</w:t>
                  </w:r>
                </w:p>
              </w:tc>
            </w:tr>
            <w:tr w14:paraId="6E9C2F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4" w:type="pct"/>
                  <w:vMerge w:val="restart"/>
                  <w:vAlign w:val="center"/>
                </w:tcPr>
                <w:p w14:paraId="41869EC6">
                  <w:pPr>
                    <w:adjustRightInd w:val="0"/>
                    <w:snapToGrid w:val="0"/>
                    <w:jc w:val="center"/>
                    <w:rPr>
                      <w:rFonts w:hint="default" w:ascii="Times New Roman" w:hAnsi="Times New Roman" w:cs="Times New Roman"/>
                      <w:kern w:val="0"/>
                      <w:szCs w:val="21"/>
                      <w:highlight w:val="none"/>
                      <w:vertAlign w:val="baseline"/>
                      <w:lang w:val="en-US" w:eastAsia="zh-CN"/>
                    </w:rPr>
                  </w:pPr>
                  <w:r>
                    <w:rPr>
                      <w:rFonts w:hint="default" w:ascii="Times New Roman" w:hAnsi="Times New Roman" w:cs="Times New Roman"/>
                      <w:kern w:val="0"/>
                      <w:szCs w:val="21"/>
                      <w:highlight w:val="none"/>
                      <w:vertAlign w:val="baseline"/>
                      <w:lang w:val="en-US" w:eastAsia="zh-CN"/>
                    </w:rPr>
                    <w:t>生态环境</w:t>
                  </w:r>
                </w:p>
              </w:tc>
              <w:tc>
                <w:tcPr>
                  <w:tcW w:w="298" w:type="pct"/>
                  <w:vAlign w:val="center"/>
                </w:tcPr>
                <w:p w14:paraId="2439131D">
                  <w:pPr>
                    <w:adjustRightInd w:val="0"/>
                    <w:snapToGrid w:val="0"/>
                    <w:jc w:val="center"/>
                    <w:rPr>
                      <w:rFonts w:hint="default" w:ascii="Times New Roman" w:hAnsi="Times New Roman" w:cs="Times New Roman"/>
                      <w:kern w:val="0"/>
                      <w:szCs w:val="21"/>
                      <w:highlight w:val="none"/>
                      <w:vertAlign w:val="baseline"/>
                      <w:lang w:val="en-US" w:eastAsia="zh-CN"/>
                    </w:rPr>
                  </w:pPr>
                  <w:r>
                    <w:rPr>
                      <w:rFonts w:hint="default" w:ascii="Times New Roman" w:hAnsi="Times New Roman" w:cs="Times New Roman"/>
                      <w:kern w:val="0"/>
                      <w:szCs w:val="21"/>
                      <w:highlight w:val="none"/>
                      <w:vertAlign w:val="baseline"/>
                      <w:lang w:val="en-US" w:eastAsia="zh-CN"/>
                    </w:rPr>
                    <w:t>1</w:t>
                  </w:r>
                </w:p>
              </w:tc>
              <w:tc>
                <w:tcPr>
                  <w:tcW w:w="835" w:type="pct"/>
                  <w:vAlign w:val="center"/>
                </w:tcPr>
                <w:p w14:paraId="0F40033B">
                  <w:pPr>
                    <w:adjustRightInd w:val="0"/>
                    <w:snapToGrid w:val="0"/>
                    <w:jc w:val="center"/>
                    <w:rPr>
                      <w:rFonts w:hint="default" w:ascii="Times New Roman" w:hAnsi="Times New Roman" w:cs="Times New Roman"/>
                      <w:kern w:val="0"/>
                      <w:szCs w:val="21"/>
                      <w:highlight w:val="none"/>
                      <w:vertAlign w:val="baseline"/>
                      <w:lang w:val="en-US" w:eastAsia="zh-CN"/>
                    </w:rPr>
                  </w:pPr>
                  <w:r>
                    <w:rPr>
                      <w:rFonts w:hint="default" w:ascii="Times New Roman" w:hAnsi="Times New Roman" w:cs="Times New Roman"/>
                      <w:kern w:val="0"/>
                      <w:szCs w:val="21"/>
                      <w:highlight w:val="none"/>
                      <w:vertAlign w:val="baseline"/>
                      <w:lang w:val="en-US" w:eastAsia="zh-CN"/>
                    </w:rPr>
                    <w:t>自然岸坡</w:t>
                  </w:r>
                </w:p>
              </w:tc>
              <w:tc>
                <w:tcPr>
                  <w:tcW w:w="3302" w:type="pct"/>
                  <w:gridSpan w:val="2"/>
                  <w:vAlign w:val="center"/>
                </w:tcPr>
                <w:p w14:paraId="0A77A236">
                  <w:pPr>
                    <w:adjustRightInd w:val="0"/>
                    <w:snapToGrid w:val="0"/>
                    <w:jc w:val="center"/>
                    <w:rPr>
                      <w:rFonts w:hint="default" w:ascii="Times New Roman" w:hAnsi="Times New Roman" w:cs="Times New Roman"/>
                      <w:kern w:val="0"/>
                      <w:szCs w:val="21"/>
                      <w:highlight w:val="none"/>
                      <w:vertAlign w:val="baseline"/>
                      <w:lang w:val="en-US" w:eastAsia="zh-CN"/>
                    </w:rPr>
                  </w:pPr>
                  <w:r>
                    <w:rPr>
                      <w:rFonts w:hint="default" w:ascii="Times New Roman" w:hAnsi="Times New Roman" w:eastAsia="宋体" w:cs="Times New Roman"/>
                      <w:b w:val="0"/>
                      <w:bCs w:val="0"/>
                      <w:color w:val="000000" w:themeColor="text1"/>
                      <w:sz w:val="21"/>
                      <w:szCs w:val="21"/>
                      <w:highlight w:val="none"/>
                      <w:u w:val="none" w:color="auto"/>
                      <w14:textFill>
                        <w14:solidFill>
                          <w14:schemeClr w14:val="tx1"/>
                        </w14:solidFill>
                      </w14:textFill>
                    </w:rPr>
                    <w:t>项目控制流域范围内近岸两侧以人工岸坡为主。</w:t>
                  </w:r>
                </w:p>
              </w:tc>
            </w:tr>
            <w:tr w14:paraId="760B00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4" w:type="pct"/>
                  <w:vMerge w:val="continue"/>
                  <w:vAlign w:val="center"/>
                </w:tcPr>
                <w:p w14:paraId="0B5E2C15">
                  <w:pPr>
                    <w:adjustRightInd w:val="0"/>
                    <w:snapToGrid w:val="0"/>
                    <w:jc w:val="center"/>
                    <w:rPr>
                      <w:rFonts w:hint="default" w:ascii="Times New Roman" w:hAnsi="Times New Roman" w:cs="Times New Roman"/>
                      <w:kern w:val="0"/>
                      <w:szCs w:val="21"/>
                      <w:highlight w:val="none"/>
                      <w:vertAlign w:val="baseline"/>
                      <w:lang w:val="en-US" w:eastAsia="zh-CN"/>
                    </w:rPr>
                  </w:pPr>
                </w:p>
              </w:tc>
              <w:tc>
                <w:tcPr>
                  <w:tcW w:w="298" w:type="pct"/>
                  <w:vAlign w:val="center"/>
                </w:tcPr>
                <w:p w14:paraId="68CF2263">
                  <w:pPr>
                    <w:adjustRightInd w:val="0"/>
                    <w:snapToGrid w:val="0"/>
                    <w:jc w:val="center"/>
                    <w:rPr>
                      <w:rFonts w:hint="default" w:ascii="Times New Roman" w:hAnsi="Times New Roman" w:cs="Times New Roman"/>
                      <w:kern w:val="0"/>
                      <w:szCs w:val="21"/>
                      <w:highlight w:val="none"/>
                      <w:vertAlign w:val="baseline"/>
                      <w:lang w:val="en-US" w:eastAsia="zh-CN"/>
                    </w:rPr>
                  </w:pPr>
                  <w:r>
                    <w:rPr>
                      <w:rFonts w:hint="default" w:ascii="Times New Roman" w:hAnsi="Times New Roman" w:cs="Times New Roman"/>
                      <w:kern w:val="0"/>
                      <w:szCs w:val="21"/>
                      <w:highlight w:val="none"/>
                      <w:vertAlign w:val="baseline"/>
                      <w:lang w:val="en-US" w:eastAsia="zh-CN"/>
                    </w:rPr>
                    <w:t>2</w:t>
                  </w:r>
                </w:p>
              </w:tc>
              <w:tc>
                <w:tcPr>
                  <w:tcW w:w="835" w:type="pct"/>
                  <w:vAlign w:val="center"/>
                </w:tcPr>
                <w:p w14:paraId="56710D75">
                  <w:pPr>
                    <w:adjustRightInd w:val="0"/>
                    <w:snapToGrid w:val="0"/>
                    <w:jc w:val="center"/>
                    <w:rPr>
                      <w:rFonts w:hint="default" w:ascii="Times New Roman" w:hAnsi="Times New Roman" w:cs="Times New Roman"/>
                      <w:kern w:val="0"/>
                      <w:szCs w:val="21"/>
                      <w:highlight w:val="none"/>
                      <w:vertAlign w:val="baseline"/>
                      <w:lang w:val="en-US" w:eastAsia="zh-CN"/>
                    </w:rPr>
                  </w:pPr>
                  <w:r>
                    <w:rPr>
                      <w:rFonts w:hint="default" w:ascii="Times New Roman" w:hAnsi="Times New Roman" w:cs="Times New Roman"/>
                      <w:kern w:val="0"/>
                      <w:szCs w:val="21"/>
                      <w:highlight w:val="none"/>
                      <w:vertAlign w:val="baseline"/>
                      <w:lang w:val="en-US" w:eastAsia="zh-CN"/>
                    </w:rPr>
                    <w:t>野生动植物资源</w:t>
                  </w:r>
                </w:p>
              </w:tc>
              <w:tc>
                <w:tcPr>
                  <w:tcW w:w="3302" w:type="pct"/>
                  <w:gridSpan w:val="2"/>
                  <w:vAlign w:val="center"/>
                </w:tcPr>
                <w:p w14:paraId="492219E1">
                  <w:pPr>
                    <w:adjustRightInd w:val="0"/>
                    <w:snapToGrid w:val="0"/>
                    <w:jc w:val="center"/>
                    <w:rPr>
                      <w:rFonts w:hint="default" w:ascii="Times New Roman" w:hAnsi="Times New Roman" w:cs="Times New Roman"/>
                      <w:kern w:val="0"/>
                      <w:szCs w:val="21"/>
                      <w:highlight w:val="none"/>
                      <w:vertAlign w:val="baseline"/>
                      <w:lang w:val="en-US" w:eastAsia="zh-CN"/>
                    </w:rPr>
                  </w:pPr>
                  <w:r>
                    <w:rPr>
                      <w:rFonts w:hint="default" w:ascii="Times New Roman" w:hAnsi="Times New Roman" w:eastAsia="宋体" w:cs="Times New Roman"/>
                      <w:b w:val="0"/>
                      <w:bCs w:val="0"/>
                      <w:color w:val="000000" w:themeColor="text1"/>
                      <w:sz w:val="21"/>
                      <w:szCs w:val="21"/>
                      <w:highlight w:val="none"/>
                      <w:u w:val="none" w:color="auto"/>
                      <w14:textFill>
                        <w14:solidFill>
                          <w14:schemeClr w14:val="tx1"/>
                        </w14:solidFill>
                      </w14:textFill>
                    </w:rPr>
                    <w:t>陆生植被以灌木、草丛为主，未发现珍稀保护植物及古大树；动物多为常见的鸟类、两栖类、小型哺乳类动物等，暂未发现国家保护珍稀野生动物。</w:t>
                  </w:r>
                </w:p>
              </w:tc>
            </w:tr>
            <w:tr w14:paraId="3F8265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4" w:type="pct"/>
                  <w:vMerge w:val="continue"/>
                  <w:vAlign w:val="center"/>
                </w:tcPr>
                <w:p w14:paraId="53CA17B0">
                  <w:pPr>
                    <w:adjustRightInd w:val="0"/>
                    <w:snapToGrid w:val="0"/>
                    <w:jc w:val="center"/>
                    <w:rPr>
                      <w:rFonts w:hint="default" w:ascii="Times New Roman" w:hAnsi="Times New Roman" w:cs="Times New Roman"/>
                      <w:kern w:val="0"/>
                      <w:szCs w:val="21"/>
                      <w:highlight w:val="none"/>
                      <w:vertAlign w:val="baseline"/>
                      <w:lang w:val="en-US" w:eastAsia="zh-CN"/>
                    </w:rPr>
                  </w:pPr>
                </w:p>
              </w:tc>
              <w:tc>
                <w:tcPr>
                  <w:tcW w:w="298" w:type="pct"/>
                  <w:vAlign w:val="center"/>
                </w:tcPr>
                <w:p w14:paraId="660DE976">
                  <w:pPr>
                    <w:adjustRightInd w:val="0"/>
                    <w:snapToGrid w:val="0"/>
                    <w:jc w:val="center"/>
                    <w:rPr>
                      <w:rFonts w:hint="default" w:ascii="Times New Roman" w:hAnsi="Times New Roman" w:cs="Times New Roman"/>
                      <w:kern w:val="0"/>
                      <w:szCs w:val="21"/>
                      <w:highlight w:val="none"/>
                      <w:vertAlign w:val="baseline"/>
                      <w:lang w:val="en-US" w:eastAsia="zh-CN"/>
                    </w:rPr>
                  </w:pPr>
                  <w:r>
                    <w:rPr>
                      <w:rFonts w:hint="default" w:ascii="Times New Roman" w:hAnsi="Times New Roman" w:cs="Times New Roman"/>
                      <w:kern w:val="0"/>
                      <w:szCs w:val="21"/>
                      <w:highlight w:val="none"/>
                      <w:vertAlign w:val="baseline"/>
                      <w:lang w:val="en-US" w:eastAsia="zh-CN"/>
                    </w:rPr>
                    <w:t>3</w:t>
                  </w:r>
                </w:p>
              </w:tc>
              <w:tc>
                <w:tcPr>
                  <w:tcW w:w="835" w:type="pct"/>
                  <w:vAlign w:val="center"/>
                </w:tcPr>
                <w:p w14:paraId="28F026DF">
                  <w:pPr>
                    <w:adjustRightInd w:val="0"/>
                    <w:snapToGrid w:val="0"/>
                    <w:jc w:val="center"/>
                    <w:rPr>
                      <w:rFonts w:hint="default" w:ascii="Times New Roman" w:hAnsi="Times New Roman" w:cs="Times New Roman"/>
                      <w:kern w:val="0"/>
                      <w:szCs w:val="21"/>
                      <w:highlight w:val="none"/>
                      <w:vertAlign w:val="baseline"/>
                      <w:lang w:val="en-US" w:eastAsia="zh-CN"/>
                    </w:rPr>
                  </w:pPr>
                  <w:r>
                    <w:rPr>
                      <w:rFonts w:hint="default" w:ascii="Times New Roman" w:hAnsi="Times New Roman" w:cs="Times New Roman"/>
                      <w:kern w:val="0"/>
                      <w:szCs w:val="21"/>
                      <w:highlight w:val="none"/>
                      <w:vertAlign w:val="baseline"/>
                      <w:lang w:val="en-US" w:eastAsia="zh-CN"/>
                    </w:rPr>
                    <w:t>水生生物</w:t>
                  </w:r>
                </w:p>
              </w:tc>
              <w:tc>
                <w:tcPr>
                  <w:tcW w:w="3302" w:type="pct"/>
                  <w:gridSpan w:val="2"/>
                  <w:vAlign w:val="center"/>
                </w:tcPr>
                <w:p w14:paraId="179DBCF9">
                  <w:pPr>
                    <w:adjustRightInd w:val="0"/>
                    <w:snapToGrid w:val="0"/>
                    <w:jc w:val="center"/>
                    <w:rPr>
                      <w:rFonts w:hint="default" w:ascii="Times New Roman" w:hAnsi="Times New Roman" w:cs="Times New Roman"/>
                      <w:kern w:val="0"/>
                      <w:szCs w:val="21"/>
                      <w:highlight w:val="none"/>
                      <w:vertAlign w:val="baseline"/>
                      <w:lang w:val="en-US" w:eastAsia="zh-CN"/>
                    </w:rPr>
                  </w:pPr>
                  <w:r>
                    <w:rPr>
                      <w:rFonts w:hint="default" w:ascii="Times New Roman" w:hAnsi="Times New Roman" w:eastAsia="宋体" w:cs="Times New Roman"/>
                      <w:b w:val="0"/>
                      <w:bCs w:val="0"/>
                      <w:color w:val="000000" w:themeColor="text1"/>
                      <w:sz w:val="21"/>
                      <w:szCs w:val="21"/>
                      <w:highlight w:val="none"/>
                      <w:u w:val="none" w:color="auto"/>
                      <w14:textFill>
                        <w14:solidFill>
                          <w14:schemeClr w14:val="tx1"/>
                        </w14:solidFill>
                      </w14:textFill>
                    </w:rPr>
                    <w:t>水生植物为水生维管植物，水生生物主要为浮游动植物、底栖生物及鱼类，鱼类多为常见的</w:t>
                  </w:r>
                  <w:r>
                    <w:rPr>
                      <w:rFonts w:hint="default" w:ascii="Times New Roman" w:hAnsi="Times New Roman" w:eastAsia="宋体" w:cs="Times New Roman"/>
                      <w:color w:val="000000" w:themeColor="text1"/>
                      <w:kern w:val="0"/>
                      <w:sz w:val="21"/>
                      <w:szCs w:val="21"/>
                      <w:highlight w:val="none"/>
                      <w:u w:color="auto"/>
                      <w:lang w:val="en-US" w:eastAsia="zh-CN" w:bidi="ar-SA"/>
                      <w14:textFill>
                        <w14:solidFill>
                          <w14:schemeClr w14:val="tx1"/>
                        </w14:solidFill>
                      </w14:textFill>
                    </w:rPr>
                    <w:t>鲫、鲤、黄颡鱼、乌鳢、鲢、草鱼、鲶鱼、泥鳅</w:t>
                  </w:r>
                  <w:r>
                    <w:rPr>
                      <w:rFonts w:hint="default" w:ascii="Times New Roman" w:hAnsi="Times New Roman" w:eastAsia="宋体" w:cs="Times New Roman"/>
                      <w:b w:val="0"/>
                      <w:bCs w:val="0"/>
                      <w:color w:val="000000" w:themeColor="text1"/>
                      <w:sz w:val="21"/>
                      <w:szCs w:val="21"/>
                      <w:highlight w:val="none"/>
                      <w:u w:val="none" w:color="auto"/>
                      <w14:textFill>
                        <w14:solidFill>
                          <w14:schemeClr w14:val="tx1"/>
                        </w14:solidFill>
                      </w14:textFill>
                    </w:rPr>
                    <w:t>等，无珍稀保护鱼类，无产卵场、索饵场及越冬场。</w:t>
                  </w:r>
                </w:p>
              </w:tc>
            </w:tr>
            <w:tr w14:paraId="40E833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1697" w:type="pct"/>
                  <w:gridSpan w:val="3"/>
                  <w:tcBorders>
                    <w:bottom w:val="single" w:color="auto" w:sz="18" w:space="0"/>
                  </w:tcBorders>
                  <w:vAlign w:val="center"/>
                </w:tcPr>
                <w:p w14:paraId="3806A885">
                  <w:pPr>
                    <w:adjustRightInd w:val="0"/>
                    <w:snapToGrid w:val="0"/>
                    <w:jc w:val="center"/>
                    <w:rPr>
                      <w:rFonts w:hint="default" w:ascii="Times New Roman" w:hAnsi="Times New Roman" w:cs="Times New Roman"/>
                      <w:kern w:val="0"/>
                      <w:szCs w:val="21"/>
                      <w:highlight w:val="none"/>
                      <w:vertAlign w:val="baseline"/>
                      <w:lang w:val="en-US" w:eastAsia="zh-CN"/>
                    </w:rPr>
                  </w:pPr>
                  <w:r>
                    <w:rPr>
                      <w:rFonts w:hint="default" w:ascii="Times New Roman" w:hAnsi="Times New Roman" w:cs="Times New Roman"/>
                      <w:kern w:val="0"/>
                      <w:szCs w:val="21"/>
                      <w:highlight w:val="none"/>
                      <w:vertAlign w:val="baseline"/>
                      <w:lang w:val="en-US" w:eastAsia="zh-CN"/>
                    </w:rPr>
                    <w:t>文物保护单位</w:t>
                  </w:r>
                </w:p>
              </w:tc>
              <w:tc>
                <w:tcPr>
                  <w:tcW w:w="3302" w:type="pct"/>
                  <w:gridSpan w:val="2"/>
                  <w:tcBorders>
                    <w:bottom w:val="single" w:color="auto" w:sz="18" w:space="0"/>
                  </w:tcBorders>
                  <w:vAlign w:val="center"/>
                </w:tcPr>
                <w:p w14:paraId="11D39314">
                  <w:pPr>
                    <w:adjustRightInd w:val="0"/>
                    <w:snapToGrid w:val="0"/>
                    <w:jc w:val="cente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color="auto"/>
                      <w:lang w:eastAsia="zh-CN"/>
                      <w14:textFill>
                        <w14:solidFill>
                          <w14:schemeClr w14:val="tx1"/>
                        </w14:solidFill>
                      </w14:textFill>
                    </w:rPr>
                    <w:t>项目周界</w:t>
                  </w:r>
                  <w:r>
                    <w:rPr>
                      <w:rFonts w:hint="default" w:ascii="Times New Roman" w:hAnsi="Times New Roman" w:eastAsia="宋体" w:cs="Times New Roman"/>
                      <w:b w:val="0"/>
                      <w:bCs w:val="0"/>
                      <w:color w:val="000000" w:themeColor="text1"/>
                      <w:sz w:val="21"/>
                      <w:szCs w:val="21"/>
                      <w:highlight w:val="none"/>
                      <w:u w:val="none" w:color="auto"/>
                      <w:lang w:val="en-US" w:eastAsia="zh-CN"/>
                      <w14:textFill>
                        <w14:solidFill>
                          <w14:schemeClr w14:val="tx1"/>
                        </w14:solidFill>
                      </w14:textFill>
                    </w:rPr>
                    <w:t>500米范围内无文物保护单位</w:t>
                  </w:r>
                </w:p>
              </w:tc>
            </w:tr>
          </w:tbl>
          <w:p w14:paraId="20A22227">
            <w:pPr>
              <w:adjustRightInd w:val="0"/>
              <w:snapToGrid w:val="0"/>
              <w:rPr>
                <w:rFonts w:hint="default" w:ascii="宋体" w:hAnsi="宋体" w:cs="宋体"/>
                <w:kern w:val="0"/>
                <w:szCs w:val="21"/>
                <w:highlight w:val="none"/>
                <w:lang w:val="en-US" w:eastAsia="zh-CN"/>
              </w:rPr>
            </w:pPr>
          </w:p>
        </w:tc>
      </w:tr>
      <w:tr w14:paraId="040758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25" w:hRule="atLeast"/>
          <w:jc w:val="center"/>
        </w:trPr>
        <w:tc>
          <w:tcPr>
            <w:tcW w:w="720" w:type="dxa"/>
            <w:noWrap w:val="0"/>
            <w:vAlign w:val="center"/>
          </w:tcPr>
          <w:p w14:paraId="063BC988">
            <w:pPr>
              <w:adjustRightInd w:val="0"/>
              <w:snapToGrid w:val="0"/>
              <w:jc w:val="center"/>
              <w:rPr>
                <w:rFonts w:hint="eastAsia" w:ascii="宋体" w:hAnsi="宋体" w:cs="宋体"/>
                <w:kern w:val="0"/>
                <w:sz w:val="24"/>
                <w:szCs w:val="24"/>
                <w:highlight w:val="none"/>
              </w:rPr>
            </w:pPr>
            <w:r>
              <w:rPr>
                <w:rFonts w:hint="eastAsia" w:ascii="宋体" w:hAnsi="宋体" w:cs="宋体"/>
                <w:kern w:val="0"/>
                <w:sz w:val="24"/>
                <w:szCs w:val="24"/>
                <w:highlight w:val="none"/>
              </w:rPr>
              <w:t>评价</w:t>
            </w:r>
          </w:p>
          <w:p w14:paraId="07930EA6">
            <w:pPr>
              <w:adjustRightInd w:val="0"/>
              <w:snapToGrid w:val="0"/>
              <w:jc w:val="center"/>
              <w:rPr>
                <w:rFonts w:ascii="宋体" w:hAnsi="宋体" w:cs="宋体"/>
                <w:kern w:val="0"/>
                <w:sz w:val="24"/>
                <w:szCs w:val="24"/>
                <w:highlight w:val="none"/>
              </w:rPr>
            </w:pPr>
            <w:r>
              <w:rPr>
                <w:rFonts w:hint="eastAsia" w:ascii="宋体" w:hAnsi="宋体" w:cs="宋体"/>
                <w:kern w:val="0"/>
                <w:sz w:val="24"/>
                <w:szCs w:val="24"/>
                <w:highlight w:val="none"/>
              </w:rPr>
              <w:t>标准</w:t>
            </w:r>
          </w:p>
        </w:tc>
        <w:tc>
          <w:tcPr>
            <w:tcW w:w="8786" w:type="dxa"/>
            <w:noWrap w:val="0"/>
            <w:vAlign w:val="center"/>
          </w:tcPr>
          <w:p w14:paraId="489FF872">
            <w:pPr>
              <w:bidi w:val="0"/>
              <w:spacing w:line="360" w:lineRule="auto"/>
              <w:rPr>
                <w:rFonts w:hint="eastAsia"/>
                <w:b/>
                <w:bCs/>
                <w:sz w:val="24"/>
                <w:szCs w:val="24"/>
                <w:highlight w:val="none"/>
                <w:lang w:val="en-US" w:eastAsia="zh-CN"/>
              </w:rPr>
            </w:pPr>
            <w:r>
              <w:rPr>
                <w:rFonts w:hint="eastAsia"/>
                <w:b/>
                <w:bCs/>
                <w:sz w:val="24"/>
                <w:szCs w:val="24"/>
                <w:highlight w:val="none"/>
                <w:lang w:val="en-US" w:eastAsia="zh-CN"/>
              </w:rPr>
              <w:t>1.环境质量标准</w:t>
            </w:r>
          </w:p>
          <w:p w14:paraId="778B234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kern w:val="0"/>
                <w:sz w:val="24"/>
                <w:szCs w:val="24"/>
                <w:highlight w:val="none"/>
                <w:lang w:val="en-US" w:eastAsia="zh-CN"/>
              </w:rPr>
            </w:pPr>
            <w:r>
              <w:rPr>
                <w:rFonts w:hint="default" w:ascii="Times New Roman" w:hAnsi="Times New Roman" w:cs="Times New Roman"/>
                <w:b/>
                <w:bCs/>
                <w:kern w:val="0"/>
                <w:sz w:val="24"/>
                <w:szCs w:val="24"/>
                <w:highlight w:val="none"/>
                <w:lang w:val="en-US" w:eastAsia="zh-CN"/>
              </w:rPr>
              <w:t>1.1环境空气</w:t>
            </w:r>
          </w:p>
          <w:p w14:paraId="4480490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cs="宋体"/>
                <w:kern w:val="0"/>
                <w:sz w:val="24"/>
                <w:szCs w:val="24"/>
                <w:highlight w:val="none"/>
                <w:lang w:val="en-US" w:eastAsia="zh-CN"/>
              </w:rPr>
            </w:pPr>
            <w:r>
              <w:rPr>
                <w:rFonts w:hint="eastAsia" w:ascii="宋体" w:hAnsi="宋体" w:cs="宋体"/>
                <w:kern w:val="0"/>
                <w:sz w:val="24"/>
                <w:szCs w:val="24"/>
                <w:highlight w:val="none"/>
                <w:lang w:val="en-US" w:eastAsia="zh-CN"/>
              </w:rPr>
              <w:t>项目所在区域环境空气质量标准执行《环境空气质量标准》</w:t>
            </w:r>
            <w:r>
              <w:rPr>
                <w:rFonts w:hint="default" w:ascii="Times New Roman" w:hAnsi="Times New Roman" w:cs="Times New Roman"/>
                <w:kern w:val="0"/>
                <w:sz w:val="24"/>
                <w:szCs w:val="24"/>
                <w:highlight w:val="none"/>
                <w:lang w:val="en-US" w:eastAsia="zh-CN"/>
              </w:rPr>
              <w:t>（GB3095-2012）</w:t>
            </w:r>
            <w:r>
              <w:rPr>
                <w:rFonts w:hint="eastAsia" w:ascii="宋体" w:hAnsi="宋体" w:cs="宋体"/>
                <w:kern w:val="0"/>
                <w:sz w:val="24"/>
                <w:szCs w:val="24"/>
                <w:highlight w:val="none"/>
                <w:lang w:val="en-US" w:eastAsia="zh-CN"/>
              </w:rPr>
              <w:t>及修改单中的二级标准，具体标准值见下表。</w:t>
            </w:r>
          </w:p>
          <w:p w14:paraId="2763824C">
            <w:pPr>
              <w:numPr>
                <w:ilvl w:val="0"/>
                <w:numId w:val="0"/>
              </w:numPr>
              <w:adjustRightInd w:val="0"/>
              <w:snapToGrid w:val="0"/>
              <w:spacing w:line="240" w:lineRule="auto"/>
              <w:jc w:val="center"/>
              <w:rPr>
                <w:rFonts w:hint="eastAsia" w:ascii="宋体" w:hAnsi="宋体" w:cs="宋体"/>
                <w:b/>
                <w:bCs/>
                <w:kern w:val="0"/>
                <w:szCs w:val="21"/>
                <w:highlight w:val="none"/>
                <w:lang w:val="en-US" w:eastAsia="zh-CN"/>
              </w:rPr>
            </w:pPr>
            <w:r>
              <w:rPr>
                <w:rFonts w:hint="eastAsia" w:ascii="宋体" w:hAnsi="宋体" w:cs="宋体"/>
                <w:b/>
                <w:bCs/>
                <w:kern w:val="0"/>
                <w:szCs w:val="21"/>
                <w:highlight w:val="none"/>
                <w:lang w:val="en-US" w:eastAsia="zh-CN"/>
              </w:rPr>
              <w:t>《环境空气质量标准》</w:t>
            </w:r>
            <w:r>
              <w:rPr>
                <w:rFonts w:hint="default" w:ascii="Times New Roman" w:hAnsi="Times New Roman" w:cs="Times New Roman"/>
                <w:b/>
                <w:bCs/>
                <w:kern w:val="0"/>
                <w:szCs w:val="21"/>
                <w:highlight w:val="none"/>
                <w:lang w:val="en-US" w:eastAsia="zh-CN"/>
              </w:rPr>
              <w:t>（GB3095-2012）</w:t>
            </w:r>
            <w:r>
              <w:rPr>
                <w:rFonts w:hint="eastAsia" w:ascii="宋体" w:hAnsi="宋体" w:cs="宋体"/>
                <w:b/>
                <w:bCs/>
                <w:kern w:val="0"/>
                <w:szCs w:val="21"/>
                <w:highlight w:val="none"/>
                <w:lang w:val="en-US" w:eastAsia="zh-CN"/>
              </w:rPr>
              <w:t>及修改单二级标准</w:t>
            </w:r>
          </w:p>
          <w:tbl>
            <w:tblPr>
              <w:tblStyle w:val="19"/>
              <w:tblW w:w="4998" w:type="pct"/>
              <w:tblInd w:w="5" w:type="dxa"/>
              <w:tblBorders>
                <w:top w:val="single" w:color="auto" w:sz="12" w:space="0"/>
                <w:left w:val="none" w:color="auto" w:sz="0"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2137"/>
              <w:gridCol w:w="2138"/>
              <w:gridCol w:w="2139"/>
              <w:gridCol w:w="2148"/>
            </w:tblGrid>
            <w:tr w14:paraId="4945B129">
              <w:tblPrEx>
                <w:tblBorders>
                  <w:top w:val="single" w:color="auto" w:sz="12" w:space="0"/>
                  <w:left w:val="none" w:color="auto" w:sz="0"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248" w:type="pct"/>
                  <w:vMerge w:val="restart"/>
                  <w:tcBorders>
                    <w:bottom w:val="single" w:color="auto" w:sz="4" w:space="0"/>
                    <w:right w:val="single" w:color="auto" w:sz="4" w:space="0"/>
                  </w:tcBorders>
                  <w:vAlign w:val="top"/>
                </w:tcPr>
                <w:p w14:paraId="7303AD64">
                  <w:pPr>
                    <w:numPr>
                      <w:ilvl w:val="0"/>
                      <w:numId w:val="0"/>
                    </w:numPr>
                    <w:adjustRightInd w:val="0"/>
                    <w:snapToGrid w:val="0"/>
                    <w:jc w:val="center"/>
                    <w:rPr>
                      <w:rFonts w:hint="default" w:ascii="宋体" w:hAnsi="宋体" w:cs="宋体"/>
                      <w:b/>
                      <w:bCs/>
                      <w:kern w:val="0"/>
                      <w:szCs w:val="21"/>
                      <w:highlight w:val="none"/>
                      <w:vertAlign w:val="baseline"/>
                      <w:lang w:val="en-US" w:eastAsia="zh-CN"/>
                    </w:rPr>
                  </w:pPr>
                  <w:r>
                    <w:rPr>
                      <w:rFonts w:hint="eastAsia" w:ascii="宋体" w:hAnsi="宋体" w:cs="宋体"/>
                      <w:b/>
                      <w:bCs/>
                      <w:kern w:val="0"/>
                      <w:szCs w:val="21"/>
                      <w:highlight w:val="none"/>
                      <w:vertAlign w:val="baseline"/>
                      <w:lang w:val="en-US" w:eastAsia="zh-CN"/>
                    </w:rPr>
                    <w:t>污染因子</w:t>
                  </w:r>
                </w:p>
              </w:tc>
              <w:tc>
                <w:tcPr>
                  <w:tcW w:w="3751" w:type="pct"/>
                  <w:gridSpan w:val="3"/>
                  <w:tcBorders>
                    <w:left w:val="single" w:color="auto" w:sz="4" w:space="0"/>
                    <w:bottom w:val="single" w:color="auto" w:sz="4" w:space="0"/>
                    <w:right w:val="nil"/>
                  </w:tcBorders>
                  <w:vAlign w:val="top"/>
                </w:tcPr>
                <w:p w14:paraId="0284242A">
                  <w:pPr>
                    <w:numPr>
                      <w:ilvl w:val="0"/>
                      <w:numId w:val="0"/>
                    </w:numPr>
                    <w:adjustRightInd w:val="0"/>
                    <w:snapToGrid w:val="0"/>
                    <w:jc w:val="center"/>
                    <w:rPr>
                      <w:rFonts w:hint="default" w:ascii="宋体" w:hAnsi="宋体" w:cs="宋体"/>
                      <w:b/>
                      <w:bCs/>
                      <w:kern w:val="0"/>
                      <w:szCs w:val="21"/>
                      <w:highlight w:val="none"/>
                      <w:vertAlign w:val="baseline"/>
                      <w:lang w:val="en-US" w:eastAsia="zh-CN"/>
                    </w:rPr>
                  </w:pPr>
                  <w:r>
                    <w:rPr>
                      <w:rFonts w:hint="eastAsia" w:ascii="宋体" w:hAnsi="宋体" w:cs="宋体"/>
                      <w:b/>
                      <w:bCs/>
                      <w:kern w:val="0"/>
                      <w:szCs w:val="21"/>
                      <w:highlight w:val="none"/>
                      <w:vertAlign w:val="baseline"/>
                      <w:lang w:val="en-US" w:eastAsia="zh-CN"/>
                    </w:rPr>
                    <w:t>环境质量标准限值（</w:t>
                  </w:r>
                  <w:r>
                    <w:rPr>
                      <w:rFonts w:hint="default" w:ascii="Times New Roman" w:hAnsi="Times New Roman" w:cs="Times New Roman"/>
                      <w:b/>
                      <w:bCs/>
                      <w:color w:val="000000" w:themeColor="text1"/>
                      <w:highlight w:val="none"/>
                      <w:vertAlign w:val="baseline"/>
                      <w:lang w:val="en-US" w:eastAsia="zh-CN"/>
                      <w14:textFill>
                        <w14:solidFill>
                          <w14:schemeClr w14:val="tx1"/>
                        </w14:solidFill>
                      </w14:textFill>
                    </w:rPr>
                    <w:t>μg/m</w:t>
                  </w:r>
                  <w:r>
                    <w:rPr>
                      <w:rFonts w:hint="default" w:ascii="Times New Roman" w:hAnsi="Times New Roman" w:cs="Times New Roman"/>
                      <w:b/>
                      <w:bCs/>
                      <w:color w:val="000000" w:themeColor="text1"/>
                      <w:highlight w:val="none"/>
                      <w:vertAlign w:val="superscript"/>
                      <w:lang w:val="en-US" w:eastAsia="zh-CN"/>
                      <w14:textFill>
                        <w14:solidFill>
                          <w14:schemeClr w14:val="tx1"/>
                        </w14:solidFill>
                      </w14:textFill>
                    </w:rPr>
                    <w:t>3</w:t>
                  </w:r>
                  <w:r>
                    <w:rPr>
                      <w:rFonts w:hint="eastAsia" w:ascii="宋体" w:hAnsi="宋体" w:cs="宋体"/>
                      <w:b/>
                      <w:bCs/>
                      <w:kern w:val="0"/>
                      <w:szCs w:val="21"/>
                      <w:highlight w:val="none"/>
                      <w:vertAlign w:val="baseline"/>
                      <w:lang w:val="en-US" w:eastAsia="zh-CN"/>
                    </w:rPr>
                    <w:t>）</w:t>
                  </w:r>
                </w:p>
              </w:tc>
            </w:tr>
            <w:tr w14:paraId="7A3CC1A1">
              <w:tblPrEx>
                <w:tblBorders>
                  <w:top w:val="single" w:color="auto" w:sz="12" w:space="0"/>
                  <w:left w:val="none" w:color="auto" w:sz="0"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248" w:type="pct"/>
                  <w:vMerge w:val="continue"/>
                  <w:tcBorders>
                    <w:top w:val="single" w:color="auto" w:sz="4" w:space="0"/>
                    <w:bottom w:val="single" w:color="auto" w:sz="4" w:space="0"/>
                    <w:right w:val="single" w:color="auto" w:sz="4" w:space="0"/>
                  </w:tcBorders>
                  <w:vAlign w:val="top"/>
                </w:tcPr>
                <w:p w14:paraId="2D1A8285">
                  <w:pPr>
                    <w:numPr>
                      <w:ilvl w:val="0"/>
                      <w:numId w:val="0"/>
                    </w:numPr>
                    <w:adjustRightInd w:val="0"/>
                    <w:snapToGrid w:val="0"/>
                    <w:jc w:val="center"/>
                    <w:rPr>
                      <w:rFonts w:hint="default" w:ascii="宋体" w:hAnsi="宋体" w:cs="宋体"/>
                      <w:kern w:val="0"/>
                      <w:szCs w:val="21"/>
                      <w:highlight w:val="none"/>
                      <w:vertAlign w:val="baseline"/>
                      <w:lang w:val="en-US" w:eastAsia="zh-CN"/>
                    </w:rPr>
                  </w:pPr>
                </w:p>
              </w:tc>
              <w:tc>
                <w:tcPr>
                  <w:tcW w:w="1248" w:type="pct"/>
                  <w:tcBorders>
                    <w:top w:val="single" w:color="auto" w:sz="4" w:space="0"/>
                    <w:left w:val="single" w:color="auto" w:sz="4" w:space="0"/>
                    <w:bottom w:val="single" w:color="auto" w:sz="4" w:space="0"/>
                    <w:right w:val="single" w:color="auto" w:sz="4" w:space="0"/>
                  </w:tcBorders>
                  <w:vAlign w:val="top"/>
                </w:tcPr>
                <w:p w14:paraId="32041A7B">
                  <w:pPr>
                    <w:numPr>
                      <w:ilvl w:val="0"/>
                      <w:numId w:val="0"/>
                    </w:numPr>
                    <w:adjustRightInd w:val="0"/>
                    <w:snapToGrid w:val="0"/>
                    <w:jc w:val="center"/>
                    <w:rPr>
                      <w:rFonts w:hint="default" w:ascii="宋体" w:hAnsi="宋体" w:cs="宋体"/>
                      <w:kern w:val="0"/>
                      <w:szCs w:val="21"/>
                      <w:highlight w:val="none"/>
                      <w:vertAlign w:val="baseline"/>
                      <w:lang w:val="en-US" w:eastAsia="zh-CN"/>
                    </w:rPr>
                  </w:pPr>
                  <w:r>
                    <w:rPr>
                      <w:rFonts w:hint="eastAsia" w:ascii="宋体" w:hAnsi="宋体" w:cs="宋体"/>
                      <w:kern w:val="0"/>
                      <w:szCs w:val="21"/>
                      <w:highlight w:val="none"/>
                      <w:vertAlign w:val="baseline"/>
                      <w:lang w:val="en-US" w:eastAsia="zh-CN"/>
                    </w:rPr>
                    <w:t>年平均</w:t>
                  </w:r>
                </w:p>
              </w:tc>
              <w:tc>
                <w:tcPr>
                  <w:tcW w:w="1249" w:type="pct"/>
                  <w:tcBorders>
                    <w:top w:val="single" w:color="auto" w:sz="4" w:space="0"/>
                    <w:left w:val="single" w:color="auto" w:sz="4" w:space="0"/>
                    <w:bottom w:val="single" w:color="auto" w:sz="4" w:space="0"/>
                    <w:right w:val="single" w:color="auto" w:sz="4" w:space="0"/>
                  </w:tcBorders>
                  <w:vAlign w:val="top"/>
                </w:tcPr>
                <w:p w14:paraId="3FD86763">
                  <w:pPr>
                    <w:numPr>
                      <w:ilvl w:val="0"/>
                      <w:numId w:val="0"/>
                    </w:numPr>
                    <w:adjustRightInd w:val="0"/>
                    <w:snapToGrid w:val="0"/>
                    <w:jc w:val="center"/>
                    <w:rPr>
                      <w:rFonts w:hint="default" w:ascii="宋体" w:hAnsi="宋体" w:cs="宋体"/>
                      <w:kern w:val="0"/>
                      <w:szCs w:val="21"/>
                      <w:highlight w:val="none"/>
                      <w:vertAlign w:val="baseline"/>
                      <w:lang w:val="en-US" w:eastAsia="zh-CN"/>
                    </w:rPr>
                  </w:pPr>
                  <w:r>
                    <w:rPr>
                      <w:rFonts w:hint="default" w:ascii="Times New Roman" w:hAnsi="Times New Roman" w:cs="Times New Roman"/>
                      <w:kern w:val="0"/>
                      <w:szCs w:val="21"/>
                      <w:highlight w:val="none"/>
                      <w:vertAlign w:val="baseline"/>
                      <w:lang w:val="en-US" w:eastAsia="zh-CN"/>
                    </w:rPr>
                    <w:t>24</w:t>
                  </w:r>
                  <w:r>
                    <w:rPr>
                      <w:rFonts w:hint="eastAsia" w:ascii="宋体" w:hAnsi="宋体" w:cs="宋体"/>
                      <w:kern w:val="0"/>
                      <w:szCs w:val="21"/>
                      <w:highlight w:val="none"/>
                      <w:vertAlign w:val="baseline"/>
                      <w:lang w:val="en-US" w:eastAsia="zh-CN"/>
                    </w:rPr>
                    <w:t>小时平均</w:t>
                  </w:r>
                </w:p>
              </w:tc>
              <w:tc>
                <w:tcPr>
                  <w:tcW w:w="1252" w:type="pct"/>
                  <w:tcBorders>
                    <w:top w:val="single" w:color="auto" w:sz="4" w:space="0"/>
                    <w:left w:val="single" w:color="auto" w:sz="4" w:space="0"/>
                    <w:bottom w:val="single" w:color="auto" w:sz="4" w:space="0"/>
                    <w:right w:val="nil"/>
                  </w:tcBorders>
                  <w:vAlign w:val="top"/>
                </w:tcPr>
                <w:p w14:paraId="32F59D5F">
                  <w:pPr>
                    <w:numPr>
                      <w:ilvl w:val="0"/>
                      <w:numId w:val="0"/>
                    </w:numPr>
                    <w:adjustRightInd w:val="0"/>
                    <w:snapToGrid w:val="0"/>
                    <w:jc w:val="center"/>
                    <w:rPr>
                      <w:rFonts w:hint="default" w:ascii="宋体" w:hAnsi="宋体" w:cs="宋体"/>
                      <w:kern w:val="0"/>
                      <w:szCs w:val="21"/>
                      <w:highlight w:val="none"/>
                      <w:vertAlign w:val="baseline"/>
                      <w:lang w:val="en-US" w:eastAsia="zh-CN"/>
                    </w:rPr>
                  </w:pPr>
                  <w:r>
                    <w:rPr>
                      <w:rFonts w:hint="eastAsia" w:ascii="宋体" w:hAnsi="宋体" w:cs="宋体"/>
                      <w:kern w:val="0"/>
                      <w:szCs w:val="21"/>
                      <w:highlight w:val="none"/>
                      <w:vertAlign w:val="baseline"/>
                      <w:lang w:val="en-US" w:eastAsia="zh-CN"/>
                    </w:rPr>
                    <w:t>小时平均</w:t>
                  </w:r>
                </w:p>
              </w:tc>
            </w:tr>
            <w:tr w14:paraId="37478B4E">
              <w:tblPrEx>
                <w:tblBorders>
                  <w:top w:val="single" w:color="auto" w:sz="12" w:space="0"/>
                  <w:left w:val="none" w:color="auto" w:sz="0"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248" w:type="pct"/>
                  <w:tcBorders>
                    <w:top w:val="single" w:color="auto" w:sz="4" w:space="0"/>
                    <w:bottom w:val="single" w:color="auto" w:sz="4" w:space="0"/>
                    <w:right w:val="single" w:color="auto" w:sz="4" w:space="0"/>
                  </w:tcBorders>
                  <w:vAlign w:val="top"/>
                </w:tcPr>
                <w:p w14:paraId="28D0177D">
                  <w:pPr>
                    <w:bidi w:val="0"/>
                    <w:jc w:val="center"/>
                    <w:rPr>
                      <w:rFonts w:hint="default" w:ascii="Times New Roman" w:hAnsi="Times New Roman" w:eastAsia="宋体" w:cs="Times New Roman"/>
                      <w:color w:val="000000" w:themeColor="text1"/>
                      <w:kern w:val="2"/>
                      <w:sz w:val="21"/>
                      <w:szCs w:val="24"/>
                      <w:highlight w:val="none"/>
                      <w:vertAlign w:val="subscript"/>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PM</w:t>
                  </w:r>
                  <w:r>
                    <w:rPr>
                      <w:rFonts w:hint="default" w:ascii="Times New Roman" w:hAnsi="Times New Roman" w:cs="Times New Roman"/>
                      <w:color w:val="000000" w:themeColor="text1"/>
                      <w:highlight w:val="none"/>
                      <w:vertAlign w:val="subscript"/>
                      <w:lang w:val="en-US" w:eastAsia="zh-CN"/>
                      <w14:textFill>
                        <w14:solidFill>
                          <w14:schemeClr w14:val="tx1"/>
                        </w14:solidFill>
                      </w14:textFill>
                    </w:rPr>
                    <w:t>10</w:t>
                  </w:r>
                </w:p>
              </w:tc>
              <w:tc>
                <w:tcPr>
                  <w:tcW w:w="1248" w:type="pct"/>
                  <w:tcBorders>
                    <w:top w:val="single" w:color="auto" w:sz="4" w:space="0"/>
                    <w:left w:val="single" w:color="auto" w:sz="4" w:space="0"/>
                    <w:bottom w:val="single" w:color="auto" w:sz="4" w:space="0"/>
                    <w:right w:val="single" w:color="auto" w:sz="4" w:space="0"/>
                  </w:tcBorders>
                  <w:vAlign w:val="top"/>
                </w:tcPr>
                <w:p w14:paraId="39915880">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70</w:t>
                  </w:r>
                </w:p>
              </w:tc>
              <w:tc>
                <w:tcPr>
                  <w:tcW w:w="1249" w:type="pct"/>
                  <w:tcBorders>
                    <w:top w:val="single" w:color="auto" w:sz="4" w:space="0"/>
                    <w:left w:val="single" w:color="auto" w:sz="4" w:space="0"/>
                    <w:bottom w:val="single" w:color="auto" w:sz="4" w:space="0"/>
                    <w:right w:val="single" w:color="auto" w:sz="4" w:space="0"/>
                  </w:tcBorders>
                  <w:vAlign w:val="top"/>
                </w:tcPr>
                <w:p w14:paraId="040CF380">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150</w:t>
                  </w:r>
                </w:p>
              </w:tc>
              <w:tc>
                <w:tcPr>
                  <w:tcW w:w="1252" w:type="pct"/>
                  <w:tcBorders>
                    <w:top w:val="single" w:color="auto" w:sz="4" w:space="0"/>
                    <w:left w:val="single" w:color="auto" w:sz="4" w:space="0"/>
                    <w:bottom w:val="single" w:color="auto" w:sz="4" w:space="0"/>
                    <w:right w:val="nil"/>
                  </w:tcBorders>
                  <w:vAlign w:val="top"/>
                </w:tcPr>
                <w:p w14:paraId="042F5269">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w:t>
                  </w:r>
                </w:p>
              </w:tc>
            </w:tr>
            <w:tr w14:paraId="7A3866E9">
              <w:tblPrEx>
                <w:tblBorders>
                  <w:top w:val="single" w:color="auto" w:sz="12" w:space="0"/>
                  <w:left w:val="none" w:color="auto" w:sz="0"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248" w:type="pct"/>
                  <w:tcBorders>
                    <w:top w:val="single" w:color="auto" w:sz="4" w:space="0"/>
                    <w:bottom w:val="single" w:color="auto" w:sz="4" w:space="0"/>
                    <w:right w:val="single" w:color="auto" w:sz="4" w:space="0"/>
                  </w:tcBorders>
                  <w:vAlign w:val="top"/>
                </w:tcPr>
                <w:p w14:paraId="0DF50CB1">
                  <w:pPr>
                    <w:bidi w:val="0"/>
                    <w:jc w:val="center"/>
                    <w:rPr>
                      <w:rFonts w:hint="default" w:ascii="Times New Roman" w:hAnsi="Times New Roman" w:eastAsia="宋体" w:cs="Times New Roman"/>
                      <w:color w:val="000000" w:themeColor="text1"/>
                      <w:kern w:val="2"/>
                      <w:sz w:val="21"/>
                      <w:szCs w:val="24"/>
                      <w:highlight w:val="none"/>
                      <w:vertAlign w:val="subscript"/>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PM</w:t>
                  </w:r>
                  <w:r>
                    <w:rPr>
                      <w:rFonts w:hint="default" w:ascii="Times New Roman" w:hAnsi="Times New Roman" w:cs="Times New Roman"/>
                      <w:color w:val="000000" w:themeColor="text1"/>
                      <w:highlight w:val="none"/>
                      <w:vertAlign w:val="subscript"/>
                      <w:lang w:val="en-US" w:eastAsia="zh-CN"/>
                      <w14:textFill>
                        <w14:solidFill>
                          <w14:schemeClr w14:val="tx1"/>
                        </w14:solidFill>
                      </w14:textFill>
                    </w:rPr>
                    <w:t>2.5</w:t>
                  </w:r>
                </w:p>
              </w:tc>
              <w:tc>
                <w:tcPr>
                  <w:tcW w:w="1248" w:type="pct"/>
                  <w:tcBorders>
                    <w:top w:val="single" w:color="auto" w:sz="4" w:space="0"/>
                    <w:left w:val="single" w:color="auto" w:sz="4" w:space="0"/>
                    <w:bottom w:val="single" w:color="auto" w:sz="4" w:space="0"/>
                    <w:right w:val="single" w:color="auto" w:sz="4" w:space="0"/>
                  </w:tcBorders>
                  <w:vAlign w:val="top"/>
                </w:tcPr>
                <w:p w14:paraId="22F38A83">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35</w:t>
                  </w:r>
                </w:p>
              </w:tc>
              <w:tc>
                <w:tcPr>
                  <w:tcW w:w="1249" w:type="pct"/>
                  <w:tcBorders>
                    <w:top w:val="single" w:color="auto" w:sz="4" w:space="0"/>
                    <w:left w:val="single" w:color="auto" w:sz="4" w:space="0"/>
                    <w:bottom w:val="single" w:color="auto" w:sz="4" w:space="0"/>
                    <w:right w:val="single" w:color="auto" w:sz="4" w:space="0"/>
                  </w:tcBorders>
                  <w:vAlign w:val="top"/>
                </w:tcPr>
                <w:p w14:paraId="01C229D2">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75</w:t>
                  </w:r>
                </w:p>
              </w:tc>
              <w:tc>
                <w:tcPr>
                  <w:tcW w:w="1252" w:type="pct"/>
                  <w:tcBorders>
                    <w:top w:val="single" w:color="auto" w:sz="4" w:space="0"/>
                    <w:left w:val="single" w:color="auto" w:sz="4" w:space="0"/>
                    <w:bottom w:val="single" w:color="auto" w:sz="4" w:space="0"/>
                    <w:right w:val="nil"/>
                  </w:tcBorders>
                  <w:vAlign w:val="top"/>
                </w:tcPr>
                <w:p w14:paraId="4ADB3C73">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w:t>
                  </w:r>
                </w:p>
              </w:tc>
            </w:tr>
            <w:tr w14:paraId="638870D3">
              <w:tblPrEx>
                <w:tblBorders>
                  <w:top w:val="single" w:color="auto" w:sz="12" w:space="0"/>
                  <w:left w:val="none" w:color="auto" w:sz="0"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248" w:type="pct"/>
                  <w:tcBorders>
                    <w:top w:val="single" w:color="auto" w:sz="4" w:space="0"/>
                    <w:bottom w:val="single" w:color="auto" w:sz="4" w:space="0"/>
                    <w:right w:val="single" w:color="auto" w:sz="4" w:space="0"/>
                  </w:tcBorders>
                  <w:vAlign w:val="top"/>
                </w:tcPr>
                <w:p w14:paraId="7BAD5D72">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TSP</w:t>
                  </w:r>
                </w:p>
              </w:tc>
              <w:tc>
                <w:tcPr>
                  <w:tcW w:w="1248" w:type="pct"/>
                  <w:tcBorders>
                    <w:top w:val="single" w:color="auto" w:sz="4" w:space="0"/>
                    <w:left w:val="single" w:color="auto" w:sz="4" w:space="0"/>
                    <w:bottom w:val="single" w:color="auto" w:sz="4" w:space="0"/>
                    <w:right w:val="single" w:color="auto" w:sz="4" w:space="0"/>
                  </w:tcBorders>
                  <w:vAlign w:val="top"/>
                </w:tcPr>
                <w:p w14:paraId="3B933F66">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200</w:t>
                  </w:r>
                </w:p>
              </w:tc>
              <w:tc>
                <w:tcPr>
                  <w:tcW w:w="1249" w:type="pct"/>
                  <w:tcBorders>
                    <w:top w:val="single" w:color="auto" w:sz="4" w:space="0"/>
                    <w:left w:val="single" w:color="auto" w:sz="4" w:space="0"/>
                    <w:bottom w:val="single" w:color="auto" w:sz="4" w:space="0"/>
                    <w:right w:val="single" w:color="auto" w:sz="4" w:space="0"/>
                  </w:tcBorders>
                  <w:vAlign w:val="top"/>
                </w:tcPr>
                <w:p w14:paraId="42C47793">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300</w:t>
                  </w:r>
                </w:p>
              </w:tc>
              <w:tc>
                <w:tcPr>
                  <w:tcW w:w="1252" w:type="pct"/>
                  <w:tcBorders>
                    <w:top w:val="single" w:color="auto" w:sz="4" w:space="0"/>
                    <w:left w:val="single" w:color="auto" w:sz="4" w:space="0"/>
                    <w:bottom w:val="single" w:color="auto" w:sz="4" w:space="0"/>
                    <w:right w:val="nil"/>
                  </w:tcBorders>
                  <w:vAlign w:val="top"/>
                </w:tcPr>
                <w:p w14:paraId="25108FA0">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w:t>
                  </w:r>
                </w:p>
              </w:tc>
            </w:tr>
            <w:tr w14:paraId="52C11137">
              <w:tblPrEx>
                <w:tblBorders>
                  <w:top w:val="single" w:color="auto" w:sz="12" w:space="0"/>
                  <w:left w:val="none" w:color="auto" w:sz="0"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248" w:type="pct"/>
                  <w:tcBorders>
                    <w:top w:val="single" w:color="auto" w:sz="4" w:space="0"/>
                    <w:bottom w:val="single" w:color="auto" w:sz="4" w:space="0"/>
                    <w:right w:val="single" w:color="auto" w:sz="4" w:space="0"/>
                  </w:tcBorders>
                  <w:vAlign w:val="top"/>
                </w:tcPr>
                <w:p w14:paraId="39B13F29">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NO</w:t>
                  </w:r>
                  <w:r>
                    <w:rPr>
                      <w:rFonts w:hint="default" w:ascii="Times New Roman" w:hAnsi="Times New Roman" w:cs="Times New Roman"/>
                      <w:color w:val="000000" w:themeColor="text1"/>
                      <w:highlight w:val="none"/>
                      <w:vertAlign w:val="subscript"/>
                      <w:lang w:val="en-US" w:eastAsia="zh-CN"/>
                      <w14:textFill>
                        <w14:solidFill>
                          <w14:schemeClr w14:val="tx1"/>
                        </w14:solidFill>
                      </w14:textFill>
                    </w:rPr>
                    <w:t>2</w:t>
                  </w:r>
                </w:p>
              </w:tc>
              <w:tc>
                <w:tcPr>
                  <w:tcW w:w="1248" w:type="pct"/>
                  <w:tcBorders>
                    <w:top w:val="single" w:color="auto" w:sz="4" w:space="0"/>
                    <w:left w:val="single" w:color="auto" w:sz="4" w:space="0"/>
                    <w:bottom w:val="single" w:color="auto" w:sz="4" w:space="0"/>
                    <w:right w:val="single" w:color="auto" w:sz="4" w:space="0"/>
                  </w:tcBorders>
                  <w:vAlign w:val="top"/>
                </w:tcPr>
                <w:p w14:paraId="184B8534">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40</w:t>
                  </w:r>
                </w:p>
              </w:tc>
              <w:tc>
                <w:tcPr>
                  <w:tcW w:w="1249" w:type="pct"/>
                  <w:tcBorders>
                    <w:top w:val="single" w:color="auto" w:sz="4" w:space="0"/>
                    <w:left w:val="single" w:color="auto" w:sz="4" w:space="0"/>
                    <w:bottom w:val="single" w:color="auto" w:sz="4" w:space="0"/>
                    <w:right w:val="single" w:color="auto" w:sz="4" w:space="0"/>
                  </w:tcBorders>
                  <w:vAlign w:val="top"/>
                </w:tcPr>
                <w:p w14:paraId="340E91E1">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80</w:t>
                  </w:r>
                </w:p>
              </w:tc>
              <w:tc>
                <w:tcPr>
                  <w:tcW w:w="1252" w:type="pct"/>
                  <w:tcBorders>
                    <w:top w:val="single" w:color="auto" w:sz="4" w:space="0"/>
                    <w:left w:val="single" w:color="auto" w:sz="4" w:space="0"/>
                    <w:bottom w:val="single" w:color="auto" w:sz="4" w:space="0"/>
                    <w:right w:val="nil"/>
                  </w:tcBorders>
                  <w:vAlign w:val="top"/>
                </w:tcPr>
                <w:p w14:paraId="5D5CBD63">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200</w:t>
                  </w:r>
                </w:p>
              </w:tc>
            </w:tr>
            <w:tr w14:paraId="2DDEAD6F">
              <w:tblPrEx>
                <w:tblBorders>
                  <w:top w:val="single" w:color="auto" w:sz="12" w:space="0"/>
                  <w:left w:val="none" w:color="auto" w:sz="0"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248" w:type="pct"/>
                  <w:tcBorders>
                    <w:top w:val="single" w:color="auto" w:sz="4" w:space="0"/>
                    <w:bottom w:val="single" w:color="auto" w:sz="4" w:space="0"/>
                    <w:right w:val="single" w:color="auto" w:sz="4" w:space="0"/>
                  </w:tcBorders>
                  <w:vAlign w:val="top"/>
                </w:tcPr>
                <w:p w14:paraId="3AEB8D07">
                  <w:pPr>
                    <w:bidi w:val="0"/>
                    <w:jc w:val="center"/>
                    <w:rPr>
                      <w:rFonts w:hint="default" w:ascii="Times New Roman" w:hAnsi="Times New Roman" w:eastAsia="宋体" w:cs="Times New Roman"/>
                      <w:color w:val="000000" w:themeColor="text1"/>
                      <w:kern w:val="2"/>
                      <w:sz w:val="21"/>
                      <w:szCs w:val="24"/>
                      <w:highlight w:val="none"/>
                      <w:vertAlign w:val="subscript"/>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SO</w:t>
                  </w:r>
                  <w:r>
                    <w:rPr>
                      <w:rFonts w:hint="default" w:ascii="Times New Roman" w:hAnsi="Times New Roman" w:cs="Times New Roman"/>
                      <w:color w:val="000000" w:themeColor="text1"/>
                      <w:highlight w:val="none"/>
                      <w:vertAlign w:val="subscript"/>
                      <w:lang w:val="en-US" w:eastAsia="zh-CN"/>
                      <w14:textFill>
                        <w14:solidFill>
                          <w14:schemeClr w14:val="tx1"/>
                        </w14:solidFill>
                      </w14:textFill>
                    </w:rPr>
                    <w:t>2</w:t>
                  </w:r>
                </w:p>
              </w:tc>
              <w:tc>
                <w:tcPr>
                  <w:tcW w:w="1248" w:type="pct"/>
                  <w:tcBorders>
                    <w:top w:val="single" w:color="auto" w:sz="4" w:space="0"/>
                    <w:left w:val="single" w:color="auto" w:sz="4" w:space="0"/>
                    <w:bottom w:val="single" w:color="auto" w:sz="4" w:space="0"/>
                    <w:right w:val="single" w:color="auto" w:sz="4" w:space="0"/>
                  </w:tcBorders>
                  <w:vAlign w:val="top"/>
                </w:tcPr>
                <w:p w14:paraId="6F41A0FB">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60</w:t>
                  </w:r>
                </w:p>
              </w:tc>
              <w:tc>
                <w:tcPr>
                  <w:tcW w:w="1249" w:type="pct"/>
                  <w:tcBorders>
                    <w:top w:val="single" w:color="auto" w:sz="4" w:space="0"/>
                    <w:left w:val="single" w:color="auto" w:sz="4" w:space="0"/>
                    <w:bottom w:val="single" w:color="auto" w:sz="4" w:space="0"/>
                    <w:right w:val="single" w:color="auto" w:sz="4" w:space="0"/>
                  </w:tcBorders>
                  <w:vAlign w:val="top"/>
                </w:tcPr>
                <w:p w14:paraId="51571CDD">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150</w:t>
                  </w:r>
                </w:p>
              </w:tc>
              <w:tc>
                <w:tcPr>
                  <w:tcW w:w="1252" w:type="pct"/>
                  <w:tcBorders>
                    <w:top w:val="single" w:color="auto" w:sz="4" w:space="0"/>
                    <w:left w:val="single" w:color="auto" w:sz="4" w:space="0"/>
                    <w:bottom w:val="single" w:color="auto" w:sz="4" w:space="0"/>
                    <w:right w:val="nil"/>
                  </w:tcBorders>
                  <w:vAlign w:val="top"/>
                </w:tcPr>
                <w:p w14:paraId="5CC0FB70">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500</w:t>
                  </w:r>
                </w:p>
              </w:tc>
            </w:tr>
            <w:tr w14:paraId="3A756970">
              <w:tblPrEx>
                <w:tblBorders>
                  <w:top w:val="single" w:color="auto" w:sz="12" w:space="0"/>
                  <w:left w:val="none" w:color="auto" w:sz="0"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248" w:type="pct"/>
                  <w:tcBorders>
                    <w:top w:val="single" w:color="auto" w:sz="4" w:space="0"/>
                    <w:bottom w:val="single" w:color="auto" w:sz="4" w:space="0"/>
                    <w:right w:val="single" w:color="auto" w:sz="4" w:space="0"/>
                  </w:tcBorders>
                  <w:vAlign w:val="top"/>
                </w:tcPr>
                <w:p w14:paraId="107038CF">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CO</w:t>
                  </w:r>
                </w:p>
              </w:tc>
              <w:tc>
                <w:tcPr>
                  <w:tcW w:w="1248" w:type="pct"/>
                  <w:tcBorders>
                    <w:top w:val="single" w:color="auto" w:sz="4" w:space="0"/>
                    <w:left w:val="single" w:color="auto" w:sz="4" w:space="0"/>
                    <w:bottom w:val="single" w:color="auto" w:sz="4" w:space="0"/>
                    <w:right w:val="single" w:color="auto" w:sz="4" w:space="0"/>
                  </w:tcBorders>
                  <w:vAlign w:val="top"/>
                </w:tcPr>
                <w:p w14:paraId="68BDC7F7">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4"/>
                      <w:highlight w:val="none"/>
                      <w:vertAlign w:val="baseline"/>
                      <w:lang w:val="en-US" w:eastAsia="zh-CN" w:bidi="ar-SA"/>
                      <w14:textFill>
                        <w14:solidFill>
                          <w14:schemeClr w14:val="tx1"/>
                        </w14:solidFill>
                      </w14:textFill>
                    </w:rPr>
                    <w:t>/</w:t>
                  </w:r>
                </w:p>
              </w:tc>
              <w:tc>
                <w:tcPr>
                  <w:tcW w:w="1249" w:type="pct"/>
                  <w:tcBorders>
                    <w:top w:val="single" w:color="auto" w:sz="4" w:space="0"/>
                    <w:left w:val="single" w:color="auto" w:sz="4" w:space="0"/>
                    <w:bottom w:val="single" w:color="auto" w:sz="4" w:space="0"/>
                    <w:right w:val="single" w:color="auto" w:sz="4" w:space="0"/>
                  </w:tcBorders>
                  <w:vAlign w:val="top"/>
                </w:tcPr>
                <w:p w14:paraId="52231A16">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4000</w:t>
                  </w:r>
                </w:p>
              </w:tc>
              <w:tc>
                <w:tcPr>
                  <w:tcW w:w="1252" w:type="pct"/>
                  <w:tcBorders>
                    <w:top w:val="single" w:color="auto" w:sz="4" w:space="0"/>
                    <w:left w:val="single" w:color="auto" w:sz="4" w:space="0"/>
                    <w:bottom w:val="single" w:color="auto" w:sz="4" w:space="0"/>
                    <w:right w:val="nil"/>
                  </w:tcBorders>
                  <w:vAlign w:val="top"/>
                </w:tcPr>
                <w:p w14:paraId="34F438AC">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10000</w:t>
                  </w:r>
                </w:p>
              </w:tc>
            </w:tr>
            <w:tr w14:paraId="6130B66F">
              <w:tblPrEx>
                <w:tblBorders>
                  <w:top w:val="single" w:color="auto" w:sz="12" w:space="0"/>
                  <w:left w:val="none" w:color="auto" w:sz="0"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248" w:type="pct"/>
                  <w:tcBorders>
                    <w:top w:val="single" w:color="auto" w:sz="4" w:space="0"/>
                    <w:bottom w:val="single" w:color="auto" w:sz="12" w:space="0"/>
                    <w:right w:val="single" w:color="auto" w:sz="4" w:space="0"/>
                  </w:tcBorders>
                  <w:vAlign w:val="top"/>
                </w:tcPr>
                <w:p w14:paraId="1F5F03F6">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O</w:t>
                  </w:r>
                  <w:r>
                    <w:rPr>
                      <w:rFonts w:hint="default" w:ascii="Times New Roman" w:hAnsi="Times New Roman" w:cs="Times New Roman"/>
                      <w:color w:val="000000" w:themeColor="text1"/>
                      <w:highlight w:val="none"/>
                      <w:vertAlign w:val="subscript"/>
                      <w:lang w:val="en-US" w:eastAsia="zh-CN"/>
                      <w14:textFill>
                        <w14:solidFill>
                          <w14:schemeClr w14:val="tx1"/>
                        </w14:solidFill>
                      </w14:textFill>
                    </w:rPr>
                    <w:t>3</w:t>
                  </w:r>
                </w:p>
              </w:tc>
              <w:tc>
                <w:tcPr>
                  <w:tcW w:w="1248" w:type="pct"/>
                  <w:tcBorders>
                    <w:top w:val="single" w:color="auto" w:sz="4" w:space="0"/>
                    <w:left w:val="single" w:color="auto" w:sz="4" w:space="0"/>
                    <w:bottom w:val="single" w:color="auto" w:sz="12" w:space="0"/>
                    <w:right w:val="single" w:color="auto" w:sz="4" w:space="0"/>
                  </w:tcBorders>
                  <w:vAlign w:val="top"/>
                </w:tcPr>
                <w:p w14:paraId="02DFA647">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w:t>
                  </w:r>
                </w:p>
              </w:tc>
              <w:tc>
                <w:tcPr>
                  <w:tcW w:w="1249" w:type="pct"/>
                  <w:tcBorders>
                    <w:top w:val="single" w:color="auto" w:sz="4" w:space="0"/>
                    <w:left w:val="single" w:color="auto" w:sz="4" w:space="0"/>
                    <w:bottom w:val="single" w:color="auto" w:sz="12" w:space="0"/>
                    <w:right w:val="single" w:color="auto" w:sz="4" w:space="0"/>
                  </w:tcBorders>
                  <w:vAlign w:val="top"/>
                </w:tcPr>
                <w:p w14:paraId="7AEB6456">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160</w:t>
                  </w:r>
                </w:p>
              </w:tc>
              <w:tc>
                <w:tcPr>
                  <w:tcW w:w="1252" w:type="pct"/>
                  <w:tcBorders>
                    <w:top w:val="single" w:color="auto" w:sz="4" w:space="0"/>
                    <w:left w:val="single" w:color="auto" w:sz="4" w:space="0"/>
                    <w:bottom w:val="single" w:color="auto" w:sz="12" w:space="0"/>
                    <w:right w:val="nil"/>
                  </w:tcBorders>
                  <w:vAlign w:val="top"/>
                </w:tcPr>
                <w:p w14:paraId="7E074568">
                  <w:pPr>
                    <w:bidi w:val="0"/>
                    <w:jc w:val="center"/>
                    <w:rPr>
                      <w:rFonts w:hint="default" w:ascii="Times New Roman" w:hAnsi="Times New Roman" w:eastAsia="宋体" w:cs="Times New Roman"/>
                      <w:color w:val="000000" w:themeColor="text1"/>
                      <w:kern w:val="2"/>
                      <w:sz w:val="21"/>
                      <w:szCs w:val="24"/>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200</w:t>
                  </w:r>
                </w:p>
              </w:tc>
            </w:tr>
          </w:tbl>
          <w:p w14:paraId="1A1CBE90">
            <w:pPr>
              <w:numPr>
                <w:ilvl w:val="0"/>
                <w:numId w:val="0"/>
              </w:numPr>
              <w:adjustRightInd w:val="0"/>
              <w:snapToGrid w:val="0"/>
              <w:spacing w:line="360" w:lineRule="auto"/>
              <w:ind w:firstLine="482" w:firstLineChars="200"/>
              <w:rPr>
                <w:rFonts w:hint="default" w:ascii="Times New Roman" w:hAnsi="Times New Roman" w:cs="Times New Roman"/>
                <w:b/>
                <w:bCs/>
                <w:kern w:val="0"/>
                <w:sz w:val="24"/>
                <w:szCs w:val="24"/>
                <w:highlight w:val="none"/>
                <w:lang w:val="en-US" w:eastAsia="zh-CN"/>
              </w:rPr>
            </w:pPr>
            <w:r>
              <w:rPr>
                <w:rFonts w:hint="default" w:ascii="Times New Roman" w:hAnsi="Times New Roman" w:cs="Times New Roman"/>
                <w:b/>
                <w:bCs/>
                <w:kern w:val="0"/>
                <w:sz w:val="24"/>
                <w:szCs w:val="24"/>
                <w:highlight w:val="none"/>
                <w:lang w:val="en-US" w:eastAsia="zh-CN"/>
              </w:rPr>
              <w:t>1.2地表水环境</w:t>
            </w:r>
          </w:p>
          <w:p w14:paraId="4434E3A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kern w:val="0"/>
                <w:sz w:val="24"/>
                <w:szCs w:val="24"/>
                <w:highlight w:val="none"/>
                <w:lang w:val="en-US" w:eastAsia="zh-CN"/>
              </w:rPr>
            </w:pPr>
            <w:r>
              <w:rPr>
                <w:rFonts w:hint="default" w:ascii="Times New Roman" w:hAnsi="Times New Roman" w:cs="Times New Roman"/>
                <w:kern w:val="0"/>
                <w:sz w:val="24"/>
                <w:szCs w:val="24"/>
                <w:highlight w:val="none"/>
                <w:lang w:val="en-US" w:eastAsia="zh-CN"/>
              </w:rPr>
              <w:t>根据《</w:t>
            </w:r>
            <w:r>
              <w:rPr>
                <w:rFonts w:hint="eastAsia" w:ascii="宋体" w:hAnsi="宋体" w:eastAsia="宋体" w:cs="宋体"/>
                <w:b w:val="0"/>
                <w:bCs w:val="0"/>
                <w:color w:val="000000"/>
                <w:sz w:val="24"/>
                <w:szCs w:val="24"/>
                <w:highlight w:val="none"/>
              </w:rPr>
              <w:t>安阳市生态环境保护委员会关于印发安阳市</w:t>
            </w:r>
            <w:r>
              <w:rPr>
                <w:rFonts w:hint="default" w:ascii="Times New Roman" w:hAnsi="Times New Roman" w:eastAsia="宋体" w:cs="Times New Roman"/>
                <w:b w:val="0"/>
                <w:bCs w:val="0"/>
                <w:color w:val="000000"/>
                <w:sz w:val="24"/>
                <w:szCs w:val="24"/>
                <w:highlight w:val="none"/>
              </w:rPr>
              <w:t>2024</w:t>
            </w:r>
            <w:r>
              <w:rPr>
                <w:rFonts w:hint="eastAsia" w:ascii="宋体" w:hAnsi="宋体" w:eastAsia="宋体" w:cs="宋体"/>
                <w:b w:val="0"/>
                <w:bCs w:val="0"/>
                <w:color w:val="000000"/>
                <w:sz w:val="24"/>
                <w:szCs w:val="24"/>
                <w:highlight w:val="none"/>
              </w:rPr>
              <w:t>年碧水保卫战实施方案的通知</w:t>
            </w:r>
            <w:r>
              <w:rPr>
                <w:rFonts w:hint="default" w:ascii="Times New Roman" w:hAnsi="Times New Roman" w:cs="Times New Roman"/>
                <w:kern w:val="0"/>
                <w:sz w:val="24"/>
                <w:szCs w:val="24"/>
                <w:highlight w:val="none"/>
                <w:lang w:val="en-US" w:eastAsia="zh-CN"/>
              </w:rPr>
              <w:t>》（安环函</w:t>
            </w:r>
            <w:r>
              <w:rPr>
                <w:rFonts w:hint="default" w:ascii="Times New Roman" w:hAnsi="Times New Roman" w:eastAsia="微软雅黑" w:cs="Times New Roman"/>
                <w:color w:val="000000" w:themeColor="text1"/>
                <w:kern w:val="0"/>
                <w:sz w:val="24"/>
                <w:szCs w:val="24"/>
                <w:highlight w:val="none"/>
                <w:lang w:val="en-US" w:eastAsia="zh-CN"/>
                <w14:textFill>
                  <w14:solidFill>
                    <w14:schemeClr w14:val="tx1"/>
                  </w14:solidFill>
                </w14:textFill>
              </w:rPr>
              <w:t>〔</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202</w:t>
            </w:r>
            <w:r>
              <w:rPr>
                <w:rFonts w:hint="eastAsia" w:cs="Times New Roman"/>
                <w:color w:val="000000" w:themeColor="text1"/>
                <w:kern w:val="0"/>
                <w:sz w:val="24"/>
                <w:szCs w:val="24"/>
                <w:highlight w:val="none"/>
                <w:lang w:val="en-US" w:eastAsia="zh-CN"/>
                <w14:textFill>
                  <w14:solidFill>
                    <w14:schemeClr w14:val="tx1"/>
                  </w14:solidFill>
                </w14:textFill>
              </w:rPr>
              <w:t>4</w:t>
            </w:r>
            <w:r>
              <w:rPr>
                <w:rFonts w:hint="default" w:ascii="Times New Roman" w:hAnsi="Times New Roman" w:eastAsia="微软雅黑" w:cs="Times New Roman"/>
                <w:color w:val="000000" w:themeColor="text1"/>
                <w:kern w:val="0"/>
                <w:sz w:val="24"/>
                <w:szCs w:val="24"/>
                <w:highlight w:val="none"/>
                <w:lang w:val="en-US" w:eastAsia="zh-CN"/>
                <w14:textFill>
                  <w14:solidFill>
                    <w14:schemeClr w14:val="tx1"/>
                  </w14:solidFill>
                </w14:textFill>
              </w:rPr>
              <w:t>〕</w:t>
            </w:r>
            <w:r>
              <w:rPr>
                <w:rFonts w:hint="eastAsia" w:eastAsia="微软雅黑" w:cs="Times New Roman"/>
                <w:color w:val="000000" w:themeColor="text1"/>
                <w:kern w:val="0"/>
                <w:sz w:val="24"/>
                <w:szCs w:val="24"/>
                <w:highlight w:val="none"/>
                <w:lang w:val="en-US" w:eastAsia="zh-CN"/>
                <w14:textFill>
                  <w14:solidFill>
                    <w14:schemeClr w14:val="tx1"/>
                  </w14:solidFill>
                </w14:textFill>
              </w:rPr>
              <w:t>3</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号</w:t>
            </w:r>
            <w:r>
              <w:rPr>
                <w:rFonts w:hint="default" w:ascii="Times New Roman" w:hAnsi="Times New Roman" w:cs="Times New Roman"/>
                <w:kern w:val="0"/>
                <w:sz w:val="24"/>
                <w:szCs w:val="24"/>
                <w:highlight w:val="none"/>
                <w:lang w:val="en-US" w:eastAsia="zh-CN"/>
              </w:rPr>
              <w:t>），</w:t>
            </w:r>
            <w:r>
              <w:rPr>
                <w:rFonts w:hint="eastAsia" w:cs="Times New Roman"/>
                <w:kern w:val="0"/>
                <w:sz w:val="24"/>
                <w:szCs w:val="24"/>
                <w:highlight w:val="none"/>
                <w:lang w:val="en-US" w:eastAsia="zh-CN"/>
              </w:rPr>
              <w:t>京广铁路桥</w:t>
            </w:r>
            <w:r>
              <w:rPr>
                <w:rFonts w:hint="default" w:ascii="Times New Roman" w:hAnsi="Times New Roman" w:cs="Times New Roman"/>
                <w:kern w:val="0"/>
                <w:sz w:val="24"/>
                <w:szCs w:val="24"/>
                <w:highlight w:val="none"/>
                <w:lang w:val="en-US" w:eastAsia="zh-CN"/>
              </w:rPr>
              <w:t>断面执行《地表水环境质量标准》（GB3838-2002）III类标准，具体标准值见下表。</w:t>
            </w:r>
          </w:p>
          <w:p w14:paraId="1503053D">
            <w:pPr>
              <w:numPr>
                <w:ilvl w:val="0"/>
                <w:numId w:val="0"/>
              </w:numPr>
              <w:adjustRightInd w:val="0"/>
              <w:snapToGrid w:val="0"/>
              <w:spacing w:line="240" w:lineRule="auto"/>
              <w:jc w:val="center"/>
              <w:rPr>
                <w:rFonts w:hint="default" w:ascii="Times New Roman" w:hAnsi="Times New Roman" w:eastAsia="宋体" w:cs="Times New Roman"/>
                <w:b/>
                <w:bCs/>
                <w:kern w:val="0"/>
                <w:sz w:val="21"/>
                <w:szCs w:val="21"/>
                <w:highlight w:val="none"/>
                <w:lang w:val="en-US" w:eastAsia="zh-CN"/>
              </w:rPr>
            </w:pPr>
            <w:r>
              <w:rPr>
                <w:rFonts w:hint="default" w:ascii="Times New Roman" w:hAnsi="Times New Roman" w:eastAsia="宋体" w:cs="Times New Roman"/>
                <w:b/>
                <w:bCs/>
                <w:kern w:val="0"/>
                <w:sz w:val="21"/>
                <w:szCs w:val="21"/>
                <w:highlight w:val="none"/>
                <w:lang w:val="en-US" w:eastAsia="zh-CN"/>
              </w:rPr>
              <w:t>《地表水环境质量标准》（GB3838-2002）</w:t>
            </w:r>
          </w:p>
          <w:tbl>
            <w:tblPr>
              <w:tblStyle w:val="19"/>
              <w:tblW w:w="4998" w:type="pct"/>
              <w:tblInd w:w="0" w:type="dxa"/>
              <w:tblBorders>
                <w:top w:val="single" w:color="auto" w:sz="12" w:space="0"/>
                <w:left w:val="none" w:color="auto" w:sz="0"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2253"/>
              <w:gridCol w:w="1501"/>
              <w:gridCol w:w="1670"/>
              <w:gridCol w:w="1550"/>
              <w:gridCol w:w="1588"/>
            </w:tblGrid>
            <w:tr w14:paraId="5409E962">
              <w:tblPrEx>
                <w:tblBorders>
                  <w:top w:val="single" w:color="auto" w:sz="12" w:space="0"/>
                  <w:left w:val="none" w:color="auto" w:sz="0"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315" w:type="pct"/>
                  <w:tcBorders>
                    <w:bottom w:val="single" w:color="auto" w:sz="4" w:space="0"/>
                    <w:right w:val="single" w:color="auto" w:sz="4" w:space="0"/>
                  </w:tcBorders>
                  <w:vAlign w:val="center"/>
                </w:tcPr>
                <w:p w14:paraId="03BFE765">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0"/>
                      <w:sz w:val="21"/>
                      <w:szCs w:val="21"/>
                      <w:highlight w:val="none"/>
                      <w:vertAlign w:val="baseline"/>
                      <w:lang w:val="en-US" w:eastAsia="zh-CN"/>
                    </w:rPr>
                  </w:pPr>
                  <w:r>
                    <w:rPr>
                      <w:rFonts w:hint="default" w:ascii="Times New Roman" w:hAnsi="Times New Roman" w:eastAsia="宋体" w:cs="Times New Roman"/>
                      <w:b/>
                      <w:bCs/>
                      <w:kern w:val="0"/>
                      <w:sz w:val="21"/>
                      <w:szCs w:val="21"/>
                      <w:highlight w:val="none"/>
                      <w:vertAlign w:val="baseline"/>
                      <w:lang w:val="en-US" w:eastAsia="zh-CN"/>
                    </w:rPr>
                    <w:t>项目</w:t>
                  </w:r>
                </w:p>
              </w:tc>
              <w:tc>
                <w:tcPr>
                  <w:tcW w:w="876" w:type="pct"/>
                  <w:tcBorders>
                    <w:left w:val="single" w:color="auto" w:sz="4" w:space="0"/>
                    <w:bottom w:val="single" w:color="auto" w:sz="4" w:space="0"/>
                    <w:right w:val="single" w:color="auto" w:sz="4" w:space="0"/>
                  </w:tcBorders>
                  <w:vAlign w:val="center"/>
                </w:tcPr>
                <w:p w14:paraId="28DC798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0"/>
                      <w:sz w:val="21"/>
                      <w:szCs w:val="21"/>
                      <w:highlight w:val="none"/>
                      <w:vertAlign w:val="baseline"/>
                      <w:lang w:val="en-US" w:eastAsia="zh-CN"/>
                    </w:rPr>
                  </w:pPr>
                  <w:r>
                    <w:rPr>
                      <w:rFonts w:hint="default" w:ascii="Times New Roman" w:hAnsi="Times New Roman" w:eastAsia="宋体" w:cs="Times New Roman"/>
                      <w:b/>
                      <w:bCs/>
                      <w:kern w:val="0"/>
                      <w:sz w:val="21"/>
                      <w:szCs w:val="21"/>
                      <w:highlight w:val="none"/>
                      <w:vertAlign w:val="baseline"/>
                      <w:lang w:val="en-US" w:eastAsia="zh-CN"/>
                    </w:rPr>
                    <w:t>pH</w:t>
                  </w:r>
                </w:p>
              </w:tc>
              <w:tc>
                <w:tcPr>
                  <w:tcW w:w="975" w:type="pct"/>
                  <w:tcBorders>
                    <w:left w:val="single" w:color="auto" w:sz="4" w:space="0"/>
                    <w:bottom w:val="single" w:color="auto" w:sz="4" w:space="0"/>
                    <w:right w:val="single" w:color="auto" w:sz="4" w:space="0"/>
                  </w:tcBorders>
                  <w:vAlign w:val="center"/>
                </w:tcPr>
                <w:p w14:paraId="66C93E5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0"/>
                      <w:sz w:val="21"/>
                      <w:szCs w:val="21"/>
                      <w:highlight w:val="none"/>
                      <w:vertAlign w:val="baseline"/>
                      <w:lang w:val="en-US" w:eastAsia="zh-CN"/>
                    </w:rPr>
                  </w:pPr>
                  <w:r>
                    <w:rPr>
                      <w:rFonts w:hint="default" w:ascii="Times New Roman" w:hAnsi="Times New Roman" w:eastAsia="宋体" w:cs="Times New Roman"/>
                      <w:b/>
                      <w:bCs/>
                      <w:kern w:val="0"/>
                      <w:sz w:val="21"/>
                      <w:szCs w:val="21"/>
                      <w:highlight w:val="none"/>
                      <w:vertAlign w:val="baseline"/>
                      <w:lang w:val="en-US" w:eastAsia="zh-CN"/>
                    </w:rPr>
                    <w:t>氨氮</w:t>
                  </w:r>
                </w:p>
              </w:tc>
              <w:tc>
                <w:tcPr>
                  <w:tcW w:w="905" w:type="pct"/>
                  <w:tcBorders>
                    <w:left w:val="single" w:color="auto" w:sz="4" w:space="0"/>
                    <w:bottom w:val="single" w:color="auto" w:sz="4" w:space="0"/>
                    <w:right w:val="single" w:color="auto" w:sz="4" w:space="0"/>
                  </w:tcBorders>
                  <w:vAlign w:val="center"/>
                </w:tcPr>
                <w:p w14:paraId="174757D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0"/>
                      <w:sz w:val="21"/>
                      <w:szCs w:val="21"/>
                      <w:highlight w:val="none"/>
                      <w:vertAlign w:val="baseline"/>
                      <w:lang w:val="en-US" w:eastAsia="zh-CN"/>
                    </w:rPr>
                  </w:pPr>
                  <w:r>
                    <w:rPr>
                      <w:rFonts w:hint="default" w:ascii="Times New Roman" w:hAnsi="Times New Roman" w:eastAsia="宋体" w:cs="Times New Roman"/>
                      <w:b/>
                      <w:bCs/>
                      <w:kern w:val="0"/>
                      <w:sz w:val="21"/>
                      <w:szCs w:val="21"/>
                      <w:highlight w:val="none"/>
                      <w:vertAlign w:val="baseline"/>
                      <w:lang w:val="en-US" w:eastAsia="zh-CN"/>
                    </w:rPr>
                    <w:t>COD</w:t>
                  </w:r>
                </w:p>
              </w:tc>
              <w:tc>
                <w:tcPr>
                  <w:tcW w:w="927" w:type="pct"/>
                  <w:tcBorders>
                    <w:left w:val="single" w:color="auto" w:sz="4" w:space="0"/>
                    <w:bottom w:val="single" w:color="auto" w:sz="4" w:space="0"/>
                    <w:right w:val="nil"/>
                  </w:tcBorders>
                  <w:vAlign w:val="center"/>
                </w:tcPr>
                <w:p w14:paraId="22B2C65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kern w:val="0"/>
                      <w:sz w:val="21"/>
                      <w:szCs w:val="21"/>
                      <w:highlight w:val="none"/>
                      <w:vertAlign w:val="baseline"/>
                      <w:lang w:val="en-US" w:eastAsia="zh-CN"/>
                    </w:rPr>
                  </w:pPr>
                  <w:r>
                    <w:rPr>
                      <w:rFonts w:hint="default" w:ascii="Times New Roman" w:hAnsi="Times New Roman" w:eastAsia="宋体" w:cs="Times New Roman"/>
                      <w:b/>
                      <w:bCs/>
                      <w:kern w:val="0"/>
                      <w:sz w:val="21"/>
                      <w:szCs w:val="21"/>
                      <w:highlight w:val="none"/>
                      <w:vertAlign w:val="baseline"/>
                      <w:lang w:val="en-US" w:eastAsia="zh-CN"/>
                    </w:rPr>
                    <w:t>TP</w:t>
                  </w:r>
                </w:p>
              </w:tc>
            </w:tr>
            <w:tr w14:paraId="146733C0">
              <w:tblPrEx>
                <w:tblBorders>
                  <w:top w:val="single" w:color="auto" w:sz="12" w:space="0"/>
                  <w:left w:val="none" w:color="auto" w:sz="0"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315" w:type="pct"/>
                  <w:tcBorders>
                    <w:top w:val="single" w:color="auto" w:sz="4" w:space="0"/>
                    <w:bottom w:val="single" w:color="auto" w:sz="12" w:space="0"/>
                    <w:right w:val="single" w:color="auto" w:sz="4" w:space="0"/>
                  </w:tcBorders>
                  <w:vAlign w:val="center"/>
                </w:tcPr>
                <w:p w14:paraId="5A375C5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0"/>
                      <w:sz w:val="21"/>
                      <w:szCs w:val="21"/>
                      <w:highlight w:val="none"/>
                      <w:vertAlign w:val="baseline"/>
                      <w:lang w:val="en-US" w:eastAsia="zh-CN"/>
                    </w:rPr>
                  </w:pPr>
                  <w:r>
                    <w:rPr>
                      <w:rFonts w:hint="default" w:ascii="Times New Roman" w:hAnsi="Times New Roman" w:eastAsia="宋体" w:cs="Times New Roman"/>
                      <w:kern w:val="0"/>
                      <w:sz w:val="21"/>
                      <w:szCs w:val="21"/>
                      <w:highlight w:val="none"/>
                      <w:vertAlign w:val="baseline"/>
                      <w:lang w:val="en-US" w:eastAsia="zh-CN"/>
                    </w:rPr>
                    <w:t>III类标准值（mg/L）</w:t>
                  </w:r>
                </w:p>
              </w:tc>
              <w:tc>
                <w:tcPr>
                  <w:tcW w:w="876" w:type="pct"/>
                  <w:tcBorders>
                    <w:top w:val="single" w:color="auto" w:sz="4" w:space="0"/>
                    <w:left w:val="single" w:color="auto" w:sz="4" w:space="0"/>
                    <w:bottom w:val="single" w:color="auto" w:sz="12" w:space="0"/>
                    <w:right w:val="single" w:color="auto" w:sz="4" w:space="0"/>
                  </w:tcBorders>
                  <w:vAlign w:val="center"/>
                </w:tcPr>
                <w:p w14:paraId="45767513">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0"/>
                      <w:sz w:val="21"/>
                      <w:szCs w:val="21"/>
                      <w:highlight w:val="none"/>
                      <w:vertAlign w:val="baseline"/>
                      <w:lang w:val="en-US" w:eastAsia="zh-CN"/>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6~9</w:t>
                  </w:r>
                </w:p>
              </w:tc>
              <w:tc>
                <w:tcPr>
                  <w:tcW w:w="975" w:type="pct"/>
                  <w:tcBorders>
                    <w:top w:val="single" w:color="auto" w:sz="4" w:space="0"/>
                    <w:left w:val="single" w:color="auto" w:sz="4" w:space="0"/>
                    <w:bottom w:val="single" w:color="auto" w:sz="12" w:space="0"/>
                    <w:right w:val="single" w:color="auto" w:sz="4" w:space="0"/>
                  </w:tcBorders>
                  <w:vAlign w:val="center"/>
                </w:tcPr>
                <w:p w14:paraId="767BD95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0"/>
                      <w:sz w:val="21"/>
                      <w:szCs w:val="21"/>
                      <w:highlight w:val="none"/>
                      <w:vertAlign w:val="baseline"/>
                      <w:lang w:val="en-US" w:eastAsia="zh-CN"/>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≤1.0</w:t>
                  </w:r>
                </w:p>
              </w:tc>
              <w:tc>
                <w:tcPr>
                  <w:tcW w:w="905" w:type="pct"/>
                  <w:tcBorders>
                    <w:top w:val="single" w:color="auto" w:sz="4" w:space="0"/>
                    <w:left w:val="single" w:color="auto" w:sz="4" w:space="0"/>
                    <w:bottom w:val="single" w:color="auto" w:sz="12" w:space="0"/>
                    <w:right w:val="single" w:color="auto" w:sz="4" w:space="0"/>
                  </w:tcBorders>
                  <w:vAlign w:val="center"/>
                </w:tcPr>
                <w:p w14:paraId="7A202D62">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0"/>
                      <w:sz w:val="21"/>
                      <w:szCs w:val="21"/>
                      <w:highlight w:val="none"/>
                      <w:vertAlign w:val="baseline"/>
                      <w:lang w:val="en-US" w:eastAsia="zh-CN"/>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≤20</w:t>
                  </w:r>
                </w:p>
              </w:tc>
              <w:tc>
                <w:tcPr>
                  <w:tcW w:w="927" w:type="pct"/>
                  <w:tcBorders>
                    <w:top w:val="single" w:color="auto" w:sz="4" w:space="0"/>
                    <w:left w:val="single" w:color="auto" w:sz="4" w:space="0"/>
                    <w:bottom w:val="single" w:color="auto" w:sz="12" w:space="0"/>
                    <w:right w:val="nil"/>
                  </w:tcBorders>
                  <w:vAlign w:val="center"/>
                </w:tcPr>
                <w:p w14:paraId="612E262E">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kern w:val="0"/>
                      <w:sz w:val="21"/>
                      <w:szCs w:val="21"/>
                      <w:highlight w:val="none"/>
                      <w:vertAlign w:val="baseline"/>
                      <w:lang w:val="en-US" w:eastAsia="zh-CN"/>
                    </w:rPr>
                  </w:pPr>
                  <w:r>
                    <w:rPr>
                      <w:rFonts w:hint="default" w:ascii="Times New Roman" w:hAnsi="Times New Roman" w:eastAsia="宋体" w:cs="Times New Roman"/>
                      <w:color w:val="000000" w:themeColor="text1"/>
                      <w:kern w:val="0"/>
                      <w:sz w:val="21"/>
                      <w:szCs w:val="21"/>
                      <w:highlight w:val="none"/>
                      <w:vertAlign w:val="baseline"/>
                      <w:lang w:val="en-US" w:eastAsia="zh-CN"/>
                      <w14:textFill>
                        <w14:solidFill>
                          <w14:schemeClr w14:val="tx1"/>
                        </w14:solidFill>
                      </w14:textFill>
                    </w:rPr>
                    <w:t>≤0.2</w:t>
                  </w:r>
                </w:p>
              </w:tc>
            </w:tr>
          </w:tbl>
          <w:p w14:paraId="1843DE96">
            <w:pPr>
              <w:numPr>
                <w:ilvl w:val="0"/>
                <w:numId w:val="0"/>
              </w:numPr>
              <w:adjustRightInd w:val="0"/>
              <w:snapToGrid w:val="0"/>
              <w:spacing w:line="360" w:lineRule="auto"/>
              <w:ind w:firstLine="482" w:firstLineChars="200"/>
              <w:rPr>
                <w:rFonts w:hint="default" w:ascii="Times New Roman" w:hAnsi="Times New Roman" w:cs="Times New Roman"/>
                <w:b/>
                <w:bCs/>
                <w:kern w:val="0"/>
                <w:sz w:val="24"/>
                <w:szCs w:val="24"/>
                <w:highlight w:val="none"/>
                <w:lang w:val="en-US" w:eastAsia="zh-CN" w:bidi="ar-SA"/>
              </w:rPr>
            </w:pPr>
            <w:r>
              <w:rPr>
                <w:rFonts w:hint="default" w:ascii="Times New Roman" w:hAnsi="Times New Roman" w:cs="Times New Roman"/>
                <w:b/>
                <w:bCs/>
                <w:kern w:val="0"/>
                <w:sz w:val="24"/>
                <w:szCs w:val="24"/>
                <w:highlight w:val="none"/>
                <w:lang w:val="en-US" w:eastAsia="zh-CN" w:bidi="ar-SA"/>
              </w:rPr>
              <w:t>1.3声环境</w:t>
            </w:r>
          </w:p>
          <w:p w14:paraId="247865DF">
            <w:pPr>
              <w:pStyle w:val="5"/>
              <w:spacing w:line="360" w:lineRule="auto"/>
              <w:ind w:firstLine="480" w:firstLineChars="200"/>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本项目所在地属于</w:t>
            </w:r>
            <w:r>
              <w:rPr>
                <w:rFonts w:hint="eastAsia" w:cs="Times New Roman"/>
                <w:color w:val="auto"/>
                <w:sz w:val="24"/>
                <w:szCs w:val="24"/>
                <w:highlight w:val="none"/>
                <w:u w:val="none" w:color="auto"/>
                <w:lang w:eastAsia="zh-CN"/>
              </w:rPr>
              <w:t>安阳市殷都区</w:t>
            </w:r>
            <w:r>
              <w:rPr>
                <w:rFonts w:hint="default" w:ascii="Times New Roman" w:hAnsi="Times New Roman" w:eastAsia="宋体" w:cs="Times New Roman"/>
                <w:color w:val="auto"/>
                <w:sz w:val="24"/>
                <w:szCs w:val="24"/>
                <w:highlight w:val="none"/>
                <w:u w:val="none" w:color="auto"/>
              </w:rPr>
              <w:t>，在《</w:t>
            </w:r>
            <w:r>
              <w:rPr>
                <w:rFonts w:hint="eastAsia" w:cs="Times New Roman"/>
                <w:color w:val="auto"/>
                <w:sz w:val="24"/>
                <w:szCs w:val="24"/>
                <w:highlight w:val="none"/>
                <w:u w:val="none" w:color="auto"/>
                <w:lang w:eastAsia="zh-CN"/>
              </w:rPr>
              <w:t>安阳市人民政府办公室关于印发安阳市环境空气质量功能区划（</w:t>
            </w:r>
            <w:r>
              <w:rPr>
                <w:rFonts w:hint="eastAsia" w:cs="Times New Roman"/>
                <w:color w:val="auto"/>
                <w:sz w:val="24"/>
                <w:szCs w:val="24"/>
                <w:highlight w:val="none"/>
                <w:u w:val="none" w:color="auto"/>
                <w:lang w:val="en-US" w:eastAsia="zh-CN"/>
              </w:rPr>
              <w:t>2021—2025年</w:t>
            </w:r>
            <w:r>
              <w:rPr>
                <w:rFonts w:hint="eastAsia" w:cs="Times New Roman"/>
                <w:color w:val="auto"/>
                <w:sz w:val="24"/>
                <w:szCs w:val="24"/>
                <w:highlight w:val="none"/>
                <w:u w:val="none" w:color="auto"/>
                <w:lang w:eastAsia="zh-CN"/>
              </w:rPr>
              <w:t>）和安阳市城市声环境功能区划（</w:t>
            </w:r>
            <w:r>
              <w:rPr>
                <w:rFonts w:hint="eastAsia" w:cs="Times New Roman"/>
                <w:color w:val="auto"/>
                <w:sz w:val="24"/>
                <w:szCs w:val="24"/>
                <w:highlight w:val="none"/>
                <w:u w:val="none" w:color="auto"/>
                <w:lang w:val="en-US" w:eastAsia="zh-CN"/>
              </w:rPr>
              <w:t>2021—2025年</w:t>
            </w:r>
            <w:r>
              <w:rPr>
                <w:rFonts w:hint="eastAsia" w:cs="Times New Roman"/>
                <w:color w:val="auto"/>
                <w:sz w:val="24"/>
                <w:szCs w:val="24"/>
                <w:highlight w:val="none"/>
                <w:u w:val="none" w:color="auto"/>
                <w:lang w:eastAsia="zh-CN"/>
              </w:rPr>
              <w:t>）的通知</w:t>
            </w:r>
            <w:r>
              <w:rPr>
                <w:rFonts w:hint="default" w:ascii="Times New Roman" w:hAnsi="Times New Roman" w:eastAsia="宋体" w:cs="Times New Roman"/>
                <w:color w:val="auto"/>
                <w:sz w:val="24"/>
                <w:szCs w:val="24"/>
                <w:highlight w:val="none"/>
                <w:u w:val="none" w:color="auto"/>
              </w:rPr>
              <w:t>》中未对该区域进行声环境区划，因此，</w:t>
            </w:r>
            <w:r>
              <w:rPr>
                <w:rFonts w:hint="eastAsia"/>
                <w:sz w:val="24"/>
                <w:szCs w:val="24"/>
                <w:highlight w:val="none"/>
                <w:lang w:val="en-US" w:eastAsia="zh-CN"/>
              </w:rPr>
              <w:t>依据</w:t>
            </w:r>
            <w:r>
              <w:rPr>
                <w:rFonts w:hint="default" w:ascii="Times New Roman" w:hAnsi="Times New Roman" w:eastAsia="宋体" w:cs="Times New Roman"/>
                <w:color w:val="auto"/>
                <w:sz w:val="24"/>
                <w:szCs w:val="24"/>
                <w:highlight w:val="none"/>
                <w:u w:val="none" w:color="auto"/>
              </w:rPr>
              <w:t>《声环境质量标准》（GB3096-2008）</w:t>
            </w:r>
            <w:r>
              <w:rPr>
                <w:rFonts w:hint="eastAsia" w:cs="Times New Roman"/>
                <w:color w:val="auto"/>
                <w:sz w:val="24"/>
                <w:szCs w:val="24"/>
                <w:highlight w:val="none"/>
                <w:u w:val="none" w:color="auto"/>
                <w:lang w:val="en-US" w:eastAsia="zh-CN"/>
              </w:rPr>
              <w:t>的有关规定，</w:t>
            </w:r>
            <w:r>
              <w:rPr>
                <w:rFonts w:hint="default" w:ascii="Times New Roman" w:hAnsi="Times New Roman" w:eastAsia="宋体" w:cs="Times New Roman"/>
                <w:color w:val="auto"/>
                <w:sz w:val="24"/>
                <w:szCs w:val="24"/>
                <w:highlight w:val="none"/>
                <w:u w:val="none" w:color="auto"/>
              </w:rPr>
              <w:t>本次项目</w:t>
            </w:r>
            <w:r>
              <w:rPr>
                <w:rFonts w:hint="eastAsia" w:cs="Times New Roman"/>
                <w:color w:val="auto"/>
                <w:sz w:val="24"/>
                <w:szCs w:val="24"/>
                <w:highlight w:val="none"/>
                <w:u w:val="none" w:color="auto"/>
                <w:lang w:eastAsia="zh-CN"/>
              </w:rPr>
              <w:t>周边敏感点</w:t>
            </w:r>
            <w:r>
              <w:rPr>
                <w:rFonts w:hint="default" w:ascii="Times New Roman" w:hAnsi="Times New Roman" w:eastAsia="宋体" w:cs="Times New Roman"/>
                <w:color w:val="auto"/>
                <w:sz w:val="24"/>
                <w:szCs w:val="24"/>
                <w:highlight w:val="none"/>
                <w:u w:val="none" w:color="auto"/>
              </w:rPr>
              <w:t>声环境质量执行《声环境质量标准》（GB3096-2008）中1类标准。</w:t>
            </w:r>
          </w:p>
          <w:p w14:paraId="57F0B74D">
            <w:pPr>
              <w:numPr>
                <w:ilvl w:val="0"/>
                <w:numId w:val="0"/>
              </w:numPr>
              <w:adjustRightInd w:val="0"/>
              <w:snapToGrid w:val="0"/>
              <w:spacing w:line="240" w:lineRule="auto"/>
              <w:jc w:val="center"/>
              <w:rPr>
                <w:rFonts w:hint="eastAsia" w:cs="Times New Roman"/>
                <w:b/>
                <w:bCs/>
                <w:color w:val="000000" w:themeColor="text1"/>
                <w:kern w:val="0"/>
                <w:sz w:val="21"/>
                <w:szCs w:val="21"/>
                <w:highlight w:val="none"/>
                <w:u w:color="auto"/>
                <w:vertAlign w:val="baseline"/>
                <w:lang w:val="en-US" w:eastAsia="zh-CN" w:bidi="ar-SA"/>
                <w14:textFill>
                  <w14:solidFill>
                    <w14:schemeClr w14:val="tx1"/>
                  </w14:solidFill>
                </w14:textFill>
              </w:rPr>
            </w:pPr>
            <w:r>
              <w:rPr>
                <w:rFonts w:hint="eastAsia" w:cs="Times New Roman"/>
                <w:b/>
                <w:bCs/>
                <w:color w:val="000000" w:themeColor="text1"/>
                <w:kern w:val="0"/>
                <w:sz w:val="21"/>
                <w:szCs w:val="21"/>
                <w:highlight w:val="none"/>
                <w:u w:color="auto"/>
                <w:vertAlign w:val="baseline"/>
                <w:lang w:val="en-US" w:eastAsia="zh-CN" w:bidi="ar-SA"/>
                <w14:textFill>
                  <w14:solidFill>
                    <w14:schemeClr w14:val="tx1"/>
                  </w14:solidFill>
                </w14:textFill>
              </w:rPr>
              <w:t>《声环境质量标准》（GB3096-2008）等效声级LA</w:t>
            </w:r>
            <w:r>
              <w:rPr>
                <w:rFonts w:hint="eastAsia" w:cs="Times New Roman"/>
                <w:b/>
                <w:bCs/>
                <w:color w:val="000000" w:themeColor="text1"/>
                <w:kern w:val="0"/>
                <w:sz w:val="21"/>
                <w:szCs w:val="21"/>
                <w:highlight w:val="none"/>
                <w:u w:color="auto"/>
                <w:vertAlign w:val="subscript"/>
                <w:lang w:val="en-US" w:eastAsia="zh-CN" w:bidi="ar-SA"/>
                <w14:textFill>
                  <w14:solidFill>
                    <w14:schemeClr w14:val="tx1"/>
                  </w14:solidFill>
                </w14:textFill>
              </w:rPr>
              <w:t>eq</w:t>
            </w:r>
            <w:r>
              <w:rPr>
                <w:rFonts w:hint="eastAsia" w:cs="Times New Roman"/>
                <w:b/>
                <w:bCs/>
                <w:color w:val="000000" w:themeColor="text1"/>
                <w:kern w:val="0"/>
                <w:sz w:val="21"/>
                <w:szCs w:val="21"/>
                <w:highlight w:val="none"/>
                <w:u w:color="auto"/>
                <w:vertAlign w:val="baseline"/>
                <w:lang w:val="en-US" w:eastAsia="zh-CN" w:bidi="ar-SA"/>
                <w14:textFill>
                  <w14:solidFill>
                    <w14:schemeClr w14:val="tx1"/>
                  </w14:solidFill>
                </w14:textFill>
              </w:rPr>
              <w:t>：dB（A）</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55"/>
              <w:gridCol w:w="2856"/>
              <w:gridCol w:w="2856"/>
            </w:tblGrid>
            <w:tr w14:paraId="447106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op w:val="single" w:color="auto" w:sz="18" w:space="0"/>
                  </w:tcBorders>
                  <w:vAlign w:val="center"/>
                </w:tcPr>
                <w:p w14:paraId="618C318C">
                  <w:pPr>
                    <w:numPr>
                      <w:ilvl w:val="0"/>
                      <w:numId w:val="0"/>
                    </w:numPr>
                    <w:adjustRightInd w:val="0"/>
                    <w:snapToGrid w:val="0"/>
                    <w:spacing w:line="240" w:lineRule="auto"/>
                    <w:jc w:val="center"/>
                    <w:rPr>
                      <w:rFonts w:hint="default" w:cs="Times New Roman"/>
                      <w:b/>
                      <w:bCs/>
                      <w:color w:val="000000" w:themeColor="text1"/>
                      <w:kern w:val="0"/>
                      <w:sz w:val="21"/>
                      <w:szCs w:val="21"/>
                      <w:highlight w:val="none"/>
                      <w:u w:color="auto"/>
                      <w:vertAlign w:val="baseline"/>
                      <w:lang w:val="en-US" w:eastAsia="zh-CN" w:bidi="ar-SA"/>
                      <w14:textFill>
                        <w14:solidFill>
                          <w14:schemeClr w14:val="tx1"/>
                        </w14:solidFill>
                      </w14:textFill>
                    </w:rPr>
                  </w:pPr>
                  <w:r>
                    <w:rPr>
                      <w:rFonts w:hint="eastAsia" w:cs="Times New Roman"/>
                      <w:b/>
                      <w:bCs/>
                      <w:color w:val="000000" w:themeColor="text1"/>
                      <w:kern w:val="0"/>
                      <w:sz w:val="21"/>
                      <w:szCs w:val="21"/>
                      <w:highlight w:val="none"/>
                      <w:u w:color="auto"/>
                      <w:vertAlign w:val="baseline"/>
                      <w:lang w:val="en-US" w:eastAsia="zh-CN" w:bidi="ar-SA"/>
                      <w14:textFill>
                        <w14:solidFill>
                          <w14:schemeClr w14:val="tx1"/>
                        </w14:solidFill>
                      </w14:textFill>
                    </w:rPr>
                    <w:t>声环境功能区类别</w:t>
                  </w:r>
                </w:p>
              </w:tc>
              <w:tc>
                <w:tcPr>
                  <w:tcW w:w="1666" w:type="pct"/>
                  <w:tcBorders>
                    <w:top w:val="single" w:color="auto" w:sz="18" w:space="0"/>
                  </w:tcBorders>
                  <w:vAlign w:val="center"/>
                </w:tcPr>
                <w:p w14:paraId="6256A5FB">
                  <w:pPr>
                    <w:numPr>
                      <w:ilvl w:val="0"/>
                      <w:numId w:val="0"/>
                    </w:numPr>
                    <w:adjustRightInd w:val="0"/>
                    <w:snapToGrid w:val="0"/>
                    <w:spacing w:line="240" w:lineRule="auto"/>
                    <w:jc w:val="center"/>
                    <w:rPr>
                      <w:rFonts w:hint="default" w:cs="Times New Roman"/>
                      <w:b/>
                      <w:bCs/>
                      <w:color w:val="000000" w:themeColor="text1"/>
                      <w:kern w:val="0"/>
                      <w:sz w:val="21"/>
                      <w:szCs w:val="21"/>
                      <w:highlight w:val="none"/>
                      <w:u w:color="auto"/>
                      <w:vertAlign w:val="baseline"/>
                      <w:lang w:val="en-US" w:eastAsia="zh-CN" w:bidi="ar-SA"/>
                      <w14:textFill>
                        <w14:solidFill>
                          <w14:schemeClr w14:val="tx1"/>
                        </w14:solidFill>
                      </w14:textFill>
                    </w:rPr>
                  </w:pPr>
                  <w:r>
                    <w:rPr>
                      <w:rFonts w:hint="eastAsia" w:cs="Times New Roman"/>
                      <w:b/>
                      <w:bCs/>
                      <w:color w:val="000000" w:themeColor="text1"/>
                      <w:kern w:val="0"/>
                      <w:sz w:val="21"/>
                      <w:szCs w:val="21"/>
                      <w:highlight w:val="none"/>
                      <w:u w:color="auto"/>
                      <w:vertAlign w:val="baseline"/>
                      <w:lang w:val="en-US" w:eastAsia="zh-CN" w:bidi="ar-SA"/>
                      <w14:textFill>
                        <w14:solidFill>
                          <w14:schemeClr w14:val="tx1"/>
                        </w14:solidFill>
                      </w14:textFill>
                    </w:rPr>
                    <w:t>昼间</w:t>
                  </w:r>
                </w:p>
              </w:tc>
              <w:tc>
                <w:tcPr>
                  <w:tcW w:w="1666" w:type="pct"/>
                  <w:tcBorders>
                    <w:top w:val="single" w:color="auto" w:sz="18" w:space="0"/>
                  </w:tcBorders>
                  <w:vAlign w:val="center"/>
                </w:tcPr>
                <w:p w14:paraId="143520C6">
                  <w:pPr>
                    <w:numPr>
                      <w:ilvl w:val="0"/>
                      <w:numId w:val="0"/>
                    </w:numPr>
                    <w:adjustRightInd w:val="0"/>
                    <w:snapToGrid w:val="0"/>
                    <w:spacing w:line="240" w:lineRule="auto"/>
                    <w:jc w:val="center"/>
                    <w:rPr>
                      <w:rFonts w:hint="default" w:cs="Times New Roman"/>
                      <w:b/>
                      <w:bCs/>
                      <w:color w:val="000000" w:themeColor="text1"/>
                      <w:kern w:val="0"/>
                      <w:sz w:val="21"/>
                      <w:szCs w:val="21"/>
                      <w:highlight w:val="none"/>
                      <w:u w:color="auto"/>
                      <w:vertAlign w:val="baseline"/>
                      <w:lang w:val="en-US" w:eastAsia="zh-CN" w:bidi="ar-SA"/>
                      <w14:textFill>
                        <w14:solidFill>
                          <w14:schemeClr w14:val="tx1"/>
                        </w14:solidFill>
                      </w14:textFill>
                    </w:rPr>
                  </w:pPr>
                  <w:r>
                    <w:rPr>
                      <w:rFonts w:hint="eastAsia" w:cs="Times New Roman"/>
                      <w:b/>
                      <w:bCs/>
                      <w:color w:val="000000" w:themeColor="text1"/>
                      <w:kern w:val="0"/>
                      <w:sz w:val="21"/>
                      <w:szCs w:val="21"/>
                      <w:highlight w:val="none"/>
                      <w:u w:color="auto"/>
                      <w:vertAlign w:val="baseline"/>
                      <w:lang w:val="en-US" w:eastAsia="zh-CN" w:bidi="ar-SA"/>
                      <w14:textFill>
                        <w14:solidFill>
                          <w14:schemeClr w14:val="tx1"/>
                        </w14:solidFill>
                      </w14:textFill>
                    </w:rPr>
                    <w:t>夜间</w:t>
                  </w:r>
                </w:p>
              </w:tc>
            </w:tr>
            <w:tr w14:paraId="08C2FC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6DA82DCF">
                  <w:pPr>
                    <w:numPr>
                      <w:ilvl w:val="0"/>
                      <w:numId w:val="0"/>
                    </w:numPr>
                    <w:adjustRightInd w:val="0"/>
                    <w:snapToGrid w:val="0"/>
                    <w:spacing w:line="240" w:lineRule="auto"/>
                    <w:jc w:val="center"/>
                    <w:rPr>
                      <w:rFonts w:hint="default" w:cs="Times New Roman"/>
                      <w:color w:val="000000" w:themeColor="text1"/>
                      <w:kern w:val="0"/>
                      <w:sz w:val="21"/>
                      <w:szCs w:val="21"/>
                      <w:highlight w:val="none"/>
                      <w:u w:color="auto"/>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u w:color="auto"/>
                      <w:vertAlign w:val="baseline"/>
                      <w:lang w:val="en-US" w:eastAsia="zh-CN" w:bidi="ar-SA"/>
                      <w14:textFill>
                        <w14:solidFill>
                          <w14:schemeClr w14:val="tx1"/>
                        </w14:solidFill>
                      </w14:textFill>
                    </w:rPr>
                    <w:t>1类</w:t>
                  </w:r>
                </w:p>
              </w:tc>
              <w:tc>
                <w:tcPr>
                  <w:tcW w:w="1666" w:type="pct"/>
                  <w:vAlign w:val="center"/>
                </w:tcPr>
                <w:p w14:paraId="43104B93">
                  <w:pPr>
                    <w:numPr>
                      <w:ilvl w:val="0"/>
                      <w:numId w:val="0"/>
                    </w:numPr>
                    <w:adjustRightInd w:val="0"/>
                    <w:snapToGrid w:val="0"/>
                    <w:spacing w:line="240" w:lineRule="auto"/>
                    <w:jc w:val="center"/>
                    <w:rPr>
                      <w:rFonts w:hint="default" w:cs="Times New Roman"/>
                      <w:color w:val="000000" w:themeColor="text1"/>
                      <w:kern w:val="0"/>
                      <w:sz w:val="21"/>
                      <w:szCs w:val="21"/>
                      <w:highlight w:val="none"/>
                      <w:u w:color="auto"/>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u w:color="auto"/>
                      <w:vertAlign w:val="baseline"/>
                      <w:lang w:val="en-US" w:eastAsia="zh-CN" w:bidi="ar-SA"/>
                      <w14:textFill>
                        <w14:solidFill>
                          <w14:schemeClr w14:val="tx1"/>
                        </w14:solidFill>
                      </w14:textFill>
                    </w:rPr>
                    <w:t>55</w:t>
                  </w:r>
                </w:p>
              </w:tc>
              <w:tc>
                <w:tcPr>
                  <w:tcW w:w="1666" w:type="pct"/>
                  <w:vAlign w:val="center"/>
                </w:tcPr>
                <w:p w14:paraId="1FD9619E">
                  <w:pPr>
                    <w:numPr>
                      <w:ilvl w:val="0"/>
                      <w:numId w:val="0"/>
                    </w:numPr>
                    <w:adjustRightInd w:val="0"/>
                    <w:snapToGrid w:val="0"/>
                    <w:spacing w:line="240" w:lineRule="auto"/>
                    <w:jc w:val="center"/>
                    <w:rPr>
                      <w:rFonts w:hint="default" w:cs="Times New Roman"/>
                      <w:color w:val="000000" w:themeColor="text1"/>
                      <w:kern w:val="0"/>
                      <w:sz w:val="21"/>
                      <w:szCs w:val="21"/>
                      <w:highlight w:val="none"/>
                      <w:u w:color="auto"/>
                      <w:vertAlign w:val="baseline"/>
                      <w:lang w:val="en-US" w:eastAsia="zh-CN" w:bidi="ar-SA"/>
                      <w14:textFill>
                        <w14:solidFill>
                          <w14:schemeClr w14:val="tx1"/>
                        </w14:solidFill>
                      </w14:textFill>
                    </w:rPr>
                  </w:pPr>
                  <w:r>
                    <w:rPr>
                      <w:rFonts w:hint="eastAsia" w:cs="Times New Roman"/>
                      <w:color w:val="000000" w:themeColor="text1"/>
                      <w:kern w:val="0"/>
                      <w:sz w:val="21"/>
                      <w:szCs w:val="21"/>
                      <w:highlight w:val="none"/>
                      <w:u w:color="auto"/>
                      <w:vertAlign w:val="baseline"/>
                      <w:lang w:val="en-US" w:eastAsia="zh-CN" w:bidi="ar-SA"/>
                      <w14:textFill>
                        <w14:solidFill>
                          <w14:schemeClr w14:val="tx1"/>
                        </w14:solidFill>
                      </w14:textFill>
                    </w:rPr>
                    <w:t>45</w:t>
                  </w:r>
                </w:p>
              </w:tc>
            </w:tr>
          </w:tbl>
          <w:p w14:paraId="61F1E212">
            <w:pPr>
              <w:numPr>
                <w:ilvl w:val="0"/>
                <w:numId w:val="0"/>
              </w:numPr>
              <w:adjustRightInd w:val="0"/>
              <w:snapToGrid w:val="0"/>
              <w:spacing w:line="360" w:lineRule="auto"/>
              <w:rPr>
                <w:rFonts w:hint="default" w:ascii="Times New Roman" w:hAnsi="Times New Roman" w:cs="Times New Roman"/>
                <w:b/>
                <w:bCs/>
                <w:kern w:val="0"/>
                <w:sz w:val="24"/>
                <w:szCs w:val="24"/>
                <w:highlight w:val="none"/>
                <w:lang w:val="en-US" w:eastAsia="zh-CN"/>
              </w:rPr>
            </w:pPr>
            <w:r>
              <w:rPr>
                <w:rFonts w:hint="default" w:ascii="Times New Roman" w:hAnsi="Times New Roman" w:eastAsia="宋体" w:cs="Times New Roman"/>
                <w:b/>
                <w:bCs/>
                <w:kern w:val="0"/>
                <w:sz w:val="24"/>
                <w:szCs w:val="24"/>
                <w:highlight w:val="none"/>
                <w:lang w:val="en-US" w:eastAsia="zh-CN" w:bidi="ar-SA"/>
              </w:rPr>
              <w:t>2.</w:t>
            </w:r>
            <w:r>
              <w:rPr>
                <w:rFonts w:hint="default" w:ascii="Times New Roman" w:hAnsi="Times New Roman" w:cs="Times New Roman"/>
                <w:b/>
                <w:bCs/>
                <w:kern w:val="0"/>
                <w:sz w:val="24"/>
                <w:szCs w:val="24"/>
                <w:highlight w:val="none"/>
                <w:lang w:val="en-US" w:eastAsia="zh-CN"/>
              </w:rPr>
              <w:t>污染物排放标准</w:t>
            </w:r>
          </w:p>
          <w:p w14:paraId="01CDF5C8">
            <w:pPr>
              <w:numPr>
                <w:ilvl w:val="0"/>
                <w:numId w:val="0"/>
              </w:numPr>
              <w:adjustRightInd w:val="0"/>
              <w:snapToGrid w:val="0"/>
              <w:spacing w:line="360" w:lineRule="auto"/>
              <w:ind w:firstLine="482" w:firstLineChars="200"/>
              <w:rPr>
                <w:rFonts w:hint="default" w:ascii="Times New Roman" w:hAnsi="Times New Roman" w:cs="Times New Roman"/>
                <w:b/>
                <w:bCs/>
                <w:kern w:val="0"/>
                <w:szCs w:val="21"/>
                <w:highlight w:val="none"/>
                <w:lang w:val="en-US" w:eastAsia="zh-CN"/>
              </w:rPr>
            </w:pPr>
            <w:r>
              <w:rPr>
                <w:rFonts w:hint="default" w:ascii="Times New Roman" w:hAnsi="Times New Roman" w:cs="Times New Roman"/>
                <w:b/>
                <w:bCs/>
                <w:kern w:val="0"/>
                <w:sz w:val="24"/>
                <w:szCs w:val="24"/>
                <w:highlight w:val="none"/>
                <w:lang w:val="en-US" w:eastAsia="zh-CN"/>
              </w:rPr>
              <w:t>2.1废气</w:t>
            </w:r>
          </w:p>
          <w:p w14:paraId="0BE50F86">
            <w:pPr>
              <w:numPr>
                <w:ilvl w:val="0"/>
                <w:numId w:val="0"/>
              </w:numPr>
              <w:adjustRightInd w:val="0"/>
              <w:snapToGrid w:val="0"/>
              <w:spacing w:line="360" w:lineRule="auto"/>
              <w:ind w:firstLine="480" w:firstLineChars="200"/>
              <w:rPr>
                <w:rFonts w:hint="default"/>
                <w:highlight w:val="none"/>
                <w:lang w:val="en-US" w:eastAsia="zh-CN"/>
              </w:rPr>
            </w:pPr>
            <w:r>
              <w:rPr>
                <w:rFonts w:hint="default" w:ascii="Times New Roman" w:hAnsi="Times New Roman" w:cs="Times New Roman"/>
                <w:kern w:val="0"/>
                <w:sz w:val="24"/>
                <w:szCs w:val="24"/>
                <w:highlight w:val="none"/>
                <w:lang w:val="en-US" w:eastAsia="zh-CN"/>
              </w:rPr>
              <w:t>本项目施工期无组织排放执行《大气污染物综合排放标准》（GB16297-1996）表2中</w:t>
            </w:r>
            <w:r>
              <w:rPr>
                <w:rFonts w:hint="eastAsia" w:cs="Times New Roman"/>
                <w:kern w:val="0"/>
                <w:sz w:val="24"/>
                <w:szCs w:val="24"/>
                <w:highlight w:val="none"/>
                <w:lang w:val="en-US" w:eastAsia="zh-CN"/>
              </w:rPr>
              <w:t>二级</w:t>
            </w:r>
            <w:r>
              <w:rPr>
                <w:rFonts w:hint="default" w:ascii="Times New Roman" w:hAnsi="Times New Roman" w:cs="Times New Roman"/>
                <w:kern w:val="0"/>
                <w:sz w:val="24"/>
                <w:szCs w:val="24"/>
                <w:highlight w:val="none"/>
                <w:lang w:val="en-US" w:eastAsia="zh-CN"/>
              </w:rPr>
              <w:t>标准。</w:t>
            </w:r>
          </w:p>
          <w:p w14:paraId="6734241D">
            <w:pPr>
              <w:numPr>
                <w:ilvl w:val="0"/>
                <w:numId w:val="0"/>
              </w:numPr>
              <w:adjustRightInd w:val="0"/>
              <w:snapToGrid w:val="0"/>
              <w:spacing w:line="240" w:lineRule="auto"/>
              <w:jc w:val="center"/>
              <w:rPr>
                <w:rFonts w:hint="default" w:ascii="Times New Roman" w:hAnsi="Times New Roman" w:cs="Times New Roman"/>
                <w:b/>
                <w:bCs/>
                <w:kern w:val="0"/>
                <w:szCs w:val="21"/>
                <w:highlight w:val="none"/>
                <w:lang w:val="en-US" w:eastAsia="zh-CN"/>
              </w:rPr>
            </w:pPr>
            <w:r>
              <w:rPr>
                <w:rFonts w:hint="default" w:ascii="Times New Roman" w:hAnsi="Times New Roman" w:cs="Times New Roman"/>
                <w:b/>
                <w:bCs/>
                <w:kern w:val="0"/>
                <w:szCs w:val="21"/>
                <w:highlight w:val="none"/>
                <w:lang w:val="en-US" w:eastAsia="zh-CN"/>
              </w:rPr>
              <w:t>《大气污染物综合排放标准》（GB16297-1996）</w:t>
            </w:r>
          </w:p>
          <w:tbl>
            <w:tblPr>
              <w:tblStyle w:val="19"/>
              <w:tblW w:w="4999" w:type="pct"/>
              <w:tblInd w:w="0" w:type="dxa"/>
              <w:tblBorders>
                <w:top w:val="single" w:color="auto" w:sz="12" w:space="0"/>
                <w:left w:val="none" w:color="auto" w:sz="0"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947"/>
              <w:gridCol w:w="971"/>
              <w:gridCol w:w="2575"/>
              <w:gridCol w:w="4070"/>
            </w:tblGrid>
            <w:tr w14:paraId="541623A6">
              <w:tblPrEx>
                <w:tblBorders>
                  <w:top w:val="single" w:color="auto" w:sz="12" w:space="0"/>
                  <w:left w:val="none" w:color="auto" w:sz="0"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553" w:type="pct"/>
                  <w:tcBorders>
                    <w:top w:val="single" w:color="auto" w:sz="12" w:space="0"/>
                    <w:bottom w:val="single" w:color="auto" w:sz="4" w:space="0"/>
                    <w:right w:val="single" w:color="auto" w:sz="4" w:space="0"/>
                  </w:tcBorders>
                  <w:vAlign w:val="center"/>
                </w:tcPr>
                <w:p w14:paraId="7BE335F9">
                  <w:pPr>
                    <w:numPr>
                      <w:ilvl w:val="0"/>
                      <w:numId w:val="0"/>
                    </w:numPr>
                    <w:adjustRightInd w:val="0"/>
                    <w:snapToGrid w:val="0"/>
                    <w:jc w:val="center"/>
                    <w:rPr>
                      <w:rFonts w:hint="default" w:ascii="Times New Roman" w:hAnsi="Times New Roman" w:cs="Times New Roman"/>
                      <w:b/>
                      <w:bCs/>
                      <w:kern w:val="0"/>
                      <w:szCs w:val="21"/>
                      <w:highlight w:val="none"/>
                      <w:vertAlign w:val="baseline"/>
                      <w:lang w:val="en-US" w:eastAsia="zh-CN"/>
                    </w:rPr>
                  </w:pPr>
                  <w:r>
                    <w:rPr>
                      <w:rFonts w:hint="default" w:ascii="Times New Roman" w:hAnsi="Times New Roman" w:cs="Times New Roman"/>
                      <w:b/>
                      <w:bCs/>
                      <w:kern w:val="0"/>
                      <w:szCs w:val="21"/>
                      <w:highlight w:val="none"/>
                      <w:vertAlign w:val="baseline"/>
                      <w:lang w:val="en-US" w:eastAsia="zh-CN"/>
                    </w:rPr>
                    <w:t>类别</w:t>
                  </w:r>
                </w:p>
              </w:tc>
              <w:tc>
                <w:tcPr>
                  <w:tcW w:w="567" w:type="pct"/>
                  <w:tcBorders>
                    <w:top w:val="single" w:color="auto" w:sz="12" w:space="0"/>
                    <w:left w:val="single" w:color="auto" w:sz="4" w:space="0"/>
                    <w:bottom w:val="single" w:color="auto" w:sz="4" w:space="0"/>
                    <w:right w:val="single" w:color="auto" w:sz="4" w:space="0"/>
                  </w:tcBorders>
                  <w:vAlign w:val="center"/>
                </w:tcPr>
                <w:p w14:paraId="606F263B">
                  <w:pPr>
                    <w:numPr>
                      <w:ilvl w:val="0"/>
                      <w:numId w:val="0"/>
                    </w:numPr>
                    <w:adjustRightInd w:val="0"/>
                    <w:snapToGrid w:val="0"/>
                    <w:jc w:val="center"/>
                    <w:rPr>
                      <w:rFonts w:hint="default" w:ascii="Times New Roman" w:hAnsi="Times New Roman" w:cs="Times New Roman"/>
                      <w:b/>
                      <w:bCs/>
                      <w:kern w:val="0"/>
                      <w:szCs w:val="21"/>
                      <w:highlight w:val="none"/>
                      <w:vertAlign w:val="baseline"/>
                      <w:lang w:val="en-US" w:eastAsia="zh-CN"/>
                    </w:rPr>
                  </w:pPr>
                  <w:r>
                    <w:rPr>
                      <w:rFonts w:hint="default" w:ascii="Times New Roman" w:hAnsi="Times New Roman" w:cs="Times New Roman"/>
                      <w:b/>
                      <w:bCs/>
                      <w:kern w:val="0"/>
                      <w:szCs w:val="21"/>
                      <w:highlight w:val="none"/>
                      <w:vertAlign w:val="baseline"/>
                      <w:lang w:val="en-US" w:eastAsia="zh-CN"/>
                    </w:rPr>
                    <w:t>污染物</w:t>
                  </w:r>
                </w:p>
              </w:tc>
              <w:tc>
                <w:tcPr>
                  <w:tcW w:w="1503" w:type="pct"/>
                  <w:tcBorders>
                    <w:top w:val="single" w:color="auto" w:sz="12" w:space="0"/>
                    <w:left w:val="single" w:color="auto" w:sz="4" w:space="0"/>
                    <w:bottom w:val="single" w:color="auto" w:sz="4" w:space="0"/>
                    <w:right w:val="single" w:color="auto" w:sz="4" w:space="0"/>
                  </w:tcBorders>
                  <w:vAlign w:val="center"/>
                </w:tcPr>
                <w:p w14:paraId="0293E27E">
                  <w:pPr>
                    <w:numPr>
                      <w:ilvl w:val="0"/>
                      <w:numId w:val="0"/>
                    </w:numPr>
                    <w:adjustRightInd w:val="0"/>
                    <w:snapToGrid w:val="0"/>
                    <w:jc w:val="center"/>
                    <w:rPr>
                      <w:rFonts w:hint="default" w:ascii="Times New Roman" w:hAnsi="Times New Roman" w:cs="Times New Roman"/>
                      <w:b/>
                      <w:bCs/>
                      <w:kern w:val="0"/>
                      <w:szCs w:val="21"/>
                      <w:highlight w:val="none"/>
                      <w:vertAlign w:val="baseline"/>
                      <w:lang w:val="en-US" w:eastAsia="zh-CN"/>
                    </w:rPr>
                  </w:pPr>
                  <w:r>
                    <w:rPr>
                      <w:rFonts w:hint="default" w:ascii="Times New Roman" w:hAnsi="Times New Roman" w:cs="Times New Roman"/>
                      <w:b/>
                      <w:bCs/>
                      <w:kern w:val="0"/>
                      <w:szCs w:val="21"/>
                      <w:highlight w:val="none"/>
                      <w:vertAlign w:val="baseline"/>
                      <w:lang w:val="en-US" w:eastAsia="zh-CN"/>
                    </w:rPr>
                    <w:t>最高允许排放浓度</w:t>
                  </w:r>
                </w:p>
              </w:tc>
              <w:tc>
                <w:tcPr>
                  <w:tcW w:w="2376" w:type="pct"/>
                  <w:tcBorders>
                    <w:top w:val="single" w:color="auto" w:sz="12" w:space="0"/>
                    <w:left w:val="single" w:color="auto" w:sz="4" w:space="0"/>
                    <w:bottom w:val="single" w:color="auto" w:sz="4" w:space="0"/>
                    <w:right w:val="nil"/>
                  </w:tcBorders>
                  <w:vAlign w:val="center"/>
                </w:tcPr>
                <w:p w14:paraId="07EF4EAB">
                  <w:pPr>
                    <w:numPr>
                      <w:ilvl w:val="0"/>
                      <w:numId w:val="0"/>
                    </w:numPr>
                    <w:adjustRightInd w:val="0"/>
                    <w:snapToGrid w:val="0"/>
                    <w:jc w:val="center"/>
                    <w:rPr>
                      <w:rFonts w:hint="default" w:ascii="Times New Roman" w:hAnsi="Times New Roman" w:cs="Times New Roman"/>
                      <w:b/>
                      <w:bCs/>
                      <w:kern w:val="0"/>
                      <w:szCs w:val="21"/>
                      <w:highlight w:val="none"/>
                      <w:vertAlign w:val="baseline"/>
                      <w:lang w:val="en-US" w:eastAsia="zh-CN"/>
                    </w:rPr>
                  </w:pPr>
                  <w:r>
                    <w:rPr>
                      <w:rFonts w:hint="default" w:ascii="Times New Roman" w:hAnsi="Times New Roman" w:cs="Times New Roman"/>
                      <w:b/>
                      <w:bCs/>
                      <w:kern w:val="0"/>
                      <w:szCs w:val="21"/>
                      <w:highlight w:val="none"/>
                      <w:vertAlign w:val="baseline"/>
                      <w:lang w:val="en-US" w:eastAsia="zh-CN"/>
                    </w:rPr>
                    <w:t>标准</w:t>
                  </w:r>
                </w:p>
              </w:tc>
            </w:tr>
            <w:tr w14:paraId="537D67DE">
              <w:tblPrEx>
                <w:tblBorders>
                  <w:top w:val="single" w:color="auto" w:sz="12" w:space="0"/>
                  <w:left w:val="none" w:color="auto" w:sz="0"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71" w:hRule="atLeast"/>
              </w:trPr>
              <w:tc>
                <w:tcPr>
                  <w:tcW w:w="553" w:type="pct"/>
                  <w:tcBorders>
                    <w:top w:val="single" w:color="auto" w:sz="4" w:space="0"/>
                    <w:bottom w:val="single" w:color="auto" w:sz="12" w:space="0"/>
                    <w:right w:val="single" w:color="auto" w:sz="4" w:space="0"/>
                  </w:tcBorders>
                  <w:vAlign w:val="center"/>
                </w:tcPr>
                <w:p w14:paraId="76FBF757">
                  <w:pPr>
                    <w:numPr>
                      <w:ilvl w:val="0"/>
                      <w:numId w:val="0"/>
                    </w:numPr>
                    <w:adjustRightInd w:val="0"/>
                    <w:snapToGrid w:val="0"/>
                    <w:jc w:val="center"/>
                    <w:rPr>
                      <w:rFonts w:hint="default" w:ascii="Times New Roman" w:hAnsi="Times New Roman" w:cs="Times New Roman"/>
                      <w:kern w:val="0"/>
                      <w:szCs w:val="21"/>
                      <w:highlight w:val="none"/>
                      <w:vertAlign w:val="baseline"/>
                      <w:lang w:val="en-US" w:eastAsia="zh-CN"/>
                    </w:rPr>
                  </w:pPr>
                  <w:r>
                    <w:rPr>
                      <w:rFonts w:hint="default" w:ascii="Times New Roman" w:hAnsi="Times New Roman" w:cs="Times New Roman"/>
                      <w:kern w:val="0"/>
                      <w:szCs w:val="21"/>
                      <w:highlight w:val="none"/>
                      <w:vertAlign w:val="baseline"/>
                      <w:lang w:val="en-US" w:eastAsia="zh-CN"/>
                    </w:rPr>
                    <w:t>无组织</w:t>
                  </w:r>
                </w:p>
              </w:tc>
              <w:tc>
                <w:tcPr>
                  <w:tcW w:w="567" w:type="pct"/>
                  <w:tcBorders>
                    <w:top w:val="single" w:color="auto" w:sz="4" w:space="0"/>
                    <w:left w:val="single" w:color="auto" w:sz="4" w:space="0"/>
                    <w:bottom w:val="single" w:color="auto" w:sz="12" w:space="0"/>
                    <w:right w:val="single" w:color="auto" w:sz="4" w:space="0"/>
                  </w:tcBorders>
                  <w:vAlign w:val="center"/>
                </w:tcPr>
                <w:p w14:paraId="79BCF7A0">
                  <w:pPr>
                    <w:numPr>
                      <w:ilvl w:val="0"/>
                      <w:numId w:val="0"/>
                    </w:numPr>
                    <w:adjustRightInd w:val="0"/>
                    <w:snapToGrid w:val="0"/>
                    <w:jc w:val="center"/>
                    <w:rPr>
                      <w:rFonts w:hint="default" w:ascii="Times New Roman" w:hAnsi="Times New Roman" w:cs="Times New Roman"/>
                      <w:kern w:val="0"/>
                      <w:szCs w:val="21"/>
                      <w:highlight w:val="none"/>
                      <w:vertAlign w:val="baseline"/>
                      <w:lang w:val="en-US" w:eastAsia="zh-CN"/>
                    </w:rPr>
                  </w:pPr>
                  <w:r>
                    <w:rPr>
                      <w:rFonts w:hint="default" w:ascii="Times New Roman" w:hAnsi="Times New Roman" w:cs="Times New Roman"/>
                      <w:kern w:val="0"/>
                      <w:szCs w:val="21"/>
                      <w:highlight w:val="none"/>
                      <w:vertAlign w:val="baseline"/>
                      <w:lang w:val="en-US" w:eastAsia="zh-CN"/>
                    </w:rPr>
                    <w:t>颗粒物</w:t>
                  </w:r>
                </w:p>
              </w:tc>
              <w:tc>
                <w:tcPr>
                  <w:tcW w:w="1503" w:type="pct"/>
                  <w:tcBorders>
                    <w:top w:val="single" w:color="auto" w:sz="4" w:space="0"/>
                    <w:left w:val="single" w:color="auto" w:sz="4" w:space="0"/>
                    <w:bottom w:val="single" w:color="auto" w:sz="12" w:space="0"/>
                    <w:right w:val="single" w:color="auto" w:sz="4" w:space="0"/>
                  </w:tcBorders>
                  <w:vAlign w:val="center"/>
                </w:tcPr>
                <w:p w14:paraId="44CB6FF3">
                  <w:pPr>
                    <w:numPr>
                      <w:ilvl w:val="0"/>
                      <w:numId w:val="0"/>
                    </w:numPr>
                    <w:adjustRightInd w:val="0"/>
                    <w:snapToGrid w:val="0"/>
                    <w:jc w:val="center"/>
                    <w:rPr>
                      <w:rFonts w:hint="default" w:ascii="Times New Roman" w:hAnsi="Times New Roman" w:cs="Times New Roman"/>
                      <w:kern w:val="0"/>
                      <w:szCs w:val="21"/>
                      <w:highlight w:val="none"/>
                      <w:vertAlign w:val="baseline"/>
                      <w:lang w:val="en-US" w:eastAsia="zh-CN"/>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≤1.0mg/m</w:t>
                  </w:r>
                  <w:r>
                    <w:rPr>
                      <w:rFonts w:hint="default" w:ascii="Times New Roman" w:hAnsi="Times New Roman" w:cs="Times New Roman"/>
                      <w:color w:val="000000" w:themeColor="text1"/>
                      <w:highlight w:val="none"/>
                      <w:vertAlign w:val="superscript"/>
                      <w:lang w:val="en-US" w:eastAsia="zh-CN"/>
                      <w14:textFill>
                        <w14:solidFill>
                          <w14:schemeClr w14:val="tx1"/>
                        </w14:solidFill>
                      </w14:textFill>
                    </w:rPr>
                    <w:t>3</w:t>
                  </w: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（企业边界）</w:t>
                  </w:r>
                </w:p>
              </w:tc>
              <w:tc>
                <w:tcPr>
                  <w:tcW w:w="2376" w:type="pct"/>
                  <w:tcBorders>
                    <w:top w:val="single" w:color="auto" w:sz="4" w:space="0"/>
                    <w:left w:val="single" w:color="auto" w:sz="4" w:space="0"/>
                    <w:bottom w:val="single" w:color="auto" w:sz="12" w:space="0"/>
                    <w:right w:val="nil"/>
                  </w:tcBorders>
                  <w:vAlign w:val="center"/>
                </w:tcPr>
                <w:p w14:paraId="0614EDAF">
                  <w:pPr>
                    <w:numPr>
                      <w:ilvl w:val="0"/>
                      <w:numId w:val="0"/>
                    </w:numPr>
                    <w:adjustRightInd w:val="0"/>
                    <w:snapToGrid w:val="0"/>
                    <w:jc w:val="center"/>
                    <w:rPr>
                      <w:rFonts w:hint="default" w:ascii="Times New Roman" w:hAnsi="Times New Roman" w:cs="Times New Roman"/>
                      <w:kern w:val="0"/>
                      <w:szCs w:val="21"/>
                      <w:highlight w:val="none"/>
                      <w:vertAlign w:val="baseline"/>
                      <w:lang w:val="en-US" w:eastAsia="zh-CN"/>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《大气污染物综合排放标准》（GB16297-1996）</w:t>
                  </w:r>
                </w:p>
              </w:tc>
            </w:tr>
          </w:tbl>
          <w:p w14:paraId="403B6520">
            <w:pPr>
              <w:numPr>
                <w:ilvl w:val="0"/>
                <w:numId w:val="0"/>
              </w:numPr>
              <w:adjustRightInd w:val="0"/>
              <w:snapToGrid w:val="0"/>
              <w:spacing w:line="360" w:lineRule="auto"/>
              <w:ind w:firstLine="482" w:firstLineChars="200"/>
              <w:rPr>
                <w:rFonts w:hint="default" w:ascii="Times New Roman" w:hAnsi="Times New Roman" w:cs="Times New Roman"/>
                <w:b/>
                <w:bCs/>
                <w:kern w:val="0"/>
                <w:sz w:val="24"/>
                <w:szCs w:val="24"/>
                <w:highlight w:val="none"/>
                <w:lang w:val="en-US" w:eastAsia="zh-CN"/>
              </w:rPr>
            </w:pPr>
            <w:r>
              <w:rPr>
                <w:rFonts w:hint="default" w:ascii="Times New Roman" w:hAnsi="Times New Roman" w:cs="Times New Roman"/>
                <w:b/>
                <w:bCs/>
                <w:kern w:val="0"/>
                <w:sz w:val="24"/>
                <w:szCs w:val="24"/>
                <w:highlight w:val="none"/>
                <w:lang w:val="en-US" w:eastAsia="zh-CN"/>
              </w:rPr>
              <w:t>2.2噪声</w:t>
            </w:r>
          </w:p>
          <w:p w14:paraId="43B9DB8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kern w:val="0"/>
                <w:sz w:val="24"/>
                <w:szCs w:val="24"/>
                <w:highlight w:val="none"/>
                <w:lang w:val="en-US" w:eastAsia="zh-CN"/>
              </w:rPr>
            </w:pPr>
            <w:r>
              <w:rPr>
                <w:rFonts w:hint="default" w:ascii="Times New Roman" w:hAnsi="Times New Roman" w:cs="Times New Roman"/>
                <w:kern w:val="0"/>
                <w:sz w:val="24"/>
                <w:szCs w:val="24"/>
                <w:highlight w:val="none"/>
                <w:lang w:val="en-US" w:eastAsia="zh-CN"/>
              </w:rPr>
              <w:t>项目施工期噪声执行《建</w:t>
            </w:r>
            <w:r>
              <w:rPr>
                <w:rFonts w:hint="eastAsia" w:cs="Times New Roman"/>
                <w:kern w:val="0"/>
                <w:sz w:val="24"/>
                <w:szCs w:val="24"/>
                <w:highlight w:val="none"/>
                <w:lang w:val="en-US" w:eastAsia="zh-CN"/>
              </w:rPr>
              <w:t>筑</w:t>
            </w:r>
            <w:r>
              <w:rPr>
                <w:rFonts w:hint="default" w:ascii="Times New Roman" w:hAnsi="Times New Roman" w:cs="Times New Roman"/>
                <w:kern w:val="0"/>
                <w:sz w:val="24"/>
                <w:szCs w:val="24"/>
                <w:highlight w:val="none"/>
                <w:lang w:val="en-US" w:eastAsia="zh-CN"/>
              </w:rPr>
              <w:t>施工场界环境噪声排放标准》（GB12523-2011）标准，具体标准限值见下表。</w:t>
            </w:r>
          </w:p>
          <w:p w14:paraId="4D2EBEE3">
            <w:pPr>
              <w:numPr>
                <w:ilvl w:val="0"/>
                <w:numId w:val="0"/>
              </w:numPr>
              <w:adjustRightInd w:val="0"/>
              <w:snapToGrid w:val="0"/>
              <w:spacing w:line="240" w:lineRule="auto"/>
              <w:jc w:val="center"/>
              <w:rPr>
                <w:rFonts w:hint="default" w:ascii="Times New Roman" w:hAnsi="Times New Roman" w:cs="Times New Roman"/>
                <w:b/>
                <w:bCs/>
                <w:kern w:val="0"/>
                <w:szCs w:val="21"/>
                <w:highlight w:val="none"/>
                <w:lang w:val="en-US" w:eastAsia="zh-CN"/>
              </w:rPr>
            </w:pPr>
            <w:r>
              <w:rPr>
                <w:rFonts w:hint="default" w:ascii="Times New Roman" w:hAnsi="Times New Roman" w:cs="Times New Roman"/>
                <w:b/>
                <w:bCs/>
                <w:kern w:val="0"/>
                <w:szCs w:val="21"/>
                <w:highlight w:val="none"/>
                <w:lang w:val="en-US" w:eastAsia="zh-CN"/>
              </w:rPr>
              <w:t>《建筑施工场界环境噪声排放标准》（GB12523-2011）</w:t>
            </w:r>
          </w:p>
          <w:tbl>
            <w:tblPr>
              <w:tblStyle w:val="19"/>
              <w:tblW w:w="4998" w:type="pct"/>
              <w:tblInd w:w="0" w:type="dxa"/>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07"/>
              <w:gridCol w:w="1585"/>
              <w:gridCol w:w="2775"/>
            </w:tblGrid>
            <w:tr w14:paraId="3B361826">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55" w:type="pct"/>
                  <w:tcBorders>
                    <w:top w:val="single" w:color="auto" w:sz="12" w:space="0"/>
                  </w:tcBorders>
                  <w:vAlign w:val="center"/>
                </w:tcPr>
                <w:p w14:paraId="6E7AA283">
                  <w:pPr>
                    <w:numPr>
                      <w:ilvl w:val="0"/>
                      <w:numId w:val="0"/>
                    </w:numPr>
                    <w:adjustRightInd w:val="0"/>
                    <w:snapToGrid w:val="0"/>
                    <w:spacing w:line="240" w:lineRule="auto"/>
                    <w:jc w:val="center"/>
                    <w:rPr>
                      <w:rFonts w:hint="default" w:ascii="Times New Roman" w:hAnsi="Times New Roman" w:eastAsia="宋体" w:cs="Times New Roman"/>
                      <w:b/>
                      <w:bCs/>
                      <w:color w:val="000000" w:themeColor="text1"/>
                      <w:kern w:val="0"/>
                      <w:sz w:val="21"/>
                      <w:szCs w:val="21"/>
                      <w:highlight w:val="none"/>
                      <w:u w:color="auto"/>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color="auto"/>
                      <w:vertAlign w:val="baseline"/>
                      <w:lang w:val="en-US" w:eastAsia="zh-CN" w:bidi="ar-SA"/>
                      <w14:textFill>
                        <w14:solidFill>
                          <w14:schemeClr w14:val="tx1"/>
                        </w14:solidFill>
                      </w14:textFill>
                    </w:rPr>
                    <w:t>执行标准</w:t>
                  </w:r>
                </w:p>
              </w:tc>
              <w:tc>
                <w:tcPr>
                  <w:tcW w:w="925" w:type="pct"/>
                  <w:tcBorders>
                    <w:top w:val="single" w:color="auto" w:sz="12" w:space="0"/>
                  </w:tcBorders>
                  <w:vAlign w:val="center"/>
                </w:tcPr>
                <w:p w14:paraId="53DE20D9">
                  <w:pPr>
                    <w:numPr>
                      <w:ilvl w:val="0"/>
                      <w:numId w:val="0"/>
                    </w:numPr>
                    <w:adjustRightInd w:val="0"/>
                    <w:snapToGrid w:val="0"/>
                    <w:spacing w:line="240" w:lineRule="auto"/>
                    <w:jc w:val="center"/>
                    <w:rPr>
                      <w:rFonts w:hint="default" w:ascii="Times New Roman" w:hAnsi="Times New Roman" w:eastAsia="宋体" w:cs="Times New Roman"/>
                      <w:b/>
                      <w:bCs/>
                      <w:color w:val="000000" w:themeColor="text1"/>
                      <w:kern w:val="0"/>
                      <w:sz w:val="21"/>
                      <w:szCs w:val="21"/>
                      <w:highlight w:val="none"/>
                      <w:u w:color="auto"/>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color="auto"/>
                      <w:vertAlign w:val="baseline"/>
                      <w:lang w:val="en-US" w:eastAsia="zh-CN" w:bidi="ar-SA"/>
                      <w14:textFill>
                        <w14:solidFill>
                          <w14:schemeClr w14:val="tx1"/>
                        </w14:solidFill>
                      </w14:textFill>
                    </w:rPr>
                    <w:t>昼夜</w:t>
                  </w:r>
                </w:p>
              </w:tc>
              <w:tc>
                <w:tcPr>
                  <w:tcW w:w="1619" w:type="pct"/>
                  <w:tcBorders>
                    <w:top w:val="single" w:color="auto" w:sz="12" w:space="0"/>
                  </w:tcBorders>
                  <w:vAlign w:val="center"/>
                </w:tcPr>
                <w:p w14:paraId="1C4749E4">
                  <w:pPr>
                    <w:numPr>
                      <w:ilvl w:val="0"/>
                      <w:numId w:val="0"/>
                    </w:numPr>
                    <w:adjustRightInd w:val="0"/>
                    <w:snapToGrid w:val="0"/>
                    <w:spacing w:line="240" w:lineRule="auto"/>
                    <w:jc w:val="center"/>
                    <w:rPr>
                      <w:rFonts w:hint="default" w:ascii="Times New Roman" w:hAnsi="Times New Roman" w:eastAsia="宋体" w:cs="Times New Roman"/>
                      <w:b/>
                      <w:bCs/>
                      <w:color w:val="000000" w:themeColor="text1"/>
                      <w:kern w:val="0"/>
                      <w:sz w:val="21"/>
                      <w:szCs w:val="21"/>
                      <w:highlight w:val="none"/>
                      <w:u w:color="auto"/>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color="auto"/>
                      <w:vertAlign w:val="baseline"/>
                      <w:lang w:val="en-US" w:eastAsia="zh-CN" w:bidi="ar-SA"/>
                      <w14:textFill>
                        <w14:solidFill>
                          <w14:schemeClr w14:val="tx1"/>
                        </w14:solidFill>
                      </w14:textFill>
                    </w:rPr>
                    <w:t>标准限值</w:t>
                  </w:r>
                </w:p>
              </w:tc>
            </w:tr>
            <w:tr w14:paraId="0B386F32">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55" w:type="pct"/>
                  <w:vMerge w:val="restart"/>
                  <w:vAlign w:val="center"/>
                </w:tcPr>
                <w:p w14:paraId="6E5F4912">
                  <w:pPr>
                    <w:numPr>
                      <w:ilvl w:val="0"/>
                      <w:numId w:val="0"/>
                    </w:numPr>
                    <w:adjustRightInd w:val="0"/>
                    <w:snapToGrid w:val="0"/>
                    <w:spacing w:line="240" w:lineRule="auto"/>
                    <w:jc w:val="center"/>
                    <w:rPr>
                      <w:rFonts w:hint="default" w:ascii="Times New Roman" w:hAnsi="Times New Roman" w:eastAsia="宋体" w:cs="Times New Roman"/>
                      <w:color w:val="000000" w:themeColor="text1"/>
                      <w:kern w:val="0"/>
                      <w:sz w:val="21"/>
                      <w:szCs w:val="21"/>
                      <w:highlight w:val="none"/>
                      <w:u w:color="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color="auto"/>
                      <w:vertAlign w:val="baseline"/>
                      <w:lang w:val="en-US" w:eastAsia="zh-CN" w:bidi="ar-SA"/>
                      <w14:textFill>
                        <w14:solidFill>
                          <w14:schemeClr w14:val="tx1"/>
                        </w14:solidFill>
                      </w14:textFill>
                    </w:rPr>
                    <w:t>《建筑施工场界环境噪声排放标准》</w:t>
                  </w:r>
                </w:p>
              </w:tc>
              <w:tc>
                <w:tcPr>
                  <w:tcW w:w="925" w:type="pct"/>
                  <w:vAlign w:val="center"/>
                </w:tcPr>
                <w:p w14:paraId="667A1AD2">
                  <w:pPr>
                    <w:numPr>
                      <w:ilvl w:val="0"/>
                      <w:numId w:val="0"/>
                    </w:numPr>
                    <w:adjustRightInd w:val="0"/>
                    <w:snapToGrid w:val="0"/>
                    <w:spacing w:line="240" w:lineRule="auto"/>
                    <w:jc w:val="center"/>
                    <w:rPr>
                      <w:rFonts w:hint="default" w:ascii="Times New Roman" w:hAnsi="Times New Roman" w:eastAsia="宋体" w:cs="Times New Roman"/>
                      <w:color w:val="000000" w:themeColor="text1"/>
                      <w:kern w:val="0"/>
                      <w:sz w:val="21"/>
                      <w:szCs w:val="21"/>
                      <w:highlight w:val="none"/>
                      <w:u w:color="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color="auto"/>
                      <w:vertAlign w:val="baseline"/>
                      <w:lang w:val="en-US" w:eastAsia="zh-CN" w:bidi="ar-SA"/>
                      <w14:textFill>
                        <w14:solidFill>
                          <w14:schemeClr w14:val="tx1"/>
                        </w14:solidFill>
                      </w14:textFill>
                    </w:rPr>
                    <w:t>昼间</w:t>
                  </w:r>
                </w:p>
              </w:tc>
              <w:tc>
                <w:tcPr>
                  <w:tcW w:w="1619" w:type="pct"/>
                  <w:vAlign w:val="center"/>
                </w:tcPr>
                <w:p w14:paraId="718FEF1E">
                  <w:pPr>
                    <w:numPr>
                      <w:ilvl w:val="0"/>
                      <w:numId w:val="0"/>
                    </w:numPr>
                    <w:adjustRightInd w:val="0"/>
                    <w:snapToGrid w:val="0"/>
                    <w:spacing w:line="240" w:lineRule="auto"/>
                    <w:jc w:val="center"/>
                    <w:rPr>
                      <w:rFonts w:hint="default" w:ascii="Times New Roman" w:hAnsi="Times New Roman" w:eastAsia="宋体" w:cs="Times New Roman"/>
                      <w:color w:val="000000" w:themeColor="text1"/>
                      <w:kern w:val="0"/>
                      <w:sz w:val="21"/>
                      <w:szCs w:val="21"/>
                      <w:highlight w:val="none"/>
                      <w:u w:color="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color="auto"/>
                      <w:vertAlign w:val="baseline"/>
                      <w:lang w:val="en-US" w:eastAsia="zh-CN" w:bidi="ar-SA"/>
                      <w14:textFill>
                        <w14:solidFill>
                          <w14:schemeClr w14:val="tx1"/>
                        </w14:solidFill>
                      </w14:textFill>
                    </w:rPr>
                    <w:t>70dB（A）</w:t>
                  </w:r>
                </w:p>
              </w:tc>
            </w:tr>
            <w:tr w14:paraId="0DA43E1E">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55" w:type="pct"/>
                  <w:vMerge w:val="continue"/>
                  <w:tcBorders>
                    <w:bottom w:val="single" w:color="auto" w:sz="12" w:space="0"/>
                  </w:tcBorders>
                  <w:vAlign w:val="center"/>
                </w:tcPr>
                <w:p w14:paraId="17DDE435">
                  <w:pPr>
                    <w:numPr>
                      <w:ilvl w:val="0"/>
                      <w:numId w:val="0"/>
                    </w:numPr>
                    <w:adjustRightInd w:val="0"/>
                    <w:snapToGrid w:val="0"/>
                    <w:spacing w:line="240" w:lineRule="auto"/>
                    <w:jc w:val="center"/>
                    <w:rPr>
                      <w:rFonts w:hint="default" w:ascii="Times New Roman" w:hAnsi="Times New Roman" w:eastAsia="宋体" w:cs="Times New Roman"/>
                      <w:color w:val="000000" w:themeColor="text1"/>
                      <w:kern w:val="0"/>
                      <w:sz w:val="21"/>
                      <w:szCs w:val="21"/>
                      <w:highlight w:val="none"/>
                      <w:u w:color="auto"/>
                      <w:vertAlign w:val="baseline"/>
                      <w:lang w:val="en-US" w:eastAsia="zh-CN" w:bidi="ar-SA"/>
                      <w14:textFill>
                        <w14:solidFill>
                          <w14:schemeClr w14:val="tx1"/>
                        </w14:solidFill>
                      </w14:textFill>
                    </w:rPr>
                  </w:pPr>
                </w:p>
              </w:tc>
              <w:tc>
                <w:tcPr>
                  <w:tcW w:w="925" w:type="pct"/>
                  <w:tcBorders>
                    <w:bottom w:val="single" w:color="auto" w:sz="12" w:space="0"/>
                  </w:tcBorders>
                  <w:vAlign w:val="center"/>
                </w:tcPr>
                <w:p w14:paraId="1E7A4896">
                  <w:pPr>
                    <w:numPr>
                      <w:ilvl w:val="0"/>
                      <w:numId w:val="0"/>
                    </w:numPr>
                    <w:adjustRightInd w:val="0"/>
                    <w:snapToGrid w:val="0"/>
                    <w:spacing w:line="240" w:lineRule="auto"/>
                    <w:jc w:val="center"/>
                    <w:rPr>
                      <w:rFonts w:hint="default" w:ascii="Times New Roman" w:hAnsi="Times New Roman" w:eastAsia="宋体" w:cs="Times New Roman"/>
                      <w:color w:val="000000" w:themeColor="text1"/>
                      <w:kern w:val="0"/>
                      <w:sz w:val="21"/>
                      <w:szCs w:val="21"/>
                      <w:highlight w:val="none"/>
                      <w:u w:color="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color="auto"/>
                      <w:vertAlign w:val="baseline"/>
                      <w:lang w:val="en-US" w:eastAsia="zh-CN" w:bidi="ar-SA"/>
                      <w14:textFill>
                        <w14:solidFill>
                          <w14:schemeClr w14:val="tx1"/>
                        </w14:solidFill>
                      </w14:textFill>
                    </w:rPr>
                    <w:t>夜间</w:t>
                  </w:r>
                </w:p>
              </w:tc>
              <w:tc>
                <w:tcPr>
                  <w:tcW w:w="1619" w:type="pct"/>
                  <w:tcBorders>
                    <w:bottom w:val="single" w:color="auto" w:sz="12" w:space="0"/>
                  </w:tcBorders>
                  <w:vAlign w:val="center"/>
                </w:tcPr>
                <w:p w14:paraId="76F54B9E">
                  <w:pPr>
                    <w:numPr>
                      <w:ilvl w:val="0"/>
                      <w:numId w:val="0"/>
                    </w:numPr>
                    <w:adjustRightInd w:val="0"/>
                    <w:snapToGrid w:val="0"/>
                    <w:spacing w:line="240" w:lineRule="auto"/>
                    <w:jc w:val="center"/>
                    <w:rPr>
                      <w:rFonts w:hint="default" w:ascii="Times New Roman" w:hAnsi="Times New Roman" w:eastAsia="宋体" w:cs="Times New Roman"/>
                      <w:color w:val="000000" w:themeColor="text1"/>
                      <w:kern w:val="0"/>
                      <w:sz w:val="21"/>
                      <w:szCs w:val="21"/>
                      <w:highlight w:val="none"/>
                      <w:u w:color="auto"/>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u w:color="auto"/>
                      <w:vertAlign w:val="baseline"/>
                      <w:lang w:val="en-US" w:eastAsia="zh-CN" w:bidi="ar-SA"/>
                      <w14:textFill>
                        <w14:solidFill>
                          <w14:schemeClr w14:val="tx1"/>
                        </w14:solidFill>
                      </w14:textFill>
                    </w:rPr>
                    <w:t>55dB（A）</w:t>
                  </w:r>
                </w:p>
              </w:tc>
            </w:tr>
          </w:tbl>
          <w:p w14:paraId="581C7CA2">
            <w:pPr>
              <w:pStyle w:val="5"/>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rPr>
                <w:rFonts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泵站运营期执行</w:t>
            </w:r>
            <w:r>
              <w:rPr>
                <w:rFonts w:ascii="Times New Roman" w:hAnsi="Times New Roman" w:eastAsia="宋体" w:cs="Times New Roman"/>
                <w:color w:val="auto"/>
                <w:kern w:val="2"/>
                <w:sz w:val="24"/>
                <w:szCs w:val="24"/>
                <w:highlight w:val="none"/>
                <w:lang w:val="en-US" w:eastAsia="zh-CN" w:bidi="ar-SA"/>
              </w:rPr>
              <w:t>《工业企业厂界环境噪声排放标准》（GB12348-2008）中</w:t>
            </w:r>
            <w:r>
              <w:rPr>
                <w:rFonts w:hint="eastAsia" w:cs="Times New Roman"/>
                <w:color w:val="auto"/>
                <w:kern w:val="2"/>
                <w:sz w:val="24"/>
                <w:szCs w:val="24"/>
                <w:highlight w:val="none"/>
                <w:lang w:val="en-US" w:eastAsia="zh-CN" w:bidi="ar-SA"/>
              </w:rPr>
              <w:t>1</w:t>
            </w:r>
            <w:r>
              <w:rPr>
                <w:rFonts w:ascii="Times New Roman" w:hAnsi="Times New Roman" w:eastAsia="宋体" w:cs="Times New Roman"/>
                <w:color w:val="auto"/>
                <w:kern w:val="2"/>
                <w:sz w:val="24"/>
                <w:szCs w:val="24"/>
                <w:highlight w:val="none"/>
                <w:lang w:val="en-US" w:eastAsia="zh-CN" w:bidi="ar-SA"/>
              </w:rPr>
              <w:t>类标准</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具体标准限值见</w:t>
            </w:r>
            <w:r>
              <w:rPr>
                <w:rFonts w:hint="eastAsia" w:ascii="Times New Roman" w:hAnsi="Times New Roman" w:eastAsia="宋体" w:cs="Times New Roman"/>
                <w:color w:val="auto"/>
                <w:kern w:val="2"/>
                <w:sz w:val="24"/>
                <w:szCs w:val="24"/>
                <w:highlight w:val="none"/>
                <w:lang w:val="en-US" w:eastAsia="zh-CN" w:bidi="ar-SA"/>
              </w:rPr>
              <w:t>下表</w:t>
            </w:r>
            <w:r>
              <w:rPr>
                <w:rFonts w:ascii="Times New Roman" w:hAnsi="Times New Roman" w:eastAsia="宋体" w:cs="Times New Roman"/>
                <w:color w:val="auto"/>
                <w:kern w:val="2"/>
                <w:sz w:val="24"/>
                <w:szCs w:val="24"/>
                <w:highlight w:val="none"/>
                <w:lang w:val="en-US" w:eastAsia="zh-CN" w:bidi="ar-SA"/>
              </w:rPr>
              <w:t>。</w:t>
            </w:r>
          </w:p>
          <w:p w14:paraId="69E91960">
            <w:pPr>
              <w:keepNext w:val="0"/>
              <w:keepLines w:val="0"/>
              <w:pageBreakBefore w:val="0"/>
              <w:widowControl w:val="0"/>
              <w:kinsoku/>
              <w:wordWrap/>
              <w:overflowPunct/>
              <w:topLinePunct w:val="0"/>
              <w:autoSpaceDE/>
              <w:autoSpaceDN/>
              <w:bidi w:val="0"/>
              <w:adjustRightInd w:val="0"/>
              <w:snapToGrid w:val="0"/>
              <w:spacing w:before="157" w:beforeLines="50" w:line="240" w:lineRule="auto"/>
              <w:contextualSpacing/>
              <w:jc w:val="center"/>
              <w:textAlignment w:val="auto"/>
              <w:rPr>
                <w:b/>
                <w:color w:val="auto"/>
                <w:sz w:val="21"/>
                <w:szCs w:val="21"/>
                <w:highlight w:val="none"/>
              </w:rPr>
            </w:pPr>
            <w:r>
              <w:rPr>
                <w:rFonts w:hint="eastAsia" w:ascii="Times New Roman" w:hAnsi="Times New Roman" w:eastAsia="宋体" w:cs="Times New Roman"/>
                <w:b/>
                <w:bCs/>
                <w:color w:val="auto"/>
                <w:kern w:val="2"/>
                <w:sz w:val="21"/>
                <w:szCs w:val="21"/>
                <w:highlight w:val="none"/>
                <w:lang w:val="zh-CN" w:eastAsia="zh-CN" w:bidi="ar-SA"/>
              </w:rPr>
              <w:t>《工业企业厂界环境噪声排放标准》（GB12348-2008）单位：dB（A）</w:t>
            </w:r>
          </w:p>
          <w:tbl>
            <w:tblPr>
              <w:tblStyle w:val="1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55"/>
              <w:gridCol w:w="2855"/>
              <w:gridCol w:w="2857"/>
            </w:tblGrid>
            <w:tr w14:paraId="6CEE25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6" w:type="pct"/>
                  <w:tcBorders>
                    <w:tl2br w:val="nil"/>
                    <w:tr2bl w:val="nil"/>
                  </w:tcBorders>
                  <w:noWrap w:val="0"/>
                  <w:vAlign w:val="center"/>
                </w:tcPr>
                <w:p w14:paraId="08930B6B">
                  <w:pPr>
                    <w:widowControl/>
                    <w:snapToGrid w:val="0"/>
                    <w:jc w:val="center"/>
                    <w:rPr>
                      <w:rFonts w:hint="default" w:ascii="Times New Roman" w:hAnsi="Times New Roman" w:eastAsia="宋体" w:cs="Times New Roman"/>
                      <w:bCs/>
                      <w:color w:val="auto"/>
                      <w:sz w:val="24"/>
                      <w:szCs w:val="24"/>
                      <w:highlight w:val="none"/>
                    </w:rPr>
                  </w:pPr>
                  <w:r>
                    <w:rPr>
                      <w:rFonts w:hint="eastAsia" w:ascii="Times New Roman" w:hAnsi="Times New Roman" w:eastAsia="宋体" w:cs="Times New Roman"/>
                      <w:bCs/>
                      <w:color w:val="auto"/>
                      <w:sz w:val="24"/>
                      <w:szCs w:val="24"/>
                      <w:highlight w:val="none"/>
                    </w:rPr>
                    <w:t>声环境功能区类别</w:t>
                  </w:r>
                </w:p>
              </w:tc>
              <w:tc>
                <w:tcPr>
                  <w:tcW w:w="1666" w:type="pct"/>
                  <w:tcBorders>
                    <w:tl2br w:val="nil"/>
                    <w:tr2bl w:val="nil"/>
                  </w:tcBorders>
                  <w:noWrap w:val="0"/>
                  <w:vAlign w:val="center"/>
                </w:tcPr>
                <w:p w14:paraId="6D811C73">
                  <w:pPr>
                    <w:widowControl/>
                    <w:snapToGrid w:val="0"/>
                    <w:jc w:val="center"/>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昼间</w:t>
                  </w:r>
                </w:p>
              </w:tc>
              <w:tc>
                <w:tcPr>
                  <w:tcW w:w="1667" w:type="pct"/>
                  <w:tcBorders>
                    <w:tl2br w:val="nil"/>
                    <w:tr2bl w:val="nil"/>
                  </w:tcBorders>
                  <w:noWrap w:val="0"/>
                  <w:vAlign w:val="center"/>
                </w:tcPr>
                <w:p w14:paraId="2C0ABFF3">
                  <w:pPr>
                    <w:widowControl/>
                    <w:snapToGrid w:val="0"/>
                    <w:jc w:val="center"/>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夜间</w:t>
                  </w:r>
                </w:p>
              </w:tc>
            </w:tr>
            <w:tr w14:paraId="0D1C8F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6" w:type="pct"/>
                  <w:tcBorders>
                    <w:tl2br w:val="nil"/>
                    <w:tr2bl w:val="nil"/>
                  </w:tcBorders>
                  <w:noWrap w:val="0"/>
                  <w:vAlign w:val="center"/>
                </w:tcPr>
                <w:p w14:paraId="604AA19D">
                  <w:pPr>
                    <w:widowControl/>
                    <w:snapToGrid w:val="0"/>
                    <w:jc w:val="center"/>
                    <w:rPr>
                      <w:rFonts w:hint="default" w:ascii="Times New Roman" w:hAnsi="Times New Roman" w:eastAsia="宋体" w:cs="Times New Roman"/>
                      <w:bCs/>
                      <w:color w:val="auto"/>
                      <w:sz w:val="24"/>
                      <w:szCs w:val="24"/>
                      <w:highlight w:val="none"/>
                    </w:rPr>
                  </w:pPr>
                  <w:r>
                    <w:rPr>
                      <w:rFonts w:hint="eastAsia" w:ascii="Times New Roman" w:hAnsi="Times New Roman" w:eastAsia="宋体" w:cs="Times New Roman"/>
                      <w:bCs/>
                      <w:color w:val="auto"/>
                      <w:sz w:val="24"/>
                      <w:szCs w:val="24"/>
                      <w:highlight w:val="none"/>
                      <w:lang w:val="en-US" w:eastAsia="zh-CN"/>
                    </w:rPr>
                    <w:t>1</w:t>
                  </w:r>
                  <w:r>
                    <w:rPr>
                      <w:rFonts w:hint="eastAsia" w:ascii="Times New Roman" w:hAnsi="Times New Roman" w:eastAsia="宋体" w:cs="Times New Roman"/>
                      <w:bCs/>
                      <w:color w:val="auto"/>
                      <w:sz w:val="24"/>
                      <w:szCs w:val="24"/>
                      <w:highlight w:val="none"/>
                    </w:rPr>
                    <w:t>类</w:t>
                  </w:r>
                </w:p>
              </w:tc>
              <w:tc>
                <w:tcPr>
                  <w:tcW w:w="1666" w:type="pct"/>
                  <w:tcBorders>
                    <w:tl2br w:val="nil"/>
                    <w:tr2bl w:val="nil"/>
                  </w:tcBorders>
                  <w:noWrap w:val="0"/>
                  <w:vAlign w:val="center"/>
                </w:tcPr>
                <w:p w14:paraId="3F1A5CF6">
                  <w:pPr>
                    <w:widowControl/>
                    <w:snapToGrid w:val="0"/>
                    <w:jc w:val="center"/>
                    <w:rPr>
                      <w:rFonts w:hint="default"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55</w:t>
                  </w:r>
                </w:p>
              </w:tc>
              <w:tc>
                <w:tcPr>
                  <w:tcW w:w="1667" w:type="pct"/>
                  <w:tcBorders>
                    <w:tl2br w:val="nil"/>
                    <w:tr2bl w:val="nil"/>
                  </w:tcBorders>
                  <w:noWrap w:val="0"/>
                  <w:vAlign w:val="center"/>
                </w:tcPr>
                <w:p w14:paraId="7EB68DE4">
                  <w:pPr>
                    <w:widowControl/>
                    <w:snapToGrid w:val="0"/>
                    <w:jc w:val="center"/>
                    <w:rPr>
                      <w:rFonts w:hint="default" w:ascii="Times New Roman" w:hAnsi="Times New Roman" w:eastAsia="宋体" w:cs="Times New Roman"/>
                      <w:bCs/>
                      <w:color w:val="auto"/>
                      <w:sz w:val="24"/>
                      <w:szCs w:val="24"/>
                      <w:highlight w:val="none"/>
                      <w:lang w:val="en-US" w:eastAsia="zh-CN"/>
                    </w:rPr>
                  </w:pPr>
                  <w:r>
                    <w:rPr>
                      <w:rFonts w:hint="eastAsia" w:ascii="Times New Roman" w:hAnsi="Times New Roman" w:eastAsia="宋体" w:cs="Times New Roman"/>
                      <w:bCs/>
                      <w:color w:val="auto"/>
                      <w:sz w:val="24"/>
                      <w:szCs w:val="24"/>
                      <w:highlight w:val="none"/>
                      <w:lang w:val="en-US" w:eastAsia="zh-CN"/>
                    </w:rPr>
                    <w:t>45</w:t>
                  </w:r>
                </w:p>
              </w:tc>
            </w:tr>
          </w:tbl>
          <w:p w14:paraId="42365904">
            <w:pPr>
              <w:numPr>
                <w:ilvl w:val="0"/>
                <w:numId w:val="0"/>
              </w:numPr>
              <w:adjustRightInd w:val="0"/>
              <w:snapToGrid w:val="0"/>
              <w:spacing w:line="360" w:lineRule="auto"/>
              <w:ind w:firstLine="482" w:firstLineChars="200"/>
              <w:rPr>
                <w:rFonts w:hint="default" w:ascii="Times New Roman" w:hAnsi="Times New Roman" w:cs="Times New Roman"/>
                <w:b/>
                <w:bCs/>
                <w:kern w:val="0"/>
                <w:sz w:val="24"/>
                <w:szCs w:val="24"/>
                <w:highlight w:val="none"/>
                <w:lang w:val="en-US" w:eastAsia="zh-CN"/>
              </w:rPr>
            </w:pPr>
            <w:r>
              <w:rPr>
                <w:rFonts w:hint="default" w:ascii="Times New Roman" w:hAnsi="Times New Roman" w:cs="Times New Roman"/>
                <w:b/>
                <w:bCs/>
                <w:kern w:val="0"/>
                <w:sz w:val="24"/>
                <w:szCs w:val="24"/>
                <w:highlight w:val="none"/>
                <w:lang w:val="en-US" w:eastAsia="zh-CN"/>
              </w:rPr>
              <w:t>2.3固体废物</w:t>
            </w:r>
          </w:p>
          <w:p w14:paraId="0776992B">
            <w:pPr>
              <w:numPr>
                <w:ilvl w:val="0"/>
                <w:numId w:val="0"/>
              </w:numPr>
              <w:adjustRightInd w:val="0"/>
              <w:snapToGrid w:val="0"/>
              <w:spacing w:line="360" w:lineRule="auto"/>
              <w:ind w:firstLine="480" w:firstLineChars="200"/>
              <w:rPr>
                <w:rFonts w:hint="default" w:ascii="Times New Roman" w:hAnsi="Times New Roman" w:cs="Times New Roman"/>
                <w:kern w:val="0"/>
                <w:szCs w:val="21"/>
                <w:highlight w:val="none"/>
                <w:lang w:val="en-US" w:eastAsia="zh-CN"/>
              </w:rPr>
            </w:pPr>
            <w:r>
              <w:rPr>
                <w:rFonts w:hint="default" w:ascii="Times New Roman" w:hAnsi="Times New Roman" w:cs="Times New Roman"/>
                <w:kern w:val="0"/>
                <w:sz w:val="24"/>
                <w:szCs w:val="24"/>
                <w:highlight w:val="none"/>
                <w:lang w:val="en-US" w:eastAsia="zh-CN"/>
              </w:rPr>
              <w:t>项目施工期一般固废执行《一般工业固体废物贮存和填埋污染控制标准》（GB18599-2020）中的相关标准。</w:t>
            </w:r>
          </w:p>
        </w:tc>
      </w:tr>
      <w:tr w14:paraId="245E85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41" w:hRule="atLeast"/>
          <w:jc w:val="center"/>
        </w:trPr>
        <w:tc>
          <w:tcPr>
            <w:tcW w:w="720" w:type="dxa"/>
            <w:noWrap w:val="0"/>
            <w:vAlign w:val="center"/>
          </w:tcPr>
          <w:p w14:paraId="4A3A34F4">
            <w:pPr>
              <w:adjustRightInd w:val="0"/>
              <w:snapToGrid w:val="0"/>
              <w:jc w:val="center"/>
              <w:rPr>
                <w:rFonts w:ascii="宋体" w:hAnsi="宋体" w:cs="宋体"/>
                <w:kern w:val="0"/>
                <w:sz w:val="24"/>
                <w:szCs w:val="24"/>
                <w:highlight w:val="none"/>
              </w:rPr>
            </w:pPr>
            <w:r>
              <w:rPr>
                <w:rFonts w:hint="eastAsia" w:ascii="宋体" w:hAnsi="宋体" w:cs="宋体"/>
                <w:kern w:val="0"/>
                <w:sz w:val="24"/>
                <w:szCs w:val="24"/>
                <w:highlight w:val="none"/>
              </w:rPr>
              <w:t>其他</w:t>
            </w:r>
          </w:p>
        </w:tc>
        <w:tc>
          <w:tcPr>
            <w:tcW w:w="8786" w:type="dxa"/>
            <w:noWrap w:val="0"/>
            <w:vAlign w:val="center"/>
          </w:tcPr>
          <w:p w14:paraId="03DBAB53">
            <w:pPr>
              <w:pStyle w:val="12"/>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kern w:val="0"/>
                <w:sz w:val="24"/>
                <w:szCs w:val="24"/>
                <w:highlight w:val="none"/>
                <w:lang w:eastAsia="zh-CN"/>
              </w:rPr>
            </w:pPr>
          </w:p>
          <w:p w14:paraId="24E3B66A">
            <w:pPr>
              <w:pStyle w:val="12"/>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kern w:val="0"/>
                <w:sz w:val="24"/>
                <w:szCs w:val="24"/>
                <w:highlight w:val="none"/>
                <w:lang w:eastAsia="zh-CN"/>
              </w:rPr>
            </w:pPr>
          </w:p>
          <w:p w14:paraId="7FEB6925">
            <w:pPr>
              <w:pStyle w:val="12"/>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kern w:val="0"/>
                <w:sz w:val="24"/>
                <w:szCs w:val="24"/>
                <w:highlight w:val="none"/>
                <w:lang w:eastAsia="zh-CN"/>
              </w:rPr>
            </w:pPr>
          </w:p>
          <w:p w14:paraId="21AF13E3">
            <w:pPr>
              <w:pStyle w:val="12"/>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b w:val="0"/>
                <w:bCs w:val="0"/>
                <w:color w:val="000000"/>
                <w:sz w:val="24"/>
                <w:szCs w:val="24"/>
                <w:highlight w:val="none"/>
              </w:rPr>
            </w:pPr>
            <w:r>
              <w:rPr>
                <w:rFonts w:hint="default" w:ascii="Times New Roman" w:hAnsi="Times New Roman" w:eastAsia="宋体" w:cs="Times New Roman"/>
                <w:kern w:val="0"/>
                <w:sz w:val="24"/>
                <w:szCs w:val="24"/>
                <w:highlight w:val="none"/>
                <w:lang w:eastAsia="zh-CN"/>
              </w:rPr>
              <w:t>万金渠为人工建设的渠道，</w:t>
            </w:r>
            <w:r>
              <w:rPr>
                <w:rFonts w:hint="default" w:ascii="Times New Roman" w:hAnsi="Times New Roman" w:eastAsia="宋体" w:cs="Times New Roman"/>
                <w:b w:val="0"/>
                <w:bCs w:val="0"/>
                <w:color w:val="000000"/>
                <w:sz w:val="24"/>
                <w:szCs w:val="24"/>
                <w:highlight w:val="none"/>
              </w:rPr>
              <w:t>始建于唐咸亨三年（公元672年）</w:t>
            </w:r>
            <w:r>
              <w:rPr>
                <w:rFonts w:hint="default" w:ascii="Times New Roman" w:hAnsi="Times New Roman" w:eastAsia="宋体" w:cs="Times New Roman"/>
                <w:b w:val="0"/>
                <w:bCs w:val="0"/>
                <w:color w:val="000000"/>
                <w:sz w:val="24"/>
                <w:szCs w:val="24"/>
                <w:highlight w:val="none"/>
                <w:lang w:eastAsia="zh-CN"/>
              </w:rPr>
              <w:t>，</w:t>
            </w:r>
            <w:r>
              <w:rPr>
                <w:rFonts w:hint="default" w:ascii="Times New Roman" w:hAnsi="Times New Roman" w:eastAsia="宋体" w:cs="Times New Roman"/>
                <w:b w:val="0"/>
                <w:bCs w:val="0"/>
                <w:color w:val="000000"/>
                <w:sz w:val="24"/>
                <w:szCs w:val="24"/>
                <w:highlight w:val="none"/>
              </w:rPr>
              <w:t>引洹水入渠东流溉田，</w:t>
            </w:r>
            <w:r>
              <w:rPr>
                <w:rFonts w:hint="default" w:ascii="Times New Roman" w:hAnsi="Times New Roman" w:eastAsia="宋体" w:cs="Times New Roman"/>
                <w:b w:val="0"/>
                <w:bCs w:val="0"/>
                <w:color w:val="000000"/>
                <w:sz w:val="24"/>
                <w:szCs w:val="24"/>
                <w:highlight w:val="none"/>
                <w:lang w:eastAsia="zh-CN"/>
              </w:rPr>
              <w:t>历代经过多次清淤治理，到如今</w:t>
            </w:r>
            <w:r>
              <w:rPr>
                <w:rFonts w:hint="default" w:ascii="Times New Roman" w:hAnsi="Times New Roman" w:eastAsia="宋体" w:cs="Times New Roman"/>
                <w:b w:val="0"/>
                <w:bCs w:val="0"/>
                <w:color w:val="000000"/>
                <w:sz w:val="24"/>
                <w:szCs w:val="24"/>
                <w:highlight w:val="none"/>
              </w:rPr>
              <w:t>在安阳市国民经济和社会发展中占有十分重要的地位。本项目的建设</w:t>
            </w:r>
            <w:r>
              <w:rPr>
                <w:rFonts w:hint="eastAsia" w:ascii="Times New Roman" w:hAnsi="Times New Roman" w:eastAsia="宋体" w:cs="Times New Roman"/>
                <w:b w:val="0"/>
                <w:bCs w:val="0"/>
                <w:color w:val="000000"/>
                <w:sz w:val="24"/>
                <w:szCs w:val="24"/>
                <w:highlight w:val="none"/>
                <w:lang w:eastAsia="zh-CN"/>
              </w:rPr>
              <w:t>，</w:t>
            </w:r>
            <w:r>
              <w:rPr>
                <w:rFonts w:hint="default" w:ascii="Times New Roman" w:hAnsi="Times New Roman" w:eastAsia="宋体" w:cs="Times New Roman"/>
                <w:b w:val="0"/>
                <w:bCs w:val="0"/>
                <w:color w:val="000000"/>
                <w:sz w:val="24"/>
                <w:szCs w:val="24"/>
                <w:highlight w:val="none"/>
              </w:rPr>
              <w:t>旨在提升区域内防洪排涝能力，保障人民的生命财产安全，改善周边生态环境，使人民能够安居乐业，获得极大的幸福感满足感，进而促进殷都区的社会经济发展。</w:t>
            </w:r>
          </w:p>
          <w:p w14:paraId="674E9D87">
            <w:pPr>
              <w:pStyle w:val="12"/>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b w:val="0"/>
                <w:bCs w:val="0"/>
                <w:color w:val="000000"/>
                <w:sz w:val="24"/>
                <w:szCs w:val="24"/>
                <w:highlight w:val="none"/>
              </w:rPr>
            </w:pPr>
          </w:p>
          <w:p w14:paraId="7B7D6D8B">
            <w:pPr>
              <w:pStyle w:val="12"/>
              <w:keepNext w:val="0"/>
              <w:keepLines w:val="0"/>
              <w:pageBreakBefore w:val="0"/>
              <w:widowControl w:val="0"/>
              <w:kinsoku/>
              <w:wordWrap/>
              <w:overflowPunct/>
              <w:topLinePunct w:val="0"/>
              <w:autoSpaceDE/>
              <w:autoSpaceDN/>
              <w:bidi w:val="0"/>
              <w:adjustRightInd/>
              <w:snapToGrid w:val="0"/>
              <w:spacing w:line="360" w:lineRule="auto"/>
              <w:textAlignment w:val="auto"/>
              <w:rPr>
                <w:rFonts w:hint="eastAsia" w:ascii="Times New Roman" w:hAnsi="Times New Roman" w:eastAsia="宋体" w:cs="Times New Roman"/>
                <w:b w:val="0"/>
                <w:bCs w:val="0"/>
                <w:color w:val="000000"/>
                <w:sz w:val="24"/>
                <w:szCs w:val="24"/>
                <w:highlight w:val="none"/>
                <w:lang w:eastAsia="zh-CN"/>
              </w:rPr>
            </w:pPr>
          </w:p>
        </w:tc>
      </w:tr>
    </w:tbl>
    <w:p w14:paraId="1258AE29">
      <w:pPr>
        <w:pStyle w:val="15"/>
        <w:adjustRightInd w:val="0"/>
        <w:snapToGrid w:val="0"/>
        <w:spacing w:before="0" w:beforeAutospacing="0" w:after="0" w:afterAutospacing="0" w:line="14" w:lineRule="auto"/>
        <w:jc w:val="center"/>
        <w:outlineLvl w:val="9"/>
        <w:rPr>
          <w:rFonts w:ascii="黑体" w:hAnsi="黑体" w:eastAsia="黑体"/>
          <w:snapToGrid w:val="0"/>
          <w:kern w:val="2"/>
          <w:sz w:val="36"/>
          <w:szCs w:val="36"/>
          <w:highlight w:val="none"/>
        </w:rPr>
      </w:pPr>
    </w:p>
    <w:p w14:paraId="4646A222">
      <w:pPr>
        <w:pStyle w:val="15"/>
        <w:jc w:val="center"/>
        <w:outlineLvl w:val="0"/>
        <w:rPr>
          <w:rFonts w:ascii="黑体" w:hAnsi="黑体" w:eastAsia="黑体"/>
          <w:snapToGrid w:val="0"/>
          <w:sz w:val="30"/>
          <w:szCs w:val="30"/>
          <w:highlight w:val="none"/>
        </w:rPr>
      </w:pPr>
      <w:r>
        <w:rPr>
          <w:rFonts w:ascii="黑体" w:hAnsi="黑体" w:eastAsia="黑体"/>
          <w:snapToGrid w:val="0"/>
          <w:kern w:val="2"/>
          <w:sz w:val="36"/>
          <w:szCs w:val="36"/>
          <w:highlight w:val="none"/>
        </w:rPr>
        <w:br w:type="page"/>
      </w:r>
      <w:bookmarkStart w:id="8" w:name="_Toc31672"/>
      <w:r>
        <w:rPr>
          <w:rFonts w:hint="eastAsia" w:ascii="黑体" w:hAnsi="黑体" w:eastAsia="黑体"/>
          <w:snapToGrid w:val="0"/>
          <w:sz w:val="30"/>
          <w:szCs w:val="30"/>
          <w:highlight w:val="none"/>
        </w:rPr>
        <w:t>四、生态环境影响分析</w:t>
      </w:r>
      <w:bookmarkEnd w:id="8"/>
    </w:p>
    <w:tbl>
      <w:tblPr>
        <w:tblStyle w:val="18"/>
        <w:tblW w:w="941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79"/>
        <w:gridCol w:w="8535"/>
      </w:tblGrid>
      <w:tr w14:paraId="7C3725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879" w:type="dxa"/>
            <w:noWrap w:val="0"/>
            <w:tcMar>
              <w:left w:w="28" w:type="dxa"/>
              <w:right w:w="28" w:type="dxa"/>
            </w:tcMar>
            <w:vAlign w:val="center"/>
          </w:tcPr>
          <w:p w14:paraId="2675615A">
            <w:pPr>
              <w:pStyle w:val="15"/>
              <w:adjustRightInd w:val="0"/>
              <w:snapToGrid w:val="0"/>
              <w:spacing w:before="0" w:beforeAutospacing="0" w:after="0" w:afterAutospacing="0"/>
              <w:jc w:val="center"/>
              <w:rPr>
                <w:rFonts w:hint="default" w:ascii="Times New Roman" w:hAnsi="Times New Roman" w:cs="Times New Roman"/>
                <w:bCs/>
                <w:kern w:val="2"/>
                <w:sz w:val="24"/>
                <w:szCs w:val="24"/>
                <w:highlight w:val="none"/>
              </w:rPr>
            </w:pPr>
            <w:bookmarkStart w:id="9" w:name="_Hlk49796138"/>
            <w:r>
              <w:rPr>
                <w:rFonts w:hint="default" w:ascii="Times New Roman" w:hAnsi="Times New Roman" w:cs="Times New Roman"/>
                <w:bCs/>
                <w:spacing w:val="10"/>
                <w:kern w:val="2"/>
                <w:sz w:val="24"/>
                <w:szCs w:val="24"/>
                <w:highlight w:val="none"/>
              </w:rPr>
              <w:t>施工期生态环境影响分析</w:t>
            </w:r>
            <w:bookmarkEnd w:id="9"/>
          </w:p>
        </w:tc>
        <w:tc>
          <w:tcPr>
            <w:tcW w:w="8535" w:type="dxa"/>
            <w:noWrap w:val="0"/>
            <w:vAlign w:val="top"/>
          </w:tcPr>
          <w:p w14:paraId="731BC389">
            <w:pPr>
              <w:numPr>
                <w:ilvl w:val="0"/>
                <w:numId w:val="0"/>
              </w:numPr>
              <w:adjustRightInd w:val="0"/>
              <w:snapToGrid w:val="0"/>
              <w:spacing w:line="360" w:lineRule="auto"/>
              <w:rPr>
                <w:rFonts w:hint="default" w:ascii="Times New Roman" w:hAnsi="Times New Roman" w:cs="Times New Roman"/>
                <w:b/>
                <w:bCs w:val="0"/>
                <w:sz w:val="24"/>
                <w:szCs w:val="24"/>
                <w:highlight w:val="none"/>
                <w:lang w:val="en-US" w:eastAsia="zh-CN"/>
              </w:rPr>
            </w:pPr>
            <w:r>
              <w:rPr>
                <w:rFonts w:hint="default" w:ascii="Times New Roman" w:hAnsi="Times New Roman" w:eastAsia="宋体" w:cs="Times New Roman"/>
                <w:b/>
                <w:bCs w:val="0"/>
                <w:kern w:val="2"/>
                <w:sz w:val="24"/>
                <w:szCs w:val="24"/>
                <w:highlight w:val="none"/>
                <w:lang w:val="en-US" w:eastAsia="zh-CN" w:bidi="ar-SA"/>
              </w:rPr>
              <w:t>1.</w:t>
            </w:r>
            <w:r>
              <w:rPr>
                <w:rFonts w:hint="default" w:ascii="Times New Roman" w:hAnsi="Times New Roman" w:cs="Times New Roman"/>
                <w:b/>
                <w:bCs w:val="0"/>
                <w:sz w:val="24"/>
                <w:szCs w:val="24"/>
                <w:highlight w:val="none"/>
                <w:lang w:val="en-US" w:eastAsia="zh-CN"/>
              </w:rPr>
              <w:t>施工期大气环境影响分析</w:t>
            </w:r>
          </w:p>
          <w:p w14:paraId="589FE6B7">
            <w:pPr>
              <w:pStyle w:val="17"/>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项目施工过程中主要的大气环境影响主要为运输建筑物料的车辆造成的道路扬尘；建筑材料装卸、堆放产生的扬尘；施工机械和运输车辆所排放的尾气；淤泥恶臭。施工期间产生的扬尘主要影响项目所在地周围，主要表现为空气中的总悬浮颗粒物浓度增加，尤其是在天气干燥、风速较大时影响较为显著。</w:t>
            </w:r>
          </w:p>
          <w:p w14:paraId="00AC6701">
            <w:pPr>
              <w:spacing w:line="360" w:lineRule="auto"/>
              <w:ind w:firstLine="482" w:firstLineChars="200"/>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1.1施工扬尘</w:t>
            </w:r>
          </w:p>
          <w:p w14:paraId="1FBB5F75">
            <w:pPr>
              <w:pStyle w:val="43"/>
              <w:bidi w:val="0"/>
              <w:rPr>
                <w:rFonts w:hint="default" w:ascii="Times New Roman" w:hAnsi="Times New Roman" w:cs="Times New Roman"/>
                <w:b w:val="0"/>
                <w:bCs/>
                <w:color w:val="auto"/>
                <w:sz w:val="24"/>
                <w:szCs w:val="24"/>
                <w:highlight w:val="none"/>
                <w:u w:val="none" w:color="auto"/>
                <w:lang w:val="en-US" w:eastAsia="zh-CN"/>
              </w:rPr>
            </w:pPr>
            <w:r>
              <w:rPr>
                <w:rFonts w:hint="default" w:ascii="Times New Roman" w:hAnsi="Times New Roman" w:cs="Times New Roman"/>
                <w:b w:val="0"/>
                <w:bCs/>
                <w:color w:val="auto"/>
                <w:sz w:val="24"/>
                <w:szCs w:val="24"/>
                <w:highlight w:val="none"/>
                <w:u w:val="none" w:color="auto"/>
                <w:lang w:val="en-US" w:eastAsia="zh-CN"/>
              </w:rPr>
              <w:t>（1）道路扬尘影响分析</w:t>
            </w:r>
          </w:p>
          <w:p w14:paraId="110D2DB6">
            <w:pPr>
              <w:pStyle w:val="43"/>
              <w:bidi w:val="0"/>
              <w:rPr>
                <w:rFonts w:hint="default" w:ascii="Times New Roman" w:hAnsi="Times New Roman" w:cs="Times New Roman"/>
                <w:b w:val="0"/>
                <w:bCs/>
                <w:color w:val="auto"/>
                <w:sz w:val="24"/>
                <w:szCs w:val="24"/>
                <w:highlight w:val="none"/>
                <w:u w:val="none" w:color="auto"/>
              </w:rPr>
            </w:pPr>
            <w:r>
              <w:rPr>
                <w:rFonts w:hint="default" w:ascii="Times New Roman" w:hAnsi="Times New Roman" w:cs="Times New Roman"/>
                <w:b w:val="0"/>
                <w:bCs/>
                <w:color w:val="auto"/>
                <w:sz w:val="24"/>
                <w:szCs w:val="24"/>
                <w:highlight w:val="none"/>
                <w:u w:val="none" w:color="auto"/>
                <w:lang w:val="en-US" w:eastAsia="zh-CN"/>
              </w:rPr>
              <w:t>在施工过程中，车辆行驶产生的扬尘量占扬尘总量的60%以上。车辆在行驶过程中产生的扬尘，在完全干燥的情况下，可按下列经验公式计算：</w:t>
            </w:r>
          </w:p>
          <w:p w14:paraId="709CF49D">
            <w:pPr>
              <w:pStyle w:val="43"/>
              <w:bidi w:val="0"/>
              <w:ind w:left="0" w:leftChars="0" w:firstLine="0" w:firstLineChars="0"/>
              <w:jc w:val="center"/>
              <w:rPr>
                <w:rFonts w:hint="default" w:ascii="Times New Roman" w:hAnsi="Times New Roman" w:cs="Times New Roman"/>
                <w:b w:val="0"/>
                <w:bCs/>
                <w:color w:val="auto"/>
                <w:sz w:val="24"/>
                <w:szCs w:val="24"/>
                <w:highlight w:val="none"/>
                <w:u w:val="none" w:color="auto"/>
                <w:lang w:eastAsia="zh-CN"/>
              </w:rPr>
            </w:pPr>
            <w:r>
              <w:rPr>
                <w:rFonts w:hint="default" w:ascii="Times New Roman" w:hAnsi="Times New Roman" w:eastAsia="宋体" w:cs="Times New Roman"/>
                <w:i w:val="0"/>
                <w:iCs w:val="0"/>
                <w:color w:val="auto"/>
                <w:position w:val="-28"/>
                <w:sz w:val="24"/>
                <w:szCs w:val="24"/>
                <w:highlight w:val="none"/>
                <w:u w:val="none" w:color="auto"/>
              </w:rPr>
              <w:object>
                <v:shape id="_x0000_i1025" o:spt="75" type="#_x0000_t75" style="height:36.6pt;width:164.1pt;" o:ole="t" filled="f" stroked="f" coordsize="21600,21600">
                  <v:path/>
                  <v:fill on="f" focussize="0,0"/>
                  <v:stroke on="f"/>
                  <v:imagedata r:id="rId15" o:title=""/>
                  <o:lock v:ext="edit" aspectratio="t"/>
                  <w10:wrap type="none"/>
                  <w10:anchorlock/>
                </v:shape>
                <o:OLEObject Type="Embed" ProgID="Equation.3" ShapeID="_x0000_i1025" DrawAspect="Content" ObjectID="_1468075725" r:id="rId14">
                  <o:LockedField>false</o:LockedField>
                </o:OLEObject>
              </w:object>
            </w:r>
          </w:p>
          <w:p w14:paraId="0B2B8DD8">
            <w:pPr>
              <w:pStyle w:val="43"/>
              <w:bidi w:val="0"/>
              <w:spacing w:line="360" w:lineRule="auto"/>
              <w:rPr>
                <w:rFonts w:hint="default" w:ascii="Times New Roman" w:hAnsi="Times New Roman" w:cs="Times New Roman"/>
                <w:b w:val="0"/>
                <w:bCs/>
                <w:color w:val="auto"/>
                <w:sz w:val="24"/>
                <w:szCs w:val="24"/>
                <w:highlight w:val="none"/>
                <w:u w:val="none" w:color="auto"/>
              </w:rPr>
            </w:pPr>
            <w:r>
              <w:rPr>
                <w:rFonts w:hint="default" w:ascii="Times New Roman" w:hAnsi="Times New Roman" w:cs="Times New Roman"/>
                <w:b w:val="0"/>
                <w:bCs/>
                <w:color w:val="auto"/>
                <w:sz w:val="24"/>
                <w:szCs w:val="24"/>
                <w:highlight w:val="none"/>
                <w:u w:val="none" w:color="auto"/>
              </w:rPr>
              <w:t>式中：Q—汽车行驶的扬尘，kg/km</w:t>
            </w:r>
            <w:r>
              <w:rPr>
                <w:rFonts w:hint="eastAsia" w:cs="Times New Roman"/>
                <w:b w:val="0"/>
                <w:bCs/>
                <w:color w:val="auto"/>
                <w:sz w:val="24"/>
                <w:szCs w:val="24"/>
                <w:highlight w:val="none"/>
                <w:u w:val="none" w:color="auto"/>
                <w:lang w:val="en-US" w:eastAsia="zh-CN"/>
              </w:rPr>
              <w:t>·</w:t>
            </w:r>
            <w:r>
              <w:rPr>
                <w:rFonts w:hint="eastAsia" w:cs="Times New Roman"/>
                <w:b w:val="0"/>
                <w:bCs/>
                <w:color w:val="auto"/>
                <w:sz w:val="24"/>
                <w:szCs w:val="24"/>
                <w:highlight w:val="none"/>
                <w:u w:val="none" w:color="auto"/>
                <w:lang w:eastAsia="zh-CN"/>
              </w:rPr>
              <w:t>辆</w:t>
            </w:r>
            <w:r>
              <w:rPr>
                <w:rFonts w:hint="default" w:ascii="Times New Roman" w:hAnsi="Times New Roman" w:cs="Times New Roman"/>
                <w:b w:val="0"/>
                <w:bCs/>
                <w:color w:val="auto"/>
                <w:sz w:val="24"/>
                <w:szCs w:val="24"/>
                <w:highlight w:val="none"/>
                <w:u w:val="none" w:color="auto"/>
              </w:rPr>
              <w:t>；</w:t>
            </w:r>
          </w:p>
          <w:p w14:paraId="16ECEB5B">
            <w:pPr>
              <w:pStyle w:val="43"/>
              <w:bidi w:val="0"/>
              <w:spacing w:line="360" w:lineRule="auto"/>
              <w:rPr>
                <w:rFonts w:hint="default" w:ascii="Times New Roman" w:hAnsi="Times New Roman" w:cs="Times New Roman"/>
                <w:b w:val="0"/>
                <w:bCs/>
                <w:color w:val="auto"/>
                <w:sz w:val="24"/>
                <w:szCs w:val="24"/>
                <w:highlight w:val="none"/>
                <w:u w:val="none" w:color="auto"/>
              </w:rPr>
            </w:pPr>
            <w:r>
              <w:rPr>
                <w:rFonts w:hint="default" w:ascii="Times New Roman" w:hAnsi="Times New Roman" w:cs="Times New Roman"/>
                <w:b w:val="0"/>
                <w:bCs/>
                <w:color w:val="auto"/>
                <w:sz w:val="24"/>
                <w:szCs w:val="24"/>
                <w:highlight w:val="none"/>
                <w:u w:val="none" w:color="auto"/>
              </w:rPr>
              <w:t xml:space="preserve">      v—汽车速度，km/h；</w:t>
            </w:r>
          </w:p>
          <w:p w14:paraId="6BF2EFCD">
            <w:pPr>
              <w:pStyle w:val="43"/>
              <w:bidi w:val="0"/>
              <w:spacing w:line="360" w:lineRule="auto"/>
              <w:rPr>
                <w:rFonts w:hint="default" w:ascii="Times New Roman" w:hAnsi="Times New Roman" w:cs="Times New Roman"/>
                <w:b w:val="0"/>
                <w:bCs/>
                <w:color w:val="auto"/>
                <w:sz w:val="24"/>
                <w:szCs w:val="24"/>
                <w:highlight w:val="none"/>
                <w:u w:val="none" w:color="auto"/>
              </w:rPr>
            </w:pPr>
            <w:r>
              <w:rPr>
                <w:rFonts w:hint="default" w:ascii="Times New Roman" w:hAnsi="Times New Roman" w:cs="Times New Roman"/>
                <w:b w:val="0"/>
                <w:bCs/>
                <w:color w:val="auto"/>
                <w:sz w:val="24"/>
                <w:szCs w:val="24"/>
                <w:highlight w:val="none"/>
                <w:u w:val="none" w:color="auto"/>
              </w:rPr>
              <w:t xml:space="preserve">      W—汽车载重量，t；</w:t>
            </w:r>
          </w:p>
          <w:p w14:paraId="13B459B8">
            <w:pPr>
              <w:numPr>
                <w:ilvl w:val="0"/>
                <w:numId w:val="0"/>
              </w:numPr>
              <w:adjustRightInd w:val="0"/>
              <w:snapToGrid w:val="0"/>
              <w:spacing w:line="360" w:lineRule="auto"/>
              <w:rPr>
                <w:rFonts w:hint="default" w:ascii="Times New Roman" w:hAnsi="Times New Roman" w:cs="Times New Roman"/>
                <w:b w:val="0"/>
                <w:bCs/>
                <w:color w:val="auto"/>
                <w:sz w:val="24"/>
                <w:szCs w:val="24"/>
                <w:highlight w:val="none"/>
                <w:u w:val="none" w:color="auto"/>
              </w:rPr>
            </w:pPr>
            <w:r>
              <w:rPr>
                <w:rFonts w:hint="default" w:ascii="Times New Roman" w:hAnsi="Times New Roman" w:cs="Times New Roman"/>
                <w:b w:val="0"/>
                <w:bCs/>
                <w:color w:val="auto"/>
                <w:sz w:val="24"/>
                <w:szCs w:val="24"/>
                <w:highlight w:val="none"/>
                <w:u w:val="none" w:color="auto"/>
              </w:rPr>
              <w:t xml:space="preserve">      </w:t>
            </w:r>
            <w:r>
              <w:rPr>
                <w:rFonts w:hint="default" w:ascii="Times New Roman" w:hAnsi="Times New Roman" w:cs="Times New Roman"/>
                <w:b w:val="0"/>
                <w:bCs/>
                <w:color w:val="auto"/>
                <w:sz w:val="24"/>
                <w:szCs w:val="24"/>
                <w:highlight w:val="none"/>
                <w:u w:val="none" w:color="auto"/>
                <w:lang w:val="en-US" w:eastAsia="zh-CN"/>
              </w:rPr>
              <w:t xml:space="preserve">    </w:t>
            </w:r>
            <w:r>
              <w:rPr>
                <w:rFonts w:hint="default" w:ascii="Times New Roman" w:hAnsi="Times New Roman" w:cs="Times New Roman"/>
                <w:b w:val="0"/>
                <w:bCs/>
                <w:color w:val="auto"/>
                <w:sz w:val="24"/>
                <w:szCs w:val="24"/>
                <w:highlight w:val="none"/>
                <w:u w:val="none" w:color="auto"/>
              </w:rPr>
              <w:t>P—道路表面粉尘量，kg/m</w:t>
            </w:r>
            <w:r>
              <w:rPr>
                <w:rFonts w:hint="default" w:ascii="Times New Roman" w:hAnsi="Times New Roman" w:cs="Times New Roman"/>
                <w:b w:val="0"/>
                <w:bCs/>
                <w:color w:val="auto"/>
                <w:sz w:val="24"/>
                <w:szCs w:val="24"/>
                <w:highlight w:val="none"/>
                <w:u w:val="none" w:color="auto"/>
                <w:vertAlign w:val="superscript"/>
              </w:rPr>
              <w:t>2</w:t>
            </w:r>
            <w:r>
              <w:rPr>
                <w:rFonts w:hint="default" w:ascii="Times New Roman" w:hAnsi="Times New Roman" w:cs="Times New Roman"/>
                <w:b w:val="0"/>
                <w:bCs/>
                <w:color w:val="auto"/>
                <w:sz w:val="24"/>
                <w:szCs w:val="24"/>
                <w:highlight w:val="none"/>
                <w:u w:val="none" w:color="auto"/>
              </w:rPr>
              <w:t>。</w:t>
            </w:r>
          </w:p>
          <w:p w14:paraId="68ED723C">
            <w:pPr>
              <w:pStyle w:val="43"/>
              <w:bidi w:val="0"/>
              <w:rPr>
                <w:rFonts w:hint="default" w:ascii="Times New Roman" w:hAnsi="Times New Roman" w:cs="Times New Roman"/>
                <w:b w:val="0"/>
                <w:bCs/>
                <w:color w:val="auto"/>
                <w:sz w:val="24"/>
                <w:szCs w:val="24"/>
                <w:highlight w:val="none"/>
                <w:u w:val="none" w:color="auto"/>
              </w:rPr>
            </w:pPr>
            <w:r>
              <w:rPr>
                <w:rFonts w:hint="default" w:ascii="Times New Roman" w:hAnsi="Times New Roman" w:cs="Times New Roman"/>
                <w:b w:val="0"/>
                <w:bCs/>
                <w:color w:val="auto"/>
                <w:sz w:val="24"/>
                <w:szCs w:val="24"/>
                <w:highlight w:val="none"/>
                <w:u w:val="none" w:color="auto"/>
              </w:rPr>
              <w:t>一辆载重5t的卡车，通过一段长度为500m的路面时，不同表面清洁程度，不同行驶速度情况下产生的扬尘量见下表。</w:t>
            </w:r>
          </w:p>
          <w:p w14:paraId="146810C2">
            <w:pPr>
              <w:numPr>
                <w:ilvl w:val="0"/>
                <w:numId w:val="0"/>
              </w:numPr>
              <w:adjustRightInd w:val="0"/>
              <w:snapToGrid w:val="0"/>
              <w:jc w:val="center"/>
              <w:rPr>
                <w:rFonts w:hint="default" w:ascii="Times New Roman" w:hAnsi="Times New Roman" w:cs="Times New Roman"/>
                <w:b/>
                <w:bCs w:val="0"/>
                <w:sz w:val="21"/>
                <w:szCs w:val="21"/>
                <w:highlight w:val="none"/>
                <w:lang w:val="en-US" w:eastAsia="zh-CN"/>
              </w:rPr>
            </w:pPr>
            <w:r>
              <w:rPr>
                <w:rFonts w:hint="default" w:ascii="Times New Roman" w:hAnsi="Times New Roman" w:cs="Times New Roman"/>
                <w:b/>
                <w:bCs w:val="0"/>
                <w:sz w:val="21"/>
                <w:szCs w:val="21"/>
                <w:highlight w:val="none"/>
                <w:lang w:val="en-US" w:eastAsia="zh-CN"/>
              </w:rPr>
              <w:t>不同车速和地面清洁程度时的汽车扬尘 单位：kg/km·辆</w:t>
            </w:r>
          </w:p>
          <w:tbl>
            <w:tblPr>
              <w:tblStyle w:val="19"/>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51"/>
              <w:gridCol w:w="970"/>
              <w:gridCol w:w="1143"/>
              <w:gridCol w:w="1109"/>
              <w:gridCol w:w="1061"/>
              <w:gridCol w:w="1061"/>
              <w:gridCol w:w="1019"/>
            </w:tblGrid>
            <w:tr w14:paraId="45ED10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4" w:hRule="atLeast"/>
              </w:trPr>
              <w:tc>
                <w:tcPr>
                  <w:tcW w:w="1173" w:type="pct"/>
                  <w:tcBorders>
                    <w:tl2br w:val="nil"/>
                    <w:tr2bl w:val="nil"/>
                  </w:tcBorders>
                </w:tcPr>
                <w:p w14:paraId="27B2FBE6">
                  <w:pPr>
                    <w:ind w:firstLine="630" w:firstLineChars="300"/>
                    <w:jc w:val="left"/>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rPr>
                    <mc:AlternateContent>
                      <mc:Choice Requires="wps">
                        <w:drawing>
                          <wp:anchor distT="0" distB="0" distL="114300" distR="114300" simplePos="0" relativeHeight="251660288" behindDoc="0" locked="0" layoutInCell="1" allowOverlap="1">
                            <wp:simplePos x="0" y="0"/>
                            <wp:positionH relativeFrom="column">
                              <wp:posOffset>-65405</wp:posOffset>
                            </wp:positionH>
                            <wp:positionV relativeFrom="paragraph">
                              <wp:posOffset>-3810</wp:posOffset>
                            </wp:positionV>
                            <wp:extent cx="1193165" cy="554990"/>
                            <wp:effectExtent l="1905" t="4445" r="5080" b="12065"/>
                            <wp:wrapNone/>
                            <wp:docPr id="3" name="直线 2"/>
                            <wp:cNvGraphicFramePr/>
                            <a:graphic xmlns:a="http://schemas.openxmlformats.org/drawingml/2006/main">
                              <a:graphicData uri="http://schemas.microsoft.com/office/word/2010/wordprocessingShape">
                                <wps:wsp>
                                  <wps:cNvCnPr/>
                                  <wps:spPr>
                                    <a:xfrm>
                                      <a:off x="0" y="0"/>
                                      <a:ext cx="1193165" cy="554990"/>
                                    </a:xfrm>
                                    <a:prstGeom prst="line">
                                      <a:avLst/>
                                    </a:prstGeom>
                                    <a:ln w="3175" cap="flat" cmpd="sng">
                                      <a:solidFill>
                                        <a:srgbClr val="000000"/>
                                      </a:solidFill>
                                      <a:prstDash val="solid"/>
                                      <a:headEnd type="none" w="med" len="med"/>
                                      <a:tailEnd type="none" w="med" len="med"/>
                                    </a:ln>
                                  </wps:spPr>
                                  <wps:bodyPr upright="1"/>
                                </wps:wsp>
                              </a:graphicData>
                            </a:graphic>
                          </wp:anchor>
                        </w:drawing>
                      </mc:Choice>
                      <mc:Fallback>
                        <w:pict>
                          <v:line id="直线 2" o:spid="_x0000_s1026" o:spt="20" style="position:absolute;left:0pt;margin-left:-5.15pt;margin-top:-0.3pt;height:43.7pt;width:93.95pt;z-index:251660288;mso-width-relative:page;mso-height-relative:page;" filled="f" stroked="t" coordsize="21600,21600" o:gfxdata="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M/lonLYAAAACAEAAA8AAAAAAAAAAQAgAAAAIgAAAGRycy9kb3ducmV2LnhtbFBLAQIUABQAAAAI&#10;AIdO4kABPuIU7QEAAOADAAAOAAAAAAAAAAEAIAAAACcBAABkcnMvZTJvRG9jLnhtbFBLBQYAAAAA&#10;BgAGAFkBAACGBQAAAAA=&#10;">
                            <v:fill on="f" focussize="0,0"/>
                            <v:stroke weight="0.25pt" color="#000000" joinstyle="round"/>
                            <v:imagedata o:title=""/>
                            <o:lock v:ext="edit" aspectratio="f"/>
                          </v:line>
                        </w:pict>
                      </mc:Fallback>
                    </mc:AlternateContent>
                  </w:r>
                  <w:r>
                    <w:rPr>
                      <w:rFonts w:hint="default" w:ascii="Times New Roman" w:hAnsi="Times New Roman" w:cs="Times New Roman"/>
                      <w:color w:val="auto"/>
                      <w:sz w:val="21"/>
                      <w:szCs w:val="21"/>
                      <w:highlight w:val="none"/>
                      <w:vertAlign w:val="baseline"/>
                      <w:lang w:val="en-US" w:eastAsia="zh-CN"/>
                    </w:rPr>
                    <w:t>P（kg/m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vertAlign w:val="baseline"/>
                      <w:lang w:val="en-US" w:eastAsia="zh-CN"/>
                    </w:rPr>
                    <w:t>）</w:t>
                  </w:r>
                </w:p>
                <w:p w14:paraId="69E36630">
                  <w:pPr>
                    <w:jc w:val="left"/>
                    <w:rPr>
                      <w:rFonts w:hint="default" w:ascii="Times New Roman" w:hAnsi="Times New Roman" w:cs="Times New Roman"/>
                      <w:color w:val="auto"/>
                      <w:sz w:val="21"/>
                      <w:szCs w:val="21"/>
                      <w:highlight w:val="none"/>
                      <w:vertAlign w:val="baseline"/>
                      <w:lang w:val="en-US" w:eastAsia="zh-CN"/>
                    </w:rPr>
                  </w:pPr>
                </w:p>
                <w:p w14:paraId="761316B8">
                  <w:pPr>
                    <w:jc w:val="left"/>
                    <w:rPr>
                      <w:rFonts w:hint="default" w:ascii="Times New Roman" w:hAnsi="Times New Roman" w:cs="Times New Roman"/>
                      <w:b w:val="0"/>
                      <w:bCs/>
                      <w:color w:val="auto"/>
                      <w:sz w:val="21"/>
                      <w:szCs w:val="21"/>
                      <w:highlight w:val="none"/>
                      <w:u w:val="none" w:color="auto"/>
                      <w:vertAlign w:val="baseline"/>
                      <w:lang w:val="en-US" w:eastAsia="zh-CN"/>
                    </w:rPr>
                  </w:pPr>
                  <w:r>
                    <w:rPr>
                      <w:rFonts w:hint="default" w:ascii="Times New Roman" w:hAnsi="Times New Roman" w:cs="Times New Roman"/>
                      <w:color w:val="auto"/>
                      <w:sz w:val="21"/>
                      <w:szCs w:val="21"/>
                      <w:highlight w:val="none"/>
                      <w:vertAlign w:val="baseline"/>
                      <w:lang w:val="en-US" w:eastAsia="zh-CN"/>
                    </w:rPr>
                    <w:t>车速（m/h）</w:t>
                  </w:r>
                </w:p>
              </w:tc>
              <w:tc>
                <w:tcPr>
                  <w:tcW w:w="583" w:type="pct"/>
                  <w:tcBorders>
                    <w:tl2br w:val="nil"/>
                    <w:tr2bl w:val="nil"/>
                  </w:tcBorders>
                  <w:vAlign w:val="center"/>
                </w:tcPr>
                <w:p w14:paraId="66F8ED64">
                  <w:pPr>
                    <w:numPr>
                      <w:ilvl w:val="0"/>
                      <w:numId w:val="0"/>
                    </w:numPr>
                    <w:adjustRightInd w:val="0"/>
                    <w:snapToGrid w:val="0"/>
                    <w:jc w:val="center"/>
                    <w:rPr>
                      <w:rFonts w:hint="default" w:ascii="Times New Roman" w:hAnsi="Times New Roman" w:cs="Times New Roman"/>
                      <w:b w:val="0"/>
                      <w:bCs/>
                      <w:color w:val="auto"/>
                      <w:sz w:val="21"/>
                      <w:szCs w:val="21"/>
                      <w:highlight w:val="none"/>
                      <w:u w:val="none" w:color="auto"/>
                      <w:vertAlign w:val="baseline"/>
                      <w:lang w:val="en-US" w:eastAsia="zh-CN"/>
                    </w:rPr>
                  </w:pPr>
                  <w:r>
                    <w:rPr>
                      <w:rFonts w:hint="default" w:ascii="Times New Roman" w:hAnsi="Times New Roman" w:cs="Times New Roman"/>
                      <w:b w:val="0"/>
                      <w:bCs/>
                      <w:color w:val="auto"/>
                      <w:sz w:val="21"/>
                      <w:szCs w:val="21"/>
                      <w:highlight w:val="none"/>
                      <w:u w:val="none" w:color="auto"/>
                      <w:vertAlign w:val="baseline"/>
                      <w:lang w:val="en-US" w:eastAsia="zh-CN"/>
                    </w:rPr>
                    <w:t>0.1</w:t>
                  </w:r>
                </w:p>
              </w:tc>
              <w:tc>
                <w:tcPr>
                  <w:tcW w:w="687" w:type="pct"/>
                  <w:tcBorders>
                    <w:tl2br w:val="nil"/>
                    <w:tr2bl w:val="nil"/>
                  </w:tcBorders>
                  <w:vAlign w:val="center"/>
                </w:tcPr>
                <w:p w14:paraId="64D99CED">
                  <w:pPr>
                    <w:numPr>
                      <w:ilvl w:val="0"/>
                      <w:numId w:val="0"/>
                    </w:numPr>
                    <w:adjustRightInd w:val="0"/>
                    <w:snapToGrid w:val="0"/>
                    <w:jc w:val="center"/>
                    <w:rPr>
                      <w:rFonts w:hint="default" w:ascii="Times New Roman" w:hAnsi="Times New Roman" w:cs="Times New Roman"/>
                      <w:b w:val="0"/>
                      <w:bCs/>
                      <w:color w:val="auto"/>
                      <w:sz w:val="21"/>
                      <w:szCs w:val="21"/>
                      <w:highlight w:val="none"/>
                      <w:u w:val="none" w:color="auto"/>
                      <w:vertAlign w:val="baseline"/>
                      <w:lang w:val="en-US" w:eastAsia="zh-CN"/>
                    </w:rPr>
                  </w:pPr>
                  <w:r>
                    <w:rPr>
                      <w:rFonts w:hint="default" w:ascii="Times New Roman" w:hAnsi="Times New Roman" w:cs="Times New Roman"/>
                      <w:b w:val="0"/>
                      <w:bCs/>
                      <w:color w:val="auto"/>
                      <w:sz w:val="21"/>
                      <w:szCs w:val="21"/>
                      <w:highlight w:val="none"/>
                      <w:u w:val="none" w:color="auto"/>
                      <w:vertAlign w:val="baseline"/>
                      <w:lang w:val="en-US" w:eastAsia="zh-CN"/>
                    </w:rPr>
                    <w:t>0.2</w:t>
                  </w:r>
                </w:p>
              </w:tc>
              <w:tc>
                <w:tcPr>
                  <w:tcW w:w="667" w:type="pct"/>
                  <w:tcBorders>
                    <w:tl2br w:val="nil"/>
                    <w:tr2bl w:val="nil"/>
                  </w:tcBorders>
                  <w:vAlign w:val="center"/>
                </w:tcPr>
                <w:p w14:paraId="457E7FB5">
                  <w:pPr>
                    <w:numPr>
                      <w:ilvl w:val="0"/>
                      <w:numId w:val="0"/>
                    </w:numPr>
                    <w:adjustRightInd w:val="0"/>
                    <w:snapToGrid w:val="0"/>
                    <w:jc w:val="center"/>
                    <w:rPr>
                      <w:rFonts w:hint="default" w:ascii="Times New Roman" w:hAnsi="Times New Roman" w:cs="Times New Roman"/>
                      <w:b w:val="0"/>
                      <w:bCs/>
                      <w:color w:val="auto"/>
                      <w:sz w:val="21"/>
                      <w:szCs w:val="21"/>
                      <w:highlight w:val="none"/>
                      <w:u w:val="none" w:color="auto"/>
                      <w:vertAlign w:val="baseline"/>
                      <w:lang w:val="en-US" w:eastAsia="zh-CN"/>
                    </w:rPr>
                  </w:pPr>
                  <w:r>
                    <w:rPr>
                      <w:rFonts w:hint="default" w:ascii="Times New Roman" w:hAnsi="Times New Roman" w:cs="Times New Roman"/>
                      <w:b w:val="0"/>
                      <w:bCs/>
                      <w:color w:val="auto"/>
                      <w:sz w:val="21"/>
                      <w:szCs w:val="21"/>
                      <w:highlight w:val="none"/>
                      <w:u w:val="none" w:color="auto"/>
                      <w:vertAlign w:val="baseline"/>
                      <w:lang w:val="en-US" w:eastAsia="zh-CN"/>
                    </w:rPr>
                    <w:t>0.3</w:t>
                  </w:r>
                </w:p>
              </w:tc>
              <w:tc>
                <w:tcPr>
                  <w:tcW w:w="638" w:type="pct"/>
                  <w:tcBorders>
                    <w:tl2br w:val="nil"/>
                    <w:tr2bl w:val="nil"/>
                  </w:tcBorders>
                  <w:vAlign w:val="center"/>
                </w:tcPr>
                <w:p w14:paraId="3D1F0CA4">
                  <w:pPr>
                    <w:numPr>
                      <w:ilvl w:val="0"/>
                      <w:numId w:val="0"/>
                    </w:numPr>
                    <w:adjustRightInd w:val="0"/>
                    <w:snapToGrid w:val="0"/>
                    <w:jc w:val="center"/>
                    <w:rPr>
                      <w:rFonts w:hint="default" w:ascii="Times New Roman" w:hAnsi="Times New Roman" w:cs="Times New Roman"/>
                      <w:b w:val="0"/>
                      <w:bCs/>
                      <w:color w:val="auto"/>
                      <w:sz w:val="21"/>
                      <w:szCs w:val="21"/>
                      <w:highlight w:val="none"/>
                      <w:u w:val="none" w:color="auto"/>
                      <w:vertAlign w:val="baseline"/>
                      <w:lang w:val="en-US" w:eastAsia="zh-CN"/>
                    </w:rPr>
                  </w:pPr>
                  <w:r>
                    <w:rPr>
                      <w:rFonts w:hint="default" w:ascii="Times New Roman" w:hAnsi="Times New Roman" w:cs="Times New Roman"/>
                      <w:b w:val="0"/>
                      <w:bCs/>
                      <w:color w:val="auto"/>
                      <w:sz w:val="21"/>
                      <w:szCs w:val="21"/>
                      <w:highlight w:val="none"/>
                      <w:u w:val="none" w:color="auto"/>
                      <w:vertAlign w:val="baseline"/>
                      <w:lang w:val="en-US" w:eastAsia="zh-CN"/>
                    </w:rPr>
                    <w:t>0.4</w:t>
                  </w:r>
                </w:p>
              </w:tc>
              <w:tc>
                <w:tcPr>
                  <w:tcW w:w="638" w:type="pct"/>
                  <w:tcBorders>
                    <w:tl2br w:val="nil"/>
                    <w:tr2bl w:val="nil"/>
                  </w:tcBorders>
                  <w:vAlign w:val="center"/>
                </w:tcPr>
                <w:p w14:paraId="3764020A">
                  <w:pPr>
                    <w:numPr>
                      <w:ilvl w:val="0"/>
                      <w:numId w:val="0"/>
                    </w:numPr>
                    <w:adjustRightInd w:val="0"/>
                    <w:snapToGrid w:val="0"/>
                    <w:jc w:val="center"/>
                    <w:rPr>
                      <w:rFonts w:hint="default" w:ascii="Times New Roman" w:hAnsi="Times New Roman" w:cs="Times New Roman"/>
                      <w:b w:val="0"/>
                      <w:bCs/>
                      <w:color w:val="auto"/>
                      <w:sz w:val="21"/>
                      <w:szCs w:val="21"/>
                      <w:highlight w:val="none"/>
                      <w:u w:val="none" w:color="auto"/>
                      <w:vertAlign w:val="baseline"/>
                      <w:lang w:val="en-US" w:eastAsia="zh-CN"/>
                    </w:rPr>
                  </w:pPr>
                  <w:r>
                    <w:rPr>
                      <w:rFonts w:hint="default" w:ascii="Times New Roman" w:hAnsi="Times New Roman" w:cs="Times New Roman"/>
                      <w:b w:val="0"/>
                      <w:bCs/>
                      <w:color w:val="auto"/>
                      <w:sz w:val="21"/>
                      <w:szCs w:val="21"/>
                      <w:highlight w:val="none"/>
                      <w:u w:val="none" w:color="auto"/>
                      <w:vertAlign w:val="baseline"/>
                      <w:lang w:val="en-US" w:eastAsia="zh-CN"/>
                    </w:rPr>
                    <w:t>0.5</w:t>
                  </w:r>
                </w:p>
              </w:tc>
              <w:tc>
                <w:tcPr>
                  <w:tcW w:w="612" w:type="pct"/>
                  <w:tcBorders>
                    <w:tl2br w:val="nil"/>
                    <w:tr2bl w:val="nil"/>
                  </w:tcBorders>
                  <w:vAlign w:val="center"/>
                </w:tcPr>
                <w:p w14:paraId="33CA45A7">
                  <w:pPr>
                    <w:numPr>
                      <w:ilvl w:val="0"/>
                      <w:numId w:val="0"/>
                    </w:numPr>
                    <w:adjustRightInd w:val="0"/>
                    <w:snapToGrid w:val="0"/>
                    <w:jc w:val="center"/>
                    <w:rPr>
                      <w:rFonts w:hint="default" w:ascii="Times New Roman" w:hAnsi="Times New Roman" w:cs="Times New Roman"/>
                      <w:b w:val="0"/>
                      <w:bCs/>
                      <w:color w:val="auto"/>
                      <w:sz w:val="21"/>
                      <w:szCs w:val="21"/>
                      <w:highlight w:val="none"/>
                      <w:u w:val="none" w:color="auto"/>
                      <w:vertAlign w:val="baseline"/>
                      <w:lang w:val="en-US" w:eastAsia="zh-CN"/>
                    </w:rPr>
                  </w:pPr>
                  <w:r>
                    <w:rPr>
                      <w:rFonts w:hint="default" w:ascii="Times New Roman" w:hAnsi="Times New Roman" w:cs="Times New Roman"/>
                      <w:b w:val="0"/>
                      <w:bCs/>
                      <w:color w:val="auto"/>
                      <w:sz w:val="21"/>
                      <w:szCs w:val="21"/>
                      <w:highlight w:val="none"/>
                      <w:u w:val="none" w:color="auto"/>
                      <w:vertAlign w:val="baseline"/>
                      <w:lang w:val="en-US" w:eastAsia="zh-CN"/>
                    </w:rPr>
                    <w:t>1.0</w:t>
                  </w:r>
                </w:p>
              </w:tc>
            </w:tr>
            <w:tr w14:paraId="35A1B8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3" w:type="pct"/>
                  <w:tcBorders>
                    <w:tl2br w:val="nil"/>
                    <w:tr2bl w:val="nil"/>
                  </w:tcBorders>
                  <w:vAlign w:val="center"/>
                </w:tcPr>
                <w:p w14:paraId="548162A2">
                  <w:pPr>
                    <w:numPr>
                      <w:ilvl w:val="0"/>
                      <w:numId w:val="0"/>
                    </w:numPr>
                    <w:adjustRightInd w:val="0"/>
                    <w:snapToGrid w:val="0"/>
                    <w:ind w:left="0" w:leftChars="0" w:firstLine="0" w:firstLineChars="0"/>
                    <w:jc w:val="center"/>
                    <w:rPr>
                      <w:rFonts w:hint="default" w:ascii="Times New Roman" w:hAnsi="Times New Roman" w:eastAsia="宋体" w:cs="Times New Roman"/>
                      <w:bCs/>
                      <w:kern w:val="2"/>
                      <w:sz w:val="21"/>
                      <w:szCs w:val="21"/>
                      <w:highlight w:val="none"/>
                      <w:vertAlign w:val="baseline"/>
                      <w:lang w:val="en-US" w:eastAsia="zh-CN" w:bidi="ar-SA"/>
                    </w:rPr>
                  </w:pPr>
                  <w:r>
                    <w:rPr>
                      <w:rFonts w:hint="default" w:ascii="Times New Roman" w:hAnsi="Times New Roman" w:cs="Times New Roman"/>
                      <w:bCs/>
                      <w:sz w:val="21"/>
                      <w:szCs w:val="21"/>
                      <w:highlight w:val="none"/>
                      <w:vertAlign w:val="baseline"/>
                      <w:lang w:val="en-US" w:eastAsia="zh-CN"/>
                    </w:rPr>
                    <w:t>5</w:t>
                  </w:r>
                </w:p>
              </w:tc>
              <w:tc>
                <w:tcPr>
                  <w:tcW w:w="583" w:type="pct"/>
                  <w:tcBorders>
                    <w:tl2br w:val="nil"/>
                    <w:tr2bl w:val="nil"/>
                  </w:tcBorders>
                  <w:vAlign w:val="center"/>
                </w:tcPr>
                <w:p w14:paraId="4CD00EA5">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0.0283</w:t>
                  </w:r>
                </w:p>
              </w:tc>
              <w:tc>
                <w:tcPr>
                  <w:tcW w:w="687" w:type="pct"/>
                  <w:tcBorders>
                    <w:tl2br w:val="nil"/>
                    <w:tr2bl w:val="nil"/>
                  </w:tcBorders>
                  <w:vAlign w:val="center"/>
                </w:tcPr>
                <w:p w14:paraId="4A7E44E0">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0.0476</w:t>
                  </w:r>
                </w:p>
              </w:tc>
              <w:tc>
                <w:tcPr>
                  <w:tcW w:w="667" w:type="pct"/>
                  <w:tcBorders>
                    <w:tl2br w:val="nil"/>
                    <w:tr2bl w:val="nil"/>
                  </w:tcBorders>
                  <w:vAlign w:val="center"/>
                </w:tcPr>
                <w:p w14:paraId="3D4DD96A">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0.0646</w:t>
                  </w:r>
                </w:p>
              </w:tc>
              <w:tc>
                <w:tcPr>
                  <w:tcW w:w="638" w:type="pct"/>
                  <w:tcBorders>
                    <w:tl2br w:val="nil"/>
                    <w:tr2bl w:val="nil"/>
                  </w:tcBorders>
                  <w:vAlign w:val="center"/>
                </w:tcPr>
                <w:p w14:paraId="4AECA7C0">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0.0801</w:t>
                  </w:r>
                </w:p>
              </w:tc>
              <w:tc>
                <w:tcPr>
                  <w:tcW w:w="638" w:type="pct"/>
                  <w:tcBorders>
                    <w:tl2br w:val="nil"/>
                    <w:tr2bl w:val="nil"/>
                  </w:tcBorders>
                  <w:vAlign w:val="center"/>
                </w:tcPr>
                <w:p w14:paraId="19A3695E">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0.0947</w:t>
                  </w:r>
                </w:p>
              </w:tc>
              <w:tc>
                <w:tcPr>
                  <w:tcW w:w="612" w:type="pct"/>
                  <w:tcBorders>
                    <w:tl2br w:val="nil"/>
                    <w:tr2bl w:val="nil"/>
                  </w:tcBorders>
                  <w:vAlign w:val="center"/>
                </w:tcPr>
                <w:p w14:paraId="498C2C11">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0.1593</w:t>
                  </w:r>
                </w:p>
              </w:tc>
            </w:tr>
            <w:tr w14:paraId="7FC4C6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3" w:type="pct"/>
                  <w:tcBorders>
                    <w:tl2br w:val="nil"/>
                    <w:tr2bl w:val="nil"/>
                  </w:tcBorders>
                  <w:vAlign w:val="center"/>
                </w:tcPr>
                <w:p w14:paraId="2C988081">
                  <w:pPr>
                    <w:numPr>
                      <w:ilvl w:val="0"/>
                      <w:numId w:val="0"/>
                    </w:numPr>
                    <w:adjustRightInd w:val="0"/>
                    <w:snapToGrid w:val="0"/>
                    <w:ind w:left="0" w:leftChars="0" w:firstLine="0" w:firstLineChars="0"/>
                    <w:jc w:val="center"/>
                    <w:rPr>
                      <w:rFonts w:hint="default" w:ascii="Times New Roman" w:hAnsi="Times New Roman" w:eastAsia="宋体" w:cs="Times New Roman"/>
                      <w:bCs/>
                      <w:kern w:val="2"/>
                      <w:sz w:val="21"/>
                      <w:szCs w:val="21"/>
                      <w:highlight w:val="none"/>
                      <w:vertAlign w:val="baseline"/>
                      <w:lang w:val="en-US" w:eastAsia="zh-CN" w:bidi="ar-SA"/>
                    </w:rPr>
                  </w:pPr>
                  <w:r>
                    <w:rPr>
                      <w:rFonts w:hint="default" w:ascii="Times New Roman" w:hAnsi="Times New Roman" w:cs="Times New Roman"/>
                      <w:bCs/>
                      <w:sz w:val="21"/>
                      <w:szCs w:val="21"/>
                      <w:highlight w:val="none"/>
                      <w:vertAlign w:val="baseline"/>
                      <w:lang w:val="en-US" w:eastAsia="zh-CN"/>
                    </w:rPr>
                    <w:t>10</w:t>
                  </w:r>
                </w:p>
              </w:tc>
              <w:tc>
                <w:tcPr>
                  <w:tcW w:w="583" w:type="pct"/>
                  <w:tcBorders>
                    <w:tl2br w:val="nil"/>
                    <w:tr2bl w:val="nil"/>
                  </w:tcBorders>
                  <w:vAlign w:val="center"/>
                </w:tcPr>
                <w:p w14:paraId="03BC8991">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0.0526</w:t>
                  </w:r>
                </w:p>
              </w:tc>
              <w:tc>
                <w:tcPr>
                  <w:tcW w:w="687" w:type="pct"/>
                  <w:tcBorders>
                    <w:tl2br w:val="nil"/>
                    <w:tr2bl w:val="nil"/>
                  </w:tcBorders>
                  <w:vAlign w:val="center"/>
                </w:tcPr>
                <w:p w14:paraId="5B49AC39">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0.953</w:t>
                  </w:r>
                </w:p>
              </w:tc>
              <w:tc>
                <w:tcPr>
                  <w:tcW w:w="667" w:type="pct"/>
                  <w:tcBorders>
                    <w:tl2br w:val="nil"/>
                    <w:tr2bl w:val="nil"/>
                  </w:tcBorders>
                  <w:vAlign w:val="center"/>
                </w:tcPr>
                <w:p w14:paraId="69A5BAB1">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0.1291</w:t>
                  </w:r>
                </w:p>
              </w:tc>
              <w:tc>
                <w:tcPr>
                  <w:tcW w:w="638" w:type="pct"/>
                  <w:tcBorders>
                    <w:tl2br w:val="nil"/>
                    <w:tr2bl w:val="nil"/>
                  </w:tcBorders>
                  <w:vAlign w:val="center"/>
                </w:tcPr>
                <w:p w14:paraId="3CD84CB3">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0.1602</w:t>
                  </w:r>
                </w:p>
              </w:tc>
              <w:tc>
                <w:tcPr>
                  <w:tcW w:w="638" w:type="pct"/>
                  <w:tcBorders>
                    <w:tl2br w:val="nil"/>
                    <w:tr2bl w:val="nil"/>
                  </w:tcBorders>
                  <w:vAlign w:val="center"/>
                </w:tcPr>
                <w:p w14:paraId="561DBD93">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0.1894</w:t>
                  </w:r>
                </w:p>
              </w:tc>
              <w:tc>
                <w:tcPr>
                  <w:tcW w:w="612" w:type="pct"/>
                  <w:tcBorders>
                    <w:tl2br w:val="nil"/>
                    <w:tr2bl w:val="nil"/>
                  </w:tcBorders>
                  <w:vAlign w:val="center"/>
                </w:tcPr>
                <w:p w14:paraId="329720A3">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0.3186</w:t>
                  </w:r>
                </w:p>
              </w:tc>
            </w:tr>
            <w:tr w14:paraId="091798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3" w:type="pct"/>
                  <w:tcBorders>
                    <w:tl2br w:val="nil"/>
                    <w:tr2bl w:val="nil"/>
                  </w:tcBorders>
                  <w:vAlign w:val="center"/>
                </w:tcPr>
                <w:p w14:paraId="26B5FFC3">
                  <w:pPr>
                    <w:numPr>
                      <w:ilvl w:val="0"/>
                      <w:numId w:val="0"/>
                    </w:numPr>
                    <w:adjustRightInd w:val="0"/>
                    <w:snapToGrid w:val="0"/>
                    <w:ind w:left="0" w:leftChars="0" w:firstLine="0" w:firstLineChars="0"/>
                    <w:jc w:val="center"/>
                    <w:rPr>
                      <w:rFonts w:hint="default" w:ascii="Times New Roman" w:hAnsi="Times New Roman" w:eastAsia="宋体" w:cs="Times New Roman"/>
                      <w:bCs/>
                      <w:kern w:val="2"/>
                      <w:sz w:val="21"/>
                      <w:szCs w:val="21"/>
                      <w:highlight w:val="none"/>
                      <w:vertAlign w:val="baseline"/>
                      <w:lang w:val="en-US" w:eastAsia="zh-CN" w:bidi="ar-SA"/>
                    </w:rPr>
                  </w:pPr>
                  <w:r>
                    <w:rPr>
                      <w:rFonts w:hint="default" w:ascii="Times New Roman" w:hAnsi="Times New Roman" w:cs="Times New Roman"/>
                      <w:bCs/>
                      <w:sz w:val="21"/>
                      <w:szCs w:val="21"/>
                      <w:highlight w:val="none"/>
                      <w:vertAlign w:val="baseline"/>
                      <w:lang w:val="en-US" w:eastAsia="zh-CN"/>
                    </w:rPr>
                    <w:t>15</w:t>
                  </w:r>
                </w:p>
              </w:tc>
              <w:tc>
                <w:tcPr>
                  <w:tcW w:w="583" w:type="pct"/>
                  <w:tcBorders>
                    <w:tl2br w:val="nil"/>
                    <w:tr2bl w:val="nil"/>
                  </w:tcBorders>
                  <w:vAlign w:val="center"/>
                </w:tcPr>
                <w:p w14:paraId="08FC1EAE">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0.0850</w:t>
                  </w:r>
                </w:p>
              </w:tc>
              <w:tc>
                <w:tcPr>
                  <w:tcW w:w="687" w:type="pct"/>
                  <w:tcBorders>
                    <w:tl2br w:val="nil"/>
                    <w:tr2bl w:val="nil"/>
                  </w:tcBorders>
                  <w:vAlign w:val="center"/>
                </w:tcPr>
                <w:p w14:paraId="0947EDD0">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0.1429</w:t>
                  </w:r>
                </w:p>
              </w:tc>
              <w:tc>
                <w:tcPr>
                  <w:tcW w:w="667" w:type="pct"/>
                  <w:tcBorders>
                    <w:tl2br w:val="nil"/>
                    <w:tr2bl w:val="nil"/>
                  </w:tcBorders>
                  <w:vAlign w:val="center"/>
                </w:tcPr>
                <w:p w14:paraId="7A8404C3">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0.1937</w:t>
                  </w:r>
                </w:p>
              </w:tc>
              <w:tc>
                <w:tcPr>
                  <w:tcW w:w="638" w:type="pct"/>
                  <w:tcBorders>
                    <w:tl2br w:val="nil"/>
                    <w:tr2bl w:val="nil"/>
                  </w:tcBorders>
                  <w:vAlign w:val="center"/>
                </w:tcPr>
                <w:p w14:paraId="2CD23813">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0.2403</w:t>
                  </w:r>
                </w:p>
              </w:tc>
              <w:tc>
                <w:tcPr>
                  <w:tcW w:w="638" w:type="pct"/>
                  <w:tcBorders>
                    <w:tl2br w:val="nil"/>
                    <w:tr2bl w:val="nil"/>
                  </w:tcBorders>
                  <w:vAlign w:val="center"/>
                </w:tcPr>
                <w:p w14:paraId="020C9310">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0.2841</w:t>
                  </w:r>
                </w:p>
              </w:tc>
              <w:tc>
                <w:tcPr>
                  <w:tcW w:w="612" w:type="pct"/>
                  <w:tcBorders>
                    <w:tl2br w:val="nil"/>
                    <w:tr2bl w:val="nil"/>
                  </w:tcBorders>
                  <w:vAlign w:val="center"/>
                </w:tcPr>
                <w:p w14:paraId="4982E4A8">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0.4778</w:t>
                  </w:r>
                </w:p>
              </w:tc>
            </w:tr>
            <w:tr w14:paraId="53EF70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3" w:type="pct"/>
                  <w:tcBorders>
                    <w:tl2br w:val="nil"/>
                    <w:tr2bl w:val="nil"/>
                  </w:tcBorders>
                  <w:vAlign w:val="center"/>
                </w:tcPr>
                <w:p w14:paraId="63C1C290">
                  <w:pPr>
                    <w:numPr>
                      <w:ilvl w:val="0"/>
                      <w:numId w:val="0"/>
                    </w:numPr>
                    <w:adjustRightInd w:val="0"/>
                    <w:snapToGrid w:val="0"/>
                    <w:ind w:left="0" w:leftChars="0" w:firstLine="0" w:firstLineChars="0"/>
                    <w:jc w:val="center"/>
                    <w:rPr>
                      <w:rFonts w:hint="default" w:ascii="Times New Roman" w:hAnsi="Times New Roman" w:eastAsia="宋体" w:cs="Times New Roman"/>
                      <w:bCs/>
                      <w:kern w:val="2"/>
                      <w:sz w:val="21"/>
                      <w:szCs w:val="21"/>
                      <w:highlight w:val="none"/>
                      <w:vertAlign w:val="baseline"/>
                      <w:lang w:val="en-US" w:eastAsia="zh-CN" w:bidi="ar-SA"/>
                    </w:rPr>
                  </w:pPr>
                  <w:r>
                    <w:rPr>
                      <w:rFonts w:hint="default" w:ascii="Times New Roman" w:hAnsi="Times New Roman" w:cs="Times New Roman"/>
                      <w:bCs/>
                      <w:sz w:val="21"/>
                      <w:szCs w:val="21"/>
                      <w:highlight w:val="none"/>
                      <w:vertAlign w:val="baseline"/>
                      <w:lang w:val="en-US" w:eastAsia="zh-CN"/>
                    </w:rPr>
                    <w:t>20</w:t>
                  </w:r>
                </w:p>
              </w:tc>
              <w:tc>
                <w:tcPr>
                  <w:tcW w:w="583" w:type="pct"/>
                  <w:tcBorders>
                    <w:tl2br w:val="nil"/>
                    <w:tr2bl w:val="nil"/>
                  </w:tcBorders>
                  <w:vAlign w:val="center"/>
                </w:tcPr>
                <w:p w14:paraId="01204F72">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0.1133</w:t>
                  </w:r>
                </w:p>
              </w:tc>
              <w:tc>
                <w:tcPr>
                  <w:tcW w:w="687" w:type="pct"/>
                  <w:tcBorders>
                    <w:tl2br w:val="nil"/>
                    <w:tr2bl w:val="nil"/>
                  </w:tcBorders>
                  <w:vAlign w:val="center"/>
                </w:tcPr>
                <w:p w14:paraId="388C53B6">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0.1905</w:t>
                  </w:r>
                </w:p>
              </w:tc>
              <w:tc>
                <w:tcPr>
                  <w:tcW w:w="667" w:type="pct"/>
                  <w:tcBorders>
                    <w:tl2br w:val="nil"/>
                    <w:tr2bl w:val="nil"/>
                  </w:tcBorders>
                  <w:vAlign w:val="center"/>
                </w:tcPr>
                <w:p w14:paraId="782CB782">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0.2583</w:t>
                  </w:r>
                </w:p>
              </w:tc>
              <w:tc>
                <w:tcPr>
                  <w:tcW w:w="638" w:type="pct"/>
                  <w:tcBorders>
                    <w:tl2br w:val="nil"/>
                    <w:tr2bl w:val="nil"/>
                  </w:tcBorders>
                  <w:vAlign w:val="center"/>
                </w:tcPr>
                <w:p w14:paraId="0BA29E08">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0.3204</w:t>
                  </w:r>
                </w:p>
              </w:tc>
              <w:tc>
                <w:tcPr>
                  <w:tcW w:w="638" w:type="pct"/>
                  <w:tcBorders>
                    <w:tl2br w:val="nil"/>
                    <w:tr2bl w:val="nil"/>
                  </w:tcBorders>
                  <w:vAlign w:val="center"/>
                </w:tcPr>
                <w:p w14:paraId="39088D60">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0.3788</w:t>
                  </w:r>
                </w:p>
              </w:tc>
              <w:tc>
                <w:tcPr>
                  <w:tcW w:w="612" w:type="pct"/>
                  <w:tcBorders>
                    <w:tl2br w:val="nil"/>
                    <w:tr2bl w:val="nil"/>
                  </w:tcBorders>
                  <w:vAlign w:val="center"/>
                </w:tcPr>
                <w:p w14:paraId="035C6D40">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0.6371</w:t>
                  </w:r>
                </w:p>
              </w:tc>
            </w:tr>
          </w:tbl>
          <w:p w14:paraId="7A2A9F4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szCs w:val="24"/>
                <w:highlight w:val="none"/>
                <w:u w:val="none" w:color="auto"/>
              </w:rPr>
            </w:pPr>
            <w:r>
              <w:rPr>
                <w:rFonts w:hint="default" w:ascii="Times New Roman" w:hAnsi="Times New Roman" w:cs="Times New Roman"/>
                <w:b w:val="0"/>
                <w:bCs/>
                <w:color w:val="auto"/>
                <w:sz w:val="24"/>
                <w:szCs w:val="24"/>
                <w:highlight w:val="none"/>
                <w:u w:val="none" w:color="auto"/>
                <w:lang w:val="en-US" w:eastAsia="zh-CN"/>
              </w:rPr>
              <w:t>由上表可知，</w:t>
            </w:r>
            <w:r>
              <w:rPr>
                <w:rFonts w:hint="default" w:ascii="Times New Roman" w:hAnsi="Times New Roman" w:cs="Times New Roman"/>
                <w:b w:val="0"/>
                <w:bCs/>
                <w:color w:val="auto"/>
                <w:sz w:val="24"/>
                <w:szCs w:val="24"/>
                <w:highlight w:val="none"/>
                <w:u w:val="none" w:color="auto"/>
              </w:rPr>
              <w:t>在同样路面清洁情况下，车速越快，扬尘量越大；而在同样车速情况下，路面清洁度越差，则扬尘量越大。因此，限制车辆行驶速度及保持路面的清洁是减少汽车扬尘的有效手段。</w:t>
            </w:r>
          </w:p>
          <w:p w14:paraId="770DF5C6">
            <w:pPr>
              <w:pStyle w:val="43"/>
              <w:keepNext w:val="0"/>
              <w:keepLines w:val="0"/>
              <w:pageBreakBefore w:val="0"/>
              <w:kinsoku/>
              <w:wordWrap/>
              <w:overflowPunct/>
              <w:topLinePunct w:val="0"/>
              <w:bidi w:val="0"/>
              <w:snapToGrid w:val="0"/>
              <w:textAlignment w:val="auto"/>
              <w:rPr>
                <w:rFonts w:hint="default" w:ascii="Times New Roman" w:hAnsi="Times New Roman" w:cs="Times New Roman"/>
                <w:b w:val="0"/>
                <w:bCs/>
                <w:color w:val="auto"/>
                <w:sz w:val="24"/>
                <w:szCs w:val="24"/>
                <w:highlight w:val="none"/>
                <w:u w:val="none" w:color="auto"/>
              </w:rPr>
            </w:pPr>
            <w:r>
              <w:rPr>
                <w:rFonts w:hint="default" w:ascii="Times New Roman" w:hAnsi="Times New Roman" w:cs="Times New Roman"/>
                <w:b w:val="0"/>
                <w:bCs/>
                <w:color w:val="auto"/>
                <w:sz w:val="24"/>
                <w:szCs w:val="24"/>
                <w:highlight w:val="none"/>
                <w:u w:val="none" w:color="auto"/>
                <w:lang w:eastAsia="zh-CN"/>
              </w:rPr>
              <w:t>根据项目提供资料，</w:t>
            </w:r>
            <w:r>
              <w:rPr>
                <w:rFonts w:hint="default" w:ascii="Times New Roman" w:hAnsi="Times New Roman" w:cs="Times New Roman"/>
                <w:b w:val="0"/>
                <w:bCs/>
                <w:color w:val="auto"/>
                <w:sz w:val="24"/>
                <w:szCs w:val="24"/>
                <w:highlight w:val="none"/>
                <w:u w:val="none" w:color="auto"/>
              </w:rPr>
              <w:t>经过洒水抑尘，可降低扬尘70%左右，将其影响控制在20～50m范围内。一般而言，在城区中施工，在无降尘措施的情况下，当风速小于3m/s时，扬尘的影响范围小于施工场地外100m；当风速小于4m/s时，扬尘的影响范围小于施工场地外200m；当风速小于5m/s时，扬尘的影响范围小于施工场地外500m。评价认为施工期间应特别注意施工扬尘的防治问题，须采取洒水抑尘等措施，以减少施工扬尘对</w:t>
            </w:r>
            <w:r>
              <w:rPr>
                <w:rFonts w:hint="default" w:ascii="Times New Roman" w:hAnsi="Times New Roman" w:cs="Times New Roman"/>
                <w:b w:val="0"/>
                <w:bCs/>
                <w:color w:val="auto"/>
                <w:sz w:val="24"/>
                <w:szCs w:val="24"/>
                <w:highlight w:val="none"/>
                <w:u w:val="none" w:color="auto"/>
                <w:lang w:eastAsia="zh-CN"/>
              </w:rPr>
              <w:t>周边居民日常生活</w:t>
            </w:r>
            <w:r>
              <w:rPr>
                <w:rFonts w:hint="default" w:ascii="Times New Roman" w:hAnsi="Times New Roman" w:cs="Times New Roman"/>
                <w:b w:val="0"/>
                <w:bCs/>
                <w:color w:val="auto"/>
                <w:sz w:val="24"/>
                <w:szCs w:val="24"/>
                <w:highlight w:val="none"/>
                <w:u w:val="none" w:color="auto"/>
              </w:rPr>
              <w:t>的影响。</w:t>
            </w:r>
          </w:p>
          <w:p w14:paraId="394699D4">
            <w:pPr>
              <w:pStyle w:val="43"/>
              <w:keepNext w:val="0"/>
              <w:keepLines w:val="0"/>
              <w:pageBreakBefore w:val="0"/>
              <w:kinsoku/>
              <w:wordWrap/>
              <w:overflowPunct/>
              <w:topLinePunct w:val="0"/>
              <w:bidi w:val="0"/>
              <w:snapToGrid w:val="0"/>
              <w:textAlignment w:val="auto"/>
              <w:rPr>
                <w:rFonts w:hint="default" w:ascii="Times New Roman" w:hAnsi="Times New Roman" w:cs="Times New Roman"/>
                <w:b w:val="0"/>
                <w:bCs/>
                <w:color w:val="auto"/>
                <w:sz w:val="24"/>
                <w:szCs w:val="24"/>
                <w:highlight w:val="none"/>
                <w:u w:val="none" w:color="auto"/>
              </w:rPr>
            </w:pPr>
            <w:r>
              <w:rPr>
                <w:rFonts w:hint="default" w:ascii="Times New Roman" w:hAnsi="Times New Roman" w:cs="Times New Roman"/>
                <w:b w:val="0"/>
                <w:bCs/>
                <w:color w:val="auto"/>
                <w:sz w:val="24"/>
                <w:szCs w:val="24"/>
                <w:highlight w:val="none"/>
                <w:u w:val="none" w:color="auto"/>
                <w:lang w:val="en-US" w:eastAsia="zh-CN"/>
              </w:rPr>
              <w:t>本项目通过设置施工围挡、在施工道路和施工现场洒水以及覆盖遮蔽物、运输车辆加盖等措施减少扬尘污染。</w:t>
            </w:r>
          </w:p>
          <w:p w14:paraId="3EB62FDB">
            <w:pPr>
              <w:pStyle w:val="43"/>
              <w:keepNext w:val="0"/>
              <w:keepLines w:val="0"/>
              <w:pageBreakBefore w:val="0"/>
              <w:kinsoku/>
              <w:wordWrap/>
              <w:overflowPunct/>
              <w:topLinePunct w:val="0"/>
              <w:bidi w:val="0"/>
              <w:snapToGrid w:val="0"/>
              <w:textAlignment w:val="auto"/>
              <w:rPr>
                <w:rFonts w:hint="default" w:ascii="Times New Roman" w:hAnsi="Times New Roman" w:cs="Times New Roman"/>
                <w:b w:val="0"/>
                <w:bCs/>
                <w:color w:val="auto"/>
                <w:sz w:val="24"/>
                <w:szCs w:val="24"/>
                <w:highlight w:val="none"/>
                <w:u w:val="none" w:color="auto"/>
                <w:lang w:val="en-US" w:eastAsia="zh-CN"/>
              </w:rPr>
            </w:pPr>
            <w:r>
              <w:rPr>
                <w:rFonts w:hint="default" w:ascii="Times New Roman" w:hAnsi="Times New Roman" w:cs="Times New Roman"/>
                <w:b w:val="0"/>
                <w:bCs/>
                <w:color w:val="auto"/>
                <w:sz w:val="24"/>
                <w:szCs w:val="24"/>
                <w:highlight w:val="none"/>
                <w:u w:val="none" w:color="auto"/>
                <w:lang w:val="en-US" w:eastAsia="zh-CN"/>
              </w:rPr>
              <w:t>（2）施工场地的风力扬尘</w:t>
            </w:r>
          </w:p>
          <w:p w14:paraId="73A3AA78">
            <w:pPr>
              <w:pStyle w:val="43"/>
              <w:bidi w:val="0"/>
              <w:spacing w:line="360" w:lineRule="auto"/>
              <w:rPr>
                <w:rFonts w:hint="default" w:ascii="Times New Roman" w:hAnsi="Times New Roman" w:cs="Times New Roman"/>
                <w:b w:val="0"/>
                <w:bCs/>
                <w:color w:val="auto"/>
                <w:sz w:val="24"/>
                <w:szCs w:val="24"/>
                <w:highlight w:val="none"/>
                <w:u w:val="none" w:color="auto"/>
              </w:rPr>
            </w:pPr>
            <w:r>
              <w:rPr>
                <w:rFonts w:hint="default" w:ascii="Times New Roman" w:hAnsi="Times New Roman" w:cs="Times New Roman"/>
                <w:b w:val="0"/>
                <w:bCs/>
                <w:color w:val="auto"/>
                <w:sz w:val="24"/>
                <w:szCs w:val="24"/>
                <w:highlight w:val="none"/>
                <w:u w:val="none" w:color="auto"/>
              </w:rPr>
              <w:t>施工阶段扬尘的另一个主要来源是</w:t>
            </w:r>
            <w:r>
              <w:rPr>
                <w:rFonts w:hint="default" w:ascii="Times New Roman" w:hAnsi="Times New Roman" w:cs="Times New Roman"/>
                <w:b w:val="0"/>
                <w:bCs/>
                <w:color w:val="auto"/>
                <w:sz w:val="24"/>
                <w:szCs w:val="24"/>
                <w:highlight w:val="none"/>
                <w:u w:val="none" w:color="auto"/>
                <w:lang w:eastAsia="zh-CN"/>
              </w:rPr>
              <w:t>施工</w:t>
            </w:r>
            <w:r>
              <w:rPr>
                <w:rFonts w:hint="default" w:ascii="Times New Roman" w:hAnsi="Times New Roman" w:cs="Times New Roman"/>
                <w:b w:val="0"/>
                <w:bCs/>
                <w:color w:val="auto"/>
                <w:sz w:val="24"/>
                <w:szCs w:val="24"/>
                <w:highlight w:val="none"/>
                <w:u w:val="none" w:color="auto"/>
              </w:rPr>
              <w:t>场地的风力扬尘</w:t>
            </w:r>
            <w:r>
              <w:rPr>
                <w:rFonts w:hint="default" w:ascii="Times New Roman" w:hAnsi="Times New Roman" w:cs="Times New Roman"/>
                <w:b w:val="0"/>
                <w:bCs/>
                <w:color w:val="auto"/>
                <w:sz w:val="24"/>
                <w:szCs w:val="24"/>
                <w:highlight w:val="none"/>
                <w:u w:val="none" w:color="auto"/>
                <w:lang w:eastAsia="zh-CN"/>
              </w:rPr>
              <w:t>，再加上</w:t>
            </w:r>
            <w:r>
              <w:rPr>
                <w:rFonts w:hint="default" w:ascii="Times New Roman" w:hAnsi="Times New Roman" w:cs="Times New Roman"/>
                <w:b w:val="0"/>
                <w:bCs/>
                <w:color w:val="auto"/>
                <w:sz w:val="24"/>
                <w:szCs w:val="24"/>
                <w:highlight w:val="none"/>
                <w:u w:val="none" w:color="auto"/>
              </w:rPr>
              <w:t>一些施工作业点表层土壤需人工开挖且临时堆放，在气候干燥又有风的情况下，会产生扬尘，其扬尘量可按堆场起尘的经验公式计算：</w:t>
            </w:r>
          </w:p>
          <w:p w14:paraId="304A5D14">
            <w:pPr>
              <w:pStyle w:val="43"/>
              <w:bidi w:val="0"/>
              <w:ind w:left="0" w:leftChars="0" w:firstLine="0" w:firstLineChars="0"/>
              <w:jc w:val="center"/>
              <w:rPr>
                <w:rFonts w:hint="default" w:ascii="Times New Roman" w:hAnsi="Times New Roman" w:cs="Times New Roman"/>
                <w:b w:val="0"/>
                <w:bCs/>
                <w:color w:val="auto"/>
                <w:sz w:val="24"/>
                <w:szCs w:val="24"/>
                <w:highlight w:val="none"/>
                <w:u w:val="none" w:color="auto"/>
                <w:vertAlign w:val="superscript"/>
              </w:rPr>
            </w:pPr>
            <w:r>
              <w:rPr>
                <w:rFonts w:hint="default" w:ascii="Times New Roman" w:hAnsi="Times New Roman" w:cs="Times New Roman"/>
                <w:b w:val="0"/>
                <w:bCs/>
                <w:color w:val="auto"/>
                <w:sz w:val="24"/>
                <w:szCs w:val="24"/>
                <w:highlight w:val="none"/>
                <w:u w:val="none" w:color="auto"/>
              </w:rPr>
              <w:t>Q=2.1(V</w:t>
            </w:r>
            <w:r>
              <w:rPr>
                <w:rFonts w:hint="default" w:ascii="Times New Roman" w:hAnsi="Times New Roman" w:cs="Times New Roman"/>
                <w:b w:val="0"/>
                <w:bCs/>
                <w:color w:val="auto"/>
                <w:sz w:val="24"/>
                <w:szCs w:val="24"/>
                <w:highlight w:val="none"/>
                <w:u w:val="none" w:color="auto"/>
                <w:vertAlign w:val="subscript"/>
              </w:rPr>
              <w:t>50</w:t>
            </w:r>
            <w:r>
              <w:rPr>
                <w:rFonts w:hint="default" w:ascii="Times New Roman" w:hAnsi="Times New Roman" w:cs="Times New Roman"/>
                <w:b w:val="0"/>
                <w:bCs/>
                <w:color w:val="auto"/>
                <w:sz w:val="24"/>
                <w:szCs w:val="24"/>
                <w:highlight w:val="none"/>
                <w:u w:val="none" w:color="auto"/>
              </w:rPr>
              <w:t>-V</w:t>
            </w:r>
            <w:r>
              <w:rPr>
                <w:rFonts w:hint="default" w:ascii="Times New Roman" w:hAnsi="Times New Roman" w:cs="Times New Roman"/>
                <w:b w:val="0"/>
                <w:bCs/>
                <w:color w:val="auto"/>
                <w:sz w:val="24"/>
                <w:szCs w:val="24"/>
                <w:highlight w:val="none"/>
                <w:u w:val="none" w:color="auto"/>
                <w:vertAlign w:val="subscript"/>
              </w:rPr>
              <w:t>0</w:t>
            </w:r>
            <w:r>
              <w:rPr>
                <w:rFonts w:hint="default" w:ascii="Times New Roman" w:hAnsi="Times New Roman" w:cs="Times New Roman"/>
                <w:b w:val="0"/>
                <w:bCs/>
                <w:color w:val="auto"/>
                <w:sz w:val="24"/>
                <w:szCs w:val="24"/>
                <w:highlight w:val="none"/>
                <w:u w:val="none" w:color="auto"/>
              </w:rPr>
              <w:t>)</w:t>
            </w:r>
            <w:r>
              <w:rPr>
                <w:rFonts w:hint="default" w:ascii="Times New Roman" w:hAnsi="Times New Roman" w:cs="Times New Roman"/>
                <w:b w:val="0"/>
                <w:bCs/>
                <w:color w:val="auto"/>
                <w:sz w:val="24"/>
                <w:szCs w:val="24"/>
                <w:highlight w:val="none"/>
                <w:u w:val="none" w:color="auto"/>
                <w:vertAlign w:val="superscript"/>
              </w:rPr>
              <w:t>3</w:t>
            </w:r>
            <w:r>
              <w:rPr>
                <w:rFonts w:hint="default" w:ascii="Times New Roman" w:hAnsi="Times New Roman" w:cs="Times New Roman"/>
                <w:b w:val="0"/>
                <w:bCs/>
                <w:color w:val="auto"/>
                <w:sz w:val="24"/>
                <w:szCs w:val="24"/>
                <w:highlight w:val="none"/>
                <w:u w:val="none" w:color="auto"/>
              </w:rPr>
              <w:t>e</w:t>
            </w:r>
            <w:r>
              <w:rPr>
                <w:rFonts w:hint="default" w:ascii="Times New Roman" w:hAnsi="Times New Roman" w:cs="Times New Roman"/>
                <w:b w:val="0"/>
                <w:bCs/>
                <w:color w:val="auto"/>
                <w:sz w:val="24"/>
                <w:szCs w:val="24"/>
                <w:highlight w:val="none"/>
                <w:u w:val="none" w:color="auto"/>
                <w:vertAlign w:val="superscript"/>
              </w:rPr>
              <w:t>-1.023W</w:t>
            </w:r>
          </w:p>
          <w:p w14:paraId="12869CAA">
            <w:pPr>
              <w:pStyle w:val="43"/>
              <w:bidi w:val="0"/>
              <w:spacing w:line="360" w:lineRule="auto"/>
              <w:jc w:val="both"/>
              <w:rPr>
                <w:rFonts w:hint="default" w:ascii="Times New Roman" w:hAnsi="Times New Roman" w:cs="Times New Roman"/>
                <w:b w:val="0"/>
                <w:bCs/>
                <w:color w:val="auto"/>
                <w:sz w:val="24"/>
                <w:szCs w:val="24"/>
                <w:highlight w:val="none"/>
                <w:u w:val="none" w:color="auto"/>
              </w:rPr>
            </w:pPr>
            <w:r>
              <w:rPr>
                <w:rFonts w:hint="default" w:ascii="Times New Roman" w:hAnsi="Times New Roman" w:cs="Times New Roman"/>
                <w:b w:val="0"/>
                <w:bCs/>
                <w:color w:val="auto"/>
                <w:sz w:val="24"/>
                <w:szCs w:val="24"/>
                <w:highlight w:val="none"/>
                <w:u w:val="none" w:color="auto"/>
              </w:rPr>
              <w:t>式中：Q——起尘量，kg/t·a；</w:t>
            </w:r>
          </w:p>
          <w:p w14:paraId="11596A66">
            <w:pPr>
              <w:adjustRightInd w:val="0"/>
              <w:snapToGrid w:val="0"/>
              <w:spacing w:line="360" w:lineRule="auto"/>
              <w:ind w:firstLine="480"/>
              <w:rPr>
                <w:rFonts w:hint="default" w:ascii="Times New Roman" w:hAnsi="Times New Roman" w:cs="Times New Roman"/>
                <w:b w:val="0"/>
                <w:bCs/>
                <w:color w:val="auto"/>
                <w:sz w:val="24"/>
                <w:szCs w:val="24"/>
                <w:highlight w:val="none"/>
                <w:u w:val="none" w:color="auto"/>
              </w:rPr>
            </w:pPr>
            <w:r>
              <w:rPr>
                <w:rFonts w:hint="default" w:ascii="Times New Roman" w:hAnsi="Times New Roman" w:cs="Times New Roman"/>
                <w:b w:val="0"/>
                <w:bCs/>
                <w:color w:val="auto"/>
                <w:sz w:val="24"/>
                <w:szCs w:val="24"/>
                <w:highlight w:val="none"/>
                <w:u w:val="none" w:color="auto"/>
              </w:rPr>
              <w:tab/>
            </w:r>
            <w:r>
              <w:rPr>
                <w:rFonts w:hint="default" w:ascii="Times New Roman" w:hAnsi="Times New Roman" w:cs="Times New Roman"/>
                <w:b w:val="0"/>
                <w:bCs/>
                <w:color w:val="auto"/>
                <w:sz w:val="24"/>
                <w:szCs w:val="24"/>
                <w:highlight w:val="none"/>
                <w:u w:val="none" w:color="auto"/>
              </w:rPr>
              <w:t xml:space="preserve">   V</w:t>
            </w:r>
            <w:r>
              <w:rPr>
                <w:rFonts w:hint="default" w:ascii="Times New Roman" w:hAnsi="Times New Roman" w:cs="Times New Roman"/>
                <w:b w:val="0"/>
                <w:bCs/>
                <w:color w:val="auto"/>
                <w:sz w:val="24"/>
                <w:szCs w:val="24"/>
                <w:highlight w:val="none"/>
                <w:u w:val="none" w:color="auto"/>
                <w:vertAlign w:val="subscript"/>
              </w:rPr>
              <w:t>50</w:t>
            </w:r>
            <w:r>
              <w:rPr>
                <w:rFonts w:hint="default" w:ascii="Times New Roman" w:hAnsi="Times New Roman" w:cs="Times New Roman"/>
                <w:b w:val="0"/>
                <w:bCs/>
                <w:color w:val="auto"/>
                <w:sz w:val="24"/>
                <w:szCs w:val="24"/>
                <w:highlight w:val="none"/>
                <w:u w:val="none" w:color="auto"/>
              </w:rPr>
              <w:t>——距地面50m处风速，m/s；</w:t>
            </w:r>
          </w:p>
          <w:p w14:paraId="64C3FF05">
            <w:pPr>
              <w:adjustRightInd w:val="0"/>
              <w:snapToGrid w:val="0"/>
              <w:spacing w:line="360" w:lineRule="auto"/>
              <w:ind w:firstLine="480"/>
              <w:rPr>
                <w:rFonts w:hint="default" w:ascii="Times New Roman" w:hAnsi="Times New Roman" w:cs="Times New Roman"/>
                <w:b w:val="0"/>
                <w:bCs/>
                <w:color w:val="auto"/>
                <w:sz w:val="24"/>
                <w:szCs w:val="24"/>
                <w:highlight w:val="none"/>
                <w:u w:val="none" w:color="auto"/>
              </w:rPr>
            </w:pPr>
            <w:r>
              <w:rPr>
                <w:rFonts w:hint="default" w:ascii="Times New Roman" w:hAnsi="Times New Roman" w:cs="Times New Roman"/>
                <w:b w:val="0"/>
                <w:bCs/>
                <w:color w:val="auto"/>
                <w:sz w:val="24"/>
                <w:szCs w:val="24"/>
                <w:highlight w:val="none"/>
                <w:u w:val="none" w:color="auto"/>
              </w:rPr>
              <w:tab/>
            </w:r>
            <w:r>
              <w:rPr>
                <w:rFonts w:hint="default" w:ascii="Times New Roman" w:hAnsi="Times New Roman" w:cs="Times New Roman"/>
                <w:b w:val="0"/>
                <w:bCs/>
                <w:color w:val="auto"/>
                <w:sz w:val="24"/>
                <w:szCs w:val="24"/>
                <w:highlight w:val="none"/>
                <w:u w:val="none" w:color="auto"/>
              </w:rPr>
              <w:t xml:space="preserve">   V</w:t>
            </w:r>
            <w:r>
              <w:rPr>
                <w:rFonts w:hint="default" w:ascii="Times New Roman" w:hAnsi="Times New Roman" w:cs="Times New Roman"/>
                <w:b w:val="0"/>
                <w:bCs/>
                <w:color w:val="auto"/>
                <w:sz w:val="24"/>
                <w:szCs w:val="24"/>
                <w:highlight w:val="none"/>
                <w:u w:val="none" w:color="auto"/>
                <w:vertAlign w:val="subscript"/>
              </w:rPr>
              <w:t>0</w:t>
            </w:r>
            <w:r>
              <w:rPr>
                <w:rFonts w:hint="default" w:ascii="Times New Roman" w:hAnsi="Times New Roman" w:cs="Times New Roman"/>
                <w:b w:val="0"/>
                <w:bCs/>
                <w:color w:val="auto"/>
                <w:sz w:val="24"/>
                <w:szCs w:val="24"/>
                <w:highlight w:val="none"/>
                <w:u w:val="none" w:color="auto"/>
              </w:rPr>
              <w:t>——起尘风速，m/s；</w:t>
            </w:r>
          </w:p>
          <w:p w14:paraId="238F666A">
            <w:pPr>
              <w:adjustRightInd w:val="0"/>
              <w:snapToGrid w:val="0"/>
              <w:spacing w:line="360" w:lineRule="auto"/>
              <w:ind w:firstLine="480"/>
              <w:rPr>
                <w:rFonts w:hint="default" w:ascii="Times New Roman" w:hAnsi="Times New Roman" w:cs="Times New Roman"/>
                <w:b w:val="0"/>
                <w:bCs/>
                <w:color w:val="auto"/>
                <w:sz w:val="24"/>
                <w:szCs w:val="24"/>
                <w:highlight w:val="none"/>
                <w:u w:val="none" w:color="auto"/>
              </w:rPr>
            </w:pPr>
            <w:r>
              <w:rPr>
                <w:rFonts w:hint="default" w:ascii="Times New Roman" w:hAnsi="Times New Roman" w:cs="Times New Roman"/>
                <w:b w:val="0"/>
                <w:bCs/>
                <w:color w:val="auto"/>
                <w:sz w:val="24"/>
                <w:szCs w:val="24"/>
                <w:highlight w:val="none"/>
                <w:u w:val="none" w:color="auto"/>
              </w:rPr>
              <w:tab/>
            </w:r>
            <w:r>
              <w:rPr>
                <w:rFonts w:hint="default" w:ascii="Times New Roman" w:hAnsi="Times New Roman" w:cs="Times New Roman"/>
                <w:b w:val="0"/>
                <w:bCs/>
                <w:color w:val="auto"/>
                <w:sz w:val="24"/>
                <w:szCs w:val="24"/>
                <w:highlight w:val="none"/>
                <w:u w:val="none" w:color="auto"/>
              </w:rPr>
              <w:t xml:space="preserve">   W——尘粒的含水率，%。</w:t>
            </w:r>
          </w:p>
          <w:p w14:paraId="49FC7376">
            <w:pPr>
              <w:keepNext w:val="0"/>
              <w:keepLines w:val="0"/>
              <w:pageBreakBefore w:val="0"/>
              <w:widowControl w:val="0"/>
              <w:tabs>
                <w:tab w:val="left" w:pos="2307"/>
              </w:tabs>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szCs w:val="24"/>
                <w:highlight w:val="none"/>
                <w:u w:val="none" w:color="auto"/>
              </w:rPr>
            </w:pPr>
            <w:r>
              <w:rPr>
                <w:rFonts w:hint="default" w:ascii="Times New Roman" w:hAnsi="Times New Roman" w:cs="Times New Roman"/>
                <w:b w:val="0"/>
                <w:bCs/>
                <w:color w:val="auto"/>
                <w:sz w:val="24"/>
                <w:szCs w:val="24"/>
                <w:highlight w:val="none"/>
                <w:u w:val="none" w:color="auto"/>
              </w:rPr>
              <w:t>起尘风速与粒径和含水率有关，因此，减少露天堆放和保证一定的含水率及减少裸露地面是减少风力起尘的有效手段。粉尘在空气中的扩散稀释与风速等气象条件有关，也与粉尘本身的沉降速度有关。不同粒径粉尘的沉降速度见下表数据。</w:t>
            </w:r>
          </w:p>
          <w:p w14:paraId="724AE45A">
            <w:pPr>
              <w:pStyle w:val="43"/>
              <w:keepNext w:val="0"/>
              <w:keepLines w:val="0"/>
              <w:pageBreakBefore w:val="0"/>
              <w:kinsoku/>
              <w:wordWrap/>
              <w:overflowPunct/>
              <w:topLinePunct w:val="0"/>
              <w:bidi w:val="0"/>
              <w:snapToGrid w:val="0"/>
              <w:spacing w:line="240" w:lineRule="auto"/>
              <w:ind w:left="0" w:leftChars="0" w:firstLine="0" w:firstLineChars="0"/>
              <w:jc w:val="center"/>
              <w:textAlignment w:val="auto"/>
              <w:rPr>
                <w:rFonts w:hint="default" w:ascii="Times New Roman" w:hAnsi="Times New Roman" w:cs="Times New Roman"/>
                <w:b/>
                <w:bCs w:val="0"/>
                <w:color w:val="auto"/>
                <w:sz w:val="21"/>
                <w:szCs w:val="21"/>
                <w:highlight w:val="none"/>
                <w:u w:val="none" w:color="auto"/>
                <w:lang w:eastAsia="zh-CN"/>
              </w:rPr>
            </w:pPr>
            <w:r>
              <w:rPr>
                <w:rFonts w:hint="default" w:ascii="Times New Roman" w:hAnsi="Times New Roman" w:cs="Times New Roman"/>
                <w:b/>
                <w:bCs w:val="0"/>
                <w:color w:val="auto"/>
                <w:sz w:val="21"/>
                <w:szCs w:val="21"/>
                <w:highlight w:val="none"/>
                <w:u w:val="none" w:color="auto"/>
                <w:lang w:eastAsia="zh-CN"/>
              </w:rPr>
              <w:t>粉尘粒径和沉降速度的关系</w:t>
            </w:r>
          </w:p>
          <w:tbl>
            <w:tblPr>
              <w:tblStyle w:val="19"/>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05"/>
              <w:gridCol w:w="1012"/>
              <w:gridCol w:w="980"/>
              <w:gridCol w:w="897"/>
              <w:gridCol w:w="897"/>
              <w:gridCol w:w="849"/>
              <w:gridCol w:w="832"/>
              <w:gridCol w:w="742"/>
            </w:tblGrid>
            <w:tr w14:paraId="6A1780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65" w:type="pct"/>
                  <w:tcBorders>
                    <w:top w:val="single" w:color="auto" w:sz="18" w:space="0"/>
                  </w:tcBorders>
                  <w:vAlign w:val="center"/>
                </w:tcPr>
                <w:p w14:paraId="0C9D8D6A">
                  <w:pPr>
                    <w:pStyle w:val="43"/>
                    <w:keepNext w:val="0"/>
                    <w:keepLines w:val="0"/>
                    <w:pageBreakBefore w:val="0"/>
                    <w:kinsoku/>
                    <w:wordWrap/>
                    <w:overflowPunct/>
                    <w:topLinePunct w:val="0"/>
                    <w:bidi w:val="0"/>
                    <w:snapToGrid w:val="0"/>
                    <w:spacing w:line="240" w:lineRule="auto"/>
                    <w:ind w:left="0" w:leftChars="0" w:firstLine="0" w:firstLineChars="0"/>
                    <w:jc w:val="center"/>
                    <w:textAlignment w:val="auto"/>
                    <w:rPr>
                      <w:rFonts w:hint="default" w:ascii="Times New Roman" w:hAnsi="Times New Roman" w:cs="Times New Roman"/>
                      <w:b w:val="0"/>
                      <w:bCs/>
                      <w:color w:val="auto"/>
                      <w:sz w:val="21"/>
                      <w:szCs w:val="21"/>
                      <w:highlight w:val="none"/>
                      <w:u w:val="none" w:color="auto"/>
                      <w:vertAlign w:val="baseline"/>
                      <w:lang w:eastAsia="zh-CN"/>
                    </w:rPr>
                  </w:pPr>
                  <w:r>
                    <w:rPr>
                      <w:rFonts w:hint="default" w:ascii="Times New Roman" w:hAnsi="Times New Roman" w:cs="Times New Roman"/>
                      <w:b w:val="0"/>
                      <w:bCs/>
                      <w:color w:val="auto"/>
                      <w:sz w:val="21"/>
                      <w:szCs w:val="21"/>
                      <w:highlight w:val="none"/>
                      <w:u w:val="none" w:color="auto"/>
                      <w:vertAlign w:val="baseline"/>
                      <w:lang w:eastAsia="zh-CN"/>
                    </w:rPr>
                    <w:t>粉尘粒径（</w:t>
                  </w:r>
                  <w:r>
                    <w:rPr>
                      <w:rFonts w:hint="default" w:ascii="Times New Roman" w:hAnsi="Times New Roman" w:eastAsia="宋体" w:cs="Times New Roman"/>
                      <w:b w:val="0"/>
                      <w:bCs w:val="0"/>
                      <w:color w:val="auto"/>
                      <w:sz w:val="21"/>
                      <w:szCs w:val="21"/>
                      <w:highlight w:val="none"/>
                      <w:vertAlign w:val="baseline"/>
                      <w:lang w:val="en-US" w:eastAsia="zh-CN"/>
                    </w:rPr>
                    <w:t>μm</w:t>
                  </w:r>
                  <w:r>
                    <w:rPr>
                      <w:rFonts w:hint="default" w:ascii="Times New Roman" w:hAnsi="Times New Roman" w:cs="Times New Roman"/>
                      <w:b w:val="0"/>
                      <w:bCs/>
                      <w:color w:val="auto"/>
                      <w:sz w:val="21"/>
                      <w:szCs w:val="21"/>
                      <w:highlight w:val="none"/>
                      <w:u w:val="none" w:color="auto"/>
                      <w:vertAlign w:val="baseline"/>
                      <w:lang w:eastAsia="zh-CN"/>
                    </w:rPr>
                    <w:t>）</w:t>
                  </w:r>
                </w:p>
              </w:tc>
              <w:tc>
                <w:tcPr>
                  <w:tcW w:w="608" w:type="pct"/>
                  <w:tcBorders>
                    <w:top w:val="single" w:color="auto" w:sz="18" w:space="0"/>
                  </w:tcBorders>
                  <w:vAlign w:val="center"/>
                </w:tcPr>
                <w:p w14:paraId="7E36FD13">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u w:val="none" w:color="auto"/>
                      <w:vertAlign w:val="baseline"/>
                      <w:lang w:val="en-US" w:eastAsia="zh-CN"/>
                    </w:rPr>
                  </w:pPr>
                  <w:r>
                    <w:rPr>
                      <w:rFonts w:hint="default" w:ascii="Times New Roman" w:hAnsi="Times New Roman" w:cs="Times New Roman"/>
                      <w:b w:val="0"/>
                      <w:bCs/>
                      <w:color w:val="auto"/>
                      <w:sz w:val="21"/>
                      <w:szCs w:val="21"/>
                      <w:highlight w:val="none"/>
                      <w:u w:val="none" w:color="auto"/>
                      <w:vertAlign w:val="baseline"/>
                      <w:lang w:val="en-US" w:eastAsia="zh-CN"/>
                    </w:rPr>
                    <w:t>10</w:t>
                  </w:r>
                </w:p>
              </w:tc>
              <w:tc>
                <w:tcPr>
                  <w:tcW w:w="589" w:type="pct"/>
                  <w:tcBorders>
                    <w:top w:val="single" w:color="auto" w:sz="18" w:space="0"/>
                  </w:tcBorders>
                  <w:vAlign w:val="center"/>
                </w:tcPr>
                <w:p w14:paraId="1A404C82">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u w:val="none" w:color="auto"/>
                      <w:vertAlign w:val="baseline"/>
                      <w:lang w:val="en-US" w:eastAsia="zh-CN"/>
                    </w:rPr>
                  </w:pPr>
                  <w:r>
                    <w:rPr>
                      <w:rFonts w:hint="default" w:ascii="Times New Roman" w:hAnsi="Times New Roman" w:cs="Times New Roman"/>
                      <w:b w:val="0"/>
                      <w:bCs/>
                      <w:color w:val="auto"/>
                      <w:sz w:val="21"/>
                      <w:szCs w:val="21"/>
                      <w:highlight w:val="none"/>
                      <w:u w:val="none" w:color="auto"/>
                      <w:vertAlign w:val="baseline"/>
                      <w:lang w:val="en-US" w:eastAsia="zh-CN"/>
                    </w:rPr>
                    <w:t>20</w:t>
                  </w:r>
                </w:p>
              </w:tc>
              <w:tc>
                <w:tcPr>
                  <w:tcW w:w="539" w:type="pct"/>
                  <w:tcBorders>
                    <w:top w:val="single" w:color="auto" w:sz="18" w:space="0"/>
                  </w:tcBorders>
                  <w:vAlign w:val="center"/>
                </w:tcPr>
                <w:p w14:paraId="0058E9FF">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u w:val="none" w:color="auto"/>
                      <w:vertAlign w:val="baseline"/>
                      <w:lang w:val="en-US" w:eastAsia="zh-CN"/>
                    </w:rPr>
                  </w:pPr>
                  <w:r>
                    <w:rPr>
                      <w:rFonts w:hint="default" w:ascii="Times New Roman" w:hAnsi="Times New Roman" w:cs="Times New Roman"/>
                      <w:b w:val="0"/>
                      <w:bCs/>
                      <w:color w:val="auto"/>
                      <w:sz w:val="21"/>
                      <w:szCs w:val="21"/>
                      <w:highlight w:val="none"/>
                      <w:u w:val="none" w:color="auto"/>
                      <w:vertAlign w:val="baseline"/>
                      <w:lang w:val="en-US" w:eastAsia="zh-CN"/>
                    </w:rPr>
                    <w:t>30</w:t>
                  </w:r>
                </w:p>
              </w:tc>
              <w:tc>
                <w:tcPr>
                  <w:tcW w:w="539" w:type="pct"/>
                  <w:tcBorders>
                    <w:top w:val="single" w:color="auto" w:sz="18" w:space="0"/>
                  </w:tcBorders>
                  <w:vAlign w:val="center"/>
                </w:tcPr>
                <w:p w14:paraId="4CEB5CD5">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u w:val="none" w:color="auto"/>
                      <w:vertAlign w:val="baseline"/>
                      <w:lang w:val="en-US" w:eastAsia="zh-CN"/>
                    </w:rPr>
                  </w:pPr>
                  <w:r>
                    <w:rPr>
                      <w:rFonts w:hint="default" w:ascii="Times New Roman" w:hAnsi="Times New Roman" w:cs="Times New Roman"/>
                      <w:b w:val="0"/>
                      <w:bCs/>
                      <w:color w:val="auto"/>
                      <w:sz w:val="21"/>
                      <w:szCs w:val="21"/>
                      <w:highlight w:val="none"/>
                      <w:u w:val="none" w:color="auto"/>
                      <w:vertAlign w:val="baseline"/>
                      <w:lang w:val="en-US" w:eastAsia="zh-CN"/>
                    </w:rPr>
                    <w:t>40</w:t>
                  </w:r>
                </w:p>
              </w:tc>
              <w:tc>
                <w:tcPr>
                  <w:tcW w:w="510" w:type="pct"/>
                  <w:tcBorders>
                    <w:top w:val="single" w:color="auto" w:sz="18" w:space="0"/>
                  </w:tcBorders>
                  <w:vAlign w:val="center"/>
                </w:tcPr>
                <w:p w14:paraId="198B1DEF">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u w:val="none" w:color="auto"/>
                      <w:vertAlign w:val="baseline"/>
                      <w:lang w:val="en-US" w:eastAsia="zh-CN"/>
                    </w:rPr>
                  </w:pPr>
                  <w:r>
                    <w:rPr>
                      <w:rFonts w:hint="default" w:ascii="Times New Roman" w:hAnsi="Times New Roman" w:cs="Times New Roman"/>
                      <w:b w:val="0"/>
                      <w:bCs/>
                      <w:color w:val="auto"/>
                      <w:sz w:val="21"/>
                      <w:szCs w:val="21"/>
                      <w:highlight w:val="none"/>
                      <w:u w:val="none" w:color="auto"/>
                      <w:vertAlign w:val="baseline"/>
                      <w:lang w:val="en-US" w:eastAsia="zh-CN"/>
                    </w:rPr>
                    <w:t>50</w:t>
                  </w:r>
                </w:p>
              </w:tc>
              <w:tc>
                <w:tcPr>
                  <w:tcW w:w="500" w:type="pct"/>
                  <w:tcBorders>
                    <w:top w:val="single" w:color="auto" w:sz="18" w:space="0"/>
                  </w:tcBorders>
                  <w:vAlign w:val="center"/>
                </w:tcPr>
                <w:p w14:paraId="416FECDC">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u w:val="none" w:color="auto"/>
                      <w:vertAlign w:val="baseline"/>
                      <w:lang w:val="en-US" w:eastAsia="zh-CN"/>
                    </w:rPr>
                  </w:pPr>
                  <w:r>
                    <w:rPr>
                      <w:rFonts w:hint="default" w:ascii="Times New Roman" w:hAnsi="Times New Roman" w:cs="Times New Roman"/>
                      <w:b w:val="0"/>
                      <w:bCs/>
                      <w:color w:val="auto"/>
                      <w:sz w:val="21"/>
                      <w:szCs w:val="21"/>
                      <w:highlight w:val="none"/>
                      <w:u w:val="none" w:color="auto"/>
                      <w:vertAlign w:val="baseline"/>
                      <w:lang w:val="en-US" w:eastAsia="zh-CN"/>
                    </w:rPr>
                    <w:t>60</w:t>
                  </w:r>
                </w:p>
              </w:tc>
              <w:tc>
                <w:tcPr>
                  <w:tcW w:w="445" w:type="pct"/>
                  <w:tcBorders>
                    <w:top w:val="single" w:color="auto" w:sz="18" w:space="0"/>
                  </w:tcBorders>
                  <w:vAlign w:val="center"/>
                </w:tcPr>
                <w:p w14:paraId="24574298">
                  <w:pPr>
                    <w:pStyle w:val="43"/>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highlight w:val="none"/>
                      <w:u w:val="none" w:color="auto"/>
                      <w:vertAlign w:val="baseline"/>
                      <w:lang w:val="en-US" w:eastAsia="zh-CN"/>
                    </w:rPr>
                  </w:pPr>
                  <w:r>
                    <w:rPr>
                      <w:rFonts w:hint="default" w:ascii="Times New Roman" w:hAnsi="Times New Roman" w:cs="Times New Roman"/>
                      <w:b w:val="0"/>
                      <w:bCs/>
                      <w:color w:val="auto"/>
                      <w:sz w:val="21"/>
                      <w:szCs w:val="21"/>
                      <w:highlight w:val="none"/>
                      <w:u w:val="none" w:color="auto"/>
                      <w:vertAlign w:val="baseline"/>
                      <w:lang w:val="en-US" w:eastAsia="zh-CN"/>
                    </w:rPr>
                    <w:t>70</w:t>
                  </w:r>
                </w:p>
              </w:tc>
            </w:tr>
            <w:tr w14:paraId="5F6983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65" w:type="pct"/>
                  <w:vAlign w:val="center"/>
                </w:tcPr>
                <w:p w14:paraId="30442D17">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沉降速度（m/s）</w:t>
                  </w:r>
                </w:p>
              </w:tc>
              <w:tc>
                <w:tcPr>
                  <w:tcW w:w="608" w:type="pct"/>
                  <w:vAlign w:val="center"/>
                </w:tcPr>
                <w:p w14:paraId="1991971B">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0.003</w:t>
                  </w:r>
                </w:p>
              </w:tc>
              <w:tc>
                <w:tcPr>
                  <w:tcW w:w="589" w:type="pct"/>
                  <w:vAlign w:val="center"/>
                </w:tcPr>
                <w:p w14:paraId="0D127270">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0.012</w:t>
                  </w:r>
                </w:p>
              </w:tc>
              <w:tc>
                <w:tcPr>
                  <w:tcW w:w="539" w:type="pct"/>
                  <w:vAlign w:val="center"/>
                </w:tcPr>
                <w:p w14:paraId="16A90290">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0.027</w:t>
                  </w:r>
                </w:p>
              </w:tc>
              <w:tc>
                <w:tcPr>
                  <w:tcW w:w="539" w:type="pct"/>
                  <w:vAlign w:val="center"/>
                </w:tcPr>
                <w:p w14:paraId="2C6492BE">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0.048</w:t>
                  </w:r>
                </w:p>
              </w:tc>
              <w:tc>
                <w:tcPr>
                  <w:tcW w:w="510" w:type="pct"/>
                  <w:vAlign w:val="center"/>
                </w:tcPr>
                <w:p w14:paraId="5467C165">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0.075</w:t>
                  </w:r>
                </w:p>
              </w:tc>
              <w:tc>
                <w:tcPr>
                  <w:tcW w:w="500" w:type="pct"/>
                  <w:vAlign w:val="center"/>
                </w:tcPr>
                <w:p w14:paraId="4B40F43A">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0.108</w:t>
                  </w:r>
                </w:p>
              </w:tc>
              <w:tc>
                <w:tcPr>
                  <w:tcW w:w="445" w:type="pct"/>
                  <w:vAlign w:val="center"/>
                </w:tcPr>
                <w:p w14:paraId="119FECFF">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0.147</w:t>
                  </w:r>
                </w:p>
              </w:tc>
            </w:tr>
            <w:tr w14:paraId="603EDF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65" w:type="pct"/>
                  <w:vAlign w:val="center"/>
                </w:tcPr>
                <w:p w14:paraId="20817C32">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粉尘粒径（μm）</w:t>
                  </w:r>
                </w:p>
              </w:tc>
              <w:tc>
                <w:tcPr>
                  <w:tcW w:w="608" w:type="pct"/>
                  <w:vAlign w:val="center"/>
                </w:tcPr>
                <w:p w14:paraId="65A5FCEB">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80</w:t>
                  </w:r>
                </w:p>
              </w:tc>
              <w:tc>
                <w:tcPr>
                  <w:tcW w:w="589" w:type="pct"/>
                  <w:vAlign w:val="center"/>
                </w:tcPr>
                <w:p w14:paraId="0B42F6CE">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90</w:t>
                  </w:r>
                </w:p>
              </w:tc>
              <w:tc>
                <w:tcPr>
                  <w:tcW w:w="539" w:type="pct"/>
                  <w:vAlign w:val="center"/>
                </w:tcPr>
                <w:p w14:paraId="6526D2D6">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100</w:t>
                  </w:r>
                </w:p>
              </w:tc>
              <w:tc>
                <w:tcPr>
                  <w:tcW w:w="539" w:type="pct"/>
                  <w:vAlign w:val="center"/>
                </w:tcPr>
                <w:p w14:paraId="51F53419">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150</w:t>
                  </w:r>
                </w:p>
              </w:tc>
              <w:tc>
                <w:tcPr>
                  <w:tcW w:w="510" w:type="pct"/>
                  <w:vAlign w:val="center"/>
                </w:tcPr>
                <w:p w14:paraId="0F594458">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200</w:t>
                  </w:r>
                </w:p>
              </w:tc>
              <w:tc>
                <w:tcPr>
                  <w:tcW w:w="500" w:type="pct"/>
                  <w:vAlign w:val="center"/>
                </w:tcPr>
                <w:p w14:paraId="04C44663">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250</w:t>
                  </w:r>
                </w:p>
              </w:tc>
              <w:tc>
                <w:tcPr>
                  <w:tcW w:w="445" w:type="pct"/>
                  <w:vAlign w:val="center"/>
                </w:tcPr>
                <w:p w14:paraId="405E7E6C">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350</w:t>
                  </w:r>
                </w:p>
              </w:tc>
            </w:tr>
            <w:tr w14:paraId="29925E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65" w:type="pct"/>
                  <w:vAlign w:val="center"/>
                </w:tcPr>
                <w:p w14:paraId="7B4990F0">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沉降速度（m/s）</w:t>
                  </w:r>
                </w:p>
              </w:tc>
              <w:tc>
                <w:tcPr>
                  <w:tcW w:w="608" w:type="pct"/>
                  <w:vAlign w:val="center"/>
                </w:tcPr>
                <w:p w14:paraId="237C8300">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0.158</w:t>
                  </w:r>
                </w:p>
              </w:tc>
              <w:tc>
                <w:tcPr>
                  <w:tcW w:w="589" w:type="pct"/>
                  <w:vAlign w:val="center"/>
                </w:tcPr>
                <w:p w14:paraId="67241B4B">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0.170</w:t>
                  </w:r>
                </w:p>
              </w:tc>
              <w:tc>
                <w:tcPr>
                  <w:tcW w:w="539" w:type="pct"/>
                  <w:vAlign w:val="center"/>
                </w:tcPr>
                <w:p w14:paraId="6960F2DD">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0.182</w:t>
                  </w:r>
                </w:p>
              </w:tc>
              <w:tc>
                <w:tcPr>
                  <w:tcW w:w="539" w:type="pct"/>
                  <w:vAlign w:val="center"/>
                </w:tcPr>
                <w:p w14:paraId="188AFAE3">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0.239</w:t>
                  </w:r>
                </w:p>
              </w:tc>
              <w:tc>
                <w:tcPr>
                  <w:tcW w:w="510" w:type="pct"/>
                  <w:vAlign w:val="center"/>
                </w:tcPr>
                <w:p w14:paraId="700BC654">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0.804</w:t>
                  </w:r>
                </w:p>
              </w:tc>
              <w:tc>
                <w:tcPr>
                  <w:tcW w:w="500" w:type="pct"/>
                  <w:vAlign w:val="center"/>
                </w:tcPr>
                <w:p w14:paraId="3FCDE1C2">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1.005</w:t>
                  </w:r>
                </w:p>
              </w:tc>
              <w:tc>
                <w:tcPr>
                  <w:tcW w:w="445" w:type="pct"/>
                  <w:vAlign w:val="center"/>
                </w:tcPr>
                <w:p w14:paraId="444E71BB">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1.829</w:t>
                  </w:r>
                </w:p>
              </w:tc>
            </w:tr>
            <w:tr w14:paraId="63A161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65" w:type="pct"/>
                  <w:vAlign w:val="center"/>
                </w:tcPr>
                <w:p w14:paraId="590D371E">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粉尘粒径（μm）</w:t>
                  </w:r>
                </w:p>
              </w:tc>
              <w:tc>
                <w:tcPr>
                  <w:tcW w:w="608" w:type="pct"/>
                  <w:vAlign w:val="center"/>
                </w:tcPr>
                <w:p w14:paraId="6F88DC89">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450</w:t>
                  </w:r>
                </w:p>
              </w:tc>
              <w:tc>
                <w:tcPr>
                  <w:tcW w:w="589" w:type="pct"/>
                  <w:vAlign w:val="center"/>
                </w:tcPr>
                <w:p w14:paraId="60B4FD96">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550</w:t>
                  </w:r>
                </w:p>
              </w:tc>
              <w:tc>
                <w:tcPr>
                  <w:tcW w:w="539" w:type="pct"/>
                  <w:vAlign w:val="center"/>
                </w:tcPr>
                <w:p w14:paraId="7E7345AA">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650</w:t>
                  </w:r>
                </w:p>
              </w:tc>
              <w:tc>
                <w:tcPr>
                  <w:tcW w:w="539" w:type="pct"/>
                  <w:vAlign w:val="center"/>
                </w:tcPr>
                <w:p w14:paraId="35A044BA">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750</w:t>
                  </w:r>
                </w:p>
              </w:tc>
              <w:tc>
                <w:tcPr>
                  <w:tcW w:w="510" w:type="pct"/>
                  <w:vAlign w:val="center"/>
                </w:tcPr>
                <w:p w14:paraId="1A33FAFF">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850</w:t>
                  </w:r>
                </w:p>
              </w:tc>
              <w:tc>
                <w:tcPr>
                  <w:tcW w:w="500" w:type="pct"/>
                  <w:vAlign w:val="center"/>
                </w:tcPr>
                <w:p w14:paraId="467968FF">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950</w:t>
                  </w:r>
                </w:p>
              </w:tc>
              <w:tc>
                <w:tcPr>
                  <w:tcW w:w="445" w:type="pct"/>
                  <w:vAlign w:val="center"/>
                </w:tcPr>
                <w:p w14:paraId="3C344B10">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1050</w:t>
                  </w:r>
                </w:p>
              </w:tc>
            </w:tr>
            <w:tr w14:paraId="43843F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65" w:type="pct"/>
                  <w:tcBorders>
                    <w:bottom w:val="single" w:color="auto" w:sz="18" w:space="0"/>
                  </w:tcBorders>
                  <w:vAlign w:val="center"/>
                </w:tcPr>
                <w:p w14:paraId="0AAC7F22">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沉降速度（m/s）</w:t>
                  </w:r>
                </w:p>
              </w:tc>
              <w:tc>
                <w:tcPr>
                  <w:tcW w:w="608" w:type="pct"/>
                  <w:tcBorders>
                    <w:bottom w:val="single" w:color="auto" w:sz="18" w:space="0"/>
                  </w:tcBorders>
                  <w:vAlign w:val="center"/>
                </w:tcPr>
                <w:p w14:paraId="11861934">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2.211</w:t>
                  </w:r>
                </w:p>
              </w:tc>
              <w:tc>
                <w:tcPr>
                  <w:tcW w:w="589" w:type="pct"/>
                  <w:tcBorders>
                    <w:bottom w:val="single" w:color="auto" w:sz="18" w:space="0"/>
                  </w:tcBorders>
                  <w:vAlign w:val="center"/>
                </w:tcPr>
                <w:p w14:paraId="4AFD8152">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2.614</w:t>
                  </w:r>
                </w:p>
              </w:tc>
              <w:tc>
                <w:tcPr>
                  <w:tcW w:w="539" w:type="pct"/>
                  <w:tcBorders>
                    <w:bottom w:val="single" w:color="auto" w:sz="18" w:space="0"/>
                  </w:tcBorders>
                  <w:vAlign w:val="center"/>
                </w:tcPr>
                <w:p w14:paraId="76C8620E">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3.016</w:t>
                  </w:r>
                </w:p>
              </w:tc>
              <w:tc>
                <w:tcPr>
                  <w:tcW w:w="539" w:type="pct"/>
                  <w:tcBorders>
                    <w:bottom w:val="single" w:color="auto" w:sz="18" w:space="0"/>
                  </w:tcBorders>
                  <w:vAlign w:val="center"/>
                </w:tcPr>
                <w:p w14:paraId="235390AC">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3.418</w:t>
                  </w:r>
                </w:p>
              </w:tc>
              <w:tc>
                <w:tcPr>
                  <w:tcW w:w="510" w:type="pct"/>
                  <w:tcBorders>
                    <w:bottom w:val="single" w:color="auto" w:sz="18" w:space="0"/>
                  </w:tcBorders>
                  <w:vAlign w:val="center"/>
                </w:tcPr>
                <w:p w14:paraId="1AE5EC4D">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3.820</w:t>
                  </w:r>
                </w:p>
              </w:tc>
              <w:tc>
                <w:tcPr>
                  <w:tcW w:w="500" w:type="pct"/>
                  <w:tcBorders>
                    <w:bottom w:val="single" w:color="auto" w:sz="18" w:space="0"/>
                  </w:tcBorders>
                  <w:vAlign w:val="center"/>
                </w:tcPr>
                <w:p w14:paraId="3DB70E22">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4.282</w:t>
                  </w:r>
                </w:p>
              </w:tc>
              <w:tc>
                <w:tcPr>
                  <w:tcW w:w="445" w:type="pct"/>
                  <w:tcBorders>
                    <w:bottom w:val="single" w:color="auto" w:sz="18" w:space="0"/>
                  </w:tcBorders>
                  <w:vAlign w:val="center"/>
                </w:tcPr>
                <w:p w14:paraId="652C071D">
                  <w:pPr>
                    <w:adjustRightInd w:val="0"/>
                    <w:snapToGrid w:val="0"/>
                    <w:jc w:val="center"/>
                    <w:rPr>
                      <w:rFonts w:hint="default" w:ascii="Times New Roman" w:hAnsi="Times New Roman" w:eastAsia="宋体" w:cs="Times New Roman"/>
                      <w:bCs/>
                      <w:color w:val="auto"/>
                      <w:kern w:val="2"/>
                      <w:sz w:val="21"/>
                      <w:szCs w:val="21"/>
                      <w:highlight w:val="none"/>
                      <w:vertAlign w:val="baseline"/>
                      <w:lang w:val="en-US" w:eastAsia="zh-CN" w:bidi="ar-SA"/>
                    </w:rPr>
                  </w:pPr>
                  <w:r>
                    <w:rPr>
                      <w:rFonts w:hint="default" w:ascii="Times New Roman" w:hAnsi="Times New Roman" w:cs="Times New Roman"/>
                      <w:bCs/>
                      <w:color w:val="auto"/>
                      <w:sz w:val="21"/>
                      <w:szCs w:val="21"/>
                      <w:highlight w:val="none"/>
                      <w:vertAlign w:val="baseline"/>
                      <w:lang w:val="en-US" w:eastAsia="zh-CN"/>
                    </w:rPr>
                    <w:t>4.624</w:t>
                  </w:r>
                </w:p>
              </w:tc>
            </w:tr>
          </w:tbl>
          <w:p w14:paraId="5A8F859E">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bCs/>
                <w:sz w:val="24"/>
                <w:szCs w:val="24"/>
                <w:highlight w:val="none"/>
                <w:lang w:val="en-US" w:eastAsia="zh-CN"/>
              </w:rPr>
            </w:pPr>
            <w:r>
              <w:rPr>
                <w:rFonts w:hint="default" w:ascii="Times New Roman" w:hAnsi="Times New Roman" w:cs="Times New Roman"/>
                <w:bCs/>
                <w:sz w:val="24"/>
                <w:szCs w:val="24"/>
                <w:highlight w:val="none"/>
                <w:lang w:val="en-US" w:eastAsia="zh-CN"/>
              </w:rPr>
              <w:t>由表可知，粉尘的沉降速度随粒径的增大而迅速增大。当粒径为250μm时，沉降速度为1.005m/s，因此可以认为当尘粒大于250μm时，主要影响范围在扬尘点下风向近距离范围内，而真正对外环境产生影响的是一些微小粒径的粉尘，伴随着洒水抑尘和覆盖物料篷布，对周边环境影响很小。</w:t>
            </w:r>
          </w:p>
          <w:p w14:paraId="14997C91">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bCs/>
                <w:sz w:val="24"/>
                <w:szCs w:val="24"/>
                <w:highlight w:val="none"/>
                <w:lang w:val="en-US" w:eastAsia="zh-CN"/>
              </w:rPr>
            </w:pPr>
            <w:r>
              <w:rPr>
                <w:rFonts w:hint="default" w:ascii="Times New Roman" w:hAnsi="Times New Roman" w:cs="Times New Roman"/>
                <w:bCs/>
                <w:sz w:val="24"/>
                <w:szCs w:val="24"/>
                <w:highlight w:val="none"/>
                <w:lang w:val="en-US" w:eastAsia="zh-CN"/>
              </w:rPr>
              <w:t>（3）建筑施工扬尘</w:t>
            </w:r>
          </w:p>
          <w:p w14:paraId="5064BD17">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bCs/>
                <w:sz w:val="24"/>
                <w:szCs w:val="24"/>
                <w:highlight w:val="none"/>
                <w:lang w:val="en-US" w:eastAsia="zh-CN"/>
              </w:rPr>
            </w:pPr>
            <w:r>
              <w:rPr>
                <w:rFonts w:hint="default" w:ascii="Times New Roman" w:hAnsi="Times New Roman" w:cs="Times New Roman"/>
                <w:bCs/>
                <w:sz w:val="24"/>
                <w:szCs w:val="24"/>
                <w:highlight w:val="none"/>
                <w:lang w:val="en-US" w:eastAsia="zh-CN"/>
              </w:rPr>
              <w:t>由于本项目涉及土方开挖及物料运输等。会产生建筑施工扬尘，根据类比资料，施工现场近地面的粉尘随地面风速、天气情况的变化而变化，一般影响范围在工地周围50m</w:t>
            </w:r>
            <w:r>
              <w:rPr>
                <w:rFonts w:hint="eastAsia" w:cs="Times New Roman"/>
                <w:bCs/>
                <w:sz w:val="24"/>
                <w:szCs w:val="24"/>
                <w:highlight w:val="none"/>
                <w:lang w:val="en-US" w:eastAsia="zh-CN"/>
              </w:rPr>
              <w:t>～</w:t>
            </w:r>
            <w:r>
              <w:rPr>
                <w:rFonts w:hint="default" w:ascii="Times New Roman" w:hAnsi="Times New Roman" w:cs="Times New Roman"/>
                <w:bCs/>
                <w:sz w:val="24"/>
                <w:szCs w:val="24"/>
                <w:highlight w:val="none"/>
                <w:lang w:val="en-US" w:eastAsia="zh-CN"/>
              </w:rPr>
              <w:t>100m的范围内。因此，施工过程产生的扬尘不可避免会对该区域造成一定的污染影响。</w:t>
            </w:r>
          </w:p>
          <w:p w14:paraId="74898413">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bCs/>
                <w:sz w:val="24"/>
                <w:szCs w:val="24"/>
                <w:highlight w:val="none"/>
                <w:lang w:val="en-US" w:eastAsia="zh-CN"/>
              </w:rPr>
            </w:pPr>
            <w:r>
              <w:rPr>
                <w:rFonts w:hint="default" w:ascii="Times New Roman" w:hAnsi="Times New Roman" w:eastAsia="宋体" w:cs="Times New Roman"/>
                <w:bCs/>
                <w:sz w:val="24"/>
                <w:szCs w:val="24"/>
                <w:highlight w:val="none"/>
                <w:lang w:val="en-US" w:eastAsia="zh-CN"/>
              </w:rPr>
              <w:t>综上，本项目在施工过程中，应严格按照</w:t>
            </w:r>
            <w:r>
              <w:rPr>
                <w:rFonts w:hint="default" w:ascii="Times New Roman" w:hAnsi="Times New Roman" w:eastAsia="宋体" w:cs="Times New Roman"/>
                <w:sz w:val="24"/>
                <w:szCs w:val="24"/>
                <w:highlight w:val="none"/>
                <w:lang w:val="en-US" w:eastAsia="zh-CN"/>
              </w:rPr>
              <w:t>《河南省生态环境保护委员会办公室关于印发&lt;河南省2024年蓝天保卫战实施方案&gt;的通知》（豫环委办﹝2024﹞7号）、《安阳市生态环境保护委员会关于印发安阳市2024-2025年空气质量持续改善暨综合指数“退后十”攻坚行动方案的通知》（安环委〔2024〕3号）</w:t>
            </w:r>
            <w:r>
              <w:rPr>
                <w:rFonts w:hint="default" w:ascii="Times New Roman" w:hAnsi="Times New Roman" w:eastAsia="宋体" w:cs="Times New Roman"/>
                <w:bCs/>
                <w:sz w:val="24"/>
                <w:szCs w:val="24"/>
                <w:highlight w:val="none"/>
                <w:lang w:val="en-US" w:eastAsia="zh-CN"/>
              </w:rPr>
              <w:t>的要求，针对本项目施工期间扬尘及运输车辆废气，评价建议施工期建立施工工地动态管理清单，全面开展标准化施工，严格落实</w:t>
            </w:r>
            <w:r>
              <w:rPr>
                <w:rFonts w:hint="eastAsia" w:cs="Times New Roman"/>
                <w:bCs/>
                <w:sz w:val="24"/>
                <w:szCs w:val="24"/>
                <w:highlight w:val="none"/>
                <w:lang w:val="en-US" w:eastAsia="zh-CN"/>
              </w:rPr>
              <w:t>“</w:t>
            </w:r>
            <w:r>
              <w:rPr>
                <w:rFonts w:hint="default" w:ascii="Times New Roman" w:hAnsi="Times New Roman" w:eastAsia="宋体" w:cs="Times New Roman"/>
                <w:bCs/>
                <w:color w:val="auto"/>
                <w:sz w:val="24"/>
                <w:szCs w:val="24"/>
                <w:highlight w:val="none"/>
                <w:lang w:val="en-US" w:eastAsia="zh-CN"/>
              </w:rPr>
              <w:t>八个百分之百</w:t>
            </w:r>
            <w:r>
              <w:rPr>
                <w:rFonts w:hint="eastAsia" w:cs="Times New Roman"/>
                <w:bCs/>
                <w:sz w:val="24"/>
                <w:szCs w:val="24"/>
                <w:highlight w:val="none"/>
                <w:lang w:val="en-US" w:eastAsia="zh-CN"/>
              </w:rPr>
              <w:t>”</w:t>
            </w:r>
            <w:r>
              <w:rPr>
                <w:rFonts w:hint="default" w:ascii="Times New Roman" w:hAnsi="Times New Roman" w:eastAsia="宋体" w:cs="Times New Roman"/>
                <w:bCs/>
                <w:sz w:val="24"/>
                <w:szCs w:val="24"/>
                <w:highlight w:val="none"/>
                <w:lang w:val="en-US" w:eastAsia="zh-CN"/>
              </w:rPr>
              <w:t>、开复工验收、</w:t>
            </w:r>
            <w:r>
              <w:rPr>
                <w:rFonts w:hint="eastAsia" w:cs="Times New Roman"/>
                <w:bCs/>
                <w:sz w:val="24"/>
                <w:szCs w:val="24"/>
                <w:highlight w:val="none"/>
                <w:lang w:val="en-US" w:eastAsia="zh-CN"/>
              </w:rPr>
              <w:t>“</w:t>
            </w:r>
            <w:r>
              <w:rPr>
                <w:rFonts w:hint="default" w:ascii="Times New Roman" w:hAnsi="Times New Roman" w:eastAsia="宋体" w:cs="Times New Roman"/>
                <w:bCs/>
                <w:sz w:val="24"/>
                <w:szCs w:val="24"/>
                <w:highlight w:val="none"/>
                <w:lang w:val="en-US" w:eastAsia="zh-CN"/>
              </w:rPr>
              <w:t>三员</w:t>
            </w:r>
            <w:r>
              <w:rPr>
                <w:rFonts w:hint="eastAsia" w:cs="Times New Roman"/>
                <w:bCs/>
                <w:sz w:val="24"/>
                <w:szCs w:val="24"/>
                <w:highlight w:val="none"/>
                <w:lang w:val="en-US" w:eastAsia="zh-CN"/>
              </w:rPr>
              <w:t>”</w:t>
            </w:r>
            <w:r>
              <w:rPr>
                <w:rFonts w:hint="default" w:ascii="Times New Roman" w:hAnsi="Times New Roman" w:eastAsia="宋体" w:cs="Times New Roman"/>
                <w:bCs/>
                <w:sz w:val="24"/>
                <w:szCs w:val="24"/>
                <w:highlight w:val="none"/>
                <w:lang w:val="en-US" w:eastAsia="zh-CN"/>
              </w:rPr>
              <w:t>管理等制度。严格落实</w:t>
            </w:r>
            <w:r>
              <w:rPr>
                <w:rFonts w:hint="eastAsia" w:cs="Times New Roman"/>
                <w:bCs/>
                <w:sz w:val="24"/>
                <w:szCs w:val="24"/>
                <w:highlight w:val="none"/>
                <w:lang w:val="en-US" w:eastAsia="zh-CN"/>
              </w:rPr>
              <w:t>“</w:t>
            </w:r>
            <w:r>
              <w:rPr>
                <w:rFonts w:hint="default" w:ascii="Times New Roman" w:hAnsi="Times New Roman" w:eastAsia="宋体" w:cs="Times New Roman"/>
                <w:bCs/>
                <w:sz w:val="24"/>
                <w:szCs w:val="24"/>
                <w:highlight w:val="none"/>
                <w:lang w:val="en-US" w:eastAsia="zh-CN"/>
              </w:rPr>
              <w:t>两个禁止</w:t>
            </w:r>
            <w:r>
              <w:rPr>
                <w:rFonts w:hint="eastAsia" w:cs="Times New Roman"/>
                <w:bCs/>
                <w:sz w:val="24"/>
                <w:szCs w:val="24"/>
                <w:highlight w:val="none"/>
                <w:lang w:val="en-US" w:eastAsia="zh-CN"/>
              </w:rPr>
              <w:t>”</w:t>
            </w:r>
            <w:r>
              <w:rPr>
                <w:rFonts w:hint="default" w:ascii="Times New Roman" w:hAnsi="Times New Roman" w:eastAsia="宋体" w:cs="Times New Roman"/>
                <w:bCs/>
                <w:sz w:val="24"/>
                <w:szCs w:val="24"/>
                <w:highlight w:val="none"/>
                <w:lang w:val="en-US" w:eastAsia="zh-CN"/>
              </w:rPr>
              <w:t>（禁止现场搅拌混凝土、禁止现场搅拌砂浆）要求。严格渣土运输车辆规范化管理，密闭运输、清洁运输；组织做好重污染天气预警、大风天气条件下施工工地、道路扬尘管控等措施。</w:t>
            </w:r>
            <w:r>
              <w:rPr>
                <w:rFonts w:hint="default" w:ascii="Times New Roman" w:hAnsi="Times New Roman" w:cs="Times New Roman"/>
                <w:bCs/>
                <w:sz w:val="24"/>
                <w:szCs w:val="24"/>
                <w:highlight w:val="none"/>
                <w:lang w:val="en-US" w:eastAsia="zh-CN"/>
              </w:rPr>
              <w:t>具体措施如下：</w:t>
            </w:r>
          </w:p>
          <w:p w14:paraId="09373EC9">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（1）项目不设搅拌站，均使用商品混凝土，施工场地应做到禁止现场搅拌混凝土、禁止现场配制砂浆</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两个禁止</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的要求，严格执行开复工验收、</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三员</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管理、扬尘防治预算管理等制度和重污染天气应急响应等制度，加强对施工工地和拆迁（拆除）工程施工过程的监管，特别是对夜间施工工地的管理，</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三员</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现场管理要针对重点区域、重点时段进行不间断巡查，建立日监管台账，确保扬尘污染防治措施落实到位，</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三员</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管理到位且发挥作用。</w:t>
            </w:r>
          </w:p>
          <w:p w14:paraId="37BD3DB2">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（2）强化施工工地扬尘治理，项目施工工地将严格落实扬尘治理</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六个百分之百</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要求，做到：工地周边100%围挡、各类物料堆放100%覆盖、土方开挖及拆迁作业100%湿法作业、出入车辆100%清洗、施工现场路面100%硬化、渣土车辆100%密闭运输等措施，并在工地主要扬尘产生点安装视频监控装置，实行施工全过程监控。</w:t>
            </w:r>
          </w:p>
          <w:p w14:paraId="21535BFB">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（3）施工现场应沿周边连续设置硬质围挡，不得有间断、敞开，底边封闭严密，每组间隔不宜大于4m。</w:t>
            </w:r>
          </w:p>
          <w:p w14:paraId="39E12FB6">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4）对需要回填的土方及石子、砂子等进行网布或不透水的隔尘布完全遮盖抑尘，防尘布或遮蔽装置的完好率必须达到100%。对易产尘的材料，实行轻卸慢放，用封闭式库存的办法，以减少扬尘的产生，存放油料必须有防止泄漏和防止污染的措施。</w:t>
            </w:r>
          </w:p>
          <w:p w14:paraId="7964ED64">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5）项目施工过程中对施工场地进行勤洒水，保证地面湿润，降低扬尘产生。严格落实安阳市重污染天气运输管控措施，《河南省重污染天气应急预案》相关要求，启动Ⅱ级（橙色）以上预警或风速达到4级以上时，不得进行土方挖填和转运、拆除等易产生扬尘的作业，并对作业面进行覆盖。</w:t>
            </w:r>
          </w:p>
          <w:p w14:paraId="6CA0304C">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6）设置运输车辆冲洗装置：运输车辆驶出工地前，应对车轮、车身、车槽帮等部位进行清理或清洗以保证车辆清洁上路，施工场所车辆入口和出口30m内部分的路面上不应有明显的泥印、砂石、灰土等易扬尘物料，采取该措施后可降低10%左右的扬尘排放量。</w:t>
            </w:r>
          </w:p>
          <w:p w14:paraId="71263E7A">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（7）建设单位做好施工现场的交通组织，避免因施工造成的交通阻塞，也可减少运输车辆怠速产生的废气排放。</w:t>
            </w:r>
          </w:p>
          <w:p w14:paraId="157B8FF3">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同时，为积极应对持续重污染天气，本项目的施工作业应遵照《安阳市重污染天气应急预案》采取不同的回应措施。</w:t>
            </w:r>
          </w:p>
          <w:p w14:paraId="46F040EF">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通过加强管理，切实落实好上述扬尘治理措施，可最大程度减缓施工扬尘对周边环境的影响。本项目施工期较短，施工期结束后，施工场地扬尘也将随着施工期的结束而消失。</w:t>
            </w:r>
          </w:p>
          <w:p w14:paraId="186D6DD3">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2" w:firstLineChars="200"/>
              <w:textAlignment w:val="auto"/>
              <w:rPr>
                <w:rFonts w:hint="default" w:ascii="Times New Roman" w:hAnsi="Times New Roman" w:eastAsia="宋体" w:cs="Times New Roman"/>
                <w:b/>
                <w:bCs w:val="0"/>
                <w:sz w:val="24"/>
                <w:szCs w:val="24"/>
                <w:highlight w:val="none"/>
                <w:lang w:val="en-US" w:eastAsia="zh-CN"/>
              </w:rPr>
            </w:pPr>
            <w:r>
              <w:rPr>
                <w:rFonts w:hint="default" w:ascii="Times New Roman" w:hAnsi="Times New Roman" w:eastAsia="宋体" w:cs="Times New Roman"/>
                <w:b/>
                <w:bCs w:val="0"/>
                <w:sz w:val="24"/>
                <w:szCs w:val="24"/>
                <w:highlight w:val="none"/>
                <w:lang w:val="en-US" w:eastAsia="zh-CN"/>
              </w:rPr>
              <w:t>1.2</w:t>
            </w:r>
            <w:r>
              <w:rPr>
                <w:rFonts w:hint="default" w:ascii="Times New Roman" w:hAnsi="Times New Roman" w:cs="Times New Roman"/>
                <w:b/>
                <w:bCs w:val="0"/>
                <w:sz w:val="24"/>
                <w:szCs w:val="24"/>
                <w:highlight w:val="none"/>
                <w:lang w:val="en-US" w:eastAsia="zh-CN"/>
              </w:rPr>
              <w:t xml:space="preserve"> </w:t>
            </w:r>
            <w:r>
              <w:rPr>
                <w:rFonts w:hint="default" w:ascii="Times New Roman" w:hAnsi="Times New Roman" w:eastAsia="宋体" w:cs="Times New Roman"/>
                <w:b/>
                <w:bCs w:val="0"/>
                <w:sz w:val="24"/>
                <w:szCs w:val="24"/>
                <w:highlight w:val="none"/>
                <w:lang w:val="en-US" w:eastAsia="zh-CN"/>
              </w:rPr>
              <w:t>施工机械和运输车辆所排放的尾气</w:t>
            </w:r>
          </w:p>
          <w:p w14:paraId="40A18BDC">
            <w:pPr>
              <w:pStyle w:val="43"/>
              <w:keepNext w:val="0"/>
              <w:keepLines w:val="0"/>
              <w:pageBreakBefore w:val="0"/>
              <w:widowControl w:val="0"/>
              <w:kinsoku/>
              <w:wordWrap/>
              <w:overflowPunct/>
              <w:topLinePunct w:val="0"/>
              <w:autoSpaceDE/>
              <w:autoSpaceDN/>
              <w:bidi w:val="0"/>
              <w:adjustRightInd w:val="0"/>
              <w:snapToGrid w:val="0"/>
              <w:ind w:left="0" w:leftChars="0" w:firstLine="480" w:firstLineChars="200"/>
              <w:jc w:val="left"/>
              <w:textAlignment w:val="auto"/>
              <w:rPr>
                <w:rFonts w:hint="default" w:ascii="Times New Roman" w:hAnsi="Times New Roman" w:eastAsia="宋体" w:cs="Times New Roman"/>
                <w:b w:val="0"/>
                <w:bCs/>
                <w:color w:val="auto"/>
                <w:sz w:val="24"/>
                <w:szCs w:val="24"/>
                <w:highlight w:val="none"/>
                <w:u w:val="none" w:color="auto"/>
                <w:lang w:eastAsia="zh-CN"/>
              </w:rPr>
            </w:pPr>
            <w:r>
              <w:rPr>
                <w:rFonts w:hint="default" w:ascii="Times New Roman" w:hAnsi="Times New Roman" w:eastAsia="宋体" w:cs="Times New Roman"/>
                <w:bCs/>
                <w:sz w:val="24"/>
                <w:szCs w:val="24"/>
                <w:highlight w:val="none"/>
                <w:lang w:val="en-US" w:eastAsia="zh-CN"/>
              </w:rPr>
              <w:t>施工期间燃油机械设备较多，且一般采用柴油作为动力。燃柴油的大型施工运输车辆作业时会产生一些废气，其主要污染物为NOx、CO和THC。施工机械燃料以轻质柴油为主，燃油机械在使用轻质柴油时，燃烧废气中NOx、CO和THC排放量较少，且项目施工机械布设较分散，产生的污染物经自然扩散浓度很小，对周围大气环境影响较小。为了有效控制施工机械、车辆尾气污染，评价建议运输车辆禁止超载，不得使用劣质燃料；加强施工车辆管理，选用尾气排放符合国家环保排放标准的施工机械、运输车辆，保证施工车辆尾气完全达标，减少施工车辆尾气对大气环境造成污染。经采取以上措施后，施工机械、运输车辆尾气对周围环境影响较小，随着施工期的结束，此影响随即消失。</w:t>
            </w:r>
          </w:p>
          <w:p w14:paraId="1AE35FCD">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2" w:firstLineChars="200"/>
              <w:textAlignment w:val="auto"/>
              <w:rPr>
                <w:rFonts w:hint="default" w:ascii="Times New Roman" w:hAnsi="Times New Roman" w:eastAsia="宋体" w:cs="Times New Roman"/>
                <w:b/>
                <w:bCs w:val="0"/>
                <w:sz w:val="24"/>
                <w:szCs w:val="24"/>
                <w:highlight w:val="none"/>
                <w:lang w:val="en-US" w:eastAsia="zh-CN"/>
              </w:rPr>
            </w:pPr>
            <w:r>
              <w:rPr>
                <w:rFonts w:hint="default" w:ascii="Times New Roman" w:hAnsi="Times New Roman" w:eastAsia="宋体" w:cs="Times New Roman"/>
                <w:b/>
                <w:bCs w:val="0"/>
                <w:sz w:val="24"/>
                <w:szCs w:val="24"/>
                <w:highlight w:val="none"/>
                <w:lang w:val="en-US" w:eastAsia="zh-CN"/>
              </w:rPr>
              <w:t>1</w:t>
            </w:r>
            <w:r>
              <w:rPr>
                <w:rFonts w:hint="eastAsia" w:cs="Times New Roman"/>
                <w:b/>
                <w:bCs w:val="0"/>
                <w:sz w:val="24"/>
                <w:szCs w:val="24"/>
                <w:highlight w:val="none"/>
                <w:lang w:val="en-US" w:eastAsia="zh-CN"/>
              </w:rPr>
              <w:t>.</w:t>
            </w:r>
            <w:r>
              <w:rPr>
                <w:rFonts w:hint="default" w:ascii="Times New Roman" w:hAnsi="Times New Roman" w:eastAsia="宋体" w:cs="Times New Roman"/>
                <w:b/>
                <w:bCs w:val="0"/>
                <w:sz w:val="24"/>
                <w:szCs w:val="24"/>
                <w:highlight w:val="none"/>
                <w:lang w:val="en-US" w:eastAsia="zh-CN"/>
              </w:rPr>
              <w:t>3</w:t>
            </w:r>
            <w:r>
              <w:rPr>
                <w:rFonts w:hint="default" w:ascii="Times New Roman" w:hAnsi="Times New Roman" w:cs="Times New Roman"/>
                <w:b/>
                <w:bCs w:val="0"/>
                <w:sz w:val="24"/>
                <w:szCs w:val="24"/>
                <w:highlight w:val="none"/>
                <w:lang w:val="en-US" w:eastAsia="zh-CN"/>
              </w:rPr>
              <w:t xml:space="preserve"> </w:t>
            </w:r>
            <w:r>
              <w:rPr>
                <w:rFonts w:hint="default" w:ascii="Times New Roman" w:hAnsi="Times New Roman" w:eastAsia="宋体" w:cs="Times New Roman"/>
                <w:b/>
                <w:bCs w:val="0"/>
                <w:sz w:val="24"/>
                <w:szCs w:val="24"/>
                <w:highlight w:val="none"/>
                <w:lang w:val="en-US" w:eastAsia="zh-CN"/>
              </w:rPr>
              <w:t>淤泥恶臭</w:t>
            </w:r>
          </w:p>
          <w:p w14:paraId="1B1C6BDF">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由于本项目河沟建设需要对河沟疏挖清淤，因此需要考虑到底部淤泥恶臭在挖掘过程和运输过程中对周边环境的影响。</w:t>
            </w:r>
          </w:p>
          <w:p w14:paraId="2AEE11D5">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清淤底泥富含腐殖质，在受到扰动和堆置地面时会引起恶臭（主要是氨、硫化氢等），呈无组织状态释放，从而影响周边环境空气。</w:t>
            </w:r>
            <w:r>
              <w:rPr>
                <w:rFonts w:hint="default" w:ascii="Times New Roman" w:hAnsi="Times New Roman" w:eastAsia="宋体" w:cs="Times New Roman"/>
                <w:color w:val="auto"/>
                <w:sz w:val="24"/>
                <w:szCs w:val="24"/>
                <w:highlight w:val="none"/>
                <w:u w:val="none" w:color="auto"/>
                <w:lang w:bidi="ar"/>
              </w:rPr>
              <w:t>其产生量与恶臭源组分、施工搅动条件、含水率等有关。用嗅觉感觉出来的臭气强度，用嗅觉阈值来表示，所谓嗅觉阈值就是人所能</w:t>
            </w:r>
            <w:r>
              <w:rPr>
                <w:rFonts w:hint="eastAsia" w:cs="Times New Roman"/>
                <w:color w:val="auto"/>
                <w:sz w:val="24"/>
                <w:szCs w:val="24"/>
                <w:highlight w:val="none"/>
                <w:u w:val="none" w:color="auto"/>
                <w:lang w:eastAsia="zh-CN" w:bidi="ar"/>
              </w:rPr>
              <w:t>嗅到</w:t>
            </w:r>
            <w:r>
              <w:rPr>
                <w:rFonts w:hint="default" w:ascii="Times New Roman" w:hAnsi="Times New Roman" w:eastAsia="宋体" w:cs="Times New Roman"/>
                <w:color w:val="auto"/>
                <w:sz w:val="24"/>
                <w:szCs w:val="24"/>
                <w:highlight w:val="none"/>
                <w:u w:val="none" w:color="auto"/>
                <w:lang w:bidi="ar"/>
              </w:rPr>
              <w:t>某种物质的最小刺激量。恶臭强度是以臭味的嗅觉阈值为基准划分等级的，</w:t>
            </w:r>
            <w:r>
              <w:rPr>
                <w:rFonts w:hint="eastAsia" w:ascii="Times New Roman" w:hAnsi="Times New Roman" w:eastAsia="宋体" w:cs="Times New Roman"/>
                <w:color w:val="auto"/>
                <w:sz w:val="24"/>
                <w:szCs w:val="24"/>
                <w:highlight w:val="none"/>
                <w:u w:val="none" w:color="auto"/>
                <w:lang w:val="en-US" w:eastAsia="zh-CN" w:bidi="ar"/>
              </w:rPr>
              <w:t>参考日本对恶臭强度的6级划分，见下表</w:t>
            </w:r>
            <w:r>
              <w:rPr>
                <w:rFonts w:hint="default" w:ascii="Times New Roman" w:hAnsi="Times New Roman" w:eastAsia="宋体" w:cs="Times New Roman"/>
                <w:color w:val="auto"/>
                <w:sz w:val="24"/>
                <w:szCs w:val="24"/>
                <w:highlight w:val="none"/>
                <w:u w:val="none" w:color="auto"/>
                <w:lang w:bidi="ar"/>
              </w:rPr>
              <w:t>。</w:t>
            </w:r>
            <w:r>
              <w:rPr>
                <w:rFonts w:hint="default" w:ascii="Times New Roman" w:hAnsi="Times New Roman" w:eastAsia="宋体" w:cs="Times New Roman"/>
                <w:color w:val="auto"/>
                <w:sz w:val="24"/>
                <w:szCs w:val="24"/>
                <w:highlight w:val="none"/>
                <w:u w:val="none" w:color="auto"/>
              </w:rPr>
              <w:t>根据类比工程可知，河沟清淤时作业区和淤泥堆场均能感受到恶臭气味，强度约为2～3级，影响范围在50m左右，有风时，下风向影响范围大一些。</w:t>
            </w:r>
          </w:p>
          <w:p w14:paraId="2451D44F">
            <w:pPr>
              <w:numPr>
                <w:ilvl w:val="0"/>
                <w:numId w:val="0"/>
              </w:numPr>
              <w:adjustRightInd w:val="0"/>
              <w:snapToGrid w:val="0"/>
              <w:spacing w:line="240" w:lineRule="auto"/>
              <w:jc w:val="center"/>
              <w:rPr>
                <w:rFonts w:hint="default" w:ascii="Times New Roman" w:hAnsi="Times New Roman" w:cs="Times New Roman"/>
                <w:b/>
                <w:bCs w:val="0"/>
                <w:color w:val="auto"/>
                <w:sz w:val="21"/>
                <w:szCs w:val="21"/>
                <w:highlight w:val="none"/>
                <w:u w:val="none" w:color="auto"/>
                <w:lang w:val="en-US" w:eastAsia="zh-CN"/>
              </w:rPr>
            </w:pPr>
            <w:r>
              <w:rPr>
                <w:rFonts w:hint="default" w:ascii="Times New Roman" w:hAnsi="Times New Roman" w:cs="Times New Roman"/>
                <w:b/>
                <w:bCs w:val="0"/>
                <w:color w:val="auto"/>
                <w:sz w:val="21"/>
                <w:szCs w:val="21"/>
                <w:highlight w:val="none"/>
                <w:u w:val="none" w:color="auto"/>
                <w:lang w:val="en-US" w:eastAsia="zh-CN"/>
              </w:rPr>
              <w:t>恶臭强度6级表示法（参照日本）</w:t>
            </w:r>
          </w:p>
          <w:tbl>
            <w:tblPr>
              <w:tblStyle w:val="19"/>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88"/>
              <w:gridCol w:w="7129"/>
            </w:tblGrid>
            <w:tr w14:paraId="33F86C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714" w:type="pct"/>
                  <w:tcBorders>
                    <w:tl2br w:val="nil"/>
                    <w:tr2bl w:val="nil"/>
                  </w:tcBorders>
                </w:tcPr>
                <w:p w14:paraId="794FC9B0">
                  <w:pPr>
                    <w:numPr>
                      <w:ilvl w:val="0"/>
                      <w:numId w:val="0"/>
                    </w:numPr>
                    <w:adjustRightInd w:val="0"/>
                    <w:snapToGrid w:val="0"/>
                    <w:jc w:val="center"/>
                    <w:rPr>
                      <w:rFonts w:hint="default" w:ascii="Times New Roman" w:hAnsi="Times New Roman" w:cs="Times New Roman"/>
                      <w:b/>
                      <w:bCs w:val="0"/>
                      <w:color w:val="auto"/>
                      <w:sz w:val="21"/>
                      <w:szCs w:val="21"/>
                      <w:highlight w:val="none"/>
                      <w:u w:val="none" w:color="auto"/>
                      <w:vertAlign w:val="baseline"/>
                      <w:lang w:val="en-US" w:eastAsia="zh-CN"/>
                    </w:rPr>
                  </w:pPr>
                  <w:r>
                    <w:rPr>
                      <w:rFonts w:hint="default" w:ascii="Times New Roman" w:hAnsi="Times New Roman" w:cs="Times New Roman"/>
                      <w:b/>
                      <w:bCs w:val="0"/>
                      <w:color w:val="auto"/>
                      <w:sz w:val="21"/>
                      <w:szCs w:val="21"/>
                      <w:highlight w:val="none"/>
                      <w:u w:val="none" w:color="auto"/>
                      <w:vertAlign w:val="baseline"/>
                      <w:lang w:val="en-US" w:eastAsia="zh-CN"/>
                    </w:rPr>
                    <w:t>级别</w:t>
                  </w:r>
                </w:p>
              </w:tc>
              <w:tc>
                <w:tcPr>
                  <w:tcW w:w="4285" w:type="pct"/>
                  <w:tcBorders>
                    <w:tl2br w:val="nil"/>
                    <w:tr2bl w:val="nil"/>
                  </w:tcBorders>
                </w:tcPr>
                <w:p w14:paraId="11BF6182">
                  <w:pPr>
                    <w:numPr>
                      <w:ilvl w:val="0"/>
                      <w:numId w:val="0"/>
                    </w:numPr>
                    <w:adjustRightInd w:val="0"/>
                    <w:snapToGrid w:val="0"/>
                    <w:jc w:val="center"/>
                    <w:rPr>
                      <w:rFonts w:hint="default" w:ascii="Times New Roman" w:hAnsi="Times New Roman" w:cs="Times New Roman"/>
                      <w:b/>
                      <w:bCs w:val="0"/>
                      <w:color w:val="auto"/>
                      <w:sz w:val="21"/>
                      <w:szCs w:val="21"/>
                      <w:highlight w:val="none"/>
                      <w:u w:val="none" w:color="auto"/>
                      <w:vertAlign w:val="baseline"/>
                      <w:lang w:val="en-US" w:eastAsia="zh-CN"/>
                    </w:rPr>
                  </w:pPr>
                  <w:r>
                    <w:rPr>
                      <w:rFonts w:hint="default" w:ascii="Times New Roman" w:hAnsi="Times New Roman" w:cs="Times New Roman"/>
                      <w:b/>
                      <w:bCs w:val="0"/>
                      <w:color w:val="auto"/>
                      <w:sz w:val="21"/>
                      <w:szCs w:val="21"/>
                      <w:highlight w:val="none"/>
                      <w:u w:val="none" w:color="auto"/>
                      <w:vertAlign w:val="baseline"/>
                      <w:lang w:val="en-US" w:eastAsia="zh-CN"/>
                    </w:rPr>
                    <w:t>嗅觉感觉</w:t>
                  </w:r>
                </w:p>
              </w:tc>
            </w:tr>
            <w:tr w14:paraId="1B537D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tcBorders>
                    <w:tl2br w:val="nil"/>
                    <w:tr2bl w:val="nil"/>
                  </w:tcBorders>
                </w:tcPr>
                <w:p w14:paraId="4ED56E7C">
                  <w:pPr>
                    <w:numPr>
                      <w:ilvl w:val="0"/>
                      <w:numId w:val="0"/>
                    </w:numPr>
                    <w:adjustRightInd w:val="0"/>
                    <w:snapToGrid w:val="0"/>
                    <w:jc w:val="center"/>
                    <w:rPr>
                      <w:rFonts w:hint="default" w:ascii="Times New Roman" w:hAnsi="Times New Roman" w:cs="Times New Roman"/>
                      <w:b w:val="0"/>
                      <w:bCs/>
                      <w:color w:val="auto"/>
                      <w:sz w:val="21"/>
                      <w:szCs w:val="21"/>
                      <w:highlight w:val="none"/>
                      <w:u w:val="none" w:color="auto"/>
                      <w:vertAlign w:val="baseline"/>
                      <w:lang w:val="en-US" w:eastAsia="zh-CN"/>
                    </w:rPr>
                  </w:pPr>
                  <w:r>
                    <w:rPr>
                      <w:rFonts w:hint="default" w:ascii="Times New Roman" w:hAnsi="Times New Roman" w:cs="Times New Roman"/>
                      <w:b w:val="0"/>
                      <w:bCs/>
                      <w:color w:val="auto"/>
                      <w:sz w:val="21"/>
                      <w:szCs w:val="21"/>
                      <w:highlight w:val="none"/>
                      <w:u w:val="none" w:color="auto"/>
                      <w:vertAlign w:val="baseline"/>
                      <w:lang w:val="en-US" w:eastAsia="zh-CN"/>
                    </w:rPr>
                    <w:t>0</w:t>
                  </w:r>
                </w:p>
              </w:tc>
              <w:tc>
                <w:tcPr>
                  <w:tcW w:w="4285" w:type="pct"/>
                  <w:tcBorders>
                    <w:tl2br w:val="nil"/>
                    <w:tr2bl w:val="nil"/>
                  </w:tcBorders>
                  <w:vAlign w:val="center"/>
                </w:tcPr>
                <w:p w14:paraId="713CE198">
                  <w:pPr>
                    <w:bidi w:val="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无臭</w:t>
                  </w:r>
                </w:p>
              </w:tc>
            </w:tr>
            <w:tr w14:paraId="71B85A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tcBorders>
                    <w:tl2br w:val="nil"/>
                    <w:tr2bl w:val="nil"/>
                  </w:tcBorders>
                </w:tcPr>
                <w:p w14:paraId="3EDAF08C">
                  <w:pPr>
                    <w:numPr>
                      <w:ilvl w:val="0"/>
                      <w:numId w:val="0"/>
                    </w:numPr>
                    <w:adjustRightInd w:val="0"/>
                    <w:snapToGrid w:val="0"/>
                    <w:jc w:val="center"/>
                    <w:rPr>
                      <w:rFonts w:hint="default" w:ascii="Times New Roman" w:hAnsi="Times New Roman" w:cs="Times New Roman"/>
                      <w:b w:val="0"/>
                      <w:bCs/>
                      <w:color w:val="auto"/>
                      <w:sz w:val="21"/>
                      <w:szCs w:val="21"/>
                      <w:highlight w:val="none"/>
                      <w:u w:val="none" w:color="auto"/>
                      <w:vertAlign w:val="baseline"/>
                      <w:lang w:val="en-US" w:eastAsia="zh-CN"/>
                    </w:rPr>
                  </w:pPr>
                  <w:r>
                    <w:rPr>
                      <w:rFonts w:hint="default" w:ascii="Times New Roman" w:hAnsi="Times New Roman" w:cs="Times New Roman"/>
                      <w:b w:val="0"/>
                      <w:bCs/>
                      <w:color w:val="auto"/>
                      <w:sz w:val="21"/>
                      <w:szCs w:val="21"/>
                      <w:highlight w:val="none"/>
                      <w:u w:val="none" w:color="auto"/>
                      <w:vertAlign w:val="baseline"/>
                      <w:lang w:val="en-US" w:eastAsia="zh-CN"/>
                    </w:rPr>
                    <w:t>1</w:t>
                  </w:r>
                </w:p>
              </w:tc>
              <w:tc>
                <w:tcPr>
                  <w:tcW w:w="4285" w:type="pct"/>
                  <w:tcBorders>
                    <w:tl2br w:val="nil"/>
                    <w:tr2bl w:val="nil"/>
                  </w:tcBorders>
                  <w:vAlign w:val="center"/>
                </w:tcPr>
                <w:p w14:paraId="014BB356">
                  <w:pPr>
                    <w:bidi w:val="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能稍微感觉出极微弱的臭味，对应检知阈值的浓度范围</w:t>
                  </w:r>
                </w:p>
              </w:tc>
            </w:tr>
            <w:tr w14:paraId="460172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tcBorders>
                    <w:tl2br w:val="nil"/>
                    <w:tr2bl w:val="nil"/>
                  </w:tcBorders>
                </w:tcPr>
                <w:p w14:paraId="2D99FE74">
                  <w:pPr>
                    <w:numPr>
                      <w:ilvl w:val="0"/>
                      <w:numId w:val="0"/>
                    </w:numPr>
                    <w:adjustRightInd w:val="0"/>
                    <w:snapToGrid w:val="0"/>
                    <w:jc w:val="center"/>
                    <w:rPr>
                      <w:rFonts w:hint="default" w:ascii="Times New Roman" w:hAnsi="Times New Roman" w:cs="Times New Roman"/>
                      <w:b w:val="0"/>
                      <w:bCs/>
                      <w:color w:val="auto"/>
                      <w:sz w:val="21"/>
                      <w:szCs w:val="21"/>
                      <w:highlight w:val="none"/>
                      <w:u w:val="none" w:color="auto"/>
                      <w:vertAlign w:val="baseline"/>
                      <w:lang w:val="en-US" w:eastAsia="zh-CN"/>
                    </w:rPr>
                  </w:pPr>
                  <w:r>
                    <w:rPr>
                      <w:rFonts w:hint="default" w:ascii="Times New Roman" w:hAnsi="Times New Roman" w:cs="Times New Roman"/>
                      <w:b w:val="0"/>
                      <w:bCs/>
                      <w:color w:val="auto"/>
                      <w:sz w:val="21"/>
                      <w:szCs w:val="21"/>
                      <w:highlight w:val="none"/>
                      <w:u w:val="none" w:color="auto"/>
                      <w:vertAlign w:val="baseline"/>
                      <w:lang w:val="en-US" w:eastAsia="zh-CN"/>
                    </w:rPr>
                    <w:t>2</w:t>
                  </w:r>
                </w:p>
              </w:tc>
              <w:tc>
                <w:tcPr>
                  <w:tcW w:w="4285" w:type="pct"/>
                  <w:tcBorders>
                    <w:tl2br w:val="nil"/>
                    <w:tr2bl w:val="nil"/>
                  </w:tcBorders>
                  <w:vAlign w:val="center"/>
                </w:tcPr>
                <w:p w14:paraId="2260D3EA">
                  <w:pPr>
                    <w:bidi w:val="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能勉强辨别出臭味的品质，对应确认阈值的浓度范围</w:t>
                  </w:r>
                </w:p>
              </w:tc>
            </w:tr>
            <w:tr w14:paraId="041317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tcBorders>
                    <w:tl2br w:val="nil"/>
                    <w:tr2bl w:val="nil"/>
                  </w:tcBorders>
                </w:tcPr>
                <w:p w14:paraId="410D83DD">
                  <w:pPr>
                    <w:numPr>
                      <w:ilvl w:val="0"/>
                      <w:numId w:val="0"/>
                    </w:numPr>
                    <w:adjustRightInd w:val="0"/>
                    <w:snapToGrid w:val="0"/>
                    <w:jc w:val="center"/>
                    <w:rPr>
                      <w:rFonts w:hint="default" w:ascii="Times New Roman" w:hAnsi="Times New Roman" w:cs="Times New Roman"/>
                      <w:b w:val="0"/>
                      <w:bCs/>
                      <w:color w:val="auto"/>
                      <w:sz w:val="21"/>
                      <w:szCs w:val="21"/>
                      <w:highlight w:val="none"/>
                      <w:u w:val="none" w:color="auto"/>
                      <w:vertAlign w:val="baseline"/>
                      <w:lang w:val="en-US" w:eastAsia="zh-CN"/>
                    </w:rPr>
                  </w:pPr>
                  <w:r>
                    <w:rPr>
                      <w:rFonts w:hint="default" w:ascii="Times New Roman" w:hAnsi="Times New Roman" w:cs="Times New Roman"/>
                      <w:b w:val="0"/>
                      <w:bCs/>
                      <w:color w:val="auto"/>
                      <w:sz w:val="21"/>
                      <w:szCs w:val="21"/>
                      <w:highlight w:val="none"/>
                      <w:u w:val="none" w:color="auto"/>
                      <w:vertAlign w:val="baseline"/>
                      <w:lang w:val="en-US" w:eastAsia="zh-CN"/>
                    </w:rPr>
                    <w:t>3</w:t>
                  </w:r>
                </w:p>
              </w:tc>
              <w:tc>
                <w:tcPr>
                  <w:tcW w:w="4285" w:type="pct"/>
                  <w:tcBorders>
                    <w:tl2br w:val="nil"/>
                    <w:tr2bl w:val="nil"/>
                  </w:tcBorders>
                  <w:vAlign w:val="center"/>
                </w:tcPr>
                <w:p w14:paraId="7A2D1BFD">
                  <w:pPr>
                    <w:bidi w:val="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可明显感觉到有臭味</w:t>
                  </w:r>
                </w:p>
              </w:tc>
            </w:tr>
            <w:tr w14:paraId="3F571B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tcBorders>
                    <w:tl2br w:val="nil"/>
                    <w:tr2bl w:val="nil"/>
                  </w:tcBorders>
                </w:tcPr>
                <w:p w14:paraId="33F2DAC0">
                  <w:pPr>
                    <w:numPr>
                      <w:ilvl w:val="0"/>
                      <w:numId w:val="0"/>
                    </w:numPr>
                    <w:adjustRightInd w:val="0"/>
                    <w:snapToGrid w:val="0"/>
                    <w:jc w:val="center"/>
                    <w:rPr>
                      <w:rFonts w:hint="default" w:ascii="Times New Roman" w:hAnsi="Times New Roman" w:cs="Times New Roman"/>
                      <w:b w:val="0"/>
                      <w:bCs/>
                      <w:color w:val="auto"/>
                      <w:sz w:val="21"/>
                      <w:szCs w:val="21"/>
                      <w:highlight w:val="none"/>
                      <w:u w:val="none" w:color="auto"/>
                      <w:vertAlign w:val="baseline"/>
                      <w:lang w:val="en-US" w:eastAsia="zh-CN"/>
                    </w:rPr>
                  </w:pPr>
                  <w:r>
                    <w:rPr>
                      <w:rFonts w:hint="default" w:ascii="Times New Roman" w:hAnsi="Times New Roman" w:cs="Times New Roman"/>
                      <w:b w:val="0"/>
                      <w:bCs/>
                      <w:color w:val="auto"/>
                      <w:sz w:val="21"/>
                      <w:szCs w:val="21"/>
                      <w:highlight w:val="none"/>
                      <w:u w:val="none" w:color="auto"/>
                      <w:vertAlign w:val="baseline"/>
                      <w:lang w:val="en-US" w:eastAsia="zh-CN"/>
                    </w:rPr>
                    <w:t>4</w:t>
                  </w:r>
                </w:p>
              </w:tc>
              <w:tc>
                <w:tcPr>
                  <w:tcW w:w="4285" w:type="pct"/>
                  <w:tcBorders>
                    <w:tl2br w:val="nil"/>
                    <w:tr2bl w:val="nil"/>
                  </w:tcBorders>
                  <w:vAlign w:val="center"/>
                </w:tcPr>
                <w:p w14:paraId="71074D6C">
                  <w:pPr>
                    <w:bidi w:val="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强烈的臭味</w:t>
                  </w:r>
                </w:p>
              </w:tc>
            </w:tr>
            <w:tr w14:paraId="4CB356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tcBorders>
                    <w:tl2br w:val="nil"/>
                    <w:tr2bl w:val="nil"/>
                  </w:tcBorders>
                </w:tcPr>
                <w:p w14:paraId="32FEB58F">
                  <w:pPr>
                    <w:numPr>
                      <w:ilvl w:val="0"/>
                      <w:numId w:val="0"/>
                    </w:numPr>
                    <w:adjustRightInd w:val="0"/>
                    <w:snapToGrid w:val="0"/>
                    <w:jc w:val="center"/>
                    <w:rPr>
                      <w:rFonts w:hint="default" w:ascii="Times New Roman" w:hAnsi="Times New Roman" w:cs="Times New Roman"/>
                      <w:b w:val="0"/>
                      <w:bCs/>
                      <w:color w:val="auto"/>
                      <w:sz w:val="21"/>
                      <w:szCs w:val="21"/>
                      <w:highlight w:val="none"/>
                      <w:u w:val="none" w:color="auto"/>
                      <w:vertAlign w:val="baseline"/>
                      <w:lang w:val="en-US" w:eastAsia="zh-CN"/>
                    </w:rPr>
                  </w:pPr>
                  <w:r>
                    <w:rPr>
                      <w:rFonts w:hint="default" w:ascii="Times New Roman" w:hAnsi="Times New Roman" w:cs="Times New Roman"/>
                      <w:b w:val="0"/>
                      <w:bCs/>
                      <w:color w:val="auto"/>
                      <w:sz w:val="21"/>
                      <w:szCs w:val="21"/>
                      <w:highlight w:val="none"/>
                      <w:u w:val="none" w:color="auto"/>
                      <w:vertAlign w:val="baseline"/>
                      <w:lang w:val="en-US" w:eastAsia="zh-CN"/>
                    </w:rPr>
                    <w:t>5</w:t>
                  </w:r>
                </w:p>
              </w:tc>
              <w:tc>
                <w:tcPr>
                  <w:tcW w:w="4285" w:type="pct"/>
                  <w:tcBorders>
                    <w:tl2br w:val="nil"/>
                    <w:tr2bl w:val="nil"/>
                  </w:tcBorders>
                  <w:vAlign w:val="center"/>
                </w:tcPr>
                <w:p w14:paraId="107A3450">
                  <w:pPr>
                    <w:bidi w:val="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让人无法忍受的强烈臭味</w:t>
                  </w:r>
                </w:p>
              </w:tc>
            </w:tr>
          </w:tbl>
          <w:p w14:paraId="5D598DB1">
            <w:pPr>
              <w:numPr>
                <w:ilvl w:val="0"/>
                <w:numId w:val="0"/>
              </w:numPr>
              <w:adjustRightInd w:val="0"/>
              <w:snapToGrid w:val="0"/>
              <w:spacing w:line="240" w:lineRule="auto"/>
              <w:jc w:val="center"/>
              <w:rPr>
                <w:rFonts w:hint="default" w:ascii="Times New Roman" w:hAnsi="Times New Roman" w:cs="Times New Roman"/>
                <w:b/>
                <w:bCs w:val="0"/>
                <w:color w:val="auto"/>
                <w:sz w:val="21"/>
                <w:szCs w:val="21"/>
                <w:highlight w:val="none"/>
                <w:u w:val="none" w:color="auto"/>
                <w:lang w:val="en-US" w:eastAsia="zh-CN"/>
              </w:rPr>
            </w:pPr>
            <w:r>
              <w:rPr>
                <w:rFonts w:hint="default" w:ascii="Times New Roman" w:hAnsi="Times New Roman" w:cs="Times New Roman"/>
                <w:b/>
                <w:bCs w:val="0"/>
                <w:color w:val="auto"/>
                <w:sz w:val="21"/>
                <w:szCs w:val="21"/>
                <w:highlight w:val="none"/>
                <w:u w:val="none" w:color="auto"/>
                <w:lang w:val="en-US" w:eastAsia="zh-CN"/>
              </w:rPr>
              <w:t>底泥恶臭强度影响距离表</w:t>
            </w:r>
          </w:p>
          <w:tbl>
            <w:tblPr>
              <w:tblStyle w:val="19"/>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72"/>
              <w:gridCol w:w="2772"/>
              <w:gridCol w:w="2773"/>
            </w:tblGrid>
            <w:tr w14:paraId="6628AA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14:paraId="35A60079">
                  <w:pPr>
                    <w:numPr>
                      <w:ilvl w:val="0"/>
                      <w:numId w:val="0"/>
                    </w:numPr>
                    <w:adjustRightInd w:val="0"/>
                    <w:snapToGrid w:val="0"/>
                    <w:jc w:val="center"/>
                    <w:rPr>
                      <w:rFonts w:hint="default" w:ascii="Times New Roman" w:hAnsi="Times New Roman" w:cs="Times New Roman"/>
                      <w:b/>
                      <w:bCs w:val="0"/>
                      <w:color w:val="auto"/>
                      <w:sz w:val="21"/>
                      <w:szCs w:val="21"/>
                      <w:highlight w:val="none"/>
                      <w:u w:val="none" w:color="auto"/>
                      <w:vertAlign w:val="baseline"/>
                      <w:lang w:val="en-US" w:eastAsia="zh-CN"/>
                    </w:rPr>
                  </w:pPr>
                  <w:r>
                    <w:rPr>
                      <w:rFonts w:hint="default" w:ascii="Times New Roman" w:hAnsi="Times New Roman" w:cs="Times New Roman"/>
                      <w:b/>
                      <w:bCs w:val="0"/>
                      <w:color w:val="auto"/>
                      <w:sz w:val="21"/>
                      <w:szCs w:val="21"/>
                      <w:highlight w:val="none"/>
                      <w:u w:val="none" w:color="auto"/>
                      <w:vertAlign w:val="baseline"/>
                      <w:lang w:val="en-US" w:eastAsia="zh-CN"/>
                    </w:rPr>
                    <w:t>距离</w:t>
                  </w:r>
                </w:p>
              </w:tc>
              <w:tc>
                <w:tcPr>
                  <w:tcW w:w="1666" w:type="pct"/>
                  <w:tcBorders>
                    <w:tl2br w:val="nil"/>
                    <w:tr2bl w:val="nil"/>
                  </w:tcBorders>
                  <w:vAlign w:val="center"/>
                </w:tcPr>
                <w:p w14:paraId="2EEE146A">
                  <w:pPr>
                    <w:numPr>
                      <w:ilvl w:val="0"/>
                      <w:numId w:val="0"/>
                    </w:numPr>
                    <w:adjustRightInd w:val="0"/>
                    <w:snapToGrid w:val="0"/>
                    <w:jc w:val="center"/>
                    <w:rPr>
                      <w:rFonts w:hint="default" w:ascii="Times New Roman" w:hAnsi="Times New Roman" w:cs="Times New Roman"/>
                      <w:b/>
                      <w:bCs w:val="0"/>
                      <w:color w:val="auto"/>
                      <w:sz w:val="21"/>
                      <w:szCs w:val="21"/>
                      <w:highlight w:val="none"/>
                      <w:u w:val="none" w:color="auto"/>
                      <w:vertAlign w:val="baseline"/>
                      <w:lang w:val="en-US" w:eastAsia="zh-CN"/>
                    </w:rPr>
                  </w:pPr>
                  <w:r>
                    <w:rPr>
                      <w:rFonts w:hint="default" w:ascii="Times New Roman" w:hAnsi="Times New Roman" w:cs="Times New Roman"/>
                      <w:b/>
                      <w:bCs w:val="0"/>
                      <w:color w:val="auto"/>
                      <w:sz w:val="21"/>
                      <w:szCs w:val="21"/>
                      <w:highlight w:val="none"/>
                      <w:u w:val="none" w:color="auto"/>
                      <w:vertAlign w:val="baseline"/>
                      <w:lang w:val="en-US" w:eastAsia="zh-CN"/>
                    </w:rPr>
                    <w:t>恶臭感觉强度</w:t>
                  </w:r>
                </w:p>
              </w:tc>
              <w:tc>
                <w:tcPr>
                  <w:tcW w:w="1666" w:type="pct"/>
                  <w:tcBorders>
                    <w:tl2br w:val="nil"/>
                    <w:tr2bl w:val="nil"/>
                  </w:tcBorders>
                  <w:vAlign w:val="center"/>
                </w:tcPr>
                <w:p w14:paraId="7D4DB524">
                  <w:pPr>
                    <w:numPr>
                      <w:ilvl w:val="0"/>
                      <w:numId w:val="0"/>
                    </w:numPr>
                    <w:adjustRightInd w:val="0"/>
                    <w:snapToGrid w:val="0"/>
                    <w:jc w:val="center"/>
                    <w:rPr>
                      <w:rFonts w:hint="default" w:ascii="Times New Roman" w:hAnsi="Times New Roman" w:cs="Times New Roman"/>
                      <w:b/>
                      <w:bCs w:val="0"/>
                      <w:color w:val="auto"/>
                      <w:sz w:val="21"/>
                      <w:szCs w:val="21"/>
                      <w:highlight w:val="none"/>
                      <w:u w:val="none" w:color="auto"/>
                      <w:vertAlign w:val="baseline"/>
                      <w:lang w:val="en-US" w:eastAsia="zh-CN"/>
                    </w:rPr>
                  </w:pPr>
                  <w:r>
                    <w:rPr>
                      <w:rFonts w:hint="default" w:ascii="Times New Roman" w:hAnsi="Times New Roman" w:cs="Times New Roman"/>
                      <w:b/>
                      <w:bCs w:val="0"/>
                      <w:color w:val="auto"/>
                      <w:sz w:val="21"/>
                      <w:szCs w:val="21"/>
                      <w:highlight w:val="none"/>
                      <w:u w:val="none" w:color="auto"/>
                      <w:vertAlign w:val="baseline"/>
                      <w:lang w:val="en-US" w:eastAsia="zh-CN"/>
                    </w:rPr>
                    <w:t>级别</w:t>
                  </w:r>
                </w:p>
              </w:tc>
            </w:tr>
            <w:tr w14:paraId="187E0A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14:paraId="42FCAE35">
                  <w:pPr>
                    <w:numPr>
                      <w:ilvl w:val="0"/>
                      <w:numId w:val="0"/>
                    </w:numPr>
                    <w:adjustRightInd w:val="0"/>
                    <w:snapToGrid w:val="0"/>
                    <w:jc w:val="center"/>
                    <w:rPr>
                      <w:rFonts w:hint="default" w:ascii="Times New Roman" w:hAnsi="Times New Roman" w:cs="Times New Roman"/>
                      <w:b w:val="0"/>
                      <w:bCs/>
                      <w:color w:val="auto"/>
                      <w:sz w:val="21"/>
                      <w:szCs w:val="21"/>
                      <w:highlight w:val="none"/>
                      <w:u w:val="none" w:color="auto"/>
                      <w:vertAlign w:val="baseline"/>
                      <w:lang w:val="en-US" w:eastAsia="zh-CN"/>
                    </w:rPr>
                  </w:pPr>
                  <w:r>
                    <w:rPr>
                      <w:rFonts w:hint="default" w:ascii="Times New Roman" w:hAnsi="Times New Roman" w:cs="Times New Roman"/>
                      <w:b w:val="0"/>
                      <w:bCs/>
                      <w:color w:val="auto"/>
                      <w:sz w:val="21"/>
                      <w:szCs w:val="21"/>
                      <w:highlight w:val="none"/>
                      <w:u w:val="none" w:color="auto"/>
                      <w:vertAlign w:val="baseline"/>
                      <w:lang w:val="en-US" w:eastAsia="zh-CN"/>
                    </w:rPr>
                    <w:t>堆放区</w:t>
                  </w:r>
                </w:p>
              </w:tc>
              <w:tc>
                <w:tcPr>
                  <w:tcW w:w="1666" w:type="pct"/>
                  <w:tcBorders>
                    <w:tl2br w:val="nil"/>
                    <w:tr2bl w:val="nil"/>
                  </w:tcBorders>
                  <w:vAlign w:val="center"/>
                </w:tcPr>
                <w:p w14:paraId="6C708076">
                  <w:pPr>
                    <w:numPr>
                      <w:ilvl w:val="0"/>
                      <w:numId w:val="0"/>
                    </w:numPr>
                    <w:adjustRightInd w:val="0"/>
                    <w:snapToGrid w:val="0"/>
                    <w:jc w:val="center"/>
                    <w:rPr>
                      <w:rFonts w:hint="default" w:ascii="Times New Roman" w:hAnsi="Times New Roman" w:cs="Times New Roman"/>
                      <w:b w:val="0"/>
                      <w:bCs/>
                      <w:color w:val="auto"/>
                      <w:sz w:val="21"/>
                      <w:szCs w:val="21"/>
                      <w:highlight w:val="none"/>
                      <w:u w:val="none" w:color="auto"/>
                      <w:vertAlign w:val="baseline"/>
                      <w:lang w:val="en-US" w:eastAsia="zh-CN"/>
                    </w:rPr>
                  </w:pPr>
                  <w:r>
                    <w:rPr>
                      <w:rFonts w:hint="default" w:ascii="Times New Roman" w:hAnsi="Times New Roman" w:cs="Times New Roman"/>
                      <w:b w:val="0"/>
                      <w:bCs/>
                      <w:color w:val="auto"/>
                      <w:sz w:val="21"/>
                      <w:szCs w:val="21"/>
                      <w:highlight w:val="none"/>
                      <w:u w:val="none" w:color="auto"/>
                      <w:vertAlign w:val="baseline"/>
                      <w:lang w:val="en-US" w:eastAsia="zh-CN"/>
                    </w:rPr>
                    <w:t>有明显臭味</w:t>
                  </w:r>
                </w:p>
              </w:tc>
              <w:tc>
                <w:tcPr>
                  <w:tcW w:w="1666" w:type="pct"/>
                  <w:tcBorders>
                    <w:tl2br w:val="nil"/>
                    <w:tr2bl w:val="nil"/>
                  </w:tcBorders>
                  <w:vAlign w:val="center"/>
                </w:tcPr>
                <w:p w14:paraId="051AC68A">
                  <w:pPr>
                    <w:numPr>
                      <w:ilvl w:val="0"/>
                      <w:numId w:val="0"/>
                    </w:numPr>
                    <w:adjustRightInd w:val="0"/>
                    <w:snapToGrid w:val="0"/>
                    <w:jc w:val="center"/>
                    <w:rPr>
                      <w:rFonts w:hint="default" w:ascii="Times New Roman" w:hAnsi="Times New Roman" w:cs="Times New Roman"/>
                      <w:b w:val="0"/>
                      <w:bCs/>
                      <w:color w:val="auto"/>
                      <w:sz w:val="21"/>
                      <w:szCs w:val="21"/>
                      <w:highlight w:val="none"/>
                      <w:u w:val="none" w:color="auto"/>
                      <w:vertAlign w:val="baseline"/>
                      <w:lang w:val="en-US" w:eastAsia="zh-CN"/>
                    </w:rPr>
                  </w:pPr>
                  <w:r>
                    <w:rPr>
                      <w:rFonts w:hint="default" w:ascii="Times New Roman" w:hAnsi="Times New Roman" w:cs="Times New Roman"/>
                      <w:b w:val="0"/>
                      <w:bCs/>
                      <w:color w:val="auto"/>
                      <w:sz w:val="21"/>
                      <w:szCs w:val="21"/>
                      <w:highlight w:val="none"/>
                      <w:u w:val="none" w:color="auto"/>
                      <w:vertAlign w:val="baseline"/>
                      <w:lang w:val="en-US" w:eastAsia="zh-CN"/>
                    </w:rPr>
                    <w:t>3</w:t>
                  </w:r>
                </w:p>
              </w:tc>
            </w:tr>
            <w:tr w14:paraId="5BE95E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14:paraId="7271ABB0">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堆放区外30m</w:t>
                  </w:r>
                </w:p>
              </w:tc>
              <w:tc>
                <w:tcPr>
                  <w:tcW w:w="1666" w:type="pct"/>
                  <w:tcBorders>
                    <w:tl2br w:val="nil"/>
                    <w:tr2bl w:val="nil"/>
                  </w:tcBorders>
                  <w:vAlign w:val="center"/>
                </w:tcPr>
                <w:p w14:paraId="3F5BC06B">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轻微</w:t>
                  </w:r>
                </w:p>
              </w:tc>
              <w:tc>
                <w:tcPr>
                  <w:tcW w:w="1666" w:type="pct"/>
                  <w:tcBorders>
                    <w:tl2br w:val="nil"/>
                    <w:tr2bl w:val="nil"/>
                  </w:tcBorders>
                  <w:vAlign w:val="center"/>
                </w:tcPr>
                <w:p w14:paraId="0A4ECF51">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2</w:t>
                  </w:r>
                </w:p>
              </w:tc>
            </w:tr>
            <w:tr w14:paraId="058091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14:paraId="0126F24F">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堆放区外50m</w:t>
                  </w:r>
                </w:p>
              </w:tc>
              <w:tc>
                <w:tcPr>
                  <w:tcW w:w="1666" w:type="pct"/>
                  <w:tcBorders>
                    <w:tl2br w:val="nil"/>
                    <w:tr2bl w:val="nil"/>
                  </w:tcBorders>
                  <w:vAlign w:val="center"/>
                </w:tcPr>
                <w:p w14:paraId="6121A293">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极微</w:t>
                  </w:r>
                </w:p>
              </w:tc>
              <w:tc>
                <w:tcPr>
                  <w:tcW w:w="1666" w:type="pct"/>
                  <w:tcBorders>
                    <w:tl2br w:val="nil"/>
                    <w:tr2bl w:val="nil"/>
                  </w:tcBorders>
                  <w:vAlign w:val="center"/>
                </w:tcPr>
                <w:p w14:paraId="1A084497">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1</w:t>
                  </w:r>
                </w:p>
              </w:tc>
            </w:tr>
            <w:tr w14:paraId="40F006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14:paraId="08A183B5">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堆放区外80m</w:t>
                  </w:r>
                </w:p>
              </w:tc>
              <w:tc>
                <w:tcPr>
                  <w:tcW w:w="1666" w:type="pct"/>
                  <w:tcBorders>
                    <w:tl2br w:val="nil"/>
                    <w:tr2bl w:val="nil"/>
                  </w:tcBorders>
                  <w:vAlign w:val="center"/>
                </w:tcPr>
                <w:p w14:paraId="1A4FAB7C">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无</w:t>
                  </w:r>
                </w:p>
              </w:tc>
              <w:tc>
                <w:tcPr>
                  <w:tcW w:w="1666" w:type="pct"/>
                  <w:tcBorders>
                    <w:tl2br w:val="nil"/>
                    <w:tr2bl w:val="nil"/>
                  </w:tcBorders>
                  <w:vAlign w:val="center"/>
                </w:tcPr>
                <w:p w14:paraId="0684643B">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0</w:t>
                  </w:r>
                </w:p>
              </w:tc>
            </w:tr>
          </w:tbl>
          <w:p w14:paraId="7692716C">
            <w:pPr>
              <w:spacing w:beforeLines="0" w:afterLines="0" w:line="360" w:lineRule="auto"/>
              <w:ind w:firstLine="480" w:firstLineChars="200"/>
              <w:rPr>
                <w:rFonts w:hint="default" w:ascii="Times New Roman" w:hAnsi="Times New Roman" w:cs="Times New Roman"/>
                <w:sz w:val="24"/>
                <w:szCs w:val="24"/>
                <w:highlight w:val="none"/>
              </w:rPr>
            </w:pPr>
            <w:r>
              <w:rPr>
                <w:rFonts w:hint="default" w:ascii="Times New Roman" w:hAnsi="Times New Roman" w:eastAsia="宋体" w:cs="Times New Roman"/>
                <w:color w:val="auto"/>
                <w:sz w:val="24"/>
                <w:szCs w:val="24"/>
                <w:highlight w:val="none"/>
                <w:u w:val="none" w:color="auto"/>
              </w:rPr>
              <w:t>由上表可知，该项目施工过程中，紧邻岸边臭气强度为3级，有较明显的臭味；在距离岸边30m处的臭气强度降为2级，有轻微的臭味，对居民的影响较小，距离岸边80m处臭气强度降为0，对距离岸边80m以外的范围无影响。</w:t>
            </w:r>
            <w:r>
              <w:rPr>
                <w:rFonts w:hint="default" w:ascii="Times New Roman" w:hAnsi="Times New Roman" w:eastAsia="宋体" w:cs="Times New Roman"/>
                <w:sz w:val="24"/>
                <w:szCs w:val="24"/>
                <w:highlight w:val="none"/>
              </w:rPr>
              <w:t>堆放区距离</w:t>
            </w:r>
            <w:r>
              <w:rPr>
                <w:rFonts w:hint="eastAsia" w:cs="Times New Roman"/>
                <w:sz w:val="24"/>
                <w:szCs w:val="24"/>
                <w:highlight w:val="none"/>
                <w:lang w:eastAsia="zh-CN"/>
              </w:rPr>
              <w:t>曲沟村</w:t>
            </w:r>
            <w:r>
              <w:rPr>
                <w:rFonts w:hint="default" w:ascii="Times New Roman" w:hAnsi="Times New Roman" w:eastAsia="宋体" w:cs="Times New Roman"/>
                <w:sz w:val="24"/>
                <w:szCs w:val="24"/>
                <w:highlight w:val="none"/>
              </w:rPr>
              <w:t>最近距离为</w:t>
            </w:r>
            <w:r>
              <w:rPr>
                <w:rFonts w:hint="default" w:ascii="Times New Roman" w:hAnsi="Times New Roman" w:cs="Times New Roman"/>
                <w:sz w:val="24"/>
                <w:szCs w:val="24"/>
                <w:highlight w:val="none"/>
              </w:rPr>
              <w:t>20m</w:t>
            </w:r>
            <w:r>
              <w:rPr>
                <w:rFonts w:hint="default" w:ascii="Times New Roman" w:hAnsi="Times New Roman" w:eastAsia="宋体" w:cs="Times New Roman"/>
                <w:sz w:val="24"/>
                <w:szCs w:val="24"/>
                <w:highlight w:val="none"/>
              </w:rPr>
              <w:t>，恶臭强度为3级，可明显感觉到有臭味，施工时尽量缩短工期，减少淤泥在现场的停留时间。运输底泥工程中也会散发臭味，运输淤泥时运输车辆密闭，污泥运输时要避开城市中心区，避开运输高峰期，尽量减少臭气对运输线路附近大气环境的影响。</w:t>
            </w:r>
          </w:p>
          <w:p w14:paraId="7BB101B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bCs/>
                <w:sz w:val="24"/>
                <w:szCs w:val="24"/>
                <w:highlight w:val="none"/>
                <w:lang w:val="en-US" w:eastAsia="zh-CN"/>
              </w:rPr>
            </w:pPr>
            <w:r>
              <w:rPr>
                <w:rFonts w:hint="default" w:ascii="Times New Roman" w:hAnsi="Times New Roman" w:eastAsia="宋体" w:cs="Times New Roman"/>
                <w:b/>
                <w:bCs/>
                <w:kern w:val="2"/>
                <w:sz w:val="24"/>
                <w:szCs w:val="24"/>
                <w:highlight w:val="none"/>
                <w:lang w:val="en-US" w:eastAsia="zh-CN" w:bidi="ar-SA"/>
              </w:rPr>
              <w:t>2.</w:t>
            </w:r>
            <w:r>
              <w:rPr>
                <w:rFonts w:hint="default" w:ascii="Times New Roman" w:hAnsi="Times New Roman" w:cs="Times New Roman"/>
                <w:b/>
                <w:bCs/>
                <w:sz w:val="24"/>
                <w:szCs w:val="24"/>
                <w:highlight w:val="none"/>
                <w:lang w:val="en-US" w:eastAsia="zh-CN"/>
              </w:rPr>
              <w:t>施工期水环境影响分析</w:t>
            </w:r>
          </w:p>
          <w:p w14:paraId="6CEEC387">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2.1施工人员生活污水</w:t>
            </w:r>
          </w:p>
          <w:p w14:paraId="30AF168E">
            <w:pPr>
              <w:pStyle w:val="43"/>
              <w:bidi w:val="0"/>
              <w:rPr>
                <w:rFonts w:hint="default" w:ascii="Times New Roman" w:hAnsi="Times New Roman" w:cs="Times New Roman"/>
                <w:b w:val="0"/>
                <w:bCs/>
                <w:color w:val="auto"/>
                <w:sz w:val="24"/>
                <w:szCs w:val="24"/>
                <w:highlight w:val="none"/>
                <w:u w:val="none" w:color="auto"/>
              </w:rPr>
            </w:pPr>
            <w:r>
              <w:rPr>
                <w:rFonts w:hint="default" w:ascii="Times New Roman" w:hAnsi="Times New Roman" w:cs="Times New Roman"/>
                <w:b w:val="0"/>
                <w:bCs/>
                <w:color w:val="auto"/>
                <w:sz w:val="24"/>
                <w:szCs w:val="24"/>
                <w:highlight w:val="none"/>
                <w:u w:val="none" w:color="auto"/>
              </w:rPr>
              <w:t>施工生活污水主要来自临时生活区。生活污水中主要污染物为人体排泄物、食物残渣等有机物，阴离子洗涤剂及其它溶解性物质，主要污染指标为BOD</w:t>
            </w:r>
            <w:r>
              <w:rPr>
                <w:rFonts w:hint="default" w:ascii="Times New Roman" w:hAnsi="Times New Roman" w:cs="Times New Roman"/>
                <w:b w:val="0"/>
                <w:bCs/>
                <w:color w:val="auto"/>
                <w:sz w:val="24"/>
                <w:szCs w:val="24"/>
                <w:highlight w:val="none"/>
                <w:u w:val="none" w:color="auto"/>
                <w:vertAlign w:val="subscript"/>
              </w:rPr>
              <w:t>5</w:t>
            </w:r>
            <w:r>
              <w:rPr>
                <w:rFonts w:hint="default" w:ascii="Times New Roman" w:hAnsi="Times New Roman" w:cs="Times New Roman"/>
                <w:b w:val="0"/>
                <w:bCs/>
                <w:color w:val="auto"/>
                <w:sz w:val="24"/>
                <w:szCs w:val="24"/>
                <w:highlight w:val="none"/>
                <w:u w:val="none" w:color="auto"/>
              </w:rPr>
              <w:t>、COD</w:t>
            </w:r>
            <w:r>
              <w:rPr>
                <w:rFonts w:hint="default" w:ascii="Times New Roman" w:hAnsi="Times New Roman" w:cs="Times New Roman"/>
                <w:b w:val="0"/>
                <w:bCs/>
                <w:color w:val="auto"/>
                <w:sz w:val="24"/>
                <w:szCs w:val="24"/>
                <w:highlight w:val="none"/>
                <w:u w:val="none" w:color="auto"/>
                <w:vertAlign w:val="subscript"/>
              </w:rPr>
              <w:t>Cr</w:t>
            </w:r>
            <w:r>
              <w:rPr>
                <w:rFonts w:hint="default" w:ascii="Times New Roman" w:hAnsi="Times New Roman" w:cs="Times New Roman"/>
                <w:b w:val="0"/>
                <w:bCs/>
                <w:color w:val="auto"/>
                <w:sz w:val="24"/>
                <w:szCs w:val="24"/>
                <w:highlight w:val="none"/>
                <w:u w:val="none" w:color="auto"/>
              </w:rPr>
              <w:t>、粪大肠菌群等，经类比，其中BOD</w:t>
            </w:r>
            <w:r>
              <w:rPr>
                <w:rFonts w:hint="default" w:ascii="Times New Roman" w:hAnsi="Times New Roman" w:cs="Times New Roman"/>
                <w:b w:val="0"/>
                <w:bCs/>
                <w:color w:val="auto"/>
                <w:sz w:val="24"/>
                <w:szCs w:val="24"/>
                <w:highlight w:val="none"/>
                <w:u w:val="none" w:color="auto"/>
                <w:vertAlign w:val="subscript"/>
              </w:rPr>
              <w:t>5</w:t>
            </w:r>
            <w:r>
              <w:rPr>
                <w:rFonts w:hint="default" w:ascii="Times New Roman" w:hAnsi="Times New Roman" w:cs="Times New Roman"/>
                <w:b w:val="0"/>
                <w:bCs/>
                <w:color w:val="auto"/>
                <w:sz w:val="24"/>
                <w:szCs w:val="24"/>
                <w:highlight w:val="none"/>
                <w:u w:val="none" w:color="auto"/>
              </w:rPr>
              <w:t>浓度为200mg/</w:t>
            </w:r>
            <w:r>
              <w:rPr>
                <w:rFonts w:hint="eastAsia" w:cs="Times New Roman"/>
                <w:b w:val="0"/>
                <w:bCs/>
                <w:color w:val="auto"/>
                <w:sz w:val="24"/>
                <w:szCs w:val="24"/>
                <w:highlight w:val="none"/>
                <w:u w:val="none" w:color="auto"/>
                <w:lang w:val="en-US" w:eastAsia="zh-CN"/>
              </w:rPr>
              <w:t>L</w:t>
            </w:r>
            <w:r>
              <w:rPr>
                <w:rFonts w:hint="default" w:ascii="Times New Roman" w:hAnsi="Times New Roman" w:cs="Times New Roman"/>
                <w:b w:val="0"/>
                <w:bCs/>
                <w:color w:val="auto"/>
                <w:sz w:val="24"/>
                <w:szCs w:val="24"/>
                <w:highlight w:val="none"/>
                <w:u w:val="none" w:color="auto"/>
              </w:rPr>
              <w:t>，COD</w:t>
            </w:r>
            <w:r>
              <w:rPr>
                <w:rFonts w:hint="default" w:ascii="Times New Roman" w:hAnsi="Times New Roman" w:cs="Times New Roman"/>
                <w:b w:val="0"/>
                <w:bCs/>
                <w:color w:val="auto"/>
                <w:sz w:val="24"/>
                <w:szCs w:val="24"/>
                <w:highlight w:val="none"/>
                <w:u w:val="none" w:color="auto"/>
                <w:vertAlign w:val="subscript"/>
              </w:rPr>
              <w:t>Cr</w:t>
            </w:r>
            <w:r>
              <w:rPr>
                <w:rFonts w:hint="default" w:ascii="Times New Roman" w:hAnsi="Times New Roman" w:cs="Times New Roman"/>
                <w:b w:val="0"/>
                <w:bCs/>
                <w:color w:val="auto"/>
                <w:sz w:val="24"/>
                <w:szCs w:val="24"/>
                <w:highlight w:val="none"/>
                <w:u w:val="none" w:color="auto"/>
              </w:rPr>
              <w:t>为400mg/L。施工期场地将建设临时</w:t>
            </w:r>
            <w:r>
              <w:rPr>
                <w:rFonts w:hint="default" w:ascii="Times New Roman" w:hAnsi="Times New Roman" w:cs="Times New Roman"/>
                <w:b w:val="0"/>
                <w:bCs/>
                <w:color w:val="auto"/>
                <w:sz w:val="24"/>
                <w:szCs w:val="24"/>
                <w:highlight w:val="none"/>
                <w:u w:val="none" w:color="auto"/>
                <w:lang w:eastAsia="zh-CN"/>
              </w:rPr>
              <w:t>环保厕所</w:t>
            </w:r>
            <w:r>
              <w:rPr>
                <w:rFonts w:hint="default" w:ascii="Times New Roman" w:hAnsi="Times New Roman" w:cs="Times New Roman"/>
                <w:b w:val="0"/>
                <w:bCs/>
                <w:color w:val="auto"/>
                <w:sz w:val="24"/>
                <w:szCs w:val="24"/>
                <w:highlight w:val="none"/>
                <w:u w:val="none" w:color="auto"/>
              </w:rPr>
              <w:t>，生活废水排入</w:t>
            </w:r>
            <w:r>
              <w:rPr>
                <w:rFonts w:hint="default" w:ascii="Times New Roman" w:hAnsi="Times New Roman" w:cs="Times New Roman"/>
                <w:b w:val="0"/>
                <w:bCs/>
                <w:color w:val="auto"/>
                <w:sz w:val="24"/>
                <w:szCs w:val="24"/>
                <w:highlight w:val="none"/>
                <w:u w:val="none" w:color="auto"/>
                <w:lang w:eastAsia="zh-CN"/>
              </w:rPr>
              <w:t>化粪池</w:t>
            </w:r>
            <w:r>
              <w:rPr>
                <w:rFonts w:hint="default" w:ascii="Times New Roman" w:hAnsi="Times New Roman" w:cs="Times New Roman"/>
                <w:b w:val="0"/>
                <w:bCs/>
                <w:color w:val="auto"/>
                <w:sz w:val="24"/>
                <w:szCs w:val="24"/>
                <w:highlight w:val="none"/>
                <w:u w:val="none" w:color="auto"/>
              </w:rPr>
              <w:t>，由</w:t>
            </w:r>
            <w:r>
              <w:rPr>
                <w:rFonts w:hint="default" w:ascii="Times New Roman" w:hAnsi="Times New Roman" w:cs="Times New Roman"/>
                <w:b w:val="0"/>
                <w:bCs/>
                <w:color w:val="auto"/>
                <w:sz w:val="24"/>
                <w:szCs w:val="24"/>
                <w:highlight w:val="none"/>
                <w:u w:val="none" w:color="auto"/>
                <w:lang w:eastAsia="zh-CN"/>
              </w:rPr>
              <w:t>市政卫生部门</w:t>
            </w:r>
            <w:r>
              <w:rPr>
                <w:rFonts w:hint="default" w:ascii="Times New Roman" w:hAnsi="Times New Roman" w:cs="Times New Roman"/>
                <w:b w:val="0"/>
                <w:bCs/>
                <w:color w:val="auto"/>
                <w:sz w:val="24"/>
                <w:szCs w:val="24"/>
                <w:highlight w:val="none"/>
                <w:u w:val="none" w:color="auto"/>
              </w:rPr>
              <w:t>定期清掏。</w:t>
            </w:r>
            <w:r>
              <w:rPr>
                <w:rFonts w:hint="eastAsia" w:cs="Times New Roman"/>
                <w:sz w:val="24"/>
                <w:szCs w:val="24"/>
                <w:highlight w:val="none"/>
                <w:lang w:val="en-US" w:eastAsia="zh-CN"/>
              </w:rPr>
              <w:t>化粪池底</w:t>
            </w:r>
            <w:r>
              <w:rPr>
                <w:rFonts w:hint="eastAsia"/>
                <w:sz w:val="24"/>
                <w:szCs w:val="24"/>
                <w:highlight w:val="none"/>
                <w:lang w:val="en-US" w:eastAsia="zh-CN"/>
              </w:rPr>
              <w:t>污泥定期清理，运送至垃圾填埋场处理。</w:t>
            </w:r>
            <w:r>
              <w:rPr>
                <w:rFonts w:hint="eastAsia" w:ascii="Times New Roman" w:hAnsi="Times New Roman" w:eastAsia="宋体" w:cs="Times New Roman"/>
                <w:color w:val="auto"/>
                <w:sz w:val="24"/>
                <w:szCs w:val="24"/>
                <w:highlight w:val="none"/>
                <w:u w:val="none" w:color="auto"/>
                <w:lang w:eastAsia="zh-CN"/>
              </w:rPr>
              <w:t>施工期废水均得到合理处置，随着施工期的结束，此影响随即消失。</w:t>
            </w:r>
          </w:p>
          <w:p w14:paraId="7252FD21">
            <w:pPr>
              <w:pStyle w:val="43"/>
              <w:bidi w:val="0"/>
              <w:ind w:left="0" w:leftChars="0" w:firstLine="482" w:firstLineChars="200"/>
              <w:rPr>
                <w:rFonts w:hint="default" w:ascii="Times New Roman" w:hAnsi="Times New Roman" w:cs="Times New Roman"/>
                <w:b/>
                <w:bCs w:val="0"/>
                <w:color w:val="auto"/>
                <w:sz w:val="24"/>
                <w:szCs w:val="24"/>
                <w:highlight w:val="none"/>
                <w:u w:val="none" w:color="auto"/>
              </w:rPr>
            </w:pPr>
            <w:r>
              <w:rPr>
                <w:rFonts w:hint="default" w:ascii="Times New Roman" w:hAnsi="Times New Roman" w:cs="Times New Roman"/>
                <w:b/>
                <w:bCs w:val="0"/>
                <w:color w:val="auto"/>
                <w:sz w:val="24"/>
                <w:szCs w:val="24"/>
                <w:highlight w:val="none"/>
                <w:u w:val="none" w:color="auto"/>
                <w:lang w:val="en-US" w:eastAsia="zh-CN"/>
              </w:rPr>
              <w:t>2.2建筑材料运输与堆放对水环境影响</w:t>
            </w:r>
          </w:p>
          <w:p w14:paraId="35F9A025">
            <w:pPr>
              <w:pStyle w:val="43"/>
              <w:bidi w:val="0"/>
              <w:rPr>
                <w:rFonts w:hint="default" w:ascii="Times New Roman" w:hAnsi="Times New Roman" w:cs="Times New Roman"/>
                <w:b w:val="0"/>
                <w:bCs/>
                <w:color w:val="auto"/>
                <w:sz w:val="24"/>
                <w:szCs w:val="24"/>
                <w:highlight w:val="none"/>
                <w:u w:val="none" w:color="auto"/>
              </w:rPr>
            </w:pPr>
            <w:r>
              <w:rPr>
                <w:rFonts w:hint="default" w:ascii="Times New Roman" w:hAnsi="Times New Roman" w:cs="Times New Roman"/>
                <w:b w:val="0"/>
                <w:bCs/>
                <w:color w:val="auto"/>
                <w:sz w:val="24"/>
                <w:szCs w:val="24"/>
                <w:highlight w:val="none"/>
                <w:u w:val="none" w:color="auto"/>
                <w:lang w:val="en-US" w:eastAsia="zh-CN"/>
              </w:rPr>
              <w:t>本项目施工过程中，物料的运输装卸及临时堆置会产生扬尘，落入地表水体则可能对施工作业区附近的地表水体环境产生一定的影响。此外，一些施工材料在其堆放处若保管不善，被雨水淋洗或冲刷，随地表径流进入水体也会对水环境造成污染。运输物料采用遮盖措施、临时物料堆置场采用抑尘网等措施可有效降低或避免发生。</w:t>
            </w:r>
          </w:p>
          <w:p w14:paraId="429B80E3">
            <w:pPr>
              <w:pStyle w:val="43"/>
              <w:bidi w:val="0"/>
              <w:ind w:left="0" w:leftChars="0" w:firstLine="482" w:firstLineChars="200"/>
              <w:rPr>
                <w:rFonts w:hint="default" w:ascii="Times New Roman" w:hAnsi="Times New Roman" w:cs="Times New Roman"/>
                <w:b/>
                <w:bCs w:val="0"/>
                <w:color w:val="auto"/>
                <w:sz w:val="24"/>
                <w:szCs w:val="24"/>
                <w:highlight w:val="none"/>
                <w:u w:val="none" w:color="auto"/>
                <w:lang w:val="en-US" w:eastAsia="zh-CN"/>
              </w:rPr>
            </w:pPr>
            <w:r>
              <w:rPr>
                <w:rFonts w:hint="default" w:ascii="Times New Roman" w:hAnsi="Times New Roman" w:cs="Times New Roman"/>
                <w:b/>
                <w:bCs w:val="0"/>
                <w:color w:val="auto"/>
                <w:sz w:val="24"/>
                <w:szCs w:val="24"/>
                <w:highlight w:val="none"/>
                <w:u w:val="none" w:color="auto"/>
                <w:lang w:val="en-US" w:eastAsia="zh-CN"/>
              </w:rPr>
              <w:t>2.3车辆冲洗废水</w:t>
            </w:r>
          </w:p>
          <w:p w14:paraId="46999F4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szCs w:val="24"/>
                <w:highlight w:val="none"/>
                <w:u w:val="none" w:color="auto"/>
                <w:lang w:val="en-US" w:eastAsia="zh-CN"/>
              </w:rPr>
            </w:pPr>
            <w:r>
              <w:rPr>
                <w:rFonts w:hint="default" w:ascii="Times New Roman" w:hAnsi="Times New Roman" w:cs="Times New Roman"/>
                <w:b w:val="0"/>
                <w:bCs/>
                <w:color w:val="auto"/>
                <w:sz w:val="24"/>
                <w:szCs w:val="24"/>
                <w:highlight w:val="none"/>
                <w:u w:val="none" w:color="auto"/>
                <w:lang w:val="en-US" w:eastAsia="zh-CN"/>
              </w:rPr>
              <w:t>本项目施工过程中使用的工程机械包括推土机、挖掘机、自卸汽车等，机械车辆冲洗废水主要含泥沙，施工期废水经沉淀池收集处理，废水回用于车辆冲洗使用和弃土降尘，不外排。</w:t>
            </w:r>
            <w:r>
              <w:rPr>
                <w:rFonts w:hint="eastAsia"/>
                <w:sz w:val="24"/>
                <w:szCs w:val="24"/>
                <w:highlight w:val="none"/>
                <w:lang w:val="en-US" w:eastAsia="zh-CN"/>
              </w:rPr>
              <w:t>沉淀池污泥定期清理，用于本项目回填或填洼。</w:t>
            </w:r>
          </w:p>
          <w:p w14:paraId="3C437CF7">
            <w:pPr>
              <w:pStyle w:val="43"/>
              <w:spacing w:beforeLines="0" w:afterLines="0"/>
              <w:ind w:left="0" w:leftChars="0" w:firstLine="482"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b/>
                <w:sz w:val="24"/>
                <w:szCs w:val="24"/>
                <w:highlight w:val="none"/>
              </w:rPr>
              <w:t>2.4导截流对水环境的影响</w:t>
            </w:r>
          </w:p>
          <w:p w14:paraId="605441C3">
            <w:pPr>
              <w:pStyle w:val="43"/>
              <w:spacing w:beforeLines="0" w:afterLines="0"/>
              <w:ind w:firstLine="42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河道具有很强的流动性</w:t>
            </w:r>
            <w:r>
              <w:rPr>
                <w:rFonts w:hint="eastAsia" w:cs="Times New Roman"/>
                <w:sz w:val="24"/>
                <w:szCs w:val="24"/>
                <w:highlight w:val="none"/>
                <w:lang w:eastAsia="zh-CN"/>
              </w:rPr>
              <w:t>，</w:t>
            </w:r>
            <w:r>
              <w:rPr>
                <w:rFonts w:hint="default" w:ascii="Times New Roman" w:hAnsi="Times New Roman" w:eastAsia="宋体" w:cs="Times New Roman"/>
                <w:sz w:val="24"/>
                <w:szCs w:val="24"/>
                <w:highlight w:val="none"/>
              </w:rPr>
              <w:t>本项目施工建设中，需要对河道进行导截流，会降低局部水流的流速。蓄水量的增加增加了上游渠道的覆盖范围，增加了水深，影响了流速，水动力不足。河流流动性的减少导致水中氧气和矿物质含量的减少。河道内污染物的聚集必然会加速整个水环境的恶化，周边的水资源和农业灌溉用水也会受到污染。</w:t>
            </w:r>
          </w:p>
          <w:p w14:paraId="0277E6C0">
            <w:pPr>
              <w:pStyle w:val="43"/>
              <w:spacing w:beforeLines="0" w:afterLines="0"/>
              <w:ind w:firstLine="42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水域施工采取围堰法，基础施工过程在围堰内完成，对围堰外水域的影响较小，对水体的扰动仅发生在围堰和围堰拆除过程。围堰修建和拆除过程将会对河道底泥产生扰动，使水体局部浑浊。根据同类工程类比分析，围堰和围堰拆除过程中，局部水域的SS浓度在80</w:t>
            </w:r>
            <w:r>
              <w:rPr>
                <w:rFonts w:hint="eastAsia" w:cs="Times New Roman"/>
                <w:sz w:val="24"/>
                <w:szCs w:val="24"/>
                <w:highlight w:val="none"/>
                <w:lang w:eastAsia="zh-CN"/>
              </w:rPr>
              <w:t>～</w:t>
            </w:r>
            <w:r>
              <w:rPr>
                <w:rFonts w:hint="default" w:ascii="Times New Roman" w:hAnsi="Times New Roman" w:eastAsia="宋体" w:cs="Times New Roman"/>
                <w:sz w:val="24"/>
                <w:szCs w:val="24"/>
                <w:highlight w:val="none"/>
              </w:rPr>
              <w:t>160mg</w:t>
            </w:r>
            <w:r>
              <w:rPr>
                <w:rFonts w:hint="eastAsia" w:cs="Times New Roman"/>
                <w:sz w:val="24"/>
                <w:szCs w:val="24"/>
                <w:highlight w:val="none"/>
                <w:lang w:val="en-US" w:eastAsia="zh-CN"/>
              </w:rPr>
              <w:t>/</w:t>
            </w:r>
            <w:r>
              <w:rPr>
                <w:rFonts w:hint="default" w:ascii="Times New Roman" w:hAnsi="Times New Roman" w:eastAsia="宋体" w:cs="Times New Roman"/>
                <w:sz w:val="24"/>
                <w:szCs w:val="24"/>
                <w:highlight w:val="none"/>
              </w:rPr>
              <w:t>L之间，施工点下游100m范围外SS增量不超过50mgL。由于围堰修建和围堰拆除工程量不大，时间较短，围堰修建和围堰拆除过程完成后，仅对围堰附近水体产生影响，随着水体流动，水体中悬浮的底泥将逐渐沉淀，对河流其他段几乎没有影响。因此本项目工程扰动底泥对水体的影响可控制在范围内。工程施工期间对水环境的不利影响是暂时的，可采取相应措施减少不利影响。</w:t>
            </w:r>
          </w:p>
          <w:p w14:paraId="1419C14D">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2.5淤泥渗滤水</w:t>
            </w:r>
          </w:p>
          <w:p w14:paraId="68D5B28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cs="Times New Roman"/>
                <w:sz w:val="24"/>
                <w:szCs w:val="24"/>
                <w:highlight w:val="none"/>
                <w:lang w:val="en-US" w:eastAsia="zh-CN"/>
              </w:rPr>
              <w:t>项目清淤淤泥会产生</w:t>
            </w:r>
            <w:r>
              <w:rPr>
                <w:rFonts w:hint="eastAsia" w:ascii="Times New Roman" w:hAnsi="Times New Roman" w:cs="Times New Roman"/>
                <w:sz w:val="24"/>
                <w:szCs w:val="24"/>
                <w:highlight w:val="none"/>
                <w:lang w:val="en-US" w:eastAsia="zh-CN"/>
              </w:rPr>
              <w:t>淤泥</w:t>
            </w:r>
            <w:r>
              <w:rPr>
                <w:rFonts w:hint="default" w:ascii="Times New Roman" w:hAnsi="Times New Roman" w:cs="Times New Roman"/>
                <w:sz w:val="24"/>
                <w:szCs w:val="24"/>
                <w:highlight w:val="none"/>
                <w:lang w:val="en-US" w:eastAsia="zh-CN"/>
              </w:rPr>
              <w:t>渗滤水，淤泥渗滤水污染物主要为悬浮物，该部分废水</w:t>
            </w:r>
            <w:r>
              <w:rPr>
                <w:rFonts w:hint="eastAsia" w:ascii="Times New Roman" w:hAnsi="Times New Roman" w:cs="Times New Roman"/>
                <w:sz w:val="24"/>
                <w:szCs w:val="24"/>
                <w:highlight w:val="none"/>
                <w:lang w:val="en-US" w:eastAsia="zh-CN"/>
              </w:rPr>
              <w:t>经</w:t>
            </w:r>
            <w:r>
              <w:rPr>
                <w:rFonts w:hint="default" w:ascii="Times New Roman" w:hAnsi="Times New Roman" w:cs="Times New Roman"/>
                <w:sz w:val="24"/>
                <w:szCs w:val="24"/>
                <w:highlight w:val="none"/>
                <w:lang w:val="en-US" w:eastAsia="zh-CN"/>
              </w:rPr>
              <w:t>收集后排入沉淀池沉淀处理后，用作周边洒水绿化。</w:t>
            </w:r>
          </w:p>
          <w:p w14:paraId="3468D02E">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bCs/>
                <w:sz w:val="24"/>
                <w:szCs w:val="24"/>
                <w:highlight w:val="none"/>
                <w:lang w:val="en-US" w:eastAsia="zh-CN"/>
              </w:rPr>
            </w:pPr>
            <w:r>
              <w:rPr>
                <w:rFonts w:hint="default" w:ascii="Times New Roman" w:hAnsi="Times New Roman" w:eastAsia="宋体" w:cs="Times New Roman"/>
                <w:b/>
                <w:bCs/>
                <w:kern w:val="2"/>
                <w:sz w:val="24"/>
                <w:szCs w:val="24"/>
                <w:highlight w:val="none"/>
                <w:lang w:val="en-US" w:eastAsia="zh-CN" w:bidi="ar-SA"/>
              </w:rPr>
              <w:t>3.</w:t>
            </w:r>
            <w:r>
              <w:rPr>
                <w:rFonts w:hint="default" w:ascii="Times New Roman" w:hAnsi="Times New Roman" w:cs="Times New Roman"/>
                <w:b/>
                <w:bCs/>
                <w:sz w:val="24"/>
                <w:szCs w:val="24"/>
                <w:highlight w:val="none"/>
                <w:lang w:val="en-US" w:eastAsia="zh-CN"/>
              </w:rPr>
              <w:t>施工期声环境影响分析</w:t>
            </w:r>
          </w:p>
          <w:p w14:paraId="24D7BE6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3.1施工期噪声源</w:t>
            </w:r>
          </w:p>
          <w:p w14:paraId="715AEA2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施工期产生的主要噪声源为：挖掘机、铲运机、平地机、推土机、装载机等施工机械运行以及运送土石方的汽车行驶时产生的噪声等。类比同类设备，这些机械在满负荷运行时、没有降噪措施情况下，距声源5m处的噪声值在85～90dB（A）之间。</w:t>
            </w:r>
          </w:p>
          <w:p w14:paraId="0D71E97A">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val="0"/>
                <w:color w:val="auto"/>
                <w:sz w:val="24"/>
                <w:szCs w:val="24"/>
                <w:highlight w:val="none"/>
                <w:u w:val="none" w:color="auto"/>
                <w:lang w:val="en-US" w:eastAsia="zh-CN"/>
              </w:rPr>
            </w:pPr>
            <w:r>
              <w:rPr>
                <w:rFonts w:hint="default" w:ascii="Times New Roman" w:hAnsi="Times New Roman" w:cs="Times New Roman"/>
                <w:b/>
                <w:bCs w:val="0"/>
                <w:color w:val="auto"/>
                <w:sz w:val="24"/>
                <w:szCs w:val="24"/>
                <w:highlight w:val="none"/>
                <w:u w:val="none" w:color="auto"/>
                <w:lang w:val="en-US" w:eastAsia="zh-CN"/>
              </w:rPr>
              <w:t>3.2</w:t>
            </w:r>
            <w:r>
              <w:rPr>
                <w:rFonts w:hint="default" w:ascii="Times New Roman" w:hAnsi="Times New Roman" w:eastAsia="宋体" w:cs="Times New Roman"/>
                <w:b/>
                <w:bCs w:val="0"/>
                <w:color w:val="auto"/>
                <w:sz w:val="24"/>
                <w:szCs w:val="24"/>
                <w:highlight w:val="none"/>
                <w:u w:val="none" w:color="auto"/>
                <w:lang w:val="en-US" w:eastAsia="zh-CN"/>
              </w:rPr>
              <w:t>施工噪声影响范围</w:t>
            </w:r>
          </w:p>
          <w:p w14:paraId="1CB0745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根据点声源噪声衰减模式，估算出距声源不同距离处的噪声值，预测模式如下：</w:t>
            </w:r>
          </w:p>
          <w:p w14:paraId="69F6672C">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object>
                <v:shape id="_x0000_i1026" o:spt="75" type="#_x0000_t75" style="height:19.95pt;width:150.1pt;" o:ole="t" filled="f" o:preferrelative="t" stroked="f" coordsize="21600,21600">
                  <v:path/>
                  <v:fill on="f" focussize="0,0"/>
                  <v:stroke on="f"/>
                  <v:imagedata r:id="rId17" o:title=""/>
                  <o:lock v:ext="edit" aspectratio="t"/>
                  <w10:wrap type="none"/>
                  <w10:anchorlock/>
                </v:shape>
                <o:OLEObject Type="Embed" ProgID="Equation.3" ShapeID="_x0000_i1026" DrawAspect="Content" ObjectID="_1468075726" r:id="rId16">
                  <o:LockedField>false</o:LockedField>
                </o:OLEObject>
              </w:object>
            </w:r>
          </w:p>
          <w:p w14:paraId="6D5A3F3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式中：LP(r)——距离噪声源r处的等效A声级值，dB(A)；</w:t>
            </w:r>
          </w:p>
          <w:p w14:paraId="46E77F42">
            <w:pPr>
              <w:keepNext w:val="0"/>
              <w:keepLines w:val="0"/>
              <w:pageBreakBefore w:val="0"/>
              <w:widowControl w:val="0"/>
              <w:kinsoku/>
              <w:wordWrap/>
              <w:overflowPunct/>
              <w:topLinePunct w:val="0"/>
              <w:autoSpaceDE/>
              <w:autoSpaceDN/>
              <w:bidi w:val="0"/>
              <w:adjustRightInd w:val="0"/>
              <w:snapToGrid w:val="0"/>
              <w:spacing w:line="360" w:lineRule="auto"/>
              <w:ind w:firstLine="1200" w:firstLineChars="500"/>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LP(r</w:t>
            </w:r>
            <w:r>
              <w:rPr>
                <w:rFonts w:hint="default" w:ascii="Times New Roman" w:hAnsi="Times New Roman" w:eastAsia="宋体" w:cs="Times New Roman"/>
                <w:color w:val="auto"/>
                <w:sz w:val="24"/>
                <w:szCs w:val="24"/>
                <w:highlight w:val="none"/>
                <w:u w:val="none" w:color="auto"/>
                <w:vertAlign w:val="subscript"/>
              </w:rPr>
              <w:t>0</w:t>
            </w:r>
            <w:r>
              <w:rPr>
                <w:rFonts w:hint="default" w:ascii="Times New Roman" w:hAnsi="Times New Roman" w:eastAsia="宋体" w:cs="Times New Roman"/>
                <w:color w:val="auto"/>
                <w:sz w:val="24"/>
                <w:szCs w:val="24"/>
                <w:highlight w:val="none"/>
                <w:u w:val="none" w:color="auto"/>
              </w:rPr>
              <w:t>)——距离噪声源r</w:t>
            </w:r>
            <w:r>
              <w:rPr>
                <w:rFonts w:hint="default" w:ascii="Times New Roman" w:hAnsi="Times New Roman" w:eastAsia="宋体" w:cs="Times New Roman"/>
                <w:color w:val="auto"/>
                <w:sz w:val="24"/>
                <w:szCs w:val="24"/>
                <w:highlight w:val="none"/>
                <w:u w:val="none" w:color="auto"/>
                <w:vertAlign w:val="subscript"/>
              </w:rPr>
              <w:t>0</w:t>
            </w:r>
            <w:r>
              <w:rPr>
                <w:rFonts w:hint="default" w:ascii="Times New Roman" w:hAnsi="Times New Roman" w:eastAsia="宋体" w:cs="Times New Roman"/>
                <w:color w:val="auto"/>
                <w:sz w:val="24"/>
                <w:szCs w:val="24"/>
                <w:highlight w:val="none"/>
                <w:u w:val="none" w:color="auto"/>
              </w:rPr>
              <w:t>处的等效A声级值，dB(A)；</w:t>
            </w:r>
          </w:p>
          <w:p w14:paraId="06813965">
            <w:pPr>
              <w:keepNext w:val="0"/>
              <w:keepLines w:val="0"/>
              <w:pageBreakBefore w:val="0"/>
              <w:widowControl w:val="0"/>
              <w:tabs>
                <w:tab w:val="left" w:pos="0"/>
              </w:tabs>
              <w:kinsoku/>
              <w:wordWrap/>
              <w:overflowPunct/>
              <w:topLinePunct w:val="0"/>
              <w:autoSpaceDE/>
              <w:autoSpaceDN/>
              <w:bidi w:val="0"/>
              <w:adjustRightInd w:val="0"/>
              <w:snapToGrid w:val="0"/>
              <w:spacing w:line="360" w:lineRule="auto"/>
              <w:ind w:firstLine="1260" w:firstLineChars="525"/>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r——预测点距噪声源距离，（m）；</w:t>
            </w:r>
          </w:p>
          <w:p w14:paraId="342EDE11">
            <w:pPr>
              <w:keepNext w:val="0"/>
              <w:keepLines w:val="0"/>
              <w:pageBreakBefore w:val="0"/>
              <w:widowControl w:val="0"/>
              <w:tabs>
                <w:tab w:val="left" w:pos="0"/>
              </w:tabs>
              <w:kinsoku/>
              <w:wordWrap/>
              <w:overflowPunct/>
              <w:topLinePunct w:val="0"/>
              <w:autoSpaceDE/>
              <w:autoSpaceDN/>
              <w:bidi w:val="0"/>
              <w:adjustRightInd w:val="0"/>
              <w:snapToGrid w:val="0"/>
              <w:spacing w:line="360" w:lineRule="auto"/>
              <w:ind w:firstLine="1260" w:firstLineChars="525"/>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r</w:t>
            </w:r>
            <w:r>
              <w:rPr>
                <w:rFonts w:hint="default" w:ascii="Times New Roman" w:hAnsi="Times New Roman" w:eastAsia="宋体" w:cs="Times New Roman"/>
                <w:color w:val="auto"/>
                <w:sz w:val="24"/>
                <w:szCs w:val="24"/>
                <w:highlight w:val="none"/>
                <w:u w:val="none" w:color="auto"/>
                <w:vertAlign w:val="subscript"/>
              </w:rPr>
              <w:t>0</w:t>
            </w:r>
            <w:r>
              <w:rPr>
                <w:rFonts w:hint="default" w:ascii="Times New Roman" w:hAnsi="Times New Roman" w:eastAsia="宋体" w:cs="Times New Roman"/>
                <w:color w:val="auto"/>
                <w:sz w:val="24"/>
                <w:szCs w:val="24"/>
                <w:highlight w:val="none"/>
                <w:u w:val="none" w:color="auto"/>
              </w:rPr>
              <w:t>——源强外1m处。</w:t>
            </w:r>
          </w:p>
          <w:p w14:paraId="5828768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依据《建筑施工场界环境噪声排放标准》（GB12523-2011）标准要求，计算出施工机械噪声对周围环境的影响范围，在设备没有增加降噪措施情况下，施工机械噪声预测结果见下表。</w:t>
            </w:r>
          </w:p>
          <w:p w14:paraId="423CCC78">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主要阶段施工机械噪声预测结果 单位：dB（A）</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45"/>
              <w:gridCol w:w="516"/>
              <w:gridCol w:w="600"/>
              <w:gridCol w:w="600"/>
              <w:gridCol w:w="601"/>
              <w:gridCol w:w="601"/>
              <w:gridCol w:w="601"/>
              <w:gridCol w:w="601"/>
              <w:gridCol w:w="709"/>
              <w:gridCol w:w="709"/>
              <w:gridCol w:w="709"/>
              <w:gridCol w:w="724"/>
            </w:tblGrid>
            <w:tr w14:paraId="7FF525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09" w:type="pct"/>
                  <w:vMerge w:val="restart"/>
                  <w:tcBorders>
                    <w:tl2br w:val="nil"/>
                    <w:tr2bl w:val="nil"/>
                  </w:tcBorders>
                  <w:vAlign w:val="center"/>
                </w:tcPr>
                <w:p w14:paraId="01BD9FEA">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声源名称</w:t>
                  </w:r>
                </w:p>
              </w:tc>
              <w:tc>
                <w:tcPr>
                  <w:tcW w:w="311" w:type="pct"/>
                  <w:vMerge w:val="restart"/>
                  <w:tcBorders>
                    <w:tl2br w:val="nil"/>
                    <w:tr2bl w:val="nil"/>
                  </w:tcBorders>
                  <w:vAlign w:val="center"/>
                </w:tcPr>
                <w:p w14:paraId="088E078E">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源强</w:t>
                  </w:r>
                </w:p>
              </w:tc>
              <w:tc>
                <w:tcPr>
                  <w:tcW w:w="3879" w:type="pct"/>
                  <w:gridSpan w:val="10"/>
                  <w:tcBorders>
                    <w:tl2br w:val="nil"/>
                    <w:tr2bl w:val="nil"/>
                  </w:tcBorders>
                  <w:vAlign w:val="center"/>
                </w:tcPr>
                <w:p w14:paraId="695486AD">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距声源不同距离处的噪声值</w:t>
                  </w:r>
                </w:p>
              </w:tc>
            </w:tr>
            <w:tr w14:paraId="46DB59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09" w:type="pct"/>
                  <w:vMerge w:val="continue"/>
                  <w:tcBorders>
                    <w:tl2br w:val="nil"/>
                    <w:tr2bl w:val="nil"/>
                  </w:tcBorders>
                  <w:vAlign w:val="center"/>
                </w:tcPr>
                <w:p w14:paraId="03AA5E1F">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vertAlign w:val="baseline"/>
                      <w:lang w:val="en-US" w:eastAsia="zh-CN"/>
                    </w:rPr>
                  </w:pPr>
                </w:p>
              </w:tc>
              <w:tc>
                <w:tcPr>
                  <w:tcW w:w="311" w:type="pct"/>
                  <w:vMerge w:val="continue"/>
                  <w:tcBorders>
                    <w:tl2br w:val="nil"/>
                    <w:tr2bl w:val="nil"/>
                  </w:tcBorders>
                  <w:vAlign w:val="center"/>
                </w:tcPr>
                <w:p w14:paraId="5898D014">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vertAlign w:val="baseline"/>
                      <w:lang w:val="en-US" w:eastAsia="zh-CN"/>
                    </w:rPr>
                  </w:pPr>
                </w:p>
              </w:tc>
              <w:tc>
                <w:tcPr>
                  <w:tcW w:w="361" w:type="pct"/>
                  <w:tcBorders>
                    <w:tl2br w:val="nil"/>
                    <w:tr2bl w:val="nil"/>
                  </w:tcBorders>
                  <w:vAlign w:val="center"/>
                </w:tcPr>
                <w:p w14:paraId="1EC12F0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10m</w:t>
                  </w:r>
                </w:p>
              </w:tc>
              <w:tc>
                <w:tcPr>
                  <w:tcW w:w="361" w:type="pct"/>
                  <w:tcBorders>
                    <w:tl2br w:val="nil"/>
                    <w:tr2bl w:val="nil"/>
                  </w:tcBorders>
                  <w:vAlign w:val="center"/>
                </w:tcPr>
                <w:p w14:paraId="689CBCB6">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20m</w:t>
                  </w:r>
                </w:p>
              </w:tc>
              <w:tc>
                <w:tcPr>
                  <w:tcW w:w="361" w:type="pct"/>
                  <w:tcBorders>
                    <w:tl2br w:val="nil"/>
                    <w:tr2bl w:val="nil"/>
                  </w:tcBorders>
                  <w:vAlign w:val="center"/>
                </w:tcPr>
                <w:p w14:paraId="477DAA4C">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40m</w:t>
                  </w:r>
                </w:p>
              </w:tc>
              <w:tc>
                <w:tcPr>
                  <w:tcW w:w="361" w:type="pct"/>
                  <w:tcBorders>
                    <w:tl2br w:val="nil"/>
                    <w:tr2bl w:val="nil"/>
                  </w:tcBorders>
                  <w:vAlign w:val="center"/>
                </w:tcPr>
                <w:p w14:paraId="2F9D2FA3">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50m</w:t>
                  </w:r>
                </w:p>
              </w:tc>
              <w:tc>
                <w:tcPr>
                  <w:tcW w:w="361" w:type="pct"/>
                  <w:tcBorders>
                    <w:tl2br w:val="nil"/>
                    <w:tr2bl w:val="nil"/>
                  </w:tcBorders>
                  <w:vAlign w:val="center"/>
                </w:tcPr>
                <w:p w14:paraId="0AA49041">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60m</w:t>
                  </w:r>
                </w:p>
              </w:tc>
              <w:tc>
                <w:tcPr>
                  <w:tcW w:w="361" w:type="pct"/>
                  <w:tcBorders>
                    <w:tl2br w:val="nil"/>
                    <w:tr2bl w:val="nil"/>
                  </w:tcBorders>
                  <w:vAlign w:val="center"/>
                </w:tcPr>
                <w:p w14:paraId="0EDB39D7">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80m</w:t>
                  </w:r>
                </w:p>
              </w:tc>
              <w:tc>
                <w:tcPr>
                  <w:tcW w:w="426" w:type="pct"/>
                  <w:tcBorders>
                    <w:tl2br w:val="nil"/>
                    <w:tr2bl w:val="nil"/>
                  </w:tcBorders>
                  <w:vAlign w:val="center"/>
                </w:tcPr>
                <w:p w14:paraId="5812E23E">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100m</w:t>
                  </w:r>
                </w:p>
              </w:tc>
              <w:tc>
                <w:tcPr>
                  <w:tcW w:w="426" w:type="pct"/>
                  <w:tcBorders>
                    <w:tl2br w:val="nil"/>
                    <w:tr2bl w:val="nil"/>
                  </w:tcBorders>
                  <w:vAlign w:val="center"/>
                </w:tcPr>
                <w:p w14:paraId="749DA8B0">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150m</w:t>
                  </w:r>
                </w:p>
              </w:tc>
              <w:tc>
                <w:tcPr>
                  <w:tcW w:w="426" w:type="pct"/>
                  <w:tcBorders>
                    <w:tl2br w:val="nil"/>
                    <w:tr2bl w:val="nil"/>
                  </w:tcBorders>
                  <w:vAlign w:val="center"/>
                </w:tcPr>
                <w:p w14:paraId="54EC3FB3">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200m</w:t>
                  </w:r>
                </w:p>
              </w:tc>
              <w:tc>
                <w:tcPr>
                  <w:tcW w:w="429" w:type="pct"/>
                  <w:tcBorders>
                    <w:tl2br w:val="nil"/>
                    <w:tr2bl w:val="nil"/>
                  </w:tcBorders>
                  <w:vAlign w:val="center"/>
                </w:tcPr>
                <w:p w14:paraId="7A81D203">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vertAlign w:val="baseline"/>
                      <w:lang w:val="en-US" w:eastAsia="zh-CN"/>
                    </w:rPr>
                  </w:pPr>
                  <w:r>
                    <w:rPr>
                      <w:rFonts w:hint="default" w:ascii="Times New Roman" w:hAnsi="Times New Roman" w:cs="Times New Roman"/>
                      <w:sz w:val="21"/>
                      <w:szCs w:val="21"/>
                      <w:highlight w:val="none"/>
                      <w:vertAlign w:val="baseline"/>
                      <w:lang w:val="en-US" w:eastAsia="zh-CN"/>
                    </w:rPr>
                    <w:t>300m</w:t>
                  </w:r>
                </w:p>
              </w:tc>
            </w:tr>
            <w:tr w14:paraId="2FA239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09" w:type="pct"/>
                  <w:tcBorders>
                    <w:tl2br w:val="nil"/>
                    <w:tr2bl w:val="nil"/>
                  </w:tcBorders>
                  <w:vAlign w:val="center"/>
                </w:tcPr>
                <w:p w14:paraId="53DF4069">
                  <w:pPr>
                    <w:bidi w:val="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挖掘机</w:t>
                  </w:r>
                </w:p>
              </w:tc>
              <w:tc>
                <w:tcPr>
                  <w:tcW w:w="311" w:type="pct"/>
                  <w:tcBorders>
                    <w:tl2br w:val="nil"/>
                    <w:tr2bl w:val="nil"/>
                  </w:tcBorders>
                  <w:vAlign w:val="center"/>
                </w:tcPr>
                <w:p w14:paraId="3FF8F740">
                  <w:pPr>
                    <w:bidi w:val="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95</w:t>
                  </w:r>
                </w:p>
              </w:tc>
              <w:tc>
                <w:tcPr>
                  <w:tcW w:w="361" w:type="pct"/>
                  <w:tcBorders>
                    <w:tl2br w:val="nil"/>
                    <w:tr2bl w:val="nil"/>
                  </w:tcBorders>
                  <w:vAlign w:val="center"/>
                </w:tcPr>
                <w:p w14:paraId="105398B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75.0</w:t>
                  </w:r>
                </w:p>
              </w:tc>
              <w:tc>
                <w:tcPr>
                  <w:tcW w:w="361" w:type="pct"/>
                  <w:tcBorders>
                    <w:tl2br w:val="nil"/>
                    <w:tr2bl w:val="nil"/>
                  </w:tcBorders>
                  <w:vAlign w:val="center"/>
                </w:tcPr>
                <w:p w14:paraId="2E6E324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69.0</w:t>
                  </w:r>
                </w:p>
              </w:tc>
              <w:tc>
                <w:tcPr>
                  <w:tcW w:w="361" w:type="pct"/>
                  <w:tcBorders>
                    <w:tl2br w:val="nil"/>
                    <w:tr2bl w:val="nil"/>
                  </w:tcBorders>
                  <w:vAlign w:val="center"/>
                </w:tcPr>
                <w:p w14:paraId="5AF4C7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65.5</w:t>
                  </w:r>
                </w:p>
              </w:tc>
              <w:tc>
                <w:tcPr>
                  <w:tcW w:w="361" w:type="pct"/>
                  <w:tcBorders>
                    <w:tl2br w:val="nil"/>
                    <w:tr2bl w:val="nil"/>
                  </w:tcBorders>
                  <w:vAlign w:val="center"/>
                </w:tcPr>
                <w:p w14:paraId="6FD5DF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63.0</w:t>
                  </w:r>
                </w:p>
              </w:tc>
              <w:tc>
                <w:tcPr>
                  <w:tcW w:w="361" w:type="pct"/>
                  <w:tcBorders>
                    <w:tl2br w:val="nil"/>
                    <w:tr2bl w:val="nil"/>
                  </w:tcBorders>
                  <w:vAlign w:val="center"/>
                </w:tcPr>
                <w:p w14:paraId="2E66543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59.4</w:t>
                  </w:r>
                </w:p>
              </w:tc>
              <w:tc>
                <w:tcPr>
                  <w:tcW w:w="361" w:type="pct"/>
                  <w:tcBorders>
                    <w:tl2br w:val="nil"/>
                    <w:tr2bl w:val="nil"/>
                  </w:tcBorders>
                  <w:vAlign w:val="center"/>
                </w:tcPr>
                <w:p w14:paraId="2A0BD21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56.9</w:t>
                  </w:r>
                </w:p>
              </w:tc>
              <w:tc>
                <w:tcPr>
                  <w:tcW w:w="426" w:type="pct"/>
                  <w:tcBorders>
                    <w:tl2br w:val="nil"/>
                    <w:tr2bl w:val="nil"/>
                  </w:tcBorders>
                  <w:vAlign w:val="center"/>
                </w:tcPr>
                <w:p w14:paraId="4CA4328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55.0</w:t>
                  </w:r>
                </w:p>
              </w:tc>
              <w:tc>
                <w:tcPr>
                  <w:tcW w:w="426" w:type="pct"/>
                  <w:tcBorders>
                    <w:tl2br w:val="nil"/>
                    <w:tr2bl w:val="nil"/>
                  </w:tcBorders>
                  <w:vAlign w:val="center"/>
                </w:tcPr>
                <w:p w14:paraId="6BC854C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51.5</w:t>
                  </w:r>
                </w:p>
              </w:tc>
              <w:tc>
                <w:tcPr>
                  <w:tcW w:w="426" w:type="pct"/>
                  <w:tcBorders>
                    <w:tl2br w:val="nil"/>
                    <w:tr2bl w:val="nil"/>
                  </w:tcBorders>
                  <w:vAlign w:val="center"/>
                </w:tcPr>
                <w:p w14:paraId="2420286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49.0</w:t>
                  </w:r>
                </w:p>
              </w:tc>
              <w:tc>
                <w:tcPr>
                  <w:tcW w:w="429" w:type="pct"/>
                  <w:tcBorders>
                    <w:tl2br w:val="nil"/>
                    <w:tr2bl w:val="nil"/>
                  </w:tcBorders>
                  <w:vAlign w:val="center"/>
                </w:tcPr>
                <w:p w14:paraId="0A67A3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45.5</w:t>
                  </w:r>
                </w:p>
              </w:tc>
            </w:tr>
            <w:tr w14:paraId="37436F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09" w:type="pct"/>
                  <w:tcBorders>
                    <w:tl2br w:val="nil"/>
                    <w:tr2bl w:val="nil"/>
                  </w:tcBorders>
                  <w:vAlign w:val="center"/>
                </w:tcPr>
                <w:p w14:paraId="3627A417">
                  <w:pPr>
                    <w:bidi w:val="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推土机</w:t>
                  </w:r>
                </w:p>
              </w:tc>
              <w:tc>
                <w:tcPr>
                  <w:tcW w:w="311" w:type="pct"/>
                  <w:tcBorders>
                    <w:tl2br w:val="nil"/>
                    <w:tr2bl w:val="nil"/>
                  </w:tcBorders>
                  <w:vAlign w:val="center"/>
                </w:tcPr>
                <w:p w14:paraId="50A53B38">
                  <w:pPr>
                    <w:bidi w:val="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94</w:t>
                  </w:r>
                </w:p>
              </w:tc>
              <w:tc>
                <w:tcPr>
                  <w:tcW w:w="361" w:type="pct"/>
                  <w:tcBorders>
                    <w:tl2br w:val="nil"/>
                    <w:tr2bl w:val="nil"/>
                  </w:tcBorders>
                  <w:vAlign w:val="center"/>
                </w:tcPr>
                <w:p w14:paraId="3310DB1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74.0</w:t>
                  </w:r>
                </w:p>
              </w:tc>
              <w:tc>
                <w:tcPr>
                  <w:tcW w:w="361" w:type="pct"/>
                  <w:tcBorders>
                    <w:tl2br w:val="nil"/>
                    <w:tr2bl w:val="nil"/>
                  </w:tcBorders>
                  <w:vAlign w:val="center"/>
                </w:tcPr>
                <w:p w14:paraId="5800C80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68.0</w:t>
                  </w:r>
                </w:p>
              </w:tc>
              <w:tc>
                <w:tcPr>
                  <w:tcW w:w="361" w:type="pct"/>
                  <w:tcBorders>
                    <w:tl2br w:val="nil"/>
                    <w:tr2bl w:val="nil"/>
                  </w:tcBorders>
                  <w:vAlign w:val="center"/>
                </w:tcPr>
                <w:p w14:paraId="6653D89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64.5</w:t>
                  </w:r>
                </w:p>
              </w:tc>
              <w:tc>
                <w:tcPr>
                  <w:tcW w:w="361" w:type="pct"/>
                  <w:tcBorders>
                    <w:tl2br w:val="nil"/>
                    <w:tr2bl w:val="nil"/>
                  </w:tcBorders>
                  <w:vAlign w:val="center"/>
                </w:tcPr>
                <w:p w14:paraId="5347B10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62.0</w:t>
                  </w:r>
                </w:p>
              </w:tc>
              <w:tc>
                <w:tcPr>
                  <w:tcW w:w="361" w:type="pct"/>
                  <w:tcBorders>
                    <w:tl2br w:val="nil"/>
                    <w:tr2bl w:val="nil"/>
                  </w:tcBorders>
                  <w:vAlign w:val="center"/>
                </w:tcPr>
                <w:p w14:paraId="6A187E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58.4</w:t>
                  </w:r>
                </w:p>
              </w:tc>
              <w:tc>
                <w:tcPr>
                  <w:tcW w:w="361" w:type="pct"/>
                  <w:tcBorders>
                    <w:tl2br w:val="nil"/>
                    <w:tr2bl w:val="nil"/>
                  </w:tcBorders>
                  <w:vAlign w:val="center"/>
                </w:tcPr>
                <w:p w14:paraId="532583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55.9</w:t>
                  </w:r>
                </w:p>
              </w:tc>
              <w:tc>
                <w:tcPr>
                  <w:tcW w:w="426" w:type="pct"/>
                  <w:tcBorders>
                    <w:tl2br w:val="nil"/>
                    <w:tr2bl w:val="nil"/>
                  </w:tcBorders>
                  <w:vAlign w:val="center"/>
                </w:tcPr>
                <w:p w14:paraId="7FBF1A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54.0</w:t>
                  </w:r>
                </w:p>
              </w:tc>
              <w:tc>
                <w:tcPr>
                  <w:tcW w:w="426" w:type="pct"/>
                  <w:tcBorders>
                    <w:tl2br w:val="nil"/>
                    <w:tr2bl w:val="nil"/>
                  </w:tcBorders>
                  <w:vAlign w:val="center"/>
                </w:tcPr>
                <w:p w14:paraId="78EC97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50.5</w:t>
                  </w:r>
                </w:p>
              </w:tc>
              <w:tc>
                <w:tcPr>
                  <w:tcW w:w="426" w:type="pct"/>
                  <w:tcBorders>
                    <w:tl2br w:val="nil"/>
                    <w:tr2bl w:val="nil"/>
                  </w:tcBorders>
                  <w:vAlign w:val="center"/>
                </w:tcPr>
                <w:p w14:paraId="29969B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48.0</w:t>
                  </w:r>
                </w:p>
              </w:tc>
              <w:tc>
                <w:tcPr>
                  <w:tcW w:w="429" w:type="pct"/>
                  <w:tcBorders>
                    <w:tl2br w:val="nil"/>
                    <w:tr2bl w:val="nil"/>
                  </w:tcBorders>
                  <w:vAlign w:val="center"/>
                </w:tcPr>
                <w:p w14:paraId="2DA7C9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44.5</w:t>
                  </w:r>
                </w:p>
              </w:tc>
            </w:tr>
            <w:tr w14:paraId="70E8F3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09" w:type="pct"/>
                  <w:tcBorders>
                    <w:tl2br w:val="nil"/>
                    <w:tr2bl w:val="nil"/>
                  </w:tcBorders>
                  <w:vAlign w:val="center"/>
                </w:tcPr>
                <w:p w14:paraId="06AB01D4">
                  <w:pPr>
                    <w:bidi w:val="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装载机</w:t>
                  </w:r>
                </w:p>
              </w:tc>
              <w:tc>
                <w:tcPr>
                  <w:tcW w:w="311" w:type="pct"/>
                  <w:tcBorders>
                    <w:tl2br w:val="nil"/>
                    <w:tr2bl w:val="nil"/>
                  </w:tcBorders>
                  <w:vAlign w:val="center"/>
                </w:tcPr>
                <w:p w14:paraId="5373D991">
                  <w:pPr>
                    <w:bidi w:val="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95</w:t>
                  </w:r>
                </w:p>
              </w:tc>
              <w:tc>
                <w:tcPr>
                  <w:tcW w:w="361" w:type="pct"/>
                  <w:tcBorders>
                    <w:tl2br w:val="nil"/>
                    <w:tr2bl w:val="nil"/>
                  </w:tcBorders>
                  <w:vAlign w:val="center"/>
                </w:tcPr>
                <w:p w14:paraId="17E02DD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75.0</w:t>
                  </w:r>
                </w:p>
              </w:tc>
              <w:tc>
                <w:tcPr>
                  <w:tcW w:w="361" w:type="pct"/>
                  <w:tcBorders>
                    <w:tl2br w:val="nil"/>
                    <w:tr2bl w:val="nil"/>
                  </w:tcBorders>
                  <w:vAlign w:val="center"/>
                </w:tcPr>
                <w:p w14:paraId="0F41AFC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69.0</w:t>
                  </w:r>
                </w:p>
              </w:tc>
              <w:tc>
                <w:tcPr>
                  <w:tcW w:w="361" w:type="pct"/>
                  <w:tcBorders>
                    <w:tl2br w:val="nil"/>
                    <w:tr2bl w:val="nil"/>
                  </w:tcBorders>
                  <w:vAlign w:val="center"/>
                </w:tcPr>
                <w:p w14:paraId="2F2386F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65.5</w:t>
                  </w:r>
                </w:p>
              </w:tc>
              <w:tc>
                <w:tcPr>
                  <w:tcW w:w="361" w:type="pct"/>
                  <w:tcBorders>
                    <w:tl2br w:val="nil"/>
                    <w:tr2bl w:val="nil"/>
                  </w:tcBorders>
                  <w:vAlign w:val="center"/>
                </w:tcPr>
                <w:p w14:paraId="7804D2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63.0</w:t>
                  </w:r>
                </w:p>
              </w:tc>
              <w:tc>
                <w:tcPr>
                  <w:tcW w:w="361" w:type="pct"/>
                  <w:tcBorders>
                    <w:tl2br w:val="nil"/>
                    <w:tr2bl w:val="nil"/>
                  </w:tcBorders>
                  <w:vAlign w:val="center"/>
                </w:tcPr>
                <w:p w14:paraId="3CA654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59.4</w:t>
                  </w:r>
                </w:p>
              </w:tc>
              <w:tc>
                <w:tcPr>
                  <w:tcW w:w="361" w:type="pct"/>
                  <w:tcBorders>
                    <w:tl2br w:val="nil"/>
                    <w:tr2bl w:val="nil"/>
                  </w:tcBorders>
                  <w:vAlign w:val="center"/>
                </w:tcPr>
                <w:p w14:paraId="05DA079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56.9</w:t>
                  </w:r>
                </w:p>
              </w:tc>
              <w:tc>
                <w:tcPr>
                  <w:tcW w:w="426" w:type="pct"/>
                  <w:tcBorders>
                    <w:tl2br w:val="nil"/>
                    <w:tr2bl w:val="nil"/>
                  </w:tcBorders>
                  <w:vAlign w:val="center"/>
                </w:tcPr>
                <w:p w14:paraId="0F66054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55.0</w:t>
                  </w:r>
                </w:p>
              </w:tc>
              <w:tc>
                <w:tcPr>
                  <w:tcW w:w="426" w:type="pct"/>
                  <w:tcBorders>
                    <w:tl2br w:val="nil"/>
                    <w:tr2bl w:val="nil"/>
                  </w:tcBorders>
                  <w:vAlign w:val="center"/>
                </w:tcPr>
                <w:p w14:paraId="09E290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51.5</w:t>
                  </w:r>
                </w:p>
              </w:tc>
              <w:tc>
                <w:tcPr>
                  <w:tcW w:w="426" w:type="pct"/>
                  <w:tcBorders>
                    <w:tl2br w:val="nil"/>
                    <w:tr2bl w:val="nil"/>
                  </w:tcBorders>
                  <w:vAlign w:val="center"/>
                </w:tcPr>
                <w:p w14:paraId="2A806A4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49.0</w:t>
                  </w:r>
                </w:p>
              </w:tc>
              <w:tc>
                <w:tcPr>
                  <w:tcW w:w="429" w:type="pct"/>
                  <w:tcBorders>
                    <w:tl2br w:val="nil"/>
                    <w:tr2bl w:val="nil"/>
                  </w:tcBorders>
                  <w:vAlign w:val="center"/>
                </w:tcPr>
                <w:p w14:paraId="24C965F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45.5</w:t>
                  </w:r>
                </w:p>
              </w:tc>
            </w:tr>
            <w:tr w14:paraId="052039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09" w:type="pct"/>
                  <w:tcBorders>
                    <w:tl2br w:val="nil"/>
                    <w:tr2bl w:val="nil"/>
                  </w:tcBorders>
                  <w:vAlign w:val="center"/>
                </w:tcPr>
                <w:p w14:paraId="07494EC5">
                  <w:pPr>
                    <w:bidi w:val="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运输车辆</w:t>
                  </w:r>
                </w:p>
              </w:tc>
              <w:tc>
                <w:tcPr>
                  <w:tcW w:w="311" w:type="pct"/>
                  <w:tcBorders>
                    <w:tl2br w:val="nil"/>
                    <w:tr2bl w:val="nil"/>
                  </w:tcBorders>
                  <w:vAlign w:val="center"/>
                </w:tcPr>
                <w:p w14:paraId="33BE8A9E">
                  <w:pPr>
                    <w:bidi w:val="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85</w:t>
                  </w:r>
                </w:p>
              </w:tc>
              <w:tc>
                <w:tcPr>
                  <w:tcW w:w="361" w:type="pct"/>
                  <w:tcBorders>
                    <w:tl2br w:val="nil"/>
                    <w:tr2bl w:val="nil"/>
                  </w:tcBorders>
                  <w:vAlign w:val="center"/>
                </w:tcPr>
                <w:p w14:paraId="7C38766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67.5</w:t>
                  </w:r>
                </w:p>
              </w:tc>
              <w:tc>
                <w:tcPr>
                  <w:tcW w:w="361" w:type="pct"/>
                  <w:tcBorders>
                    <w:tl2br w:val="nil"/>
                    <w:tr2bl w:val="nil"/>
                  </w:tcBorders>
                  <w:vAlign w:val="center"/>
                </w:tcPr>
                <w:p w14:paraId="5FD072E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59.0</w:t>
                  </w:r>
                </w:p>
              </w:tc>
              <w:tc>
                <w:tcPr>
                  <w:tcW w:w="361" w:type="pct"/>
                  <w:tcBorders>
                    <w:tl2br w:val="nil"/>
                    <w:tr2bl w:val="nil"/>
                  </w:tcBorders>
                  <w:vAlign w:val="center"/>
                </w:tcPr>
                <w:p w14:paraId="377804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55.5</w:t>
                  </w:r>
                </w:p>
              </w:tc>
              <w:tc>
                <w:tcPr>
                  <w:tcW w:w="361" w:type="pct"/>
                  <w:tcBorders>
                    <w:tl2br w:val="nil"/>
                    <w:tr2bl w:val="nil"/>
                  </w:tcBorders>
                  <w:vAlign w:val="center"/>
                </w:tcPr>
                <w:p w14:paraId="4DF65B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53.0</w:t>
                  </w:r>
                </w:p>
              </w:tc>
              <w:tc>
                <w:tcPr>
                  <w:tcW w:w="361" w:type="pct"/>
                  <w:tcBorders>
                    <w:tl2br w:val="nil"/>
                    <w:tr2bl w:val="nil"/>
                  </w:tcBorders>
                  <w:vAlign w:val="center"/>
                </w:tcPr>
                <w:p w14:paraId="08A6AF3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49.4</w:t>
                  </w:r>
                </w:p>
              </w:tc>
              <w:tc>
                <w:tcPr>
                  <w:tcW w:w="361" w:type="pct"/>
                  <w:tcBorders>
                    <w:tl2br w:val="nil"/>
                    <w:tr2bl w:val="nil"/>
                  </w:tcBorders>
                  <w:vAlign w:val="center"/>
                </w:tcPr>
                <w:p w14:paraId="3FD2D5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46.9</w:t>
                  </w:r>
                </w:p>
              </w:tc>
              <w:tc>
                <w:tcPr>
                  <w:tcW w:w="426" w:type="pct"/>
                  <w:tcBorders>
                    <w:tl2br w:val="nil"/>
                    <w:tr2bl w:val="nil"/>
                  </w:tcBorders>
                  <w:vAlign w:val="center"/>
                </w:tcPr>
                <w:p w14:paraId="4AE489D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45.0</w:t>
                  </w:r>
                </w:p>
              </w:tc>
              <w:tc>
                <w:tcPr>
                  <w:tcW w:w="426" w:type="pct"/>
                  <w:tcBorders>
                    <w:tl2br w:val="nil"/>
                    <w:tr2bl w:val="nil"/>
                  </w:tcBorders>
                  <w:vAlign w:val="center"/>
                </w:tcPr>
                <w:p w14:paraId="03FC0D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41.5</w:t>
                  </w:r>
                </w:p>
              </w:tc>
              <w:tc>
                <w:tcPr>
                  <w:tcW w:w="426" w:type="pct"/>
                  <w:tcBorders>
                    <w:tl2br w:val="nil"/>
                    <w:tr2bl w:val="nil"/>
                  </w:tcBorders>
                  <w:vAlign w:val="center"/>
                </w:tcPr>
                <w:p w14:paraId="1E52916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39.0</w:t>
                  </w:r>
                </w:p>
              </w:tc>
              <w:tc>
                <w:tcPr>
                  <w:tcW w:w="429" w:type="pct"/>
                  <w:tcBorders>
                    <w:tl2br w:val="nil"/>
                    <w:tr2bl w:val="nil"/>
                  </w:tcBorders>
                  <w:vAlign w:val="center"/>
                </w:tcPr>
                <w:p w14:paraId="575D4A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35.5</w:t>
                  </w:r>
                </w:p>
              </w:tc>
            </w:tr>
            <w:tr w14:paraId="0C475B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09" w:type="pct"/>
                  <w:tcBorders>
                    <w:tl2br w:val="nil"/>
                    <w:tr2bl w:val="nil"/>
                  </w:tcBorders>
                  <w:vAlign w:val="center"/>
                </w:tcPr>
                <w:p w14:paraId="1D50C8E0">
                  <w:pPr>
                    <w:bidi w:val="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贡献叠加值</w:t>
                  </w:r>
                </w:p>
              </w:tc>
              <w:tc>
                <w:tcPr>
                  <w:tcW w:w="311" w:type="pct"/>
                  <w:tcBorders>
                    <w:tl2br w:val="nil"/>
                    <w:tr2bl w:val="nil"/>
                  </w:tcBorders>
                  <w:vAlign w:val="center"/>
                </w:tcPr>
                <w:p w14:paraId="045B173D">
                  <w:pPr>
                    <w:bidi w:val="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w:t>
                  </w:r>
                </w:p>
              </w:tc>
              <w:tc>
                <w:tcPr>
                  <w:tcW w:w="361" w:type="pct"/>
                  <w:tcBorders>
                    <w:tl2br w:val="nil"/>
                    <w:tr2bl w:val="nil"/>
                  </w:tcBorders>
                  <w:vAlign w:val="center"/>
                </w:tcPr>
                <w:p w14:paraId="6023252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79.7</w:t>
                  </w:r>
                </w:p>
              </w:tc>
              <w:tc>
                <w:tcPr>
                  <w:tcW w:w="361" w:type="pct"/>
                  <w:tcBorders>
                    <w:tl2br w:val="nil"/>
                    <w:tr2bl w:val="nil"/>
                  </w:tcBorders>
                  <w:vAlign w:val="center"/>
                </w:tcPr>
                <w:p w14:paraId="402509F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73.6</w:t>
                  </w:r>
                </w:p>
              </w:tc>
              <w:tc>
                <w:tcPr>
                  <w:tcW w:w="361" w:type="pct"/>
                  <w:tcBorders>
                    <w:tl2br w:val="nil"/>
                    <w:tr2bl w:val="nil"/>
                  </w:tcBorders>
                  <w:vAlign w:val="center"/>
                </w:tcPr>
                <w:p w14:paraId="004FE04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70.1</w:t>
                  </w:r>
                </w:p>
              </w:tc>
              <w:tc>
                <w:tcPr>
                  <w:tcW w:w="361" w:type="pct"/>
                  <w:tcBorders>
                    <w:tl2br w:val="nil"/>
                    <w:tr2bl w:val="nil"/>
                  </w:tcBorders>
                  <w:vAlign w:val="center"/>
                </w:tcPr>
                <w:p w14:paraId="591A729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67.6</w:t>
                  </w:r>
                </w:p>
              </w:tc>
              <w:tc>
                <w:tcPr>
                  <w:tcW w:w="361" w:type="pct"/>
                  <w:tcBorders>
                    <w:tl2br w:val="nil"/>
                    <w:tr2bl w:val="nil"/>
                  </w:tcBorders>
                  <w:vAlign w:val="center"/>
                </w:tcPr>
                <w:p w14:paraId="7A3F22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64.0</w:t>
                  </w:r>
                </w:p>
              </w:tc>
              <w:tc>
                <w:tcPr>
                  <w:tcW w:w="361" w:type="pct"/>
                  <w:tcBorders>
                    <w:tl2br w:val="nil"/>
                    <w:tr2bl w:val="nil"/>
                  </w:tcBorders>
                  <w:vAlign w:val="center"/>
                </w:tcPr>
                <w:p w14:paraId="5D548A9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61.5</w:t>
                  </w:r>
                </w:p>
              </w:tc>
              <w:tc>
                <w:tcPr>
                  <w:tcW w:w="426" w:type="pct"/>
                  <w:tcBorders>
                    <w:tl2br w:val="nil"/>
                    <w:tr2bl w:val="nil"/>
                  </w:tcBorders>
                  <w:vAlign w:val="center"/>
                </w:tcPr>
                <w:p w14:paraId="0DB4B7A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59.6</w:t>
                  </w:r>
                </w:p>
              </w:tc>
              <w:tc>
                <w:tcPr>
                  <w:tcW w:w="426" w:type="pct"/>
                  <w:tcBorders>
                    <w:tl2br w:val="nil"/>
                    <w:tr2bl w:val="nil"/>
                  </w:tcBorders>
                  <w:vAlign w:val="center"/>
                </w:tcPr>
                <w:p w14:paraId="40DCE2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55.4</w:t>
                  </w:r>
                </w:p>
              </w:tc>
              <w:tc>
                <w:tcPr>
                  <w:tcW w:w="426" w:type="pct"/>
                  <w:tcBorders>
                    <w:tl2br w:val="nil"/>
                    <w:tr2bl w:val="nil"/>
                  </w:tcBorders>
                  <w:vAlign w:val="center"/>
                </w:tcPr>
                <w:p w14:paraId="02382E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53.6</w:t>
                  </w:r>
                </w:p>
              </w:tc>
              <w:tc>
                <w:tcPr>
                  <w:tcW w:w="429" w:type="pct"/>
                  <w:tcBorders>
                    <w:tl2br w:val="nil"/>
                    <w:tr2bl w:val="nil"/>
                  </w:tcBorders>
                  <w:vAlign w:val="center"/>
                </w:tcPr>
                <w:p w14:paraId="4718242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kern w:val="2"/>
                      <w:sz w:val="21"/>
                      <w:szCs w:val="21"/>
                      <w:highlight w:val="none"/>
                      <w:u w:val="none" w:color="auto"/>
                      <w:vertAlign w:val="baseline"/>
                      <w:lang w:val="en-US" w:eastAsia="zh-CN" w:bidi="ar-SA"/>
                    </w:rPr>
                  </w:pPr>
                  <w:r>
                    <w:rPr>
                      <w:rFonts w:hint="default" w:ascii="Times New Roman" w:hAnsi="Times New Roman" w:eastAsia="宋体" w:cs="Times New Roman"/>
                      <w:bCs/>
                      <w:color w:val="auto"/>
                      <w:sz w:val="21"/>
                      <w:szCs w:val="21"/>
                      <w:highlight w:val="none"/>
                      <w:u w:val="none" w:color="auto"/>
                      <w:vertAlign w:val="baseline"/>
                      <w:lang w:val="en-US" w:eastAsia="zh-CN"/>
                    </w:rPr>
                    <w:t>50.1</w:t>
                  </w:r>
                </w:p>
              </w:tc>
            </w:tr>
          </w:tbl>
          <w:p w14:paraId="5ACC10B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default" w:ascii="Times New Roman" w:hAnsi="Times New Roman" w:eastAsia="宋体" w:cs="Times New Roman"/>
                <w:bCs/>
                <w:color w:val="auto"/>
                <w:sz w:val="24"/>
                <w:szCs w:val="24"/>
                <w:highlight w:val="none"/>
                <w:u w:val="none" w:color="auto"/>
                <w:lang w:val="en-US" w:eastAsia="zh-CN"/>
              </w:rPr>
              <w:t>由上表可知，在没有采取降噪措施情况下，昼间单个施工机械的噪声在距施工场地20m外可以达标，夜间在100m外可以达标。但在施工现场往往是多种施工机械共同作业，因此，施工现场的噪声是各种不同施工机械的噪声以及进出施工现场的各种车辆引起的噪声的叠加值，其噪声达标距离要大于昼间40m、夜间200m的距离。为进一步降低项目施工期对周边居民的影响，评价建议建设单位优化施工机械布局，施工设备尽量远离环境敏感点。另外评价建议项目白天分时段施工，夜间禁止施工，避免高噪声设备同时施工，最大程度上减少对周围环境的影响。且施工期噪声对环境的影响是短期的，随着施工期结束其影响也随之消失。</w:t>
            </w:r>
          </w:p>
          <w:p w14:paraId="7854585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Cs/>
                <w:color w:val="auto"/>
                <w:sz w:val="24"/>
                <w:szCs w:val="24"/>
                <w:highlight w:val="none"/>
                <w:u w:val="none" w:color="auto"/>
                <w:lang w:val="en-US" w:eastAsia="zh-CN"/>
              </w:rPr>
            </w:pPr>
            <w:r>
              <w:rPr>
                <w:rFonts w:hint="eastAsia" w:ascii="Times New Roman" w:hAnsi="Times New Roman" w:eastAsia="宋体" w:cs="Times New Roman"/>
                <w:bCs/>
                <w:color w:val="auto"/>
                <w:sz w:val="24"/>
                <w:szCs w:val="24"/>
                <w:highlight w:val="none"/>
                <w:u w:val="none" w:color="auto"/>
                <w:lang w:val="en-US" w:eastAsia="zh-CN"/>
              </w:rPr>
              <w:t>禁止夜间施工后，因为部分沟道距离敏感点较近，仍有部分敏感点在40m范围内，针对在40m范围内的敏感点</w:t>
            </w:r>
            <w:r>
              <w:rPr>
                <w:rFonts w:hint="eastAsia" w:ascii="Times New Roman" w:hAnsi="Times New Roman" w:cs="Times New Roman"/>
                <w:bCs/>
                <w:color w:val="auto"/>
                <w:sz w:val="24"/>
                <w:szCs w:val="24"/>
                <w:highlight w:val="none"/>
                <w:u w:val="none" w:color="auto"/>
                <w:lang w:val="en-US" w:eastAsia="zh-CN"/>
              </w:rPr>
              <w:t>西夏寒村</w:t>
            </w:r>
            <w:r>
              <w:rPr>
                <w:rFonts w:hint="eastAsia" w:ascii="Times New Roman" w:hAnsi="Times New Roman" w:eastAsia="宋体" w:cs="Times New Roman"/>
                <w:bCs/>
                <w:color w:val="auto"/>
                <w:sz w:val="24"/>
                <w:szCs w:val="24"/>
                <w:highlight w:val="none"/>
                <w:u w:val="none" w:color="auto"/>
                <w:lang w:val="en-US" w:eastAsia="zh-CN"/>
              </w:rPr>
              <w:t>、</w:t>
            </w:r>
            <w:r>
              <w:rPr>
                <w:rFonts w:hint="eastAsia" w:ascii="Times New Roman" w:hAnsi="Times New Roman" w:cs="Times New Roman"/>
                <w:bCs/>
                <w:color w:val="auto"/>
                <w:sz w:val="24"/>
                <w:szCs w:val="24"/>
                <w:highlight w:val="none"/>
                <w:u w:val="none" w:color="auto"/>
                <w:lang w:val="en-US" w:eastAsia="zh-CN"/>
              </w:rPr>
              <w:t>西曲沟村</w:t>
            </w:r>
            <w:r>
              <w:rPr>
                <w:rFonts w:hint="eastAsia" w:ascii="Times New Roman" w:hAnsi="Times New Roman" w:eastAsia="宋体" w:cs="Times New Roman"/>
                <w:bCs/>
                <w:color w:val="auto"/>
                <w:sz w:val="24"/>
                <w:szCs w:val="24"/>
                <w:highlight w:val="none"/>
                <w:u w:val="none" w:color="auto"/>
                <w:lang w:val="en-US" w:eastAsia="zh-CN"/>
              </w:rPr>
              <w:t>、</w:t>
            </w:r>
            <w:r>
              <w:rPr>
                <w:rFonts w:hint="eastAsia" w:ascii="Times New Roman" w:hAnsi="Times New Roman" w:cs="Times New Roman"/>
                <w:bCs/>
                <w:color w:val="auto"/>
                <w:sz w:val="24"/>
                <w:szCs w:val="24"/>
                <w:highlight w:val="none"/>
                <w:u w:val="none" w:color="auto"/>
                <w:lang w:val="en-US" w:eastAsia="zh-CN"/>
              </w:rPr>
              <w:t>四磨盘村</w:t>
            </w:r>
            <w:r>
              <w:rPr>
                <w:rFonts w:hint="eastAsia" w:ascii="Times New Roman" w:hAnsi="Times New Roman" w:eastAsia="宋体" w:cs="Times New Roman"/>
                <w:bCs/>
                <w:color w:val="auto"/>
                <w:sz w:val="24"/>
                <w:szCs w:val="24"/>
                <w:highlight w:val="none"/>
                <w:u w:val="none" w:color="auto"/>
                <w:lang w:val="en-US" w:eastAsia="zh-CN"/>
              </w:rPr>
              <w:t>、</w:t>
            </w:r>
            <w:r>
              <w:rPr>
                <w:rFonts w:hint="eastAsia" w:ascii="Times New Roman" w:hAnsi="Times New Roman" w:cs="Times New Roman"/>
                <w:bCs/>
                <w:color w:val="auto"/>
                <w:sz w:val="24"/>
                <w:szCs w:val="24"/>
                <w:highlight w:val="none"/>
                <w:u w:val="none" w:color="auto"/>
                <w:lang w:val="en-US" w:eastAsia="zh-CN"/>
              </w:rPr>
              <w:t>曲沟</w:t>
            </w:r>
            <w:r>
              <w:rPr>
                <w:rFonts w:hint="eastAsia" w:ascii="Times New Roman" w:hAnsi="Times New Roman" w:eastAsia="宋体" w:cs="Times New Roman"/>
                <w:bCs/>
                <w:color w:val="auto"/>
                <w:sz w:val="24"/>
                <w:szCs w:val="24"/>
                <w:highlight w:val="none"/>
                <w:u w:val="none" w:color="auto"/>
                <w:lang w:val="en-US" w:eastAsia="zh-CN"/>
              </w:rPr>
              <w:t>村，施工单位应该施工场地边界搭建隔声屏障，白天分时段施工，避免高噪声设备同时施工，并且提前与附近居民进行沟通，取得附近居民的谅解。</w:t>
            </w:r>
          </w:p>
          <w:p w14:paraId="46164BF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highlight w:val="none"/>
                <w:lang w:val="en-US" w:eastAsia="zh-CN"/>
              </w:rPr>
            </w:pPr>
            <w:r>
              <w:rPr>
                <w:rFonts w:hint="default" w:ascii="Times New Roman" w:hAnsi="Times New Roman" w:eastAsia="宋体" w:cs="Times New Roman"/>
                <w:bCs/>
                <w:color w:val="auto"/>
                <w:sz w:val="24"/>
                <w:szCs w:val="24"/>
                <w:highlight w:val="none"/>
                <w:u w:val="none" w:color="auto"/>
                <w:lang w:val="en-US" w:eastAsia="zh-CN"/>
              </w:rPr>
              <w:t>施工期噪声对环境的影响是短期的，随着施工期结束其影响也随之消失。</w:t>
            </w:r>
          </w:p>
          <w:p w14:paraId="66D50AF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bCs/>
                <w:sz w:val="24"/>
                <w:szCs w:val="24"/>
                <w:highlight w:val="none"/>
                <w:lang w:val="en-US" w:eastAsia="zh-CN"/>
              </w:rPr>
            </w:pPr>
            <w:r>
              <w:rPr>
                <w:rFonts w:hint="default" w:ascii="Times New Roman" w:hAnsi="Times New Roman" w:eastAsia="宋体" w:cs="Times New Roman"/>
                <w:b/>
                <w:bCs/>
                <w:kern w:val="2"/>
                <w:sz w:val="24"/>
                <w:szCs w:val="24"/>
                <w:highlight w:val="none"/>
                <w:lang w:val="en-US" w:eastAsia="zh-CN" w:bidi="ar-SA"/>
              </w:rPr>
              <w:t>4.</w:t>
            </w:r>
            <w:r>
              <w:rPr>
                <w:rFonts w:hint="default" w:ascii="Times New Roman" w:hAnsi="Times New Roman" w:cs="Times New Roman"/>
                <w:b/>
                <w:bCs/>
                <w:sz w:val="24"/>
                <w:szCs w:val="24"/>
                <w:highlight w:val="none"/>
                <w:lang w:val="en-US" w:eastAsia="zh-CN"/>
              </w:rPr>
              <w:t>施工期固废影响分析</w:t>
            </w:r>
          </w:p>
          <w:p w14:paraId="4CA1835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sz w:val="24"/>
                <w:szCs w:val="24"/>
                <w:highlight w:val="none"/>
                <w:lang w:val="en-US" w:eastAsia="zh-CN"/>
              </w:rPr>
            </w:pPr>
            <w:r>
              <w:rPr>
                <w:rFonts w:hint="default" w:ascii="Times New Roman" w:hAnsi="Times New Roman" w:cs="Times New Roman"/>
                <w:b/>
                <w:bCs/>
                <w:sz w:val="24"/>
                <w:szCs w:val="24"/>
                <w:highlight w:val="none"/>
                <w:lang w:val="en-US" w:eastAsia="zh-CN"/>
              </w:rPr>
              <w:t>4.1施工人员生活垃圾</w:t>
            </w:r>
          </w:p>
          <w:p w14:paraId="0094B24D">
            <w:pPr>
              <w:pStyle w:val="43"/>
              <w:spacing w:beforeLines="0" w:afterLines="0"/>
              <w:rPr>
                <w:rFonts w:hint="default" w:ascii="Times New Roman" w:hAnsi="Times New Roman" w:eastAsia="宋体" w:cs="Times New Roman"/>
                <w:color w:val="auto"/>
                <w:spacing w:val="10"/>
                <w:sz w:val="24"/>
                <w:szCs w:val="24"/>
                <w:highlight w:val="none"/>
                <w:u w:val="none" w:color="auto"/>
              </w:rPr>
            </w:pPr>
            <w:r>
              <w:rPr>
                <w:rFonts w:hint="default" w:ascii="Times New Roman" w:hAnsi="Times New Roman" w:eastAsia="宋体" w:cs="Times New Roman"/>
                <w:color w:val="auto"/>
                <w:spacing w:val="10"/>
                <w:sz w:val="24"/>
                <w:szCs w:val="24"/>
                <w:highlight w:val="none"/>
                <w:u w:val="none" w:color="auto"/>
              </w:rPr>
              <w:t>本项目高峰期施工人数约为</w:t>
            </w:r>
            <w:r>
              <w:rPr>
                <w:rFonts w:hint="eastAsia" w:cs="Times New Roman"/>
                <w:color w:val="auto"/>
                <w:spacing w:val="10"/>
                <w:sz w:val="24"/>
                <w:szCs w:val="24"/>
                <w:highlight w:val="none"/>
                <w:u w:val="none" w:color="auto"/>
                <w:lang w:val="en-US" w:eastAsia="zh-CN"/>
              </w:rPr>
              <w:t>3</w:t>
            </w:r>
            <w:r>
              <w:rPr>
                <w:rFonts w:hint="default" w:ascii="Times New Roman" w:hAnsi="Times New Roman" w:cs="Times New Roman"/>
                <w:color w:val="auto"/>
                <w:spacing w:val="10"/>
                <w:sz w:val="24"/>
                <w:szCs w:val="24"/>
                <w:highlight w:val="none"/>
                <w:u w:val="none" w:color="auto"/>
              </w:rPr>
              <w:t>0</w:t>
            </w:r>
            <w:r>
              <w:rPr>
                <w:rFonts w:hint="default" w:ascii="Times New Roman" w:hAnsi="Times New Roman" w:eastAsia="宋体" w:cs="Times New Roman"/>
                <w:color w:val="auto"/>
                <w:spacing w:val="10"/>
                <w:sz w:val="24"/>
                <w:szCs w:val="24"/>
                <w:highlight w:val="none"/>
                <w:u w:val="none" w:color="auto"/>
              </w:rPr>
              <w:t>人，按每人日产生活垃圾0.</w:t>
            </w:r>
            <w:r>
              <w:rPr>
                <w:rFonts w:hint="default" w:ascii="Times New Roman" w:hAnsi="Times New Roman" w:cs="Times New Roman"/>
                <w:color w:val="auto"/>
                <w:spacing w:val="10"/>
                <w:sz w:val="24"/>
                <w:szCs w:val="24"/>
                <w:highlight w:val="none"/>
                <w:u w:val="none" w:color="auto"/>
              </w:rPr>
              <w:t>5kg</w:t>
            </w:r>
            <w:r>
              <w:rPr>
                <w:rFonts w:hint="default" w:ascii="Times New Roman" w:hAnsi="Times New Roman" w:eastAsia="宋体" w:cs="Times New Roman"/>
                <w:color w:val="auto"/>
                <w:spacing w:val="10"/>
                <w:sz w:val="24"/>
                <w:szCs w:val="24"/>
                <w:highlight w:val="none"/>
                <w:u w:val="none" w:color="auto"/>
              </w:rPr>
              <w:t>计算，施工期为10个月，施工期生活垃圾产生量合计约</w:t>
            </w:r>
            <w:r>
              <w:rPr>
                <w:rFonts w:hint="eastAsia" w:cs="Times New Roman"/>
                <w:color w:val="auto"/>
                <w:spacing w:val="10"/>
                <w:sz w:val="24"/>
                <w:szCs w:val="24"/>
                <w:highlight w:val="none"/>
                <w:u w:val="none" w:color="auto"/>
                <w:lang w:val="en-US" w:eastAsia="zh-CN"/>
              </w:rPr>
              <w:t>4</w:t>
            </w:r>
            <w:r>
              <w:rPr>
                <w:rFonts w:hint="default" w:ascii="Times New Roman" w:hAnsi="Times New Roman" w:eastAsia="宋体" w:cs="Times New Roman"/>
                <w:color w:val="auto"/>
                <w:spacing w:val="10"/>
                <w:sz w:val="24"/>
                <w:szCs w:val="24"/>
                <w:highlight w:val="none"/>
                <w:u w:val="none" w:color="auto"/>
              </w:rPr>
              <w:t>.5</w:t>
            </w:r>
            <w:r>
              <w:rPr>
                <w:rFonts w:hint="default" w:ascii="Times New Roman" w:hAnsi="Times New Roman" w:cs="Times New Roman"/>
                <w:color w:val="auto"/>
                <w:spacing w:val="10"/>
                <w:sz w:val="24"/>
                <w:szCs w:val="24"/>
                <w:highlight w:val="none"/>
                <w:u w:val="none" w:color="auto"/>
              </w:rPr>
              <w:t>t/a</w:t>
            </w:r>
            <w:r>
              <w:rPr>
                <w:rFonts w:hint="default" w:ascii="Times New Roman" w:hAnsi="Times New Roman" w:eastAsia="宋体" w:cs="Times New Roman"/>
                <w:color w:val="auto"/>
                <w:sz w:val="24"/>
                <w:szCs w:val="24"/>
                <w:highlight w:val="none"/>
                <w:u w:val="none" w:color="auto"/>
              </w:rPr>
              <w:t>。工程施工时可能被分成多段同时进行。项目开发者及工程承包单位应与当地环卫部门联系，及时清理施工现场的生活废弃物，</w:t>
            </w:r>
            <w:r>
              <w:rPr>
                <w:rFonts w:hint="default" w:ascii="Times New Roman" w:hAnsi="Times New Roman" w:eastAsia="宋体" w:cs="Times New Roman"/>
                <w:color w:val="auto"/>
                <w:spacing w:val="10"/>
                <w:sz w:val="24"/>
                <w:szCs w:val="24"/>
                <w:highlight w:val="none"/>
                <w:u w:val="none" w:color="auto"/>
              </w:rPr>
              <w:t>生活垃圾收集后由当地环卫部门定期清运至垃圾</w:t>
            </w:r>
            <w:r>
              <w:rPr>
                <w:rFonts w:hint="eastAsia" w:cs="Times New Roman"/>
                <w:color w:val="auto"/>
                <w:spacing w:val="10"/>
                <w:sz w:val="24"/>
                <w:szCs w:val="24"/>
                <w:highlight w:val="none"/>
                <w:u w:val="none" w:color="auto"/>
                <w:lang w:eastAsia="zh-CN"/>
              </w:rPr>
              <w:t>填埋</w:t>
            </w:r>
            <w:r>
              <w:rPr>
                <w:rFonts w:hint="default" w:ascii="Times New Roman" w:hAnsi="Times New Roman" w:eastAsia="宋体" w:cs="Times New Roman"/>
                <w:color w:val="auto"/>
                <w:spacing w:val="10"/>
                <w:sz w:val="24"/>
                <w:szCs w:val="24"/>
                <w:highlight w:val="none"/>
                <w:u w:val="none" w:color="auto"/>
              </w:rPr>
              <w:t>厂进行处置。</w:t>
            </w:r>
          </w:p>
          <w:p w14:paraId="6F1ACE11">
            <w:pPr>
              <w:pStyle w:val="43"/>
              <w:spacing w:beforeLines="0" w:afterLines="0"/>
              <w:ind w:left="0" w:leftChars="0" w:firstLine="482" w:firstLineChars="200"/>
              <w:rPr>
                <w:rFonts w:hint="default" w:ascii="Times New Roman" w:hAnsi="Times New Roman" w:cs="Times New Roman"/>
                <w:b/>
                <w:color w:val="auto"/>
                <w:sz w:val="24"/>
                <w:szCs w:val="24"/>
                <w:highlight w:val="none"/>
                <w:u w:val="none" w:color="auto"/>
              </w:rPr>
            </w:pPr>
            <w:r>
              <w:rPr>
                <w:rFonts w:hint="default" w:ascii="Times New Roman" w:hAnsi="Times New Roman" w:cs="Times New Roman"/>
                <w:b/>
                <w:color w:val="auto"/>
                <w:sz w:val="24"/>
                <w:szCs w:val="24"/>
                <w:highlight w:val="none"/>
                <w:u w:val="none" w:color="auto"/>
              </w:rPr>
              <w:t>4.2</w:t>
            </w:r>
            <w:r>
              <w:rPr>
                <w:rFonts w:hint="default" w:ascii="Times New Roman" w:hAnsi="Times New Roman" w:eastAsia="宋体" w:cs="Times New Roman"/>
                <w:b/>
                <w:color w:val="auto"/>
                <w:sz w:val="24"/>
                <w:szCs w:val="24"/>
                <w:highlight w:val="none"/>
                <w:u w:val="none" w:color="auto"/>
              </w:rPr>
              <w:t>建筑垃圾</w:t>
            </w:r>
          </w:p>
          <w:p w14:paraId="315024F9">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建筑过程中建筑垃圾的产生量与施工水平、建筑类型等多种因素有关，数据之间相差较大。在施工建筑的不同阶段，所产生的垃圾种类和数量有较大差别。本项目建筑施工的全过程一般可以分成以下几个阶段：</w:t>
            </w:r>
          </w:p>
          <w:p w14:paraId="1B4469D2">
            <w:pPr>
              <w:pStyle w:val="43"/>
              <w:spacing w:beforeLines="0" w:afterLines="0"/>
              <w:rPr>
                <w:rFonts w:hint="default" w:ascii="Times New Roman" w:hAnsi="Times New Roman" w:eastAsia="宋体"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a</w:t>
            </w:r>
            <w:r>
              <w:rPr>
                <w:rFonts w:hint="default" w:ascii="Times New Roman" w:hAnsi="Times New Roman" w:eastAsia="宋体" w:cs="Times New Roman"/>
                <w:color w:val="auto"/>
                <w:sz w:val="24"/>
                <w:szCs w:val="24"/>
                <w:highlight w:val="none"/>
                <w:u w:val="none" w:color="auto"/>
              </w:rPr>
              <w:t>清理场地阶段：包括清理</w:t>
            </w:r>
            <w:r>
              <w:rPr>
                <w:rFonts w:hint="eastAsia" w:cs="Times New Roman"/>
                <w:color w:val="auto"/>
                <w:sz w:val="24"/>
                <w:szCs w:val="24"/>
                <w:highlight w:val="none"/>
                <w:u w:val="none" w:color="auto"/>
                <w:lang w:eastAsia="zh-CN"/>
              </w:rPr>
              <w:t>淤泥和杂物</w:t>
            </w:r>
            <w:r>
              <w:rPr>
                <w:rFonts w:hint="default" w:ascii="Times New Roman" w:hAnsi="Times New Roman" w:eastAsia="宋体" w:cs="Times New Roman"/>
                <w:color w:val="auto"/>
                <w:sz w:val="24"/>
                <w:szCs w:val="24"/>
                <w:highlight w:val="none"/>
                <w:u w:val="none" w:color="auto"/>
              </w:rPr>
              <w:t>等，本项目产生的垃圾主要是被清理的</w:t>
            </w:r>
            <w:r>
              <w:rPr>
                <w:rFonts w:hint="eastAsia" w:cs="Times New Roman"/>
                <w:color w:val="auto"/>
                <w:sz w:val="24"/>
                <w:szCs w:val="24"/>
                <w:highlight w:val="none"/>
                <w:u w:val="none" w:color="auto"/>
                <w:lang w:eastAsia="zh-CN"/>
              </w:rPr>
              <w:t>淤泥杂物</w:t>
            </w:r>
            <w:r>
              <w:rPr>
                <w:rFonts w:hint="default" w:ascii="Times New Roman" w:hAnsi="Times New Roman" w:eastAsia="宋体" w:cs="Times New Roman"/>
                <w:color w:val="auto"/>
                <w:sz w:val="24"/>
                <w:szCs w:val="24"/>
                <w:highlight w:val="none"/>
                <w:u w:val="none" w:color="auto"/>
              </w:rPr>
              <w:t>等；以</w:t>
            </w:r>
            <w:r>
              <w:rPr>
                <w:rFonts w:hint="eastAsia" w:cs="Times New Roman"/>
                <w:color w:val="auto"/>
                <w:sz w:val="24"/>
                <w:szCs w:val="24"/>
                <w:highlight w:val="none"/>
                <w:u w:val="none" w:color="auto"/>
                <w:lang w:eastAsia="zh-CN"/>
              </w:rPr>
              <w:t>河道护坡，排水渠</w:t>
            </w:r>
            <w:r>
              <w:rPr>
                <w:rFonts w:hint="default" w:ascii="Times New Roman" w:hAnsi="Times New Roman" w:eastAsia="宋体" w:cs="Times New Roman"/>
                <w:color w:val="auto"/>
                <w:sz w:val="24"/>
                <w:szCs w:val="24"/>
                <w:highlight w:val="none"/>
                <w:u w:val="none" w:color="auto"/>
              </w:rPr>
              <w:t>重建等工作产生的建筑垃圾。可以再利用的进行再利用，不可利用的收集后运至指定建筑垃圾填埋场进行处置。</w:t>
            </w:r>
          </w:p>
          <w:p w14:paraId="1D6BB64F">
            <w:pPr>
              <w:pStyle w:val="43"/>
              <w:spacing w:beforeLines="0" w:afterLines="0"/>
              <w:rPr>
                <w:rFonts w:hint="default" w:ascii="Times New Roman" w:hAnsi="Times New Roman" w:eastAsia="宋体"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b</w:t>
            </w:r>
            <w:r>
              <w:rPr>
                <w:rFonts w:hint="default" w:ascii="Times New Roman" w:hAnsi="Times New Roman" w:eastAsia="宋体" w:cs="Times New Roman"/>
                <w:color w:val="auto"/>
                <w:sz w:val="24"/>
                <w:szCs w:val="24"/>
                <w:highlight w:val="none"/>
                <w:u w:val="none" w:color="auto"/>
              </w:rPr>
              <w:t>土石方阶段：包括基坑开挖、挖掘土石方以及新建建（构）筑物的基础开挖等。这个阶段产生的主要是</w:t>
            </w:r>
            <w:r>
              <w:rPr>
                <w:rFonts w:hint="eastAsia" w:cs="Times New Roman"/>
                <w:color w:val="auto"/>
                <w:sz w:val="24"/>
                <w:szCs w:val="24"/>
                <w:highlight w:val="none"/>
                <w:u w:val="none" w:color="auto"/>
                <w:lang w:eastAsia="zh-CN"/>
              </w:rPr>
              <w:t>开挖土方以及混凝土碎块。土方需用于基坑回填，剩余土方堆放在临时堆场，后续交由</w:t>
            </w:r>
            <w:r>
              <w:rPr>
                <w:rFonts w:hint="default" w:ascii="Times New Roman" w:hAnsi="Times New Roman" w:eastAsia="宋体" w:cs="Times New Roman"/>
                <w:color w:val="auto"/>
                <w:sz w:val="24"/>
                <w:szCs w:val="24"/>
                <w:highlight w:val="none"/>
              </w:rPr>
              <w:t>有资质的单位资源化利用</w:t>
            </w:r>
            <w:r>
              <w:rPr>
                <w:rFonts w:hint="eastAsia" w:cs="Times New Roman"/>
                <w:color w:val="auto"/>
                <w:sz w:val="24"/>
                <w:szCs w:val="24"/>
                <w:highlight w:val="none"/>
                <w:lang w:eastAsia="zh-CN"/>
              </w:rPr>
              <w:t>。</w:t>
            </w:r>
            <w:r>
              <w:rPr>
                <w:rFonts w:hint="eastAsia" w:cs="Times New Roman"/>
                <w:color w:val="auto"/>
                <w:sz w:val="24"/>
                <w:szCs w:val="24"/>
                <w:highlight w:val="none"/>
                <w:u w:val="none" w:color="auto"/>
                <w:lang w:eastAsia="zh-CN"/>
              </w:rPr>
              <w:t>混凝土碎块</w:t>
            </w:r>
            <w:r>
              <w:rPr>
                <w:rFonts w:hint="default" w:ascii="Times New Roman" w:hAnsi="Times New Roman" w:eastAsia="宋体" w:cs="Times New Roman"/>
                <w:color w:val="auto"/>
                <w:sz w:val="24"/>
                <w:szCs w:val="24"/>
                <w:highlight w:val="none"/>
                <w:u w:val="none" w:color="auto"/>
              </w:rPr>
              <w:t>可利用的用于本项目回填，不可利用的收集后运至指定建筑垃圾填埋场进行处置</w:t>
            </w:r>
            <w:r>
              <w:rPr>
                <w:rFonts w:hint="default" w:ascii="Times New Roman" w:hAnsi="Times New Roman" w:eastAsia="宋体" w:cs="Times New Roman"/>
                <w:color w:val="auto"/>
                <w:spacing w:val="-6"/>
                <w:sz w:val="24"/>
                <w:szCs w:val="24"/>
                <w:highlight w:val="none"/>
                <w:u w:val="none" w:color="auto"/>
              </w:rPr>
              <w:t>。</w:t>
            </w:r>
          </w:p>
          <w:p w14:paraId="3AD3C570">
            <w:pPr>
              <w:pStyle w:val="43"/>
              <w:spacing w:beforeLines="0" w:afterLines="0"/>
              <w:rPr>
                <w:rFonts w:hint="default" w:ascii="Times New Roman" w:hAnsi="Times New Roman" w:eastAsia="宋体"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c</w:t>
            </w:r>
            <w:r>
              <w:rPr>
                <w:rFonts w:hint="default" w:ascii="Times New Roman" w:hAnsi="Times New Roman" w:eastAsia="宋体" w:cs="Times New Roman"/>
                <w:color w:val="auto"/>
                <w:sz w:val="24"/>
                <w:szCs w:val="24"/>
                <w:highlight w:val="none"/>
                <w:u w:val="none" w:color="auto"/>
              </w:rPr>
              <w:t>基础工程阶段：包括砌筑基础等。这个阶段产生的建筑垃圾主要是</w:t>
            </w:r>
            <w:r>
              <w:rPr>
                <w:rFonts w:hint="eastAsia" w:cs="Times New Roman"/>
                <w:color w:val="auto"/>
                <w:sz w:val="24"/>
                <w:szCs w:val="24"/>
                <w:highlight w:val="none"/>
                <w:u w:val="none" w:color="auto"/>
                <w:lang w:eastAsia="zh-CN"/>
              </w:rPr>
              <w:t>少量</w:t>
            </w:r>
            <w:r>
              <w:rPr>
                <w:rFonts w:hint="default" w:ascii="Times New Roman" w:hAnsi="Times New Roman" w:eastAsia="宋体" w:cs="Times New Roman"/>
                <w:color w:val="auto"/>
                <w:sz w:val="24"/>
                <w:szCs w:val="24"/>
                <w:highlight w:val="none"/>
                <w:u w:val="none" w:color="auto"/>
              </w:rPr>
              <w:t>弃土、混凝土碎块等。弃土可用于本项目回填，混凝土碎块收集后运至指定建筑垃圾填埋场进行处置。</w:t>
            </w:r>
          </w:p>
          <w:p w14:paraId="5C7F3060">
            <w:pPr>
              <w:pStyle w:val="43"/>
              <w:spacing w:beforeLines="0" w:afterLines="0"/>
              <w:rPr>
                <w:rFonts w:hint="default" w:ascii="Times New Roman" w:hAnsi="Times New Roman" w:eastAsia="宋体" w:cs="Times New Roman"/>
                <w:color w:val="auto"/>
                <w:sz w:val="24"/>
                <w:szCs w:val="24"/>
                <w:highlight w:val="none"/>
                <w:u w:val="none" w:color="auto"/>
              </w:rPr>
            </w:pPr>
            <w:r>
              <w:rPr>
                <w:rFonts w:hint="default" w:ascii="Times New Roman" w:hAnsi="Times New Roman" w:cs="Times New Roman"/>
                <w:color w:val="auto"/>
                <w:sz w:val="24"/>
                <w:szCs w:val="24"/>
                <w:highlight w:val="none"/>
                <w:u w:val="none" w:color="auto"/>
              </w:rPr>
              <w:t>d</w:t>
            </w:r>
            <w:r>
              <w:rPr>
                <w:rFonts w:hint="default" w:ascii="Times New Roman" w:hAnsi="Times New Roman" w:eastAsia="宋体" w:cs="Times New Roman"/>
                <w:color w:val="auto"/>
                <w:sz w:val="24"/>
                <w:szCs w:val="24"/>
                <w:highlight w:val="none"/>
                <w:u w:val="none" w:color="auto"/>
              </w:rPr>
              <w:t>结构工程阶段：包括钢筋、混凝土工程等。这个阶段产生的建筑垃圾主要有弃土砖瓦、混凝土碎块、施工下脚料等。弃土砖瓦、混凝土碎块、施工下脚料，收集后运至指定建筑垃圾填埋场进行处置。</w:t>
            </w:r>
          </w:p>
          <w:p w14:paraId="02E02088">
            <w:pPr>
              <w:pStyle w:val="12"/>
              <w:numPr>
                <w:ilvl w:val="0"/>
                <w:numId w:val="0"/>
              </w:numPr>
              <w:spacing w:line="360" w:lineRule="auto"/>
              <w:ind w:firstLine="480" w:firstLineChars="200"/>
              <w:rPr>
                <w:rFonts w:hint="eastAsia" w:ascii="Times New Roman" w:hAnsi="Times New Roman" w:eastAsia="宋体" w:cs="Times New Roman"/>
                <w:color w:val="auto"/>
                <w:sz w:val="24"/>
                <w:szCs w:val="24"/>
                <w:highlight w:val="none"/>
                <w:u w:val="none" w:color="auto"/>
                <w:lang w:eastAsia="zh-CN"/>
              </w:rPr>
            </w:pPr>
            <w:r>
              <w:rPr>
                <w:rFonts w:hint="eastAsia" w:cs="Times New Roman"/>
                <w:color w:val="auto"/>
                <w:sz w:val="24"/>
                <w:szCs w:val="24"/>
                <w:highlight w:val="none"/>
                <w:u w:val="none" w:color="auto"/>
                <w:lang w:eastAsia="zh-CN"/>
              </w:rPr>
              <w:t>本项目剩余土方量</w:t>
            </w:r>
            <w:r>
              <w:rPr>
                <w:rFonts w:hint="eastAsia"/>
                <w:sz w:val="24"/>
                <w:szCs w:val="24"/>
                <w:highlight w:val="none"/>
                <w:vertAlign w:val="baseline"/>
                <w:lang w:val="en-US" w:eastAsia="zh-CN"/>
              </w:rPr>
              <w:t>预计5027.539</w:t>
            </w:r>
            <w:r>
              <w:rPr>
                <w:rFonts w:hint="eastAsia"/>
                <w:sz w:val="24"/>
                <w:szCs w:val="24"/>
                <w:highlight w:val="none"/>
                <w:lang w:val="en-US" w:eastAsia="zh-CN"/>
              </w:rPr>
              <w:t>m</w:t>
            </w:r>
            <w:r>
              <w:rPr>
                <w:rFonts w:hint="eastAsia"/>
                <w:sz w:val="24"/>
                <w:szCs w:val="24"/>
                <w:highlight w:val="none"/>
                <w:vertAlign w:val="superscript"/>
                <w:lang w:val="en-US" w:eastAsia="zh-CN"/>
              </w:rPr>
              <w:t>3</w:t>
            </w:r>
            <w:r>
              <w:rPr>
                <w:rFonts w:hint="eastAsia"/>
                <w:sz w:val="24"/>
                <w:szCs w:val="24"/>
                <w:highlight w:val="none"/>
                <w:vertAlign w:val="baseline"/>
                <w:lang w:val="en-US" w:eastAsia="zh-CN"/>
              </w:rPr>
              <w:t>（自然方）堆放在临时堆场中，施工结束后交由有资质的单位资源化处置；清理淤泥量约</w:t>
            </w:r>
            <w:r>
              <w:rPr>
                <w:rFonts w:hint="eastAsia"/>
                <w:sz w:val="24"/>
                <w:szCs w:val="24"/>
                <w:highlight w:val="none"/>
                <w:lang w:val="en-US" w:eastAsia="zh-CN"/>
              </w:rPr>
              <w:t>82280m</w:t>
            </w:r>
            <w:r>
              <w:rPr>
                <w:rFonts w:hint="eastAsia"/>
                <w:sz w:val="24"/>
                <w:szCs w:val="24"/>
                <w:highlight w:val="none"/>
                <w:vertAlign w:val="superscript"/>
                <w:lang w:val="en-US" w:eastAsia="zh-CN"/>
              </w:rPr>
              <w:t>3</w:t>
            </w:r>
            <w:r>
              <w:rPr>
                <w:rFonts w:hint="eastAsia"/>
                <w:sz w:val="24"/>
                <w:szCs w:val="24"/>
                <w:highlight w:val="none"/>
                <w:vertAlign w:val="baseline"/>
                <w:lang w:val="en-US" w:eastAsia="zh-CN"/>
              </w:rPr>
              <w:t>，疏浚</w:t>
            </w:r>
            <w:r>
              <w:rPr>
                <w:rFonts w:hint="eastAsia"/>
                <w:color w:val="auto"/>
                <w:sz w:val="24"/>
                <w:szCs w:val="24"/>
                <w:highlight w:val="none"/>
                <w:lang w:eastAsia="zh-CN"/>
              </w:rPr>
              <w:t>产生</w:t>
            </w:r>
            <w:r>
              <w:rPr>
                <w:rFonts w:hint="eastAsia"/>
                <w:color w:val="auto"/>
                <w:sz w:val="24"/>
                <w:szCs w:val="24"/>
                <w:highlight w:val="none"/>
              </w:rPr>
              <w:t>的淤泥</w:t>
            </w:r>
            <w:r>
              <w:rPr>
                <w:rFonts w:hint="eastAsia"/>
                <w:color w:val="auto"/>
                <w:sz w:val="24"/>
                <w:szCs w:val="24"/>
                <w:highlight w:val="none"/>
                <w:lang w:eastAsia="zh-CN"/>
              </w:rPr>
              <w:t>符合要求的直接</w:t>
            </w:r>
            <w:r>
              <w:rPr>
                <w:rFonts w:hint="eastAsia"/>
                <w:color w:val="auto"/>
                <w:sz w:val="24"/>
                <w:szCs w:val="24"/>
                <w:highlight w:val="none"/>
              </w:rPr>
              <w:t>还林，还田利用</w:t>
            </w:r>
            <w:r>
              <w:rPr>
                <w:rFonts w:hint="eastAsia"/>
                <w:color w:val="auto"/>
                <w:sz w:val="24"/>
                <w:szCs w:val="24"/>
                <w:highlight w:val="none"/>
                <w:lang w:eastAsia="zh-CN"/>
              </w:rPr>
              <w:t>，不符合要求的</w:t>
            </w:r>
            <w:r>
              <w:rPr>
                <w:rFonts w:hint="default" w:ascii="Times New Roman" w:hAnsi="Times New Roman" w:eastAsia="宋体" w:cs="Times New Roman"/>
                <w:color w:val="auto"/>
                <w:sz w:val="24"/>
                <w:szCs w:val="24"/>
                <w:highlight w:val="none"/>
                <w:u w:val="none" w:color="auto"/>
                <w:lang w:val="en-US" w:eastAsia="zh-CN"/>
              </w:rPr>
              <w:t>运输到</w:t>
            </w:r>
            <w:r>
              <w:rPr>
                <w:rFonts w:hint="eastAsia" w:cs="Times New Roman"/>
                <w:color w:val="auto"/>
                <w:sz w:val="24"/>
                <w:szCs w:val="24"/>
                <w:highlight w:val="none"/>
                <w:u w:val="none" w:color="auto"/>
                <w:lang w:val="en-US" w:eastAsia="zh-CN"/>
              </w:rPr>
              <w:t>建筑</w:t>
            </w:r>
            <w:r>
              <w:rPr>
                <w:rFonts w:hint="default" w:ascii="Times New Roman" w:hAnsi="Times New Roman" w:eastAsia="宋体" w:cs="Times New Roman"/>
                <w:color w:val="auto"/>
                <w:sz w:val="24"/>
                <w:szCs w:val="24"/>
                <w:highlight w:val="none"/>
                <w:u w:val="none" w:color="auto"/>
                <w:lang w:val="en-US" w:eastAsia="zh-CN"/>
              </w:rPr>
              <w:t>垃圾</w:t>
            </w:r>
            <w:r>
              <w:rPr>
                <w:rFonts w:hint="eastAsia" w:cs="Times New Roman"/>
                <w:color w:val="auto"/>
                <w:sz w:val="24"/>
                <w:szCs w:val="24"/>
                <w:highlight w:val="none"/>
                <w:u w:val="none" w:color="auto"/>
                <w:lang w:val="en-US" w:eastAsia="zh-CN"/>
              </w:rPr>
              <w:t>填埋厂</w:t>
            </w:r>
            <w:r>
              <w:rPr>
                <w:rFonts w:hint="default" w:ascii="Times New Roman" w:hAnsi="Times New Roman" w:eastAsia="宋体" w:cs="Times New Roman"/>
                <w:color w:val="auto"/>
                <w:sz w:val="24"/>
                <w:szCs w:val="24"/>
                <w:highlight w:val="none"/>
                <w:u w:val="none" w:color="auto"/>
                <w:lang w:val="en-US" w:eastAsia="zh-CN"/>
              </w:rPr>
              <w:t>进行</w:t>
            </w:r>
            <w:r>
              <w:rPr>
                <w:rFonts w:hint="eastAsia" w:cs="Times New Roman"/>
                <w:color w:val="auto"/>
                <w:sz w:val="24"/>
                <w:szCs w:val="24"/>
                <w:highlight w:val="none"/>
                <w:u w:val="none" w:color="auto"/>
                <w:lang w:val="en-US" w:eastAsia="zh-CN"/>
              </w:rPr>
              <w:t>处置。</w:t>
            </w:r>
          </w:p>
          <w:p w14:paraId="53D0E6F0">
            <w:pPr>
              <w:pStyle w:val="43"/>
              <w:spacing w:beforeLines="0" w:afterLines="0"/>
              <w:ind w:left="0" w:leftChars="0" w:firstLine="482" w:firstLineChars="200"/>
              <w:rPr>
                <w:rFonts w:hint="default" w:ascii="Times New Roman" w:hAnsi="Times New Roman" w:cs="Times New Roman"/>
                <w:b/>
                <w:bCs w:val="0"/>
                <w:color w:val="auto"/>
                <w:sz w:val="24"/>
                <w:szCs w:val="24"/>
                <w:highlight w:val="none"/>
                <w:u w:val="none" w:color="auto"/>
              </w:rPr>
            </w:pPr>
            <w:r>
              <w:rPr>
                <w:rFonts w:hint="default" w:ascii="Times New Roman" w:hAnsi="Times New Roman" w:cs="Times New Roman"/>
                <w:b/>
                <w:bCs w:val="0"/>
                <w:color w:val="auto"/>
                <w:sz w:val="24"/>
                <w:szCs w:val="24"/>
                <w:highlight w:val="none"/>
                <w:u w:val="none" w:color="auto"/>
              </w:rPr>
              <w:t>4.</w:t>
            </w:r>
            <w:r>
              <w:rPr>
                <w:rFonts w:hint="default" w:ascii="Times New Roman" w:hAnsi="Times New Roman" w:eastAsia="宋体" w:cs="Times New Roman"/>
                <w:b/>
                <w:bCs w:val="0"/>
                <w:color w:val="auto"/>
                <w:sz w:val="24"/>
                <w:szCs w:val="24"/>
                <w:highlight w:val="none"/>
                <w:u w:val="none" w:color="auto"/>
              </w:rPr>
              <w:t>3废机油，废机油桶</w:t>
            </w:r>
          </w:p>
          <w:p w14:paraId="1E77DDF4">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本项目不设置车辆保养及维修场所，本项目施工期车辆进行维修和保养进入正规车辆维修厂进行维修和保养，项目不涉及废机油和废机油桶产生。</w:t>
            </w:r>
          </w:p>
          <w:p w14:paraId="46583178">
            <w:pPr>
              <w:pStyle w:val="43"/>
              <w:spacing w:beforeLines="0" w:afterLines="0"/>
              <w:rPr>
                <w:rFonts w:hint="default" w:ascii="Times New Roman" w:hAnsi="Times New Roman" w:cs="Times New Roman"/>
                <w:b/>
                <w:bCs w:val="0"/>
                <w:color w:val="auto"/>
                <w:spacing w:val="10"/>
                <w:sz w:val="24"/>
                <w:szCs w:val="24"/>
                <w:highlight w:val="none"/>
                <w:u w:val="none" w:color="auto"/>
                <w:lang w:val="en-US" w:eastAsia="zh-CN"/>
              </w:rPr>
            </w:pPr>
            <w:r>
              <w:rPr>
                <w:rFonts w:hint="default" w:ascii="Times New Roman" w:hAnsi="Times New Roman" w:cs="Times New Roman"/>
                <w:b/>
                <w:bCs w:val="0"/>
                <w:color w:val="auto"/>
                <w:spacing w:val="10"/>
                <w:sz w:val="24"/>
                <w:szCs w:val="24"/>
                <w:highlight w:val="none"/>
                <w:u w:val="none" w:color="auto"/>
                <w:lang w:val="en-US" w:eastAsia="zh-CN"/>
              </w:rPr>
              <w:t>4.4沉淀池，化粪池底泥</w:t>
            </w:r>
          </w:p>
          <w:p w14:paraId="0B771C30">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sz w:val="24"/>
                <w:szCs w:val="24"/>
                <w:highlight w:val="none"/>
                <w:lang w:val="en-US" w:eastAsia="zh-CN"/>
              </w:rPr>
            </w:pPr>
            <w:r>
              <w:rPr>
                <w:rFonts w:hint="eastAsia" w:cs="Times New Roman"/>
                <w:b w:val="0"/>
                <w:bCs/>
                <w:color w:val="auto"/>
                <w:sz w:val="24"/>
                <w:szCs w:val="24"/>
                <w:highlight w:val="none"/>
                <w:u w:val="none" w:color="auto"/>
                <w:lang w:eastAsia="zh-CN"/>
              </w:rPr>
              <w:t>本项目</w:t>
            </w:r>
            <w:r>
              <w:rPr>
                <w:rFonts w:hint="eastAsia" w:cs="Times New Roman"/>
                <w:sz w:val="24"/>
                <w:szCs w:val="24"/>
                <w:highlight w:val="none"/>
                <w:lang w:val="en-US" w:eastAsia="zh-CN"/>
              </w:rPr>
              <w:t>化粪池底</w:t>
            </w:r>
            <w:r>
              <w:rPr>
                <w:rFonts w:hint="eastAsia"/>
                <w:sz w:val="24"/>
                <w:szCs w:val="24"/>
                <w:highlight w:val="none"/>
                <w:lang w:val="en-US" w:eastAsia="zh-CN"/>
              </w:rPr>
              <w:t>污泥定期清理，运送至垃圾填埋场处理；沉淀池污泥定期清理，用于本项目回填或填洼。</w:t>
            </w:r>
          </w:p>
          <w:p w14:paraId="5611F3F5">
            <w:pPr>
              <w:pStyle w:val="43"/>
              <w:spacing w:beforeLines="0" w:afterLines="0"/>
              <w:rPr>
                <w:rFonts w:hint="default"/>
                <w:highlight w:val="none"/>
                <w:lang w:val="en-US" w:eastAsia="zh-CN"/>
              </w:rPr>
            </w:pPr>
            <w:r>
              <w:rPr>
                <w:rFonts w:hint="default" w:ascii="Times New Roman" w:hAnsi="Times New Roman" w:eastAsia="宋体" w:cs="Times New Roman"/>
                <w:color w:val="auto"/>
                <w:spacing w:val="10"/>
                <w:sz w:val="24"/>
                <w:szCs w:val="24"/>
                <w:highlight w:val="none"/>
                <w:u w:val="none" w:color="auto"/>
              </w:rPr>
              <w:t>综上，施工期固体废弃物不会对环境造成不利影响。</w:t>
            </w:r>
          </w:p>
          <w:p w14:paraId="729E3FB2">
            <w:pPr>
              <w:pStyle w:val="43"/>
              <w:numPr>
                <w:ilvl w:val="0"/>
                <w:numId w:val="0"/>
              </w:numPr>
              <w:spacing w:before="157" w:beforeLines="50" w:afterLines="0"/>
              <w:ind w:firstLine="0"/>
              <w:rPr>
                <w:rFonts w:hint="default" w:ascii="Times New Roman" w:hAnsi="Times New Roman" w:cs="Times New Roman"/>
                <w:b/>
                <w:color w:val="auto"/>
                <w:sz w:val="24"/>
                <w:szCs w:val="24"/>
                <w:highlight w:val="none"/>
                <w:u w:val="none" w:color="auto"/>
              </w:rPr>
            </w:pPr>
            <w:r>
              <w:rPr>
                <w:rFonts w:hint="default" w:ascii="Times New Roman" w:hAnsi="Times New Roman" w:cs="Times New Roman"/>
                <w:b/>
                <w:color w:val="auto"/>
                <w:sz w:val="24"/>
                <w:szCs w:val="24"/>
                <w:highlight w:val="none"/>
                <w:u w:val="none" w:color="auto"/>
              </w:rPr>
              <w:t>5</w:t>
            </w:r>
            <w:r>
              <w:rPr>
                <w:rFonts w:hint="default" w:ascii="Times New Roman" w:hAnsi="Times New Roman" w:cs="Times New Roman"/>
                <w:b/>
                <w:color w:val="auto"/>
                <w:sz w:val="24"/>
                <w:szCs w:val="24"/>
                <w:highlight w:val="none"/>
                <w:u w:val="none" w:color="auto"/>
                <w:lang w:val="en-US" w:eastAsia="zh-CN"/>
              </w:rPr>
              <w:t>.</w:t>
            </w:r>
            <w:r>
              <w:rPr>
                <w:rFonts w:hint="default" w:ascii="Times New Roman" w:hAnsi="Times New Roman" w:eastAsia="宋体" w:cs="Times New Roman"/>
                <w:b/>
                <w:color w:val="auto"/>
                <w:sz w:val="24"/>
                <w:szCs w:val="24"/>
                <w:highlight w:val="none"/>
                <w:u w:val="none" w:color="auto"/>
              </w:rPr>
              <w:t>对生态环境的影响</w:t>
            </w:r>
          </w:p>
          <w:p w14:paraId="6A017066">
            <w:pPr>
              <w:pStyle w:val="43"/>
              <w:spacing w:beforeLines="0" w:afterLines="0"/>
              <w:ind w:left="0" w:leftChars="0" w:firstLine="482" w:firstLineChars="200"/>
              <w:rPr>
                <w:rFonts w:hint="default" w:ascii="Times New Roman" w:hAnsi="Times New Roman" w:cs="Times New Roman"/>
                <w:color w:val="auto"/>
                <w:sz w:val="24"/>
                <w:szCs w:val="24"/>
                <w:highlight w:val="none"/>
                <w:u w:val="none" w:color="auto"/>
              </w:rPr>
            </w:pPr>
            <w:r>
              <w:rPr>
                <w:rFonts w:hint="default" w:ascii="Times New Roman" w:hAnsi="Times New Roman" w:cs="Times New Roman"/>
                <w:b/>
                <w:color w:val="auto"/>
                <w:sz w:val="24"/>
                <w:szCs w:val="24"/>
                <w:highlight w:val="none"/>
                <w:u w:val="none" w:color="auto"/>
              </w:rPr>
              <w:t>5.1</w:t>
            </w:r>
            <w:r>
              <w:rPr>
                <w:rFonts w:hint="default" w:ascii="Times New Roman" w:hAnsi="Times New Roman" w:eastAsia="宋体" w:cs="Times New Roman"/>
                <w:b/>
                <w:color w:val="auto"/>
                <w:sz w:val="24"/>
                <w:szCs w:val="24"/>
                <w:highlight w:val="none"/>
                <w:u w:val="none" w:color="auto"/>
              </w:rPr>
              <w:t>对水土流失的影响</w:t>
            </w:r>
          </w:p>
          <w:p w14:paraId="2A3E815B">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工程土石方开挖主要为河道开挖、</w:t>
            </w:r>
            <w:r>
              <w:rPr>
                <w:rFonts w:hint="eastAsia" w:cs="Times New Roman"/>
                <w:color w:val="auto"/>
                <w:sz w:val="24"/>
                <w:szCs w:val="24"/>
                <w:highlight w:val="none"/>
                <w:u w:val="none" w:color="auto"/>
                <w:lang w:eastAsia="zh-CN"/>
              </w:rPr>
              <w:t>路面</w:t>
            </w:r>
            <w:r>
              <w:rPr>
                <w:rFonts w:hint="default" w:ascii="Times New Roman" w:hAnsi="Times New Roman" w:eastAsia="宋体" w:cs="Times New Roman"/>
                <w:color w:val="auto"/>
                <w:sz w:val="24"/>
                <w:szCs w:val="24"/>
                <w:highlight w:val="none"/>
                <w:u w:val="none" w:color="auto"/>
              </w:rPr>
              <w:t>基础开挖等。建设过程中地表开挖、场地平整等必然扰动原地表，损坏原地表土壤、植被，并形成松散堆积体，易造成新的水土流失。本项目新增水土流失主要来自施工期间挡土墙基础开挖施工过程中所产生的水土流失。</w:t>
            </w:r>
          </w:p>
          <w:p w14:paraId="202E78A3">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本项目所带来的效益是显著的，但可能造成的水土流失危害也是不容忽视的。根据本项目所在地区的地形、地质、土壤、植被以及施工特点，施工过程中施工用地将不同程度地破坏植被，使受植被保护的地表土壤抗侵蚀能力下降，能造成的水土流失危害主要表现在以下几个方面：</w:t>
            </w:r>
          </w:p>
          <w:p w14:paraId="7582BBB7">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诱发多种形式的水力侵蚀：本项目涉及到土方开挖，各区域建设引起的水土流失如不进行有效的防治，必将引发沟蚀、面蚀等多种形式的水力侵蚀发生。如不及时清理，会加剧水土流失的进一步发展。工程施工期间是水土流失最严重的时期，如不做好施工期间的临时防护和相应的管理措施，在施工区域内将产生雨滴击溅侵蚀、面蚀等多种形式的水土流失。</w:t>
            </w:r>
          </w:p>
          <w:p w14:paraId="224C237A">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降低土壤肥力，影响周边景观工程：建设导致地表植被遭到破坏，可能使表层土壤流失，从而导致土壤肥力降低。施工期对生态环境的影响主要是由于水体SS浓度增加所导致的，水体SS增加主要为清淤过程引起，此外淤泥处理场作业区余水回流也会使水体SS浓度增加，SS浓度增加对水生生物的生存环境带来一定的影响。</w:t>
            </w:r>
          </w:p>
          <w:p w14:paraId="4B7A65EC">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由于本项目会造成以上这些水土流失危害，制定了相应的水土保持方案，采取相应的水土保持措施。</w:t>
            </w:r>
          </w:p>
          <w:p w14:paraId="4EFF1FE4">
            <w:pPr>
              <w:pStyle w:val="43"/>
              <w:spacing w:beforeLines="0" w:afterLines="0"/>
              <w:ind w:left="0" w:leftChars="0" w:firstLine="482" w:firstLineChars="200"/>
              <w:rPr>
                <w:rFonts w:hint="default" w:ascii="Times New Roman" w:hAnsi="Times New Roman" w:cs="Times New Roman"/>
                <w:b/>
                <w:color w:val="auto"/>
                <w:sz w:val="24"/>
                <w:szCs w:val="24"/>
                <w:highlight w:val="none"/>
                <w:u w:val="none" w:color="auto"/>
              </w:rPr>
            </w:pPr>
            <w:r>
              <w:rPr>
                <w:rFonts w:hint="default" w:ascii="Times New Roman" w:hAnsi="Times New Roman" w:cs="Times New Roman"/>
                <w:b/>
                <w:color w:val="auto"/>
                <w:sz w:val="24"/>
                <w:szCs w:val="24"/>
                <w:highlight w:val="none"/>
                <w:u w:val="none" w:color="auto"/>
              </w:rPr>
              <w:t>5.2</w:t>
            </w:r>
            <w:r>
              <w:rPr>
                <w:rFonts w:hint="default" w:ascii="Times New Roman" w:hAnsi="Times New Roman" w:eastAsia="宋体" w:cs="Times New Roman"/>
                <w:b/>
                <w:color w:val="auto"/>
                <w:sz w:val="24"/>
                <w:szCs w:val="24"/>
                <w:highlight w:val="none"/>
                <w:u w:val="none" w:color="auto"/>
              </w:rPr>
              <w:t>对植物的影响</w:t>
            </w:r>
          </w:p>
          <w:p w14:paraId="555E5645">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根据现场调查，本项目占地范围主要为人工栽植生态系统</w:t>
            </w:r>
            <w:r>
              <w:rPr>
                <w:rFonts w:hint="eastAsia" w:cs="Times New Roman"/>
                <w:color w:val="auto"/>
                <w:sz w:val="24"/>
                <w:szCs w:val="24"/>
                <w:highlight w:val="none"/>
                <w:u w:val="none" w:color="auto"/>
                <w:lang w:eastAsia="zh-CN"/>
              </w:rPr>
              <w:t>与野生植物</w:t>
            </w:r>
            <w:r>
              <w:rPr>
                <w:rFonts w:hint="default" w:ascii="Times New Roman" w:hAnsi="Times New Roman" w:eastAsia="宋体" w:cs="Times New Roman"/>
                <w:color w:val="auto"/>
                <w:sz w:val="24"/>
                <w:szCs w:val="24"/>
                <w:highlight w:val="none"/>
                <w:u w:val="none" w:color="auto"/>
              </w:rPr>
              <w:t>。多为林木，草地等。</w:t>
            </w:r>
          </w:p>
          <w:p w14:paraId="07847043">
            <w:pPr>
              <w:pStyle w:val="43"/>
              <w:spacing w:beforeLines="0" w:afterLines="0"/>
              <w:rPr>
                <w:rFonts w:hint="eastAsia" w:ascii="Times New Roman" w:hAnsi="Times New Roman" w:eastAsia="宋体" w:cs="Times New Roman"/>
                <w:color w:val="auto"/>
                <w:kern w:val="0"/>
                <w:sz w:val="24"/>
                <w:szCs w:val="24"/>
                <w:highlight w:val="none"/>
                <w:u w:val="none" w:color="auto"/>
                <w:lang w:eastAsia="zh-CN"/>
              </w:rPr>
            </w:pPr>
            <w:r>
              <w:rPr>
                <w:rFonts w:hint="default" w:ascii="Times New Roman" w:hAnsi="Times New Roman" w:eastAsia="宋体" w:cs="Times New Roman"/>
                <w:color w:val="auto"/>
                <w:sz w:val="24"/>
                <w:szCs w:val="24"/>
                <w:highlight w:val="none"/>
                <w:u w:val="none" w:color="auto"/>
              </w:rPr>
              <w:t>本项目施工临时占地范围内的树木、杂草等会受到铲除、填埋及践踏等一系列人为工</w:t>
            </w:r>
            <w:r>
              <w:rPr>
                <w:rFonts w:hint="default" w:ascii="Times New Roman" w:hAnsi="Times New Roman" w:eastAsia="宋体" w:cs="Times New Roman"/>
                <w:color w:val="auto"/>
                <w:kern w:val="0"/>
                <w:sz w:val="24"/>
                <w:szCs w:val="24"/>
                <w:highlight w:val="none"/>
                <w:u w:val="none" w:color="auto"/>
              </w:rPr>
              <w:t>程行为的破坏。</w:t>
            </w:r>
            <w:r>
              <w:rPr>
                <w:rFonts w:hint="eastAsia" w:cs="Times New Roman"/>
                <w:color w:val="auto"/>
                <w:kern w:val="0"/>
                <w:sz w:val="24"/>
                <w:szCs w:val="24"/>
                <w:highlight w:val="none"/>
                <w:u w:val="none" w:color="auto"/>
                <w:lang w:eastAsia="zh-CN"/>
              </w:rPr>
              <w:t>部分施工占地范围内目前为耕地，施工时需要将耕地内现有作物进行铲除，本项目施工结束后将对开挖的耕地进行恢复，使其恢复生态功能。老万金渠河道清淤与开挖、硬化河底等工程将会对河道内现有植物进行铲除，造成一定的生态损失，本项目施工结束后将</w:t>
            </w:r>
            <w:r>
              <w:rPr>
                <w:rFonts w:hint="eastAsia" w:asciiTheme="minorEastAsia" w:hAnsiTheme="minorEastAsia" w:eastAsiaTheme="minorEastAsia" w:cstheme="minorEastAsia"/>
                <w:b w:val="0"/>
                <w:bCs w:val="0"/>
                <w:color w:val="000000"/>
                <w:sz w:val="24"/>
                <w:szCs w:val="24"/>
                <w:highlight w:val="none"/>
              </w:rPr>
              <w:t>在河渠两侧进行植被恢复和生态修复，增加绿化覆盖面积</w:t>
            </w:r>
            <w:r>
              <w:rPr>
                <w:rFonts w:ascii="仿宋" w:hAnsi="仿宋" w:eastAsia="仿宋" w:cs="仿宋"/>
                <w:b w:val="0"/>
                <w:bCs w:val="0"/>
                <w:color w:val="000000"/>
                <w:sz w:val="28"/>
                <w:szCs w:val="28"/>
                <w:highlight w:val="none"/>
              </w:rPr>
              <w:t>，</w:t>
            </w:r>
            <w:r>
              <w:rPr>
                <w:rFonts w:hint="default"/>
                <w:color w:val="auto"/>
                <w:sz w:val="24"/>
                <w:szCs w:val="24"/>
                <w:highlight w:val="none"/>
              </w:rPr>
              <w:t>在一定程度上补偿造成的生态损失</w:t>
            </w:r>
            <w:r>
              <w:rPr>
                <w:rFonts w:hint="eastAsia"/>
                <w:color w:val="auto"/>
                <w:sz w:val="24"/>
                <w:szCs w:val="24"/>
                <w:highlight w:val="none"/>
                <w:lang w:eastAsia="zh-CN"/>
              </w:rPr>
              <w:t>。</w:t>
            </w:r>
          </w:p>
          <w:p w14:paraId="6D301FE9">
            <w:pPr>
              <w:pStyle w:val="43"/>
              <w:spacing w:beforeLines="0" w:afterLines="0"/>
              <w:ind w:left="0" w:leftChars="0" w:firstLine="482" w:firstLineChars="200"/>
              <w:rPr>
                <w:rFonts w:hint="default" w:ascii="Times New Roman" w:hAnsi="Times New Roman" w:cs="Times New Roman"/>
                <w:b/>
                <w:color w:val="auto"/>
                <w:sz w:val="24"/>
                <w:szCs w:val="24"/>
                <w:highlight w:val="none"/>
                <w:u w:val="none" w:color="auto"/>
              </w:rPr>
            </w:pPr>
            <w:r>
              <w:rPr>
                <w:rFonts w:hint="default" w:ascii="Times New Roman" w:hAnsi="Times New Roman" w:cs="Times New Roman"/>
                <w:b/>
                <w:color w:val="auto"/>
                <w:sz w:val="24"/>
                <w:szCs w:val="24"/>
                <w:highlight w:val="none"/>
                <w:u w:val="none" w:color="auto"/>
              </w:rPr>
              <w:t>5.3</w:t>
            </w:r>
            <w:r>
              <w:rPr>
                <w:rFonts w:hint="default" w:ascii="Times New Roman" w:hAnsi="Times New Roman" w:eastAsia="宋体" w:cs="Times New Roman"/>
                <w:b/>
                <w:color w:val="auto"/>
                <w:sz w:val="24"/>
                <w:szCs w:val="24"/>
                <w:highlight w:val="none"/>
                <w:u w:val="none" w:color="auto"/>
              </w:rPr>
              <w:t>对动物的影响</w:t>
            </w:r>
          </w:p>
          <w:p w14:paraId="2FD460B7">
            <w:pPr>
              <w:pStyle w:val="43"/>
              <w:spacing w:beforeLines="0" w:afterLines="0"/>
              <w:rPr>
                <w:rFonts w:hint="default" w:ascii="Times New Roman" w:hAnsi="Times New Roman"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评价区</w:t>
            </w:r>
            <w:r>
              <w:rPr>
                <w:rFonts w:hint="eastAsia" w:cs="Times New Roman"/>
                <w:color w:val="auto"/>
                <w:kern w:val="0"/>
                <w:sz w:val="24"/>
                <w:szCs w:val="24"/>
                <w:highlight w:val="none"/>
                <w:u w:val="none" w:color="auto"/>
                <w:lang w:eastAsia="zh-CN"/>
              </w:rPr>
              <w:t>海拔</w:t>
            </w:r>
            <w:r>
              <w:rPr>
                <w:rFonts w:hint="default" w:ascii="Times New Roman" w:hAnsi="Times New Roman" w:eastAsia="宋体" w:cs="Times New Roman"/>
                <w:color w:val="auto"/>
                <w:kern w:val="0"/>
                <w:sz w:val="24"/>
                <w:szCs w:val="24"/>
                <w:highlight w:val="none"/>
                <w:u w:val="none" w:color="auto"/>
              </w:rPr>
              <w:t>较低，受到人类活动的干扰，环境异质性较低，因此动物种群的特点是种类贫乏，爬行类中广布种类较多。鸟类有树麻雀、山麻雀、喜鹊、伯劳等；兽类动物资源相对贫乏。由于人为活动干扰，动物种群和数量分布极不稳定，很难形成稳定的种群，同时由于评价区人为活动频繁，长期受人为干扰的结果是动物数量较少，尤其是大型动物几乎绝迹。</w:t>
            </w:r>
          </w:p>
          <w:p w14:paraId="4C961C9B">
            <w:pPr>
              <w:pStyle w:val="43"/>
              <w:spacing w:beforeLines="0" w:afterLines="0"/>
              <w:rPr>
                <w:rFonts w:hint="default" w:ascii="Times New Roman" w:hAnsi="Times New Roman"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因此，受施工噪声影响，工程沿线及临时设施附近一定范围内将不适合动物的栖息和觅食。工程施工机械车辆往来、施工土方开挖机填筑，及施工人员进驻，将对一些听觉和视觉灵敏的动物一定程度上起到驱赶作用，迫使其转向其它区域予以回避，其生存空间受到一定压缩。而动物具有一定的迁移能力，特别是鸟类和兽类，周边相似生境也较多，动物可以较轻松地就近寻找到其它适于栖息的地方。因此这种影响范围有限，多局限于施工区域内，不会造成动物种群数量的改变，且此类影响将随着施工活动的结束而消失。</w:t>
            </w:r>
          </w:p>
          <w:p w14:paraId="6D3CC37B">
            <w:pPr>
              <w:pStyle w:val="43"/>
              <w:spacing w:beforeLines="0" w:afterLines="0"/>
              <w:ind w:left="0" w:leftChars="0" w:firstLine="482" w:firstLineChars="200"/>
              <w:rPr>
                <w:rFonts w:hint="default" w:ascii="Times New Roman" w:hAnsi="Times New Roman" w:cs="Times New Roman"/>
                <w:b/>
                <w:color w:val="auto"/>
                <w:sz w:val="24"/>
                <w:szCs w:val="24"/>
                <w:highlight w:val="none"/>
                <w:u w:val="none" w:color="auto"/>
              </w:rPr>
            </w:pPr>
            <w:r>
              <w:rPr>
                <w:rFonts w:hint="default" w:ascii="Times New Roman" w:hAnsi="Times New Roman" w:cs="Times New Roman"/>
                <w:b/>
                <w:color w:val="auto"/>
                <w:sz w:val="24"/>
                <w:szCs w:val="24"/>
                <w:highlight w:val="none"/>
                <w:u w:val="none" w:color="auto"/>
              </w:rPr>
              <w:t>5.4</w:t>
            </w:r>
            <w:r>
              <w:rPr>
                <w:rFonts w:hint="default" w:ascii="Times New Roman" w:hAnsi="Times New Roman" w:eastAsia="宋体" w:cs="Times New Roman"/>
                <w:b/>
                <w:color w:val="auto"/>
                <w:sz w:val="24"/>
                <w:szCs w:val="24"/>
                <w:highlight w:val="none"/>
                <w:u w:val="none" w:color="auto"/>
              </w:rPr>
              <w:t>对水生生物的影响</w:t>
            </w:r>
          </w:p>
          <w:p w14:paraId="36615928">
            <w:pPr>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（1）对浮游生物的影响</w:t>
            </w:r>
          </w:p>
          <w:p w14:paraId="3FA7541A">
            <w:pPr>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施工期间，河沟清淤等将会搅动底泥，使施工区悬浮物浓度增加，对附近水域的浮游生物的生存造成影响，并有可能改变施工区附近水域的浮游生物的种类组成和群落结构，造成浮游生物种类和数量的减少，但由于浮游动植物个体小，繁殖速度快，当悬浮物质沉淀，水质恢复后，浮游生物的数量将会逐步恢复，且工程施工对浮游生物的影响只是局部的、暂时性的。浮游生物的损失主要集中在工程河沟疏挖段、河沟施工段。影响范围河沟与流域相比所占比例较小，因此工程施工不会对河沟相连河段流域浮游生物类群有较大的改变。</w:t>
            </w:r>
          </w:p>
          <w:p w14:paraId="4FAD792C">
            <w:pPr>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（2）对底栖动物的影响</w:t>
            </w:r>
          </w:p>
          <w:p w14:paraId="529FD556">
            <w:pPr>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由于底栖动物移动缓慢，多营定居生活，并且其主要栖息在沿岸浅水及洲滩滩坡附近水域，而河沟疏挖等施工主要集中在这些区域，因此，工程河沟疏挖施工对底栖动物的影响较大。工程施工期间要进行岸坡整治、河沟清淤的建设等将会直接伤害到底栖动物，同时也直接改变了其栖息环境，施工所产生的悬浮物也会影响到附近水域底栖动物的呼吸、摄食等生命活动。工程施工会造成施工区域的底栖动物直接死亡，底栖动物资源破坏后恢复较困难。</w:t>
            </w:r>
          </w:p>
          <w:p w14:paraId="38EB6331">
            <w:pPr>
              <w:adjustRightInd w:val="0"/>
              <w:snapToGrid w:val="0"/>
              <w:spacing w:beforeLines="0" w:afterLines="0" w:line="360" w:lineRule="auto"/>
              <w:ind w:firstLine="480" w:firstLineChars="200"/>
              <w:rPr>
                <w:rFonts w:hint="default" w:ascii="Times New Roman" w:hAnsi="Times New Roman" w:eastAsia="Times New Roman" w:cs="Times New Roman"/>
                <w:color w:val="auto"/>
                <w:kern w:val="0"/>
                <w:sz w:val="24"/>
                <w:szCs w:val="24"/>
                <w:highlight w:val="none"/>
                <w:u w:val="none" w:color="auto"/>
              </w:rPr>
            </w:pPr>
            <w:r>
              <w:rPr>
                <w:rFonts w:hint="default" w:ascii="Times New Roman" w:hAnsi="Times New Roman" w:eastAsia="宋体" w:cs="Times New Roman"/>
                <w:color w:val="auto"/>
                <w:kern w:val="0"/>
                <w:sz w:val="24"/>
                <w:szCs w:val="24"/>
                <w:highlight w:val="none"/>
                <w:u w:val="none" w:color="auto"/>
              </w:rPr>
              <w:t>（3）对水生植物的影响</w:t>
            </w:r>
          </w:p>
          <w:p w14:paraId="5476C9DA">
            <w:pPr>
              <w:widowControl/>
              <w:adjustRightInd w:val="0"/>
              <w:snapToGrid w:val="0"/>
              <w:spacing w:beforeLines="0" w:afterLines="0" w:line="360" w:lineRule="auto"/>
              <w:ind w:firstLine="480" w:firstLineChars="200"/>
              <w:jc w:val="left"/>
              <w:rPr>
                <w:rFonts w:hint="default" w:ascii="Times New Roman" w:hAnsi="Times New Roman" w:cs="Times New Roman"/>
                <w:sz w:val="24"/>
                <w:szCs w:val="24"/>
                <w:highlight w:val="none"/>
                <w:lang w:val="en-US" w:eastAsia="zh-CN"/>
              </w:rPr>
            </w:pPr>
            <w:r>
              <w:rPr>
                <w:rFonts w:hint="default" w:ascii="Times New Roman" w:hAnsi="Times New Roman" w:eastAsia="宋体" w:cs="Times New Roman"/>
                <w:color w:val="auto"/>
                <w:kern w:val="0"/>
                <w:sz w:val="24"/>
                <w:szCs w:val="24"/>
                <w:highlight w:val="none"/>
                <w:u w:val="none" w:color="auto"/>
              </w:rPr>
              <w:t>生态护坡工程的修建，将使施工区域的水生维管束植物受到长期或永久破坏，使水生维管束植物生物量减少，功能衰退或丧失。研究表明大型植物在悬浮物浓度达到8mg/L时，初级生产力下降3–13%，悬浮物浓度达到40mg/L时，初级生产力下降</w:t>
            </w:r>
            <w:r>
              <w:rPr>
                <w:rFonts w:hint="eastAsia" w:cs="Times New Roman"/>
                <w:color w:val="auto"/>
                <w:kern w:val="0"/>
                <w:sz w:val="24"/>
                <w:szCs w:val="24"/>
                <w:highlight w:val="none"/>
                <w:u w:val="none" w:color="auto"/>
                <w:lang w:eastAsia="zh-CN"/>
              </w:rPr>
              <w:t>13%—50%</w:t>
            </w:r>
            <w:r>
              <w:rPr>
                <w:rFonts w:hint="default" w:ascii="Times New Roman" w:hAnsi="Times New Roman" w:eastAsia="宋体" w:cs="Times New Roman"/>
                <w:color w:val="auto"/>
                <w:kern w:val="0"/>
                <w:sz w:val="24"/>
                <w:szCs w:val="24"/>
                <w:highlight w:val="none"/>
                <w:u w:val="none" w:color="auto"/>
              </w:rPr>
              <w:t>。工程对于水生植物的初级生产力有一定影响。工程施工会使水生维管束植物的生物量有一定的减少，但由于受影响的水生维管束植物多为多年生挺水草本植物，根状茎粗壮，在评价区分布广泛，适应性较强，因此，工程施工对水生维管植物的影响较小，河沟整治工程施工范围与评价区植被相比，所占比例较小，因此工程施工不会使整个河段的水生植被产生明显改变</w:t>
            </w:r>
            <w:r>
              <w:rPr>
                <w:rFonts w:hint="default" w:ascii="Times New Roman" w:hAnsi="Times New Roman" w:eastAsia="宋体" w:cs="Times New Roman"/>
                <w:color w:val="auto"/>
                <w:sz w:val="24"/>
                <w:szCs w:val="24"/>
                <w:highlight w:val="none"/>
                <w:u w:val="none" w:color="auto"/>
              </w:rPr>
              <w:t>。</w:t>
            </w:r>
          </w:p>
        </w:tc>
      </w:tr>
      <w:tr w14:paraId="42AA63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27" w:hRule="atLeast"/>
          <w:jc w:val="center"/>
        </w:trPr>
        <w:tc>
          <w:tcPr>
            <w:tcW w:w="879" w:type="dxa"/>
            <w:noWrap w:val="0"/>
            <w:tcMar>
              <w:left w:w="28" w:type="dxa"/>
              <w:right w:w="28" w:type="dxa"/>
            </w:tcMar>
            <w:vAlign w:val="center"/>
          </w:tcPr>
          <w:p w14:paraId="704739B6">
            <w:pPr>
              <w:pStyle w:val="15"/>
              <w:adjustRightInd w:val="0"/>
              <w:snapToGrid w:val="0"/>
              <w:spacing w:before="0" w:beforeAutospacing="0" w:after="0" w:afterAutospacing="0"/>
              <w:jc w:val="center"/>
              <w:rPr>
                <w:rFonts w:hint="default" w:ascii="Times New Roman" w:hAnsi="Times New Roman" w:cs="Times New Roman"/>
                <w:bCs/>
                <w:kern w:val="2"/>
                <w:sz w:val="24"/>
                <w:szCs w:val="24"/>
                <w:highlight w:val="none"/>
              </w:rPr>
            </w:pPr>
            <w:r>
              <w:rPr>
                <w:rFonts w:hint="default" w:ascii="Times New Roman" w:hAnsi="Times New Roman" w:cs="Times New Roman"/>
                <w:bCs/>
                <w:spacing w:val="10"/>
                <w:kern w:val="2"/>
                <w:sz w:val="24"/>
                <w:szCs w:val="24"/>
                <w:highlight w:val="none"/>
              </w:rPr>
              <w:t>运营期生态环境影响分析</w:t>
            </w:r>
          </w:p>
        </w:tc>
        <w:tc>
          <w:tcPr>
            <w:tcW w:w="8535" w:type="dxa"/>
            <w:noWrap w:val="0"/>
            <w:vAlign w:val="center"/>
          </w:tcPr>
          <w:p w14:paraId="44039780">
            <w:pPr>
              <w:pStyle w:val="43"/>
              <w:bidi w:val="0"/>
              <w:ind w:left="0" w:leftChars="0" w:firstLine="0" w:firstLineChars="0"/>
              <w:rPr>
                <w:rFonts w:hint="default"/>
                <w:b/>
                <w:bCs w:val="0"/>
                <w:color w:val="auto"/>
                <w:sz w:val="24"/>
                <w:szCs w:val="24"/>
                <w:highlight w:val="none"/>
                <w:lang w:val="en-US" w:eastAsia="zh-CN"/>
              </w:rPr>
            </w:pPr>
            <w:r>
              <w:rPr>
                <w:rFonts w:hint="eastAsia"/>
                <w:b/>
                <w:bCs w:val="0"/>
                <w:color w:val="auto"/>
                <w:sz w:val="24"/>
                <w:szCs w:val="24"/>
                <w:highlight w:val="none"/>
                <w:lang w:val="en-US" w:eastAsia="zh-CN"/>
              </w:rPr>
              <w:t>1.运营期员工生活污水</w:t>
            </w:r>
          </w:p>
          <w:p w14:paraId="6EF49052">
            <w:pPr>
              <w:pStyle w:val="43"/>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ind w:leftChars="0" w:firstLine="480" w:firstLineChars="200"/>
              <w:textAlignment w:val="auto"/>
              <w:rPr>
                <w:rFonts w:hint="eastAsia"/>
                <w:b/>
                <w:bCs w:val="0"/>
                <w:color w:val="auto"/>
                <w:sz w:val="24"/>
                <w:szCs w:val="24"/>
                <w:highlight w:val="none"/>
                <w:lang w:val="en-US" w:eastAsia="zh-CN"/>
              </w:rPr>
            </w:pPr>
            <w:r>
              <w:rPr>
                <w:rFonts w:hint="eastAsia"/>
                <w:color w:val="auto"/>
                <w:sz w:val="24"/>
                <w:szCs w:val="24"/>
                <w:highlight w:val="none"/>
                <w:lang w:val="en-US" w:eastAsia="zh-CN"/>
              </w:rPr>
              <w:t>项目运营期员工日常生活用水利用周边公共洗手间，产生污水由公共设施收集处理，因此，不纳入本项目范围内。</w:t>
            </w:r>
          </w:p>
          <w:p w14:paraId="115C17A3">
            <w:pPr>
              <w:pStyle w:val="43"/>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ind w:leftChars="0"/>
              <w:textAlignment w:val="auto"/>
              <w:rPr>
                <w:color w:val="auto"/>
                <w:sz w:val="24"/>
                <w:szCs w:val="24"/>
                <w:highlight w:val="none"/>
              </w:rPr>
            </w:pPr>
            <w:r>
              <w:rPr>
                <w:rFonts w:hint="eastAsia"/>
                <w:b/>
                <w:bCs w:val="0"/>
                <w:color w:val="auto"/>
                <w:sz w:val="24"/>
                <w:szCs w:val="24"/>
                <w:highlight w:val="none"/>
                <w:lang w:val="en-US" w:eastAsia="zh-CN"/>
              </w:rPr>
              <w:t>2. 运营期大气环境影响分析</w:t>
            </w:r>
          </w:p>
          <w:p w14:paraId="2C53C7E3">
            <w:pPr>
              <w:pStyle w:val="43"/>
              <w:bidi w:val="0"/>
              <w:rPr>
                <w:color w:val="auto"/>
                <w:sz w:val="24"/>
                <w:szCs w:val="24"/>
                <w:highlight w:val="none"/>
              </w:rPr>
            </w:pPr>
            <w:r>
              <w:rPr>
                <w:rFonts w:hint="eastAsia"/>
                <w:color w:val="auto"/>
                <w:sz w:val="24"/>
                <w:szCs w:val="24"/>
                <w:highlight w:val="none"/>
                <w:lang w:val="en-US" w:eastAsia="zh-CN"/>
              </w:rPr>
              <w:t xml:space="preserve">本项目运营过程中无废气产生及排放，不会对大气环境造成影响。 </w:t>
            </w:r>
          </w:p>
          <w:p w14:paraId="2F2189EA">
            <w:pPr>
              <w:pStyle w:val="43"/>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ind w:leftChars="0"/>
              <w:textAlignment w:val="auto"/>
              <w:rPr>
                <w:color w:val="auto"/>
                <w:sz w:val="24"/>
                <w:szCs w:val="24"/>
                <w:highlight w:val="none"/>
              </w:rPr>
            </w:pPr>
            <w:r>
              <w:rPr>
                <w:rFonts w:hint="eastAsia"/>
                <w:b/>
                <w:bCs w:val="0"/>
                <w:color w:val="auto"/>
                <w:sz w:val="24"/>
                <w:szCs w:val="24"/>
                <w:highlight w:val="none"/>
                <w:lang w:val="en-US" w:eastAsia="zh-CN"/>
              </w:rPr>
              <w:t>3. 运营期固体废物影响分析</w:t>
            </w:r>
          </w:p>
          <w:p w14:paraId="70490986">
            <w:pPr>
              <w:pStyle w:val="43"/>
              <w:bidi w:val="0"/>
              <w:rPr>
                <w:rFonts w:hint="eastAsia"/>
                <w:color w:val="auto"/>
                <w:sz w:val="24"/>
                <w:szCs w:val="24"/>
                <w:highlight w:val="none"/>
                <w:lang w:val="en-US" w:eastAsia="zh-CN"/>
              </w:rPr>
            </w:pPr>
            <w:r>
              <w:rPr>
                <w:rFonts w:hint="eastAsia"/>
                <w:bCs/>
                <w:color w:val="auto"/>
                <w:sz w:val="24"/>
                <w:szCs w:val="24"/>
                <w:highlight w:val="none"/>
              </w:rPr>
              <w:t>项目营运期所产生的固体废物主要为</w:t>
            </w:r>
            <w:r>
              <w:rPr>
                <w:rFonts w:hint="eastAsia"/>
                <w:bCs/>
                <w:color w:val="auto"/>
                <w:sz w:val="24"/>
                <w:szCs w:val="24"/>
                <w:highlight w:val="none"/>
                <w:lang w:eastAsia="zh-CN"/>
              </w:rPr>
              <w:t>提升泵站管理人员</w:t>
            </w:r>
            <w:r>
              <w:rPr>
                <w:rFonts w:hint="eastAsia"/>
                <w:bCs/>
                <w:color w:val="auto"/>
                <w:sz w:val="24"/>
                <w:szCs w:val="24"/>
                <w:highlight w:val="none"/>
              </w:rPr>
              <w:t>生活垃圾，统一收集后，由环卫部门统一处理，对周围环境影响很小</w:t>
            </w:r>
            <w:r>
              <w:rPr>
                <w:rFonts w:hint="eastAsia"/>
                <w:bCs/>
                <w:color w:val="auto"/>
                <w:sz w:val="24"/>
                <w:szCs w:val="24"/>
                <w:highlight w:val="none"/>
                <w:lang w:eastAsia="zh-CN"/>
              </w:rPr>
              <w:t>。</w:t>
            </w:r>
            <w:r>
              <w:rPr>
                <w:rFonts w:hint="eastAsia"/>
                <w:color w:val="auto"/>
                <w:sz w:val="24"/>
                <w:szCs w:val="24"/>
                <w:highlight w:val="none"/>
                <w:lang w:val="en-US" w:eastAsia="zh-CN"/>
              </w:rPr>
              <w:t xml:space="preserve"> </w:t>
            </w:r>
          </w:p>
          <w:p w14:paraId="777A49EA">
            <w:pPr>
              <w:pStyle w:val="43"/>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ind w:leftChars="0"/>
              <w:textAlignment w:val="auto"/>
              <w:rPr>
                <w:color w:val="auto"/>
                <w:sz w:val="24"/>
                <w:szCs w:val="24"/>
                <w:highlight w:val="none"/>
              </w:rPr>
            </w:pPr>
            <w:r>
              <w:rPr>
                <w:rFonts w:hint="eastAsia"/>
                <w:b/>
                <w:bCs w:val="0"/>
                <w:color w:val="auto"/>
                <w:sz w:val="24"/>
                <w:szCs w:val="24"/>
                <w:highlight w:val="none"/>
                <w:lang w:val="en-US" w:eastAsia="zh-CN"/>
              </w:rPr>
              <w:t>4. 运营期声环境影响分析</w:t>
            </w:r>
          </w:p>
          <w:p w14:paraId="256192CC">
            <w:pPr>
              <w:pStyle w:val="43"/>
              <w:bidi w:val="0"/>
              <w:rPr>
                <w:rFonts w:hint="eastAsia"/>
                <w:color w:val="auto"/>
                <w:sz w:val="24"/>
                <w:szCs w:val="24"/>
                <w:highlight w:val="none"/>
                <w:lang w:val="en-US" w:eastAsia="zh-CN"/>
              </w:rPr>
            </w:pPr>
            <w:r>
              <w:rPr>
                <w:rFonts w:hint="eastAsia"/>
                <w:color w:val="auto"/>
                <w:sz w:val="24"/>
                <w:szCs w:val="24"/>
                <w:highlight w:val="none"/>
                <w:lang w:val="en-US" w:eastAsia="zh-CN"/>
              </w:rPr>
              <w:t>本项目运营过程中的噪声主要来源于提升泵站运行时机械产生的噪声。泵站在日常工作中产生噪音的源强十分复杂。包括：（1）水泵振动噪声，（2）电机风扇噪声，（3）电压不稳定产生的电磁振动，（4）水泵水流产生的噪声。因此建议本次设备安装专门的减振设施，并通过混凝土外墙进行进一步隔声减振，泵站设施日常定期进行维修。提升泵站抽水作业为阶段性工作，在避开午间和夜间时进行，对周边环境影响较小。</w:t>
            </w:r>
          </w:p>
          <w:p w14:paraId="376CF39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bCs/>
                <w:sz w:val="24"/>
                <w:szCs w:val="24"/>
                <w:highlight w:val="none"/>
                <w:lang w:eastAsia="zh-CN"/>
              </w:rPr>
            </w:pPr>
            <w:r>
              <w:rPr>
                <w:rFonts w:hint="default" w:ascii="Times New Roman" w:hAnsi="Times New Roman" w:cs="Times New Roman"/>
                <w:bCs/>
                <w:sz w:val="24"/>
                <w:szCs w:val="24"/>
                <w:highlight w:val="none"/>
                <w:lang w:eastAsia="zh-CN"/>
              </w:rPr>
              <w:t>本项目的实施，通过对河道的治理，使其恢复防洪防涝功能，增强防灾减灾能力，发挥防洪效益，保障人民生命财产安全，满足区域内农民群众生产生活需要。</w:t>
            </w:r>
          </w:p>
        </w:tc>
      </w:tr>
      <w:tr w14:paraId="0A0532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63" w:hRule="atLeast"/>
          <w:jc w:val="center"/>
        </w:trPr>
        <w:tc>
          <w:tcPr>
            <w:tcW w:w="879" w:type="dxa"/>
            <w:noWrap w:val="0"/>
            <w:vAlign w:val="center"/>
          </w:tcPr>
          <w:p w14:paraId="3925261F">
            <w:pPr>
              <w:pStyle w:val="15"/>
              <w:adjustRightInd w:val="0"/>
              <w:snapToGrid w:val="0"/>
              <w:spacing w:before="0" w:beforeAutospacing="0" w:after="0" w:afterAutospacing="0"/>
              <w:jc w:val="center"/>
              <w:rPr>
                <w:rFonts w:hint="default" w:ascii="Times New Roman" w:hAnsi="Times New Roman" w:cs="Times New Roman"/>
                <w:bCs/>
                <w:kern w:val="2"/>
                <w:sz w:val="24"/>
                <w:szCs w:val="24"/>
                <w:highlight w:val="none"/>
              </w:rPr>
            </w:pPr>
            <w:r>
              <w:rPr>
                <w:rFonts w:hint="default" w:ascii="Times New Roman" w:hAnsi="Times New Roman" w:cs="Times New Roman"/>
                <w:bCs/>
                <w:kern w:val="2"/>
                <w:sz w:val="24"/>
                <w:szCs w:val="24"/>
                <w:highlight w:val="none"/>
              </w:rPr>
              <w:t>选址选线环境合理性分析</w:t>
            </w:r>
          </w:p>
        </w:tc>
        <w:tc>
          <w:tcPr>
            <w:tcW w:w="8535" w:type="dxa"/>
            <w:noWrap w:val="0"/>
            <w:vAlign w:val="center"/>
          </w:tcPr>
          <w:p w14:paraId="5E6C646F">
            <w:pPr>
              <w:keepNext w:val="0"/>
              <w:keepLines w:val="0"/>
              <w:pageBreakBefore w:val="0"/>
              <w:widowControl w:val="0"/>
              <w:kinsoku/>
              <w:wordWrap/>
              <w:overflowPunct/>
              <w:topLinePunct w:val="0"/>
              <w:autoSpaceDE/>
              <w:autoSpaceDN/>
              <w:bidi w:val="0"/>
              <w:adjustRightInd/>
              <w:snapToGrid w:val="0"/>
              <w:spacing w:line="360" w:lineRule="auto"/>
              <w:jc w:val="left"/>
              <w:textAlignment w:val="auto"/>
              <w:rPr>
                <w:rFonts w:hint="default" w:ascii="Times New Roman" w:hAnsi="Times New Roman" w:cs="Times New Roman"/>
                <w:bCs/>
                <w:sz w:val="24"/>
                <w:szCs w:val="24"/>
                <w:highlight w:val="none"/>
                <w:lang w:eastAsia="zh-CN"/>
              </w:rPr>
            </w:pPr>
          </w:p>
          <w:p w14:paraId="7E6F3844">
            <w:pPr>
              <w:keepNext w:val="0"/>
              <w:keepLines w:val="0"/>
              <w:pageBreakBefore w:val="0"/>
              <w:widowControl w:val="0"/>
              <w:kinsoku/>
              <w:wordWrap/>
              <w:overflowPunct/>
              <w:topLinePunct w:val="0"/>
              <w:autoSpaceDE/>
              <w:autoSpaceDN/>
              <w:bidi w:val="0"/>
              <w:adjustRightInd/>
              <w:snapToGrid w:val="0"/>
              <w:spacing w:line="360" w:lineRule="auto"/>
              <w:jc w:val="left"/>
              <w:textAlignment w:val="auto"/>
              <w:rPr>
                <w:rFonts w:hint="default" w:ascii="Times New Roman" w:hAnsi="Times New Roman" w:cs="Times New Roman"/>
                <w:bCs/>
                <w:sz w:val="24"/>
                <w:szCs w:val="24"/>
                <w:highlight w:val="none"/>
                <w:lang w:eastAsia="zh-CN"/>
              </w:rPr>
            </w:pPr>
          </w:p>
          <w:p w14:paraId="78C387C8">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cs="Times New Roman"/>
                <w:bCs/>
                <w:sz w:val="24"/>
                <w:szCs w:val="24"/>
                <w:highlight w:val="none"/>
                <w:lang w:eastAsia="zh-CN"/>
              </w:rPr>
            </w:pPr>
          </w:p>
          <w:p w14:paraId="1269B57A">
            <w:pPr>
              <w:pStyle w:val="2"/>
              <w:rPr>
                <w:rFonts w:hint="default" w:ascii="Times New Roman" w:hAnsi="Times New Roman" w:cs="Times New Roman"/>
                <w:bCs/>
                <w:sz w:val="24"/>
                <w:szCs w:val="24"/>
                <w:highlight w:val="none"/>
                <w:lang w:eastAsia="zh-CN"/>
              </w:rPr>
            </w:pPr>
          </w:p>
          <w:p w14:paraId="35EB9BD3">
            <w:pPr>
              <w:pStyle w:val="2"/>
              <w:ind w:left="0" w:leftChars="0" w:firstLine="0" w:firstLineChars="0"/>
              <w:rPr>
                <w:rFonts w:hint="default" w:ascii="Times New Roman" w:hAnsi="Times New Roman" w:cs="Times New Roman"/>
                <w:bCs/>
                <w:sz w:val="24"/>
                <w:szCs w:val="24"/>
                <w:highlight w:val="none"/>
                <w:lang w:eastAsia="zh-CN"/>
              </w:rPr>
            </w:pPr>
          </w:p>
          <w:p w14:paraId="4EABFB8D">
            <w:pPr>
              <w:rPr>
                <w:rFonts w:hint="default" w:ascii="Times New Roman" w:hAnsi="Times New Roman" w:cs="Times New Roman"/>
                <w:bCs/>
                <w:sz w:val="24"/>
                <w:szCs w:val="24"/>
                <w:highlight w:val="none"/>
                <w:lang w:eastAsia="zh-CN"/>
              </w:rPr>
            </w:pPr>
          </w:p>
          <w:p w14:paraId="50C468D8">
            <w:pPr>
              <w:pStyle w:val="2"/>
              <w:rPr>
                <w:rFonts w:hint="default" w:ascii="Times New Roman" w:hAnsi="Times New Roman" w:cs="Times New Roman"/>
                <w:bCs/>
                <w:sz w:val="24"/>
                <w:szCs w:val="24"/>
                <w:highlight w:val="none"/>
                <w:lang w:eastAsia="zh-CN"/>
              </w:rPr>
            </w:pPr>
          </w:p>
          <w:p w14:paraId="42409D4C">
            <w:pPr>
              <w:rPr>
                <w:rFonts w:hint="default"/>
                <w:highlight w:val="none"/>
                <w:lang w:eastAsia="zh-CN"/>
              </w:rPr>
            </w:pPr>
          </w:p>
          <w:p w14:paraId="751CC1B5">
            <w:pPr>
              <w:pStyle w:val="2"/>
              <w:rPr>
                <w:rFonts w:hint="default" w:ascii="Times New Roman" w:hAnsi="Times New Roman" w:cs="Times New Roman"/>
                <w:bCs/>
                <w:sz w:val="24"/>
                <w:szCs w:val="24"/>
                <w:highlight w:val="none"/>
                <w:lang w:eastAsia="zh-CN"/>
              </w:rPr>
            </w:pPr>
          </w:p>
          <w:p w14:paraId="2C3E1B29">
            <w:pPr>
              <w:rPr>
                <w:rFonts w:hint="default"/>
                <w:highlight w:val="none"/>
                <w:lang w:eastAsia="zh-CN"/>
              </w:rPr>
            </w:pPr>
          </w:p>
          <w:p w14:paraId="3EF9D414">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left"/>
              <w:textAlignment w:val="auto"/>
              <w:rPr>
                <w:rFonts w:hint="default" w:ascii="Times New Roman" w:hAnsi="Times New Roman" w:cs="Times New Roman"/>
                <w:bCs/>
                <w:sz w:val="24"/>
                <w:szCs w:val="24"/>
                <w:highlight w:val="none"/>
                <w:lang w:eastAsia="zh-CN"/>
              </w:rPr>
            </w:pPr>
            <w:r>
              <w:rPr>
                <w:rFonts w:hint="default" w:ascii="Times New Roman" w:hAnsi="Times New Roman" w:cs="Times New Roman"/>
                <w:bCs/>
                <w:sz w:val="24"/>
                <w:szCs w:val="24"/>
                <w:highlight w:val="none"/>
                <w:lang w:eastAsia="zh-CN"/>
              </w:rPr>
              <w:t>本项目为</w:t>
            </w:r>
            <w:r>
              <w:rPr>
                <w:rFonts w:hint="eastAsia" w:cs="Times New Roman"/>
                <w:color w:val="auto"/>
                <w:kern w:val="0"/>
                <w:sz w:val="24"/>
                <w:szCs w:val="24"/>
                <w:highlight w:val="none"/>
                <w:u w:val="none" w:color="auto"/>
                <w:lang w:val="en-US" w:eastAsia="zh-CN"/>
              </w:rPr>
              <w:t>河道治理、</w:t>
            </w:r>
            <w:r>
              <w:rPr>
                <w:rFonts w:hint="eastAsia" w:asciiTheme="minorEastAsia" w:hAnsiTheme="minorEastAsia" w:eastAsiaTheme="minorEastAsia" w:cstheme="minorEastAsia"/>
                <w:b w:val="0"/>
                <w:bCs w:val="0"/>
                <w:color w:val="000000"/>
                <w:sz w:val="24"/>
                <w:szCs w:val="24"/>
                <w:highlight w:val="none"/>
              </w:rPr>
              <w:t>排涝通道建设</w:t>
            </w:r>
            <w:r>
              <w:rPr>
                <w:rFonts w:hint="default" w:ascii="Times New Roman" w:hAnsi="Times New Roman" w:cs="Times New Roman" w:eastAsiaTheme="minorEastAsia"/>
                <w:color w:val="auto"/>
                <w:sz w:val="24"/>
                <w:szCs w:val="24"/>
                <w:highlight w:val="none"/>
                <w:lang w:val="en-US" w:eastAsia="zh-CN"/>
              </w:rPr>
              <w:t>工程</w:t>
            </w:r>
            <w:r>
              <w:rPr>
                <w:rFonts w:hint="default" w:ascii="Times New Roman" w:hAnsi="Times New Roman" w:cs="Times New Roman"/>
                <w:bCs/>
                <w:sz w:val="24"/>
                <w:szCs w:val="24"/>
                <w:highlight w:val="none"/>
                <w:lang w:eastAsia="zh-CN"/>
              </w:rPr>
              <w:t>，不新增用地，河道</w:t>
            </w:r>
            <w:r>
              <w:rPr>
                <w:rFonts w:hint="eastAsia" w:cs="Times New Roman"/>
                <w:bCs/>
                <w:sz w:val="24"/>
                <w:szCs w:val="24"/>
                <w:highlight w:val="none"/>
                <w:lang w:eastAsia="zh-CN"/>
              </w:rPr>
              <w:t>治理</w:t>
            </w:r>
            <w:r>
              <w:rPr>
                <w:rFonts w:hint="default" w:ascii="Times New Roman" w:hAnsi="Times New Roman" w:cs="Times New Roman"/>
                <w:bCs/>
                <w:sz w:val="24"/>
                <w:szCs w:val="24"/>
                <w:highlight w:val="none"/>
                <w:lang w:eastAsia="zh-CN"/>
              </w:rPr>
              <w:t>且对周边村庄的防洪排涝起到了巨大作用，项目选址合理。</w:t>
            </w:r>
          </w:p>
          <w:p w14:paraId="34B0244F">
            <w:pPr>
              <w:pStyle w:val="2"/>
              <w:rPr>
                <w:rFonts w:hint="default" w:ascii="Times New Roman" w:hAnsi="Times New Roman" w:cs="Times New Roman"/>
                <w:bCs/>
                <w:sz w:val="24"/>
                <w:szCs w:val="24"/>
                <w:highlight w:val="none"/>
                <w:lang w:eastAsia="zh-CN"/>
              </w:rPr>
            </w:pPr>
          </w:p>
          <w:p w14:paraId="27A1163D">
            <w:pPr>
              <w:rPr>
                <w:rFonts w:hint="default" w:ascii="Times New Roman" w:hAnsi="Times New Roman" w:cs="Times New Roman"/>
                <w:bCs/>
                <w:sz w:val="24"/>
                <w:szCs w:val="24"/>
                <w:highlight w:val="none"/>
                <w:lang w:eastAsia="zh-CN"/>
              </w:rPr>
            </w:pPr>
          </w:p>
          <w:p w14:paraId="7CE66121">
            <w:pPr>
              <w:pStyle w:val="2"/>
              <w:rPr>
                <w:rFonts w:hint="default" w:ascii="Times New Roman" w:hAnsi="Times New Roman" w:cs="Times New Roman"/>
                <w:bCs/>
                <w:sz w:val="24"/>
                <w:szCs w:val="24"/>
                <w:highlight w:val="none"/>
                <w:lang w:eastAsia="zh-CN"/>
              </w:rPr>
            </w:pPr>
          </w:p>
          <w:p w14:paraId="1CB3A64C">
            <w:pPr>
              <w:rPr>
                <w:rFonts w:hint="default" w:ascii="Times New Roman" w:hAnsi="Times New Roman" w:cs="Times New Roman"/>
                <w:bCs/>
                <w:sz w:val="24"/>
                <w:szCs w:val="24"/>
                <w:highlight w:val="none"/>
                <w:lang w:eastAsia="zh-CN"/>
              </w:rPr>
            </w:pPr>
          </w:p>
          <w:p w14:paraId="566D7E68">
            <w:pPr>
              <w:pStyle w:val="2"/>
              <w:rPr>
                <w:rFonts w:hint="default"/>
                <w:highlight w:val="none"/>
                <w:lang w:eastAsia="zh-CN"/>
              </w:rPr>
            </w:pPr>
          </w:p>
          <w:p w14:paraId="5511C41F">
            <w:pPr>
              <w:pStyle w:val="2"/>
              <w:rPr>
                <w:rFonts w:hint="default" w:ascii="Times New Roman" w:hAnsi="Times New Roman" w:cs="Times New Roman"/>
                <w:bCs/>
                <w:sz w:val="24"/>
                <w:szCs w:val="24"/>
                <w:highlight w:val="none"/>
                <w:lang w:eastAsia="zh-CN"/>
              </w:rPr>
            </w:pPr>
          </w:p>
          <w:p w14:paraId="2BB3AFCB">
            <w:pPr>
              <w:rPr>
                <w:rFonts w:hint="default" w:ascii="Times New Roman" w:hAnsi="Times New Roman" w:cs="Times New Roman"/>
                <w:bCs/>
                <w:sz w:val="24"/>
                <w:szCs w:val="24"/>
                <w:highlight w:val="none"/>
                <w:lang w:eastAsia="zh-CN"/>
              </w:rPr>
            </w:pPr>
          </w:p>
          <w:p w14:paraId="2E735C8E">
            <w:pPr>
              <w:pStyle w:val="2"/>
              <w:rPr>
                <w:rFonts w:hint="default" w:ascii="Times New Roman" w:hAnsi="Times New Roman" w:cs="Times New Roman"/>
                <w:bCs/>
                <w:sz w:val="24"/>
                <w:szCs w:val="24"/>
                <w:highlight w:val="none"/>
                <w:lang w:eastAsia="zh-CN"/>
              </w:rPr>
            </w:pPr>
          </w:p>
          <w:p w14:paraId="1248EAB6">
            <w:pPr>
              <w:rPr>
                <w:rFonts w:hint="default"/>
                <w:highlight w:val="none"/>
                <w:lang w:eastAsia="zh-CN"/>
              </w:rPr>
            </w:pPr>
          </w:p>
        </w:tc>
      </w:tr>
    </w:tbl>
    <w:p w14:paraId="4B54F64C">
      <w:pPr>
        <w:pStyle w:val="15"/>
        <w:jc w:val="center"/>
        <w:rPr>
          <w:rFonts w:ascii="黑体" w:hAnsi="黑体" w:eastAsia="黑体"/>
          <w:snapToGrid w:val="0"/>
          <w:sz w:val="36"/>
          <w:szCs w:val="36"/>
          <w:highlight w:val="none"/>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14:paraId="57A092B4">
      <w:pPr>
        <w:pStyle w:val="15"/>
        <w:jc w:val="center"/>
        <w:outlineLvl w:val="0"/>
        <w:rPr>
          <w:rFonts w:ascii="黑体" w:hAnsi="黑体" w:eastAsia="黑体"/>
          <w:snapToGrid w:val="0"/>
          <w:sz w:val="30"/>
          <w:szCs w:val="30"/>
          <w:highlight w:val="none"/>
        </w:rPr>
      </w:pPr>
      <w:bookmarkStart w:id="10" w:name="_Toc39"/>
      <w:r>
        <w:rPr>
          <w:rFonts w:hint="eastAsia" w:ascii="黑体" w:hAnsi="黑体" w:eastAsia="黑体"/>
          <w:snapToGrid w:val="0"/>
          <w:sz w:val="30"/>
          <w:szCs w:val="30"/>
          <w:highlight w:val="none"/>
        </w:rPr>
        <w:t>五、主要生态环境保护措施</w:t>
      </w:r>
      <w:bookmarkEnd w:id="10"/>
    </w:p>
    <w:tbl>
      <w:tblPr>
        <w:tblStyle w:val="18"/>
        <w:tblW w:w="941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73"/>
        <w:gridCol w:w="8539"/>
      </w:tblGrid>
      <w:tr w14:paraId="747E4F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72" w:hRule="atLeast"/>
          <w:jc w:val="center"/>
        </w:trPr>
        <w:tc>
          <w:tcPr>
            <w:tcW w:w="873" w:type="dxa"/>
            <w:noWrap w:val="0"/>
            <w:tcMar>
              <w:left w:w="28" w:type="dxa"/>
              <w:right w:w="28" w:type="dxa"/>
            </w:tcMar>
            <w:vAlign w:val="center"/>
          </w:tcPr>
          <w:p w14:paraId="0D372295">
            <w:pPr>
              <w:adjustRightInd w:val="0"/>
              <w:snapToGrid w:val="0"/>
              <w:jc w:val="center"/>
              <w:rPr>
                <w:rFonts w:ascii="宋体" w:hAnsi="宋体"/>
                <w:bCs/>
                <w:szCs w:val="21"/>
                <w:highlight w:val="none"/>
              </w:rPr>
            </w:pPr>
            <w:r>
              <w:rPr>
                <w:rFonts w:hint="eastAsia" w:ascii="宋体" w:hAnsi="宋体" w:cs="宋体"/>
                <w:bCs/>
                <w:spacing w:val="10"/>
                <w:sz w:val="24"/>
                <w:szCs w:val="24"/>
                <w:highlight w:val="none"/>
              </w:rPr>
              <w:t>施工期生态环境保护措施</w:t>
            </w:r>
          </w:p>
        </w:tc>
        <w:tc>
          <w:tcPr>
            <w:tcW w:w="8539" w:type="dxa"/>
            <w:noWrap w:val="0"/>
            <w:vAlign w:val="top"/>
          </w:tcPr>
          <w:p w14:paraId="36098D53">
            <w:pPr>
              <w:pStyle w:val="43"/>
              <w:numPr>
                <w:ilvl w:val="0"/>
                <w:numId w:val="0"/>
              </w:numPr>
              <w:spacing w:before="157" w:beforeLines="50" w:afterLines="0"/>
              <w:ind w:firstLine="0" w:firstLineChars="0"/>
              <w:rPr>
                <w:rFonts w:hint="default" w:ascii="Times New Roman" w:hAnsi="Times New Roman" w:cs="Times New Roman"/>
                <w:b/>
                <w:color w:val="auto"/>
                <w:sz w:val="24"/>
                <w:szCs w:val="24"/>
                <w:highlight w:val="none"/>
                <w:u w:val="none" w:color="auto"/>
              </w:rPr>
            </w:pPr>
            <w:r>
              <w:rPr>
                <w:rFonts w:hint="default" w:ascii="Times New Roman" w:hAnsi="Times New Roman" w:cs="Times New Roman"/>
                <w:b/>
                <w:color w:val="auto"/>
                <w:sz w:val="24"/>
                <w:szCs w:val="24"/>
                <w:highlight w:val="none"/>
              </w:rPr>
              <w:t>1.</w:t>
            </w:r>
            <w:r>
              <w:rPr>
                <w:rFonts w:hint="default" w:ascii="Times New Roman" w:hAnsi="Times New Roman" w:eastAsia="宋体" w:cs="Times New Roman"/>
                <w:b/>
                <w:color w:val="auto"/>
                <w:sz w:val="24"/>
                <w:szCs w:val="24"/>
                <w:highlight w:val="none"/>
                <w:u w:val="none" w:color="auto"/>
              </w:rPr>
              <w:t>施工期大气环境保护措施</w:t>
            </w:r>
          </w:p>
          <w:p w14:paraId="247B3CD5">
            <w:pPr>
              <w:pStyle w:val="43"/>
              <w:spacing w:beforeLines="0" w:afterLines="0"/>
              <w:ind w:left="0" w:leftChars="0" w:firstLine="482" w:firstLineChars="200"/>
              <w:rPr>
                <w:rFonts w:hint="default" w:ascii="Times New Roman" w:hAnsi="Times New Roman" w:cs="Times New Roman"/>
                <w:b/>
                <w:color w:val="auto"/>
                <w:sz w:val="24"/>
                <w:szCs w:val="24"/>
                <w:highlight w:val="none"/>
                <w:u w:val="none" w:color="auto"/>
              </w:rPr>
            </w:pPr>
            <w:r>
              <w:rPr>
                <w:rFonts w:hint="default" w:ascii="Times New Roman" w:hAnsi="Times New Roman" w:cs="Times New Roman"/>
                <w:b/>
                <w:color w:val="auto"/>
                <w:sz w:val="24"/>
                <w:szCs w:val="24"/>
                <w:highlight w:val="none"/>
                <w:u w:val="none" w:color="auto"/>
              </w:rPr>
              <w:t>1.1</w:t>
            </w:r>
            <w:r>
              <w:rPr>
                <w:rFonts w:hint="default" w:ascii="Times New Roman" w:hAnsi="Times New Roman" w:eastAsia="宋体" w:cs="Times New Roman"/>
                <w:b/>
                <w:color w:val="auto"/>
                <w:sz w:val="24"/>
                <w:szCs w:val="24"/>
                <w:highlight w:val="none"/>
                <w:u w:val="none" w:color="auto"/>
              </w:rPr>
              <w:t>施工扬尘保护措施</w:t>
            </w:r>
          </w:p>
          <w:p w14:paraId="6B6CB3CB">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本项目在施工过程中，应严格按照</w:t>
            </w:r>
            <w:r>
              <w:rPr>
                <w:rFonts w:hint="default" w:ascii="Times New Roman" w:hAnsi="Times New Roman" w:eastAsia="宋体" w:cs="Times New Roman"/>
                <w:sz w:val="24"/>
                <w:szCs w:val="24"/>
                <w:highlight w:val="none"/>
                <w:lang w:val="en-US" w:eastAsia="zh-CN"/>
              </w:rPr>
              <w:t>《河南省生态环境保护委员会办公室关于印发&lt;河南省2024年蓝天保卫战实施方案&gt;的通知》（豫环委办﹝2024﹞7号）、《安阳市生态环境保护委员会关于印发安阳市2024-2025年空气质量持续改善暨综合指数“退后十”攻坚行动方案的通知》（安环委〔2024〕3号）等相关文件</w:t>
            </w:r>
            <w:r>
              <w:rPr>
                <w:rFonts w:hint="default" w:ascii="Times New Roman" w:hAnsi="Times New Roman" w:eastAsia="宋体" w:cs="Times New Roman"/>
                <w:color w:val="auto"/>
                <w:sz w:val="24"/>
                <w:szCs w:val="24"/>
                <w:highlight w:val="none"/>
                <w:u w:val="none" w:color="auto"/>
              </w:rPr>
              <w:t>的要求，针对本项目施工期间扬尘及运输车辆废气，评价建议施工期建立施工工地动态管理清单，全面开展标准化施工，严格落实</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六个百分之百</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、开复工验收、</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三员</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管理等制度。严格落实</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两个禁止</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（禁止现场搅拌混凝土、禁止现场搅拌砂浆）要求。严格渣土运输车辆规范化管理，密闭运输、清洁运输；组织做好重污染天气预警、大风天气条件下施工工地、道路扬尘管控等措施。具体措施如下：</w:t>
            </w:r>
          </w:p>
          <w:p w14:paraId="70F13676">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（1）项目不设搅拌站，均使用商品混凝土，施工场地应做到禁止现场搅拌混凝土、禁止现场配制砂浆</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两个禁止</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的要求，严格执行开复工验收、</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三员</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管理、扬尘防治预算管理等制度和重污染天气应急响应等制度，加强对施工工地和拆迁（拆除）工程施工过程的监管，特别是对夜间施工工地的管理，</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三员</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现场管理要针对重点区域、重点时段进行不间断巡查，建立日监管台账，确保扬尘污染防治措施落实到位，</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三员</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管理到位且发挥作用。</w:t>
            </w:r>
          </w:p>
          <w:p w14:paraId="14F43533">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（2）强化施工工地扬尘治理，项目施工工地将严格落实扬尘治理</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六个百分之百</w:t>
            </w:r>
            <w:r>
              <w:rPr>
                <w:rFonts w:hint="eastAsia" w:cs="Times New Roman"/>
                <w:color w:val="auto"/>
                <w:sz w:val="24"/>
                <w:szCs w:val="24"/>
                <w:highlight w:val="none"/>
                <w:u w:val="none" w:color="auto"/>
                <w:lang w:eastAsia="zh-CN"/>
              </w:rPr>
              <w:t>”</w:t>
            </w:r>
            <w:r>
              <w:rPr>
                <w:rFonts w:hint="default" w:ascii="Times New Roman" w:hAnsi="Times New Roman" w:eastAsia="宋体" w:cs="Times New Roman"/>
                <w:color w:val="auto"/>
                <w:sz w:val="24"/>
                <w:szCs w:val="24"/>
                <w:highlight w:val="none"/>
                <w:u w:val="none" w:color="auto"/>
              </w:rPr>
              <w:t>要求，做到：工地周边100%围挡、各类物料堆放100%覆盖、土方开挖及拆迁作业100%湿法作业、出入车辆100%清洗、施工现场路面100%硬化、渣土车辆100%密闭运输等措施，并在工地主要扬尘产生点安装视频监控装置，实行施工全过程监控。</w:t>
            </w:r>
          </w:p>
          <w:p w14:paraId="6E545318">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（3）施工现场应沿周边连续设置硬质围挡，不得有间断、敞开，底边封闭严密，每组间隔不宜大于4m。</w:t>
            </w:r>
          </w:p>
          <w:p w14:paraId="653FE590">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4）对需要回填的土方及石子、砂子等进行网布或不透水的隔尘布完全遮盖抑尘，防尘布或遮蔽装置的完好率必须达到100%。对易产尘的材料，实行轻卸慢放，用封闭式库存的办法，以减少扬尘的产生，存放油料必须有防止泄漏和防止污染的措施。</w:t>
            </w:r>
          </w:p>
          <w:p w14:paraId="2ED1042C">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5）项目施工过程中对施工场地进行勤洒水，保证地面湿润，降低扬尘产生。严格落实安阳市重污染天气运输管控措施，《河南省重污染天气应急预案》相关要求，启动Ⅱ级（橙色）以上预警或风速达到4级以上时，不得进行土方挖填和转运、拆除等易产生扬尘的作业，并对作业面进行覆盖。</w:t>
            </w:r>
          </w:p>
          <w:p w14:paraId="5F968B7B">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6）设置运输车辆冲洗装置：运输车辆驶出工地前，应对车轮、车身等进行清理或清洗以保证车辆清洁上路，施工场所车辆入口和出口30m内部分的路面上不应有明显的泥印、砂石、灰土等易扬尘物料，采取该措施后可降低10%左右的扬尘排放量。</w:t>
            </w:r>
          </w:p>
          <w:p w14:paraId="4DD7BC24">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（7）建设单位做好施工现场的交通组织，避免因施工造成的交通阻塞，也可减少运输车辆怠速产生的废气排放。</w:t>
            </w:r>
          </w:p>
          <w:p w14:paraId="01AA519E">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同时，为积极应对持续重污染天气，本项目的施工作业应遵照《安阳市重污染天气应急预案》采取不同的回应措施。</w:t>
            </w:r>
          </w:p>
          <w:p w14:paraId="4274952D">
            <w:pPr>
              <w:spacing w:beforeLines="0" w:afterLines="0" w:line="360" w:lineRule="auto"/>
              <w:ind w:firstLine="480" w:firstLineChars="200"/>
              <w:rPr>
                <w:rFonts w:hint="default" w:ascii="Times New Roman" w:hAnsi="Times New Roman" w:cs="Times New Roman"/>
                <w:sz w:val="24"/>
                <w:szCs w:val="24"/>
                <w:highlight w:val="none"/>
              </w:rPr>
            </w:pPr>
            <w:r>
              <w:rPr>
                <w:rFonts w:hint="default" w:ascii="Times New Roman" w:hAnsi="Times New Roman" w:eastAsia="宋体" w:cs="Times New Roman"/>
                <w:color w:val="auto"/>
                <w:sz w:val="24"/>
                <w:szCs w:val="24"/>
                <w:highlight w:val="none"/>
                <w:u w:val="none" w:color="auto"/>
              </w:rPr>
              <w:t>通过加强管理，切实落实好上述扬尘治理措施，可最大程度减缓施工扬尘对周边环境的影响。本项目施工期较短，施工期结束后，施工场地扬尘也将随着施工期的结束</w:t>
            </w:r>
            <w:r>
              <w:rPr>
                <w:rFonts w:hint="default" w:ascii="Times New Roman" w:hAnsi="Times New Roman" w:eastAsia="宋体" w:cs="Times New Roman"/>
                <w:sz w:val="24"/>
                <w:szCs w:val="24"/>
                <w:highlight w:val="none"/>
              </w:rPr>
              <w:t>而消失。</w:t>
            </w:r>
          </w:p>
          <w:p w14:paraId="2B3C6DE0">
            <w:pPr>
              <w:spacing w:beforeLines="0" w:afterLines="0" w:line="360" w:lineRule="auto"/>
              <w:ind w:firstLine="482" w:firstLineChars="200"/>
              <w:rPr>
                <w:rFonts w:hint="default" w:ascii="Times New Roman" w:hAnsi="Times New Roman" w:cs="Times New Roman"/>
                <w:sz w:val="24"/>
                <w:szCs w:val="24"/>
                <w:highlight w:val="none"/>
              </w:rPr>
            </w:pPr>
            <w:r>
              <w:rPr>
                <w:rFonts w:hint="default" w:ascii="Times New Roman" w:hAnsi="Times New Roman" w:cs="Times New Roman"/>
                <w:b/>
                <w:sz w:val="24"/>
                <w:szCs w:val="24"/>
                <w:highlight w:val="none"/>
              </w:rPr>
              <w:t>1.2</w:t>
            </w:r>
            <w:r>
              <w:rPr>
                <w:rFonts w:hint="default" w:ascii="Times New Roman" w:hAnsi="Times New Roman" w:eastAsia="宋体" w:cs="Times New Roman"/>
                <w:b/>
                <w:sz w:val="24"/>
                <w:szCs w:val="24"/>
                <w:highlight w:val="none"/>
              </w:rPr>
              <w:t>施工机械和汽车尾气控制措施</w:t>
            </w:r>
          </w:p>
          <w:p w14:paraId="5EDF8DF5">
            <w:pPr>
              <w:spacing w:beforeLines="0" w:afterLines="0"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施工单位应采用尾气排放符合国家环保排放标准的车辆和施工机械，确保其在运行时尾气达标排放，减少对环境空气的污染，禁止尾气排放不达标的车辆和施工机械运行作业。</w:t>
            </w:r>
          </w:p>
          <w:p w14:paraId="1A3B0B5D">
            <w:pPr>
              <w:pStyle w:val="12"/>
              <w:spacing w:line="360" w:lineRule="auto"/>
              <w:ind w:firstLine="482" w:firstLineChars="200"/>
              <w:rPr>
                <w:rFonts w:hint="eastAsia" w:cs="Times New Roman"/>
                <w:b/>
                <w:bCs/>
                <w:sz w:val="24"/>
                <w:szCs w:val="24"/>
                <w:highlight w:val="none"/>
                <w:lang w:val="en-US" w:eastAsia="zh-CN"/>
              </w:rPr>
            </w:pPr>
            <w:r>
              <w:rPr>
                <w:rFonts w:hint="eastAsia" w:cs="Times New Roman"/>
                <w:b/>
                <w:bCs/>
                <w:sz w:val="24"/>
                <w:szCs w:val="24"/>
                <w:highlight w:val="none"/>
                <w:lang w:val="en-US" w:eastAsia="zh-CN"/>
              </w:rPr>
              <w:t>1.3淤泥恶臭控制措施</w:t>
            </w:r>
          </w:p>
          <w:p w14:paraId="0B3E8AC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s="Times New Roman"/>
                <w:sz w:val="24"/>
                <w:szCs w:val="24"/>
                <w:highlight w:val="none"/>
                <w:lang w:val="en-US" w:eastAsia="zh-CN"/>
              </w:rPr>
            </w:pPr>
            <w:r>
              <w:rPr>
                <w:rFonts w:hint="eastAsia"/>
                <w:sz w:val="24"/>
                <w:szCs w:val="24"/>
                <w:highlight w:val="none"/>
                <w:lang w:val="en-US" w:eastAsia="zh-CN"/>
              </w:rPr>
              <w:t>由于本项目建设需要对河道疏挖清淤，因此需要考虑到底部淤泥恶臭在挖掘过程、运输过程和堆放过程中对周边环境的影响。淤泥开挖完尽快处理，减少清淤对周边环境影响。河道清淤恶臭对周边环境影响只是暂时的，随着施工期的结束影响也随之消失。</w:t>
            </w:r>
          </w:p>
          <w:p w14:paraId="368D611F">
            <w:pPr>
              <w:pStyle w:val="12"/>
              <w:spacing w:line="360" w:lineRule="auto"/>
              <w:ind w:firstLine="482" w:firstLineChars="200"/>
              <w:rPr>
                <w:rFonts w:hint="eastAsia" w:cs="Times New Roman"/>
                <w:b/>
                <w:bCs/>
                <w:i w:val="0"/>
                <w:iCs w:val="0"/>
                <w:sz w:val="24"/>
                <w:szCs w:val="24"/>
                <w:highlight w:val="none"/>
                <w:lang w:val="en-US" w:eastAsia="zh-CN"/>
              </w:rPr>
            </w:pPr>
            <w:r>
              <w:rPr>
                <w:rFonts w:hint="eastAsia" w:cs="Times New Roman"/>
                <w:b/>
                <w:bCs/>
                <w:i w:val="0"/>
                <w:iCs w:val="0"/>
                <w:sz w:val="24"/>
                <w:szCs w:val="24"/>
                <w:highlight w:val="none"/>
                <w:lang w:val="en-US" w:eastAsia="zh-CN"/>
              </w:rPr>
              <w:t>1.4措施分析</w:t>
            </w:r>
          </w:p>
          <w:p w14:paraId="0AB9460B">
            <w:pPr>
              <w:adjustRightInd w:val="0"/>
              <w:snapToGrid w:val="0"/>
              <w:spacing w:line="360" w:lineRule="auto"/>
              <w:ind w:firstLine="520" w:firstLineChars="200"/>
              <w:rPr>
                <w:rFonts w:hint="default" w:ascii="Times New Roman" w:hAnsi="Times New Roman" w:cs="Times New Roman"/>
                <w:b w:val="0"/>
                <w:bCs/>
                <w:color w:val="auto"/>
                <w:spacing w:val="10"/>
                <w:sz w:val="24"/>
                <w:szCs w:val="24"/>
                <w:highlight w:val="none"/>
              </w:rPr>
            </w:pPr>
            <w:r>
              <w:rPr>
                <w:rFonts w:hint="default" w:ascii="Times New Roman" w:hAnsi="Times New Roman" w:cs="Times New Roman"/>
                <w:b w:val="0"/>
                <w:bCs/>
                <w:color w:val="auto"/>
                <w:spacing w:val="10"/>
                <w:sz w:val="24"/>
                <w:szCs w:val="24"/>
                <w:highlight w:val="none"/>
                <w:lang w:eastAsia="zh-CN"/>
              </w:rPr>
              <w:t>本项目针对施工扬尘采取的</w:t>
            </w:r>
            <w:r>
              <w:rPr>
                <w:rFonts w:hint="default" w:ascii="Times New Roman" w:hAnsi="Times New Roman" w:cs="Times New Roman"/>
                <w:b w:val="0"/>
                <w:bCs/>
                <w:color w:val="auto"/>
                <w:spacing w:val="10"/>
                <w:sz w:val="24"/>
                <w:szCs w:val="24"/>
                <w:highlight w:val="none"/>
              </w:rPr>
              <w:t>洒水降尘、设置围栏、遮盖等环保措施是施工场地扬尘防治常用措施</w:t>
            </w:r>
            <w:r>
              <w:rPr>
                <w:rFonts w:hint="default" w:ascii="Times New Roman" w:hAnsi="Times New Roman" w:cs="Times New Roman"/>
                <w:b w:val="0"/>
                <w:bCs/>
                <w:color w:val="auto"/>
                <w:spacing w:val="10"/>
                <w:sz w:val="24"/>
                <w:szCs w:val="24"/>
                <w:highlight w:val="none"/>
                <w:lang w:eastAsia="zh-CN"/>
              </w:rPr>
              <w:t>，是可行技术，同时</w:t>
            </w:r>
            <w:r>
              <w:rPr>
                <w:rFonts w:hint="default" w:ascii="Times New Roman" w:hAnsi="Times New Roman" w:cs="Times New Roman"/>
                <w:b w:val="0"/>
                <w:bCs/>
                <w:color w:val="auto"/>
                <w:spacing w:val="10"/>
                <w:sz w:val="24"/>
                <w:szCs w:val="24"/>
                <w:highlight w:val="none"/>
              </w:rPr>
              <w:t>也</w:t>
            </w:r>
            <w:r>
              <w:rPr>
                <w:rFonts w:hint="default" w:ascii="Times New Roman" w:hAnsi="Times New Roman" w:cs="Times New Roman"/>
                <w:b w:val="0"/>
                <w:bCs/>
                <w:color w:val="auto"/>
                <w:spacing w:val="10"/>
                <w:sz w:val="24"/>
                <w:szCs w:val="24"/>
                <w:highlight w:val="none"/>
                <w:lang w:eastAsia="zh-CN"/>
              </w:rPr>
              <w:t>是</w:t>
            </w:r>
            <w:r>
              <w:rPr>
                <w:rFonts w:hint="default" w:ascii="Times New Roman" w:hAnsi="Times New Roman" w:cs="Times New Roman"/>
                <w:b w:val="0"/>
                <w:bCs/>
                <w:color w:val="auto"/>
                <w:spacing w:val="10"/>
                <w:sz w:val="24"/>
                <w:szCs w:val="24"/>
                <w:highlight w:val="none"/>
              </w:rPr>
              <w:t>比较</w:t>
            </w:r>
            <w:r>
              <w:rPr>
                <w:rFonts w:hint="default" w:ascii="Times New Roman" w:hAnsi="Times New Roman" w:cs="Times New Roman"/>
                <w:b w:val="0"/>
                <w:bCs/>
                <w:color w:val="auto"/>
                <w:spacing w:val="10"/>
                <w:sz w:val="24"/>
                <w:szCs w:val="24"/>
                <w:highlight w:val="none"/>
                <w:lang w:eastAsia="zh-CN"/>
              </w:rPr>
              <w:t>经济</w:t>
            </w:r>
            <w:r>
              <w:rPr>
                <w:rFonts w:hint="default" w:ascii="Times New Roman" w:hAnsi="Times New Roman" w:cs="Times New Roman"/>
                <w:b w:val="0"/>
                <w:bCs/>
                <w:color w:val="auto"/>
                <w:spacing w:val="10"/>
                <w:sz w:val="24"/>
                <w:szCs w:val="24"/>
                <w:highlight w:val="none"/>
              </w:rPr>
              <w:t>有效的措施，</w:t>
            </w:r>
            <w:r>
              <w:rPr>
                <w:rFonts w:hint="default" w:ascii="Times New Roman" w:hAnsi="Times New Roman" w:cs="Times New Roman"/>
                <w:b w:val="0"/>
                <w:bCs/>
                <w:color w:val="auto"/>
                <w:spacing w:val="10"/>
                <w:sz w:val="24"/>
                <w:szCs w:val="24"/>
                <w:highlight w:val="none"/>
                <w:lang w:eastAsia="zh-CN"/>
              </w:rPr>
              <w:t>可操作性和降尘稳定效果较好，</w:t>
            </w:r>
            <w:r>
              <w:rPr>
                <w:rFonts w:hint="default" w:ascii="Times New Roman" w:hAnsi="Times New Roman" w:cs="Times New Roman"/>
                <w:b w:val="0"/>
                <w:bCs/>
                <w:color w:val="auto"/>
                <w:spacing w:val="10"/>
                <w:sz w:val="24"/>
                <w:szCs w:val="24"/>
                <w:highlight w:val="none"/>
              </w:rPr>
              <w:t>可取得较好的降尘效果。施工单位采用尾气排放符合国家规定标准的车辆和施工机械，确保其在运行时尾气达标排放，减少对环境空气的污染，禁止尾气排放不达标的车辆和施工机械运行作业</w:t>
            </w:r>
            <w:r>
              <w:rPr>
                <w:rFonts w:hint="default" w:ascii="Times New Roman" w:hAnsi="Times New Roman" w:cs="Times New Roman"/>
                <w:b w:val="0"/>
                <w:bCs/>
                <w:color w:val="auto"/>
                <w:spacing w:val="10"/>
                <w:sz w:val="24"/>
                <w:szCs w:val="24"/>
                <w:highlight w:val="none"/>
                <w:lang w:eastAsia="zh-CN"/>
              </w:rPr>
              <w:t>，该措施是</w:t>
            </w:r>
            <w:r>
              <w:rPr>
                <w:rFonts w:hint="default" w:ascii="Times New Roman" w:hAnsi="Times New Roman" w:cs="Times New Roman"/>
                <w:b w:val="0"/>
                <w:bCs/>
                <w:color w:val="auto"/>
                <w:spacing w:val="10"/>
                <w:sz w:val="24"/>
                <w:szCs w:val="24"/>
                <w:highlight w:val="none"/>
              </w:rPr>
              <w:t>施工机械和汽车尾气控制常用措施</w:t>
            </w:r>
            <w:r>
              <w:rPr>
                <w:rFonts w:hint="default" w:ascii="Times New Roman" w:hAnsi="Times New Roman" w:cs="Times New Roman"/>
                <w:b w:val="0"/>
                <w:bCs/>
                <w:color w:val="auto"/>
                <w:spacing w:val="10"/>
                <w:sz w:val="24"/>
                <w:szCs w:val="24"/>
                <w:highlight w:val="none"/>
                <w:lang w:eastAsia="zh-CN"/>
              </w:rPr>
              <w:t>，是可行技术，同时</w:t>
            </w:r>
            <w:r>
              <w:rPr>
                <w:rFonts w:hint="default" w:ascii="Times New Roman" w:hAnsi="Times New Roman" w:cs="Times New Roman"/>
                <w:b w:val="0"/>
                <w:bCs/>
                <w:color w:val="auto"/>
                <w:spacing w:val="10"/>
                <w:sz w:val="24"/>
                <w:szCs w:val="24"/>
                <w:highlight w:val="none"/>
              </w:rPr>
              <w:t>也</w:t>
            </w:r>
            <w:r>
              <w:rPr>
                <w:rFonts w:hint="default" w:ascii="Times New Roman" w:hAnsi="Times New Roman" w:cs="Times New Roman"/>
                <w:b w:val="0"/>
                <w:bCs/>
                <w:color w:val="auto"/>
                <w:spacing w:val="10"/>
                <w:sz w:val="24"/>
                <w:szCs w:val="24"/>
                <w:highlight w:val="none"/>
                <w:lang w:eastAsia="zh-CN"/>
              </w:rPr>
              <w:t>是</w:t>
            </w:r>
            <w:r>
              <w:rPr>
                <w:rFonts w:hint="default" w:ascii="Times New Roman" w:hAnsi="Times New Roman" w:cs="Times New Roman"/>
                <w:b w:val="0"/>
                <w:bCs/>
                <w:color w:val="auto"/>
                <w:spacing w:val="10"/>
                <w:sz w:val="24"/>
                <w:szCs w:val="24"/>
                <w:highlight w:val="none"/>
              </w:rPr>
              <w:t>比较</w:t>
            </w:r>
            <w:r>
              <w:rPr>
                <w:rFonts w:hint="default" w:ascii="Times New Roman" w:hAnsi="Times New Roman" w:cs="Times New Roman"/>
                <w:b w:val="0"/>
                <w:bCs/>
                <w:color w:val="auto"/>
                <w:spacing w:val="10"/>
                <w:sz w:val="24"/>
                <w:szCs w:val="24"/>
                <w:highlight w:val="none"/>
                <w:lang w:eastAsia="zh-CN"/>
              </w:rPr>
              <w:t>经济</w:t>
            </w:r>
            <w:r>
              <w:rPr>
                <w:rFonts w:hint="default" w:ascii="Times New Roman" w:hAnsi="Times New Roman" w:cs="Times New Roman"/>
                <w:b w:val="0"/>
                <w:bCs/>
                <w:color w:val="auto"/>
                <w:spacing w:val="10"/>
                <w:sz w:val="24"/>
                <w:szCs w:val="24"/>
                <w:highlight w:val="none"/>
              </w:rPr>
              <w:t>有效的措施，</w:t>
            </w:r>
            <w:r>
              <w:rPr>
                <w:rFonts w:hint="default" w:ascii="Times New Roman" w:hAnsi="Times New Roman" w:cs="Times New Roman"/>
                <w:b w:val="0"/>
                <w:bCs/>
                <w:color w:val="auto"/>
                <w:spacing w:val="10"/>
                <w:sz w:val="24"/>
                <w:szCs w:val="24"/>
                <w:highlight w:val="none"/>
                <w:lang w:eastAsia="zh-CN"/>
              </w:rPr>
              <w:t>可操作性和实施较简单，</w:t>
            </w:r>
            <w:r>
              <w:rPr>
                <w:rFonts w:hint="default" w:ascii="Times New Roman" w:hAnsi="Times New Roman" w:cs="Times New Roman"/>
                <w:b w:val="0"/>
                <w:bCs/>
                <w:color w:val="auto"/>
                <w:spacing w:val="10"/>
                <w:sz w:val="24"/>
                <w:szCs w:val="24"/>
                <w:highlight w:val="none"/>
              </w:rPr>
              <w:t>可取得较好的尾气控制效果。</w:t>
            </w:r>
          </w:p>
          <w:p w14:paraId="35128E68">
            <w:pPr>
              <w:adjustRightInd w:val="0"/>
              <w:snapToGrid w:val="0"/>
              <w:spacing w:line="360" w:lineRule="auto"/>
              <w:ind w:firstLine="520" w:firstLineChars="200"/>
              <w:rPr>
                <w:rFonts w:hint="default"/>
                <w:highlight w:val="none"/>
              </w:rPr>
            </w:pPr>
            <w:r>
              <w:rPr>
                <w:rFonts w:hint="default" w:ascii="Times New Roman" w:hAnsi="Times New Roman" w:cs="Times New Roman"/>
                <w:b w:val="0"/>
                <w:bCs/>
                <w:color w:val="auto"/>
                <w:spacing w:val="10"/>
                <w:sz w:val="24"/>
                <w:szCs w:val="24"/>
                <w:highlight w:val="none"/>
              </w:rPr>
              <w:t>综上所述，本项目通过合理施工，加强管理，采取相应的环保设施后本项目施工期</w:t>
            </w:r>
            <w:r>
              <w:rPr>
                <w:rFonts w:hint="default" w:ascii="Times New Roman" w:hAnsi="Times New Roman" w:cs="Times New Roman"/>
                <w:b w:val="0"/>
                <w:bCs/>
                <w:color w:val="auto"/>
                <w:spacing w:val="10"/>
                <w:sz w:val="24"/>
                <w:szCs w:val="24"/>
                <w:highlight w:val="none"/>
                <w:lang w:eastAsia="zh-CN"/>
              </w:rPr>
              <w:t>废气</w:t>
            </w:r>
            <w:r>
              <w:rPr>
                <w:rFonts w:hint="default" w:ascii="Times New Roman" w:hAnsi="Times New Roman" w:cs="Times New Roman"/>
                <w:b w:val="0"/>
                <w:bCs/>
                <w:color w:val="auto"/>
                <w:spacing w:val="10"/>
                <w:sz w:val="24"/>
                <w:szCs w:val="24"/>
                <w:highlight w:val="none"/>
              </w:rPr>
              <w:t>对环境影响较小</w:t>
            </w:r>
            <w:r>
              <w:rPr>
                <w:rFonts w:hint="default" w:ascii="Times New Roman" w:hAnsi="Times New Roman" w:cs="Times New Roman"/>
                <w:b w:val="0"/>
                <w:bCs/>
                <w:color w:val="auto"/>
                <w:spacing w:val="10"/>
                <w:sz w:val="24"/>
                <w:szCs w:val="24"/>
                <w:highlight w:val="none"/>
                <w:lang w:eastAsia="zh-CN"/>
              </w:rPr>
              <w:t>，</w:t>
            </w:r>
            <w:r>
              <w:rPr>
                <w:rFonts w:hint="default" w:ascii="Times New Roman" w:hAnsi="Times New Roman" w:cs="Times New Roman"/>
                <w:b w:val="0"/>
                <w:bCs/>
                <w:color w:val="auto"/>
                <w:spacing w:val="10"/>
                <w:sz w:val="24"/>
                <w:szCs w:val="24"/>
                <w:highlight w:val="none"/>
              </w:rPr>
              <w:t>项目施工期废气采取的措施是可行的。</w:t>
            </w:r>
          </w:p>
          <w:p w14:paraId="3BCA42B1">
            <w:pPr>
              <w:spacing w:beforeLines="0" w:afterLines="0" w:line="360" w:lineRule="auto"/>
              <w:rPr>
                <w:rFonts w:hint="default" w:ascii="Times New Roman" w:hAnsi="Times New Roman" w:cs="Times New Roman"/>
                <w:sz w:val="24"/>
                <w:szCs w:val="24"/>
                <w:highlight w:val="none"/>
              </w:rPr>
            </w:pPr>
            <w:r>
              <w:rPr>
                <w:rFonts w:hint="default" w:ascii="Times New Roman" w:hAnsi="Times New Roman" w:cs="Times New Roman"/>
                <w:b/>
                <w:sz w:val="24"/>
                <w:szCs w:val="24"/>
                <w:highlight w:val="none"/>
              </w:rPr>
              <w:t>2.</w:t>
            </w:r>
            <w:r>
              <w:rPr>
                <w:rFonts w:hint="default" w:ascii="Times New Roman" w:hAnsi="Times New Roman" w:eastAsia="宋体" w:cs="Times New Roman"/>
                <w:b/>
                <w:sz w:val="24"/>
                <w:szCs w:val="24"/>
                <w:highlight w:val="none"/>
              </w:rPr>
              <w:t>施工期水环境保护措施</w:t>
            </w:r>
          </w:p>
          <w:p w14:paraId="33153EF9">
            <w:pPr>
              <w:spacing w:beforeLines="0" w:afterLines="0"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本项目施工期施工机械不在施工场地维修，到就近的修理厂进行集中维修。机械车辆冲洗仅为车轮、车身冲洗，废水主要含泥沙。施工期废水经沉淀池收集处理，废水回用于车辆冲洗使用和弃土降尘，不外排；项目不产生废机油和废油桶。</w:t>
            </w:r>
          </w:p>
          <w:p w14:paraId="4D5B9B0B">
            <w:pPr>
              <w:adjustRightInd w:val="0"/>
              <w:snapToGrid w:val="0"/>
              <w:spacing w:line="360" w:lineRule="auto"/>
              <w:ind w:firstLine="520" w:firstLineChars="200"/>
              <w:rPr>
                <w:rFonts w:hint="default" w:ascii="Times New Roman" w:hAnsi="Times New Roman" w:eastAsia="宋体" w:cs="Times New Roman"/>
                <w:b w:val="0"/>
                <w:bCs/>
                <w:color w:val="auto"/>
                <w:spacing w:val="10"/>
                <w:sz w:val="24"/>
                <w:szCs w:val="24"/>
                <w:highlight w:val="none"/>
                <w:lang w:eastAsia="zh-CN"/>
              </w:rPr>
            </w:pPr>
            <w:r>
              <w:rPr>
                <w:rFonts w:hint="default" w:ascii="Times New Roman" w:hAnsi="Times New Roman" w:cs="Times New Roman"/>
                <w:b w:val="0"/>
                <w:bCs/>
                <w:color w:val="auto"/>
                <w:spacing w:val="10"/>
                <w:sz w:val="24"/>
                <w:szCs w:val="24"/>
                <w:highlight w:val="none"/>
                <w:lang w:eastAsia="zh-CN"/>
              </w:rPr>
              <w:t>本项目针对</w:t>
            </w:r>
            <w:r>
              <w:rPr>
                <w:rFonts w:hint="default" w:ascii="Times New Roman" w:hAnsi="Times New Roman" w:cs="Times New Roman"/>
                <w:b w:val="0"/>
                <w:bCs/>
                <w:color w:val="auto"/>
                <w:sz w:val="24"/>
                <w:szCs w:val="24"/>
                <w:highlight w:val="none"/>
                <w:lang w:val="en-US" w:eastAsia="zh-CN"/>
              </w:rPr>
              <w:t>施工期机械车辆冲洗废水采取沉淀池收集处理措施</w:t>
            </w:r>
            <w:r>
              <w:rPr>
                <w:rFonts w:hint="default" w:ascii="Times New Roman" w:hAnsi="Times New Roman" w:cs="Times New Roman"/>
                <w:b w:val="0"/>
                <w:bCs/>
                <w:color w:val="auto"/>
                <w:spacing w:val="10"/>
                <w:sz w:val="24"/>
                <w:szCs w:val="24"/>
                <w:highlight w:val="none"/>
              </w:rPr>
              <w:t>是</w:t>
            </w:r>
            <w:r>
              <w:rPr>
                <w:rFonts w:hint="default" w:ascii="Times New Roman" w:hAnsi="Times New Roman" w:cs="Times New Roman"/>
                <w:b w:val="0"/>
                <w:bCs/>
                <w:color w:val="auto"/>
                <w:sz w:val="24"/>
                <w:szCs w:val="24"/>
                <w:highlight w:val="none"/>
                <w:lang w:val="en-US" w:eastAsia="zh-CN"/>
              </w:rPr>
              <w:t>施工期机械车辆冲洗废水</w:t>
            </w:r>
            <w:r>
              <w:rPr>
                <w:rFonts w:hint="default" w:ascii="Times New Roman" w:hAnsi="Times New Roman" w:cs="Times New Roman"/>
                <w:b w:val="0"/>
                <w:bCs/>
                <w:color w:val="auto"/>
                <w:spacing w:val="10"/>
                <w:sz w:val="24"/>
                <w:szCs w:val="24"/>
                <w:highlight w:val="none"/>
              </w:rPr>
              <w:t>防治常用措施</w:t>
            </w:r>
            <w:r>
              <w:rPr>
                <w:rFonts w:hint="default" w:ascii="Times New Roman" w:hAnsi="Times New Roman" w:cs="Times New Roman"/>
                <w:b w:val="0"/>
                <w:bCs/>
                <w:color w:val="auto"/>
                <w:spacing w:val="10"/>
                <w:sz w:val="24"/>
                <w:szCs w:val="24"/>
                <w:highlight w:val="none"/>
                <w:lang w:eastAsia="zh-CN"/>
              </w:rPr>
              <w:t>，是可行技术，同时</w:t>
            </w:r>
            <w:r>
              <w:rPr>
                <w:rFonts w:hint="default" w:ascii="Times New Roman" w:hAnsi="Times New Roman" w:cs="Times New Roman"/>
                <w:b w:val="0"/>
                <w:bCs/>
                <w:color w:val="auto"/>
                <w:spacing w:val="10"/>
                <w:sz w:val="24"/>
                <w:szCs w:val="24"/>
                <w:highlight w:val="none"/>
              </w:rPr>
              <w:t>也</w:t>
            </w:r>
            <w:r>
              <w:rPr>
                <w:rFonts w:hint="default" w:ascii="Times New Roman" w:hAnsi="Times New Roman" w:cs="Times New Roman"/>
                <w:b w:val="0"/>
                <w:bCs/>
                <w:color w:val="auto"/>
                <w:spacing w:val="10"/>
                <w:sz w:val="24"/>
                <w:szCs w:val="24"/>
                <w:highlight w:val="none"/>
                <w:lang w:eastAsia="zh-CN"/>
              </w:rPr>
              <w:t>是</w:t>
            </w:r>
            <w:r>
              <w:rPr>
                <w:rFonts w:hint="default" w:ascii="Times New Roman" w:hAnsi="Times New Roman" w:cs="Times New Roman"/>
                <w:b w:val="0"/>
                <w:bCs/>
                <w:color w:val="auto"/>
                <w:spacing w:val="10"/>
                <w:sz w:val="24"/>
                <w:szCs w:val="24"/>
                <w:highlight w:val="none"/>
              </w:rPr>
              <w:t>比较</w:t>
            </w:r>
            <w:r>
              <w:rPr>
                <w:rFonts w:hint="default" w:ascii="Times New Roman" w:hAnsi="Times New Roman" w:cs="Times New Roman"/>
                <w:b w:val="0"/>
                <w:bCs/>
                <w:color w:val="auto"/>
                <w:spacing w:val="10"/>
                <w:sz w:val="24"/>
                <w:szCs w:val="24"/>
                <w:highlight w:val="none"/>
                <w:lang w:eastAsia="zh-CN"/>
              </w:rPr>
              <w:t>经济</w:t>
            </w:r>
            <w:r>
              <w:rPr>
                <w:rFonts w:hint="default" w:ascii="Times New Roman" w:hAnsi="Times New Roman" w:cs="Times New Roman"/>
                <w:b w:val="0"/>
                <w:bCs/>
                <w:color w:val="auto"/>
                <w:spacing w:val="10"/>
                <w:sz w:val="24"/>
                <w:szCs w:val="24"/>
                <w:highlight w:val="none"/>
              </w:rPr>
              <w:t>有效的措施，</w:t>
            </w:r>
            <w:r>
              <w:rPr>
                <w:rFonts w:hint="default" w:ascii="Times New Roman" w:hAnsi="Times New Roman" w:cs="Times New Roman"/>
                <w:b w:val="0"/>
                <w:bCs/>
                <w:color w:val="auto"/>
                <w:spacing w:val="10"/>
                <w:sz w:val="24"/>
                <w:szCs w:val="24"/>
                <w:highlight w:val="none"/>
                <w:lang w:eastAsia="zh-CN"/>
              </w:rPr>
              <w:t>可操作性和实施较简单，</w:t>
            </w:r>
            <w:r>
              <w:rPr>
                <w:rFonts w:hint="default" w:ascii="Times New Roman" w:hAnsi="Times New Roman" w:cs="Times New Roman"/>
                <w:b w:val="0"/>
                <w:bCs/>
                <w:color w:val="auto"/>
                <w:spacing w:val="10"/>
                <w:sz w:val="24"/>
                <w:szCs w:val="24"/>
                <w:highlight w:val="none"/>
              </w:rPr>
              <w:t>可取得较好的控制效果。</w:t>
            </w:r>
          </w:p>
          <w:p w14:paraId="7B6863BC">
            <w:pPr>
              <w:adjustRightInd w:val="0"/>
              <w:snapToGrid w:val="0"/>
              <w:spacing w:line="360" w:lineRule="auto"/>
              <w:ind w:firstLine="520" w:firstLineChars="200"/>
              <w:rPr>
                <w:rFonts w:hint="default"/>
                <w:highlight w:val="none"/>
              </w:rPr>
            </w:pPr>
            <w:r>
              <w:rPr>
                <w:rFonts w:hint="default" w:ascii="Times New Roman" w:hAnsi="Times New Roman" w:cs="Times New Roman"/>
                <w:b w:val="0"/>
                <w:bCs/>
                <w:color w:val="auto"/>
                <w:spacing w:val="10"/>
                <w:sz w:val="24"/>
                <w:szCs w:val="24"/>
                <w:highlight w:val="none"/>
              </w:rPr>
              <w:t>综上所述，本项目通过合理施工，加强管理，采取相应的环保设施后本项目施工期</w:t>
            </w:r>
            <w:r>
              <w:rPr>
                <w:rFonts w:hint="default" w:ascii="Times New Roman" w:hAnsi="Times New Roman" w:cs="Times New Roman"/>
                <w:b w:val="0"/>
                <w:bCs/>
                <w:color w:val="auto"/>
                <w:spacing w:val="10"/>
                <w:sz w:val="24"/>
                <w:szCs w:val="24"/>
                <w:highlight w:val="none"/>
                <w:lang w:eastAsia="zh-CN"/>
              </w:rPr>
              <w:t>废水</w:t>
            </w:r>
            <w:r>
              <w:rPr>
                <w:rFonts w:hint="default" w:ascii="Times New Roman" w:hAnsi="Times New Roman" w:cs="Times New Roman"/>
                <w:b w:val="0"/>
                <w:bCs/>
                <w:color w:val="auto"/>
                <w:spacing w:val="10"/>
                <w:sz w:val="24"/>
                <w:szCs w:val="24"/>
                <w:highlight w:val="none"/>
              </w:rPr>
              <w:t>对环境影响较小</w:t>
            </w:r>
            <w:r>
              <w:rPr>
                <w:rFonts w:hint="default" w:ascii="Times New Roman" w:hAnsi="Times New Roman" w:cs="Times New Roman"/>
                <w:b w:val="0"/>
                <w:bCs/>
                <w:color w:val="auto"/>
                <w:spacing w:val="10"/>
                <w:sz w:val="24"/>
                <w:szCs w:val="24"/>
                <w:highlight w:val="none"/>
                <w:lang w:eastAsia="zh-CN"/>
              </w:rPr>
              <w:t>，</w:t>
            </w:r>
            <w:r>
              <w:rPr>
                <w:rFonts w:hint="default" w:ascii="Times New Roman" w:hAnsi="Times New Roman" w:cs="Times New Roman"/>
                <w:b w:val="0"/>
                <w:bCs/>
                <w:color w:val="auto"/>
                <w:spacing w:val="10"/>
                <w:sz w:val="24"/>
                <w:szCs w:val="24"/>
                <w:highlight w:val="none"/>
              </w:rPr>
              <w:t>项目施工期</w:t>
            </w:r>
            <w:r>
              <w:rPr>
                <w:rFonts w:hint="default" w:ascii="Times New Roman" w:hAnsi="Times New Roman" w:cs="Times New Roman"/>
                <w:b w:val="0"/>
                <w:bCs/>
                <w:color w:val="auto"/>
                <w:spacing w:val="10"/>
                <w:sz w:val="24"/>
                <w:szCs w:val="24"/>
                <w:highlight w:val="none"/>
                <w:lang w:eastAsia="zh-CN"/>
              </w:rPr>
              <w:t>废水</w:t>
            </w:r>
            <w:r>
              <w:rPr>
                <w:rFonts w:hint="default" w:ascii="Times New Roman" w:hAnsi="Times New Roman" w:cs="Times New Roman"/>
                <w:b w:val="0"/>
                <w:bCs/>
                <w:color w:val="auto"/>
                <w:spacing w:val="10"/>
                <w:sz w:val="24"/>
                <w:szCs w:val="24"/>
                <w:highlight w:val="none"/>
              </w:rPr>
              <w:t>采取的措施是可行的。</w:t>
            </w:r>
          </w:p>
          <w:p w14:paraId="6C2A2F17">
            <w:pPr>
              <w:spacing w:beforeLines="0" w:afterLines="0" w:line="360" w:lineRule="auto"/>
              <w:rPr>
                <w:rFonts w:hint="default" w:ascii="Times New Roman" w:hAnsi="Times New Roman" w:cs="Times New Roman"/>
                <w:b/>
                <w:sz w:val="24"/>
                <w:szCs w:val="24"/>
                <w:highlight w:val="none"/>
              </w:rPr>
            </w:pPr>
            <w:r>
              <w:rPr>
                <w:rFonts w:hint="default" w:ascii="Times New Roman" w:hAnsi="Times New Roman" w:cs="Times New Roman"/>
                <w:b/>
                <w:sz w:val="24"/>
                <w:szCs w:val="24"/>
                <w:highlight w:val="none"/>
              </w:rPr>
              <w:t>3.</w:t>
            </w:r>
            <w:r>
              <w:rPr>
                <w:rFonts w:hint="default" w:ascii="Times New Roman" w:hAnsi="Times New Roman" w:eastAsia="宋体" w:cs="Times New Roman"/>
                <w:b/>
                <w:sz w:val="24"/>
                <w:szCs w:val="24"/>
                <w:highlight w:val="none"/>
              </w:rPr>
              <w:t>施工期声环境保护措施</w:t>
            </w:r>
          </w:p>
          <w:p w14:paraId="1818F366">
            <w:pPr>
              <w:spacing w:beforeLines="0" w:afterLines="0" w:line="360" w:lineRule="auto"/>
              <w:ind w:firstLine="480" w:firstLineChars="200"/>
              <w:rPr>
                <w:rFonts w:hint="default" w:ascii="Times New Roman" w:hAnsi="Times New Roman" w:eastAsia="Times New Roman" w:cs="Times New Roman"/>
                <w:color w:val="auto"/>
                <w:sz w:val="24"/>
                <w:szCs w:val="24"/>
                <w:highlight w:val="none"/>
                <w:u w:val="none" w:color="auto"/>
              </w:rPr>
            </w:pPr>
            <w:r>
              <w:rPr>
                <w:rFonts w:hint="default" w:ascii="Times New Roman" w:hAnsi="Times New Roman" w:eastAsia="宋体" w:cs="Times New Roman"/>
                <w:sz w:val="24"/>
                <w:szCs w:val="24"/>
                <w:highlight w:val="none"/>
              </w:rPr>
              <w:t>项目施工期采取以下</w:t>
            </w:r>
            <w:r>
              <w:rPr>
                <w:rFonts w:hint="default" w:ascii="Times New Roman" w:hAnsi="Times New Roman" w:eastAsia="宋体" w:cs="Times New Roman"/>
                <w:color w:val="auto"/>
                <w:sz w:val="24"/>
                <w:szCs w:val="24"/>
                <w:highlight w:val="none"/>
                <w:u w:val="none" w:color="auto"/>
              </w:rPr>
              <w:t>噪声防治措施，最大限度地减少噪声对环境的影响：</w:t>
            </w:r>
          </w:p>
          <w:p w14:paraId="187D9BA5">
            <w:pPr>
              <w:pStyle w:val="43"/>
              <w:keepNext w:val="0"/>
              <w:keepLines w:val="0"/>
              <w:pageBreakBefore w:val="0"/>
              <w:widowControl w:val="0"/>
              <w:kinsoku/>
              <w:wordWrap w:val="0"/>
              <w:overflowPunct/>
              <w:topLinePunct w:val="0"/>
              <w:autoSpaceDE/>
              <w:autoSpaceDN/>
              <w:bidi w:val="0"/>
              <w:adjustRightInd w:val="0"/>
              <w:snapToGrid w:val="0"/>
              <w:spacing w:beforeLines="0" w:afterLines="0"/>
              <w:textAlignment w:val="auto"/>
              <w:rPr>
                <w:rFonts w:hint="eastAsia" w:ascii="Times New Roman" w:hAnsi="Times New Roman" w:eastAsia="宋体" w:cs="Times New Roman"/>
                <w:color w:val="auto"/>
                <w:sz w:val="24"/>
                <w:szCs w:val="24"/>
                <w:highlight w:val="none"/>
                <w:u w:val="none" w:color="auto"/>
                <w:lang w:eastAsia="zh-CN"/>
              </w:rPr>
            </w:pPr>
            <w:r>
              <w:rPr>
                <w:rFonts w:hint="default" w:ascii="Times New Roman" w:hAnsi="Times New Roman" w:eastAsia="宋体" w:cs="Times New Roman"/>
                <w:color w:val="auto"/>
                <w:sz w:val="24"/>
                <w:szCs w:val="24"/>
                <w:highlight w:val="none"/>
                <w:u w:val="none" w:color="auto"/>
              </w:rPr>
              <w:t>（1）合理安排施工时段。中午（12:00-14:00）避免多台高噪声设备同时施工，若临近敏感目标，禁止施工，并加强管理；夜间（22:00～6:00）禁止施工；高噪声不得同时作业</w:t>
            </w:r>
            <w:r>
              <w:rPr>
                <w:rFonts w:hint="eastAsia" w:cs="Times New Roman"/>
                <w:color w:val="auto"/>
                <w:sz w:val="24"/>
                <w:szCs w:val="24"/>
                <w:highlight w:val="none"/>
                <w:u w:val="none" w:color="auto"/>
                <w:lang w:eastAsia="zh-CN"/>
              </w:rPr>
              <w:t>。</w:t>
            </w:r>
          </w:p>
          <w:p w14:paraId="7942D385">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（2）合理布局施工场地，避免在同一地点附近安排大量动力机械设备，以避免局部声级过高，并尽可能选择在远离噪声敏感点。</w:t>
            </w:r>
          </w:p>
          <w:p w14:paraId="7F878F34">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3）采取降噪措施。在施工设备的选型上尽量采用低噪声设备；固定机械设备与挖土、运土机构，可通过消音器和隔离发动机振动部件的方法降低噪声；对于个别高噪音设备在使用时，可采用固定式或活动式隔声罩或隔声屏障进行局部遮挡。加强对设备的维护、养护，闲置设备应立即关闭。尽可能采用外加工材料，减少现场加工的工作量。</w:t>
            </w:r>
          </w:p>
          <w:p w14:paraId="30A52644">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（4）降低人为噪声影响。按操作规范操作机械设备等过程中减少碰撞噪声，并对工人进行环保方面的教育。在装卸进程中，禁止野蛮作业，减少作业噪声。</w:t>
            </w:r>
          </w:p>
          <w:p w14:paraId="794395AB">
            <w:pPr>
              <w:pStyle w:val="43"/>
              <w:spacing w:beforeLines="0" w:afterLines="0"/>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（5）施工场界建立施工围挡，在高噪声设备周围设置高硬质围挡以减轻噪声对周围环境的影响。</w:t>
            </w:r>
          </w:p>
          <w:p w14:paraId="6794FBB1">
            <w:pPr>
              <w:numPr>
                <w:ilvl w:val="0"/>
                <w:numId w:val="0"/>
              </w:numPr>
              <w:adjustRightInd w:val="0"/>
              <w:snapToGrid w:val="0"/>
              <w:spacing w:beforeLines="0" w:afterLines="0" w:line="360" w:lineRule="auto"/>
              <w:ind w:firstLine="520" w:firstLineChars="200"/>
              <w:rPr>
                <w:rFonts w:hint="default" w:ascii="Times New Roman" w:hAnsi="Times New Roman" w:eastAsia="宋体" w:cs="Times New Roman"/>
                <w:color w:val="auto"/>
                <w:spacing w:val="10"/>
                <w:sz w:val="24"/>
                <w:szCs w:val="24"/>
                <w:highlight w:val="none"/>
                <w:u w:val="none" w:color="auto"/>
              </w:rPr>
            </w:pPr>
            <w:r>
              <w:rPr>
                <w:rFonts w:hint="default" w:ascii="Times New Roman" w:hAnsi="Times New Roman" w:eastAsia="宋体" w:cs="Times New Roman"/>
                <w:color w:val="auto"/>
                <w:spacing w:val="10"/>
                <w:sz w:val="24"/>
                <w:szCs w:val="24"/>
                <w:highlight w:val="none"/>
                <w:u w:val="none" w:color="auto"/>
              </w:rPr>
              <w:t>通过采取以上措施后，评价认为本次工程施工期不会对周围环境产生较大影响。</w:t>
            </w:r>
          </w:p>
          <w:p w14:paraId="5BDD223B">
            <w:pPr>
              <w:spacing w:line="360" w:lineRule="auto"/>
              <w:ind w:firstLine="520" w:firstLineChars="200"/>
              <w:rPr>
                <w:rFonts w:hint="default"/>
                <w:highlight w:val="none"/>
              </w:rPr>
            </w:pPr>
            <w:r>
              <w:rPr>
                <w:rFonts w:hint="default" w:ascii="Times New Roman" w:hAnsi="Times New Roman" w:cs="Times New Roman"/>
                <w:b w:val="0"/>
                <w:bCs/>
                <w:color w:val="auto"/>
                <w:spacing w:val="10"/>
                <w:sz w:val="24"/>
                <w:szCs w:val="24"/>
                <w:highlight w:val="none"/>
              </w:rPr>
              <w:t>综上所述，本项目通过合理施工，加强管理，采取相应的环保设施后本项目施工期</w:t>
            </w:r>
            <w:r>
              <w:rPr>
                <w:rFonts w:hint="default" w:ascii="Times New Roman" w:hAnsi="Times New Roman" w:cs="Times New Roman"/>
                <w:b w:val="0"/>
                <w:bCs/>
                <w:color w:val="auto"/>
                <w:spacing w:val="10"/>
                <w:sz w:val="24"/>
                <w:szCs w:val="24"/>
                <w:highlight w:val="none"/>
                <w:lang w:eastAsia="zh-CN"/>
              </w:rPr>
              <w:t>噪声</w:t>
            </w:r>
            <w:r>
              <w:rPr>
                <w:rFonts w:hint="default" w:ascii="Times New Roman" w:hAnsi="Times New Roman" w:cs="Times New Roman"/>
                <w:b w:val="0"/>
                <w:bCs/>
                <w:color w:val="auto"/>
                <w:spacing w:val="10"/>
                <w:sz w:val="24"/>
                <w:szCs w:val="24"/>
                <w:highlight w:val="none"/>
              </w:rPr>
              <w:t>对环境影响较小</w:t>
            </w:r>
            <w:r>
              <w:rPr>
                <w:rFonts w:hint="default" w:ascii="Times New Roman" w:hAnsi="Times New Roman" w:cs="Times New Roman"/>
                <w:b w:val="0"/>
                <w:bCs/>
                <w:color w:val="auto"/>
                <w:spacing w:val="10"/>
                <w:sz w:val="24"/>
                <w:szCs w:val="24"/>
                <w:highlight w:val="none"/>
                <w:lang w:eastAsia="zh-CN"/>
              </w:rPr>
              <w:t>，</w:t>
            </w:r>
            <w:r>
              <w:rPr>
                <w:rFonts w:hint="default" w:ascii="Times New Roman" w:hAnsi="Times New Roman" w:cs="Times New Roman"/>
                <w:b w:val="0"/>
                <w:bCs/>
                <w:color w:val="auto"/>
                <w:spacing w:val="10"/>
                <w:sz w:val="24"/>
                <w:szCs w:val="24"/>
                <w:highlight w:val="none"/>
              </w:rPr>
              <w:t>项目施工期</w:t>
            </w:r>
            <w:r>
              <w:rPr>
                <w:rFonts w:hint="default" w:ascii="Times New Roman" w:hAnsi="Times New Roman" w:cs="Times New Roman"/>
                <w:b w:val="0"/>
                <w:bCs/>
                <w:color w:val="auto"/>
                <w:spacing w:val="10"/>
                <w:sz w:val="24"/>
                <w:szCs w:val="24"/>
                <w:highlight w:val="none"/>
                <w:lang w:eastAsia="zh-CN"/>
              </w:rPr>
              <w:t>噪声</w:t>
            </w:r>
            <w:r>
              <w:rPr>
                <w:rFonts w:hint="default" w:ascii="Times New Roman" w:hAnsi="Times New Roman" w:cs="Times New Roman"/>
                <w:b w:val="0"/>
                <w:bCs/>
                <w:color w:val="auto"/>
                <w:spacing w:val="10"/>
                <w:sz w:val="24"/>
                <w:szCs w:val="24"/>
                <w:highlight w:val="none"/>
              </w:rPr>
              <w:t>采取的措施是可行的。</w:t>
            </w:r>
          </w:p>
          <w:p w14:paraId="5070389E">
            <w:pPr>
              <w:pStyle w:val="43"/>
              <w:spacing w:beforeLines="0" w:afterLines="0"/>
              <w:ind w:firstLine="0" w:firstLineChars="0"/>
              <w:rPr>
                <w:rFonts w:hint="default" w:ascii="Times New Roman" w:hAnsi="Times New Roman" w:cs="Times New Roman"/>
                <w:b/>
                <w:color w:val="auto"/>
                <w:sz w:val="24"/>
                <w:szCs w:val="24"/>
                <w:highlight w:val="none"/>
                <w:u w:val="none" w:color="auto"/>
              </w:rPr>
            </w:pPr>
            <w:r>
              <w:rPr>
                <w:rFonts w:hint="default" w:ascii="Times New Roman" w:hAnsi="Times New Roman" w:cs="Times New Roman"/>
                <w:b/>
                <w:color w:val="auto"/>
                <w:sz w:val="24"/>
                <w:szCs w:val="24"/>
                <w:highlight w:val="none"/>
                <w:u w:val="none" w:color="auto"/>
              </w:rPr>
              <w:t>4.</w:t>
            </w:r>
            <w:r>
              <w:rPr>
                <w:rFonts w:hint="default" w:ascii="Times New Roman" w:hAnsi="Times New Roman" w:eastAsia="宋体" w:cs="Times New Roman"/>
                <w:b/>
                <w:color w:val="auto"/>
                <w:sz w:val="24"/>
                <w:szCs w:val="24"/>
                <w:highlight w:val="none"/>
                <w:u w:val="none" w:color="auto"/>
              </w:rPr>
              <w:t>水土保持措施</w:t>
            </w:r>
          </w:p>
          <w:p w14:paraId="6387D7D4">
            <w:pPr>
              <w:pStyle w:val="43"/>
              <w:spacing w:beforeLines="0" w:afterLines="0"/>
              <w:rPr>
                <w:rFonts w:hint="default" w:ascii="Times New Roman" w:hAnsi="Times New Roman" w:eastAsia="宋体" w:cs="Times New Roman"/>
                <w:b/>
                <w:color w:val="auto"/>
                <w:sz w:val="24"/>
                <w:szCs w:val="24"/>
                <w:highlight w:val="none"/>
                <w:u w:val="none" w:color="auto"/>
              </w:rPr>
            </w:pPr>
            <w:r>
              <w:rPr>
                <w:rFonts w:hint="default" w:ascii="Times New Roman" w:hAnsi="Times New Roman" w:eastAsia="宋体" w:cs="Times New Roman"/>
                <w:b/>
                <w:color w:val="auto"/>
                <w:sz w:val="24"/>
                <w:szCs w:val="24"/>
                <w:highlight w:val="none"/>
                <w:u w:val="none" w:color="auto"/>
              </w:rPr>
              <w:t>4.1对土地的保护措施</w:t>
            </w:r>
          </w:p>
          <w:p w14:paraId="079D4F0E">
            <w:pPr>
              <w:pStyle w:val="43"/>
              <w:spacing w:beforeLines="0" w:afterLines="0"/>
              <w:ind w:firstLine="420"/>
              <w:rPr>
                <w:rFonts w:hint="default" w:ascii="Times New Roman" w:hAnsi="Times New Roman" w:eastAsia="宋体" w:cs="Times New Roman"/>
                <w:sz w:val="24"/>
                <w:szCs w:val="24"/>
                <w:highlight w:val="none"/>
              </w:rPr>
            </w:pPr>
            <w:r>
              <w:rPr>
                <w:rFonts w:hint="default" w:ascii="Times New Roman" w:hAnsi="Times New Roman" w:eastAsia="宋体" w:cs="Times New Roman"/>
                <w:color w:val="auto"/>
                <w:sz w:val="24"/>
                <w:szCs w:val="24"/>
                <w:highlight w:val="none"/>
                <w:u w:val="none" w:color="auto"/>
              </w:rPr>
              <w:t>在对土方的开挖、运输、回填以及土方的</w:t>
            </w:r>
            <w:r>
              <w:rPr>
                <w:rFonts w:hint="eastAsia" w:cs="Times New Roman"/>
                <w:color w:val="auto"/>
                <w:sz w:val="24"/>
                <w:szCs w:val="24"/>
                <w:highlight w:val="none"/>
                <w:u w:val="none" w:color="auto"/>
                <w:lang w:eastAsia="zh-CN"/>
              </w:rPr>
              <w:t>临时</w:t>
            </w:r>
            <w:r>
              <w:rPr>
                <w:rFonts w:hint="default" w:ascii="Times New Roman" w:hAnsi="Times New Roman" w:eastAsia="宋体" w:cs="Times New Roman"/>
                <w:color w:val="auto"/>
                <w:sz w:val="24"/>
                <w:szCs w:val="24"/>
                <w:highlight w:val="none"/>
                <w:u w:val="none" w:color="auto"/>
              </w:rPr>
              <w:t>堆土</w:t>
            </w:r>
            <w:r>
              <w:rPr>
                <w:rFonts w:hint="default" w:ascii="Times New Roman" w:hAnsi="Times New Roman" w:eastAsia="宋体" w:cs="Times New Roman"/>
                <w:sz w:val="24"/>
                <w:szCs w:val="24"/>
                <w:highlight w:val="none"/>
              </w:rPr>
              <w:t>进行综合治理，有序规划。土方开挖时按照设计施工图提前做好规划测量，尽量减少动土面积。土方运输时，车斗不要装载太满，装车后进行加盖覆盖，减少运输途中土料洒落，污染道路。土料装车前，根据土的干湿度</w:t>
            </w:r>
            <w:r>
              <w:rPr>
                <w:rFonts w:hint="eastAsia" w:cs="Times New Roman"/>
                <w:sz w:val="24"/>
                <w:szCs w:val="24"/>
                <w:highlight w:val="none"/>
                <w:lang w:eastAsia="zh-CN"/>
              </w:rPr>
              <w:t>洒水</w:t>
            </w:r>
            <w:r>
              <w:rPr>
                <w:rFonts w:hint="default" w:ascii="Times New Roman" w:hAnsi="Times New Roman" w:eastAsia="宋体" w:cs="Times New Roman"/>
                <w:sz w:val="24"/>
                <w:szCs w:val="24"/>
                <w:highlight w:val="none"/>
              </w:rPr>
              <w:t>湿润，做到装车运输不扬尘。做好植草恢复绿化，修建配套的防护措施，以防止大风、降雨等带来的</w:t>
            </w:r>
            <w:r>
              <w:rPr>
                <w:rFonts w:hint="eastAsia" w:cs="Times New Roman"/>
                <w:sz w:val="24"/>
                <w:szCs w:val="24"/>
                <w:highlight w:val="none"/>
                <w:lang w:eastAsia="zh-CN"/>
              </w:rPr>
              <w:t>水土流失</w:t>
            </w:r>
            <w:r>
              <w:rPr>
                <w:rFonts w:hint="default" w:ascii="Times New Roman" w:hAnsi="Times New Roman" w:eastAsia="宋体" w:cs="Times New Roman"/>
                <w:sz w:val="24"/>
                <w:szCs w:val="24"/>
                <w:highlight w:val="none"/>
              </w:rPr>
              <w:t>。水土保持设施要与主体工程同等质量、同时施工。</w:t>
            </w:r>
          </w:p>
          <w:p w14:paraId="0891D465">
            <w:pPr>
              <w:pStyle w:val="43"/>
              <w:spacing w:beforeLines="0" w:afterLines="0"/>
              <w:rPr>
                <w:rFonts w:hint="default" w:ascii="Times New Roman" w:hAnsi="Times New Roman" w:eastAsia="宋体" w:cs="Times New Roman"/>
                <w:b/>
                <w:sz w:val="24"/>
                <w:szCs w:val="24"/>
                <w:highlight w:val="none"/>
              </w:rPr>
            </w:pPr>
            <w:r>
              <w:rPr>
                <w:rFonts w:hint="default" w:ascii="Times New Roman" w:hAnsi="Times New Roman" w:eastAsia="宋体" w:cs="Times New Roman"/>
                <w:b/>
                <w:sz w:val="24"/>
                <w:szCs w:val="24"/>
                <w:highlight w:val="none"/>
              </w:rPr>
              <w:t>4.2对水的保护措施</w:t>
            </w:r>
          </w:p>
          <w:p w14:paraId="7BAE9187">
            <w:pPr>
              <w:pStyle w:val="43"/>
              <w:spacing w:beforeLines="0" w:afterLines="0"/>
              <w:ind w:firstLine="42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首先要防治施工废水。对生产污水按要求设置沉砂池等净化设施，减少泥砂和废渣进入江河。生活废水排入临时环保厕所，由市政卫生部门定期清掏。同时要加强对地表水和地下水质的防止污染环境检测，发现新的污染问题及时进行处理，防止水质恶化。</w:t>
            </w:r>
          </w:p>
          <w:p w14:paraId="32D0E422">
            <w:pPr>
              <w:pStyle w:val="43"/>
              <w:spacing w:beforeLines="0" w:afterLines="0"/>
              <w:ind w:firstLine="420"/>
              <w:rPr>
                <w:rFonts w:hint="eastAsia" w:cs="Times New Roman"/>
                <w:b/>
                <w:bCs w:val="0"/>
                <w:sz w:val="24"/>
                <w:szCs w:val="24"/>
                <w:highlight w:val="none"/>
                <w:lang w:val="en-US" w:eastAsia="zh-CN"/>
              </w:rPr>
            </w:pPr>
            <w:r>
              <w:rPr>
                <w:rFonts w:hint="eastAsia" w:cs="Times New Roman"/>
                <w:b/>
                <w:bCs w:val="0"/>
                <w:sz w:val="24"/>
                <w:szCs w:val="24"/>
                <w:highlight w:val="none"/>
                <w:lang w:val="en-US" w:eastAsia="zh-CN"/>
              </w:rPr>
              <w:t>4.3措施分析</w:t>
            </w:r>
          </w:p>
          <w:p w14:paraId="55CF5C3F">
            <w:pPr>
              <w:adjustRightInd w:val="0"/>
              <w:snapToGrid w:val="0"/>
              <w:spacing w:line="360" w:lineRule="auto"/>
              <w:ind w:firstLine="520" w:firstLineChars="200"/>
              <w:rPr>
                <w:rFonts w:hint="default" w:ascii="Times New Roman" w:hAnsi="Times New Roman" w:eastAsia="宋体" w:cs="Times New Roman"/>
                <w:b w:val="0"/>
                <w:bCs/>
                <w:color w:val="auto"/>
                <w:spacing w:val="10"/>
                <w:sz w:val="24"/>
                <w:szCs w:val="24"/>
                <w:highlight w:val="none"/>
                <w:lang w:eastAsia="zh-CN"/>
              </w:rPr>
            </w:pPr>
            <w:r>
              <w:rPr>
                <w:rFonts w:hint="default" w:ascii="Times New Roman" w:hAnsi="Times New Roman" w:cs="Times New Roman"/>
                <w:b w:val="0"/>
                <w:bCs/>
                <w:color w:val="auto"/>
                <w:spacing w:val="10"/>
                <w:sz w:val="24"/>
                <w:szCs w:val="24"/>
                <w:highlight w:val="none"/>
                <w:lang w:eastAsia="zh-CN"/>
              </w:rPr>
              <w:t>本项目</w:t>
            </w:r>
            <w:r>
              <w:rPr>
                <w:rFonts w:hint="eastAsia" w:ascii="Times New Roman" w:hAnsi="Times New Roman" w:cs="Times New Roman"/>
                <w:b w:val="0"/>
                <w:bCs/>
                <w:color w:val="auto"/>
                <w:spacing w:val="10"/>
                <w:sz w:val="24"/>
                <w:szCs w:val="24"/>
                <w:highlight w:val="none"/>
                <w:lang w:eastAsia="zh-CN"/>
              </w:rPr>
              <w:t>水土保护措施</w:t>
            </w:r>
            <w:r>
              <w:rPr>
                <w:rFonts w:hint="default" w:ascii="Times New Roman" w:hAnsi="Times New Roman" w:cs="Times New Roman"/>
                <w:b w:val="0"/>
                <w:bCs/>
                <w:color w:val="auto"/>
                <w:spacing w:val="10"/>
                <w:sz w:val="24"/>
                <w:szCs w:val="24"/>
                <w:highlight w:val="none"/>
                <w:lang w:eastAsia="zh-CN"/>
              </w:rPr>
              <w:t>采取的</w:t>
            </w:r>
            <w:r>
              <w:rPr>
                <w:rFonts w:hint="default" w:ascii="Times New Roman" w:hAnsi="Times New Roman" w:eastAsia="宋体" w:cs="Times New Roman"/>
                <w:sz w:val="24"/>
                <w:szCs w:val="24"/>
                <w:highlight w:val="none"/>
              </w:rPr>
              <w:t>提前做好规划测量</w:t>
            </w:r>
            <w:r>
              <w:rPr>
                <w:rFonts w:hint="default" w:ascii="Times New Roman" w:hAnsi="Times New Roman" w:eastAsia="宋体" w:cs="Times New Roman"/>
                <w:b w:val="0"/>
                <w:bCs/>
                <w:color w:val="auto"/>
                <w:kern w:val="2"/>
                <w:sz w:val="24"/>
                <w:szCs w:val="24"/>
                <w:highlight w:val="none"/>
                <w:lang w:val="en-US" w:eastAsia="zh-CN" w:bidi="ar-SA"/>
              </w:rPr>
              <w:t>、</w:t>
            </w:r>
            <w:r>
              <w:rPr>
                <w:rFonts w:hint="default" w:ascii="Times New Roman" w:hAnsi="Times New Roman" w:eastAsia="宋体" w:cs="Times New Roman"/>
                <w:sz w:val="24"/>
                <w:szCs w:val="24"/>
                <w:highlight w:val="none"/>
              </w:rPr>
              <w:t>装车后进行加盖覆盖</w:t>
            </w:r>
            <w:r>
              <w:rPr>
                <w:rFonts w:hint="eastAsia" w:cs="Times New Roman"/>
                <w:color w:val="auto"/>
                <w:sz w:val="24"/>
                <w:szCs w:val="24"/>
                <w:highlight w:val="none"/>
                <w:u w:val="none" w:color="auto"/>
                <w:lang w:eastAsia="zh-CN"/>
              </w:rPr>
              <w:t>、</w:t>
            </w:r>
            <w:r>
              <w:rPr>
                <w:rFonts w:hint="eastAsia" w:cs="Times New Roman"/>
                <w:sz w:val="24"/>
                <w:szCs w:val="24"/>
                <w:highlight w:val="none"/>
                <w:lang w:eastAsia="zh-CN"/>
              </w:rPr>
              <w:t>洒水</w:t>
            </w:r>
            <w:r>
              <w:rPr>
                <w:rFonts w:hint="default" w:ascii="Times New Roman" w:hAnsi="Times New Roman" w:eastAsia="宋体" w:cs="Times New Roman"/>
                <w:sz w:val="24"/>
                <w:szCs w:val="24"/>
                <w:highlight w:val="none"/>
              </w:rPr>
              <w:t>湿润</w:t>
            </w:r>
            <w:r>
              <w:rPr>
                <w:rFonts w:hint="eastAsia" w:ascii="Times New Roman" w:hAnsi="Times New Roman" w:cs="Times New Roman"/>
                <w:sz w:val="24"/>
                <w:szCs w:val="24"/>
                <w:highlight w:val="none"/>
                <w:lang w:eastAsia="zh-CN"/>
              </w:rPr>
              <w:t>、</w:t>
            </w:r>
            <w:r>
              <w:rPr>
                <w:rFonts w:hint="default" w:ascii="Times New Roman" w:hAnsi="Times New Roman" w:eastAsia="宋体" w:cs="Times New Roman"/>
                <w:b w:val="0"/>
                <w:bCs/>
                <w:color w:val="auto"/>
                <w:kern w:val="2"/>
                <w:sz w:val="24"/>
                <w:szCs w:val="24"/>
                <w:highlight w:val="none"/>
                <w:lang w:val="en-US" w:eastAsia="zh-CN" w:bidi="ar-SA"/>
              </w:rPr>
              <w:t>施工机械整齐放置、合理布设，加强施工管理、合理安排施工周期、严格控制地表扰动和植被损坏范围，尽量减少工程占地、优化施工工艺等措施，是</w:t>
            </w:r>
            <w:r>
              <w:rPr>
                <w:rFonts w:hint="eastAsia" w:ascii="Times New Roman" w:hAnsi="Times New Roman" w:cs="Times New Roman"/>
                <w:b w:val="0"/>
                <w:bCs/>
                <w:color w:val="auto"/>
                <w:kern w:val="2"/>
                <w:sz w:val="24"/>
                <w:szCs w:val="24"/>
                <w:highlight w:val="none"/>
                <w:lang w:val="en-US" w:eastAsia="zh-CN" w:bidi="ar-SA"/>
              </w:rPr>
              <w:t>水土保持防护</w:t>
            </w:r>
            <w:r>
              <w:rPr>
                <w:rFonts w:hint="default" w:ascii="Times New Roman" w:hAnsi="Times New Roman" w:cs="Times New Roman"/>
                <w:b w:val="0"/>
                <w:bCs/>
                <w:color w:val="auto"/>
                <w:spacing w:val="10"/>
                <w:sz w:val="24"/>
                <w:szCs w:val="24"/>
                <w:highlight w:val="none"/>
              </w:rPr>
              <w:t>常用措施</w:t>
            </w:r>
            <w:r>
              <w:rPr>
                <w:rFonts w:hint="default" w:ascii="Times New Roman" w:hAnsi="Times New Roman" w:cs="Times New Roman"/>
                <w:b w:val="0"/>
                <w:bCs/>
                <w:color w:val="auto"/>
                <w:spacing w:val="10"/>
                <w:sz w:val="24"/>
                <w:szCs w:val="24"/>
                <w:highlight w:val="none"/>
                <w:lang w:eastAsia="zh-CN"/>
              </w:rPr>
              <w:t>，是可行技术，同时</w:t>
            </w:r>
            <w:r>
              <w:rPr>
                <w:rFonts w:hint="default" w:ascii="Times New Roman" w:hAnsi="Times New Roman" w:cs="Times New Roman"/>
                <w:b w:val="0"/>
                <w:bCs/>
                <w:color w:val="auto"/>
                <w:spacing w:val="10"/>
                <w:sz w:val="24"/>
                <w:szCs w:val="24"/>
                <w:highlight w:val="none"/>
              </w:rPr>
              <w:t>也</w:t>
            </w:r>
            <w:r>
              <w:rPr>
                <w:rFonts w:hint="default" w:ascii="Times New Roman" w:hAnsi="Times New Roman" w:cs="Times New Roman"/>
                <w:b w:val="0"/>
                <w:bCs/>
                <w:color w:val="auto"/>
                <w:spacing w:val="10"/>
                <w:sz w:val="24"/>
                <w:szCs w:val="24"/>
                <w:highlight w:val="none"/>
                <w:lang w:eastAsia="zh-CN"/>
              </w:rPr>
              <w:t>是</w:t>
            </w:r>
            <w:r>
              <w:rPr>
                <w:rFonts w:hint="default" w:ascii="Times New Roman" w:hAnsi="Times New Roman" w:cs="Times New Roman"/>
                <w:b w:val="0"/>
                <w:bCs/>
                <w:color w:val="auto"/>
                <w:spacing w:val="10"/>
                <w:sz w:val="24"/>
                <w:szCs w:val="24"/>
                <w:highlight w:val="none"/>
              </w:rPr>
              <w:t>比较</w:t>
            </w:r>
            <w:r>
              <w:rPr>
                <w:rFonts w:hint="default" w:ascii="Times New Roman" w:hAnsi="Times New Roman" w:cs="Times New Roman"/>
                <w:b w:val="0"/>
                <w:bCs/>
                <w:color w:val="auto"/>
                <w:spacing w:val="10"/>
                <w:sz w:val="24"/>
                <w:szCs w:val="24"/>
                <w:highlight w:val="none"/>
                <w:lang w:eastAsia="zh-CN"/>
              </w:rPr>
              <w:t>经济</w:t>
            </w:r>
            <w:r>
              <w:rPr>
                <w:rFonts w:hint="default" w:ascii="Times New Roman" w:hAnsi="Times New Roman" w:cs="Times New Roman"/>
                <w:b w:val="0"/>
                <w:bCs/>
                <w:color w:val="auto"/>
                <w:spacing w:val="10"/>
                <w:sz w:val="24"/>
                <w:szCs w:val="24"/>
                <w:highlight w:val="none"/>
              </w:rPr>
              <w:t>有效的措施，</w:t>
            </w:r>
            <w:r>
              <w:rPr>
                <w:rFonts w:hint="default" w:ascii="Times New Roman" w:hAnsi="Times New Roman" w:cs="Times New Roman"/>
                <w:b w:val="0"/>
                <w:bCs/>
                <w:color w:val="auto"/>
                <w:spacing w:val="10"/>
                <w:sz w:val="24"/>
                <w:szCs w:val="24"/>
                <w:highlight w:val="none"/>
                <w:lang w:eastAsia="zh-CN"/>
              </w:rPr>
              <w:t>可操作性和实施较简单，</w:t>
            </w:r>
            <w:r>
              <w:rPr>
                <w:rFonts w:hint="default" w:ascii="Times New Roman" w:hAnsi="Times New Roman" w:cs="Times New Roman"/>
                <w:b w:val="0"/>
                <w:bCs/>
                <w:color w:val="auto"/>
                <w:spacing w:val="10"/>
                <w:sz w:val="24"/>
                <w:szCs w:val="24"/>
                <w:highlight w:val="none"/>
              </w:rPr>
              <w:t>可取得较好的</w:t>
            </w:r>
            <w:r>
              <w:rPr>
                <w:rFonts w:hint="eastAsia" w:ascii="Times New Roman" w:hAnsi="Times New Roman" w:cs="Times New Roman"/>
                <w:b w:val="0"/>
                <w:bCs/>
                <w:color w:val="auto"/>
                <w:spacing w:val="10"/>
                <w:sz w:val="24"/>
                <w:szCs w:val="24"/>
                <w:highlight w:val="none"/>
                <w:lang w:eastAsia="zh-CN"/>
              </w:rPr>
              <w:t>水土保持防护</w:t>
            </w:r>
            <w:r>
              <w:rPr>
                <w:rFonts w:hint="default" w:ascii="Times New Roman" w:hAnsi="Times New Roman" w:cs="Times New Roman"/>
                <w:b w:val="0"/>
                <w:bCs/>
                <w:color w:val="auto"/>
                <w:spacing w:val="10"/>
                <w:sz w:val="24"/>
                <w:szCs w:val="24"/>
                <w:highlight w:val="none"/>
              </w:rPr>
              <w:t>效果。</w:t>
            </w:r>
          </w:p>
          <w:p w14:paraId="39615F53">
            <w:pPr>
              <w:pStyle w:val="8"/>
              <w:keepNext w:val="0"/>
              <w:keepLines w:val="0"/>
              <w:pageBreakBefore w:val="0"/>
              <w:widowControl w:val="0"/>
              <w:kinsoku/>
              <w:wordWrap/>
              <w:overflowPunct/>
              <w:topLinePunct w:val="0"/>
              <w:autoSpaceDE/>
              <w:autoSpaceDN/>
              <w:bidi w:val="0"/>
              <w:adjustRightInd w:val="0"/>
              <w:snapToGrid w:val="0"/>
              <w:spacing w:line="360" w:lineRule="auto"/>
              <w:ind w:left="0" w:right="0" w:firstLine="520" w:firstLineChars="200"/>
              <w:jc w:val="both"/>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b w:val="0"/>
                <w:bCs/>
                <w:color w:val="auto"/>
                <w:spacing w:val="10"/>
                <w:kern w:val="2"/>
                <w:sz w:val="24"/>
                <w:szCs w:val="24"/>
                <w:highlight w:val="none"/>
                <w:lang w:val="en-US" w:eastAsia="zh-CN" w:bidi="ar-SA"/>
              </w:rPr>
              <w:t>综上所述，本项目通过合理施工，加强管理，采取相应的环保设施后本项目施工期对环境影响较小，项目施工期</w:t>
            </w:r>
            <w:r>
              <w:rPr>
                <w:rFonts w:hint="eastAsia" w:ascii="Times New Roman" w:hAnsi="Times New Roman" w:eastAsia="宋体" w:cs="Times New Roman"/>
                <w:b w:val="0"/>
                <w:bCs/>
                <w:color w:val="auto"/>
                <w:spacing w:val="10"/>
                <w:kern w:val="2"/>
                <w:sz w:val="24"/>
                <w:szCs w:val="24"/>
                <w:highlight w:val="none"/>
                <w:lang w:val="en-US" w:eastAsia="zh-CN" w:bidi="ar-SA"/>
              </w:rPr>
              <w:t>水土保持防护</w:t>
            </w:r>
            <w:r>
              <w:rPr>
                <w:rFonts w:hint="default" w:ascii="Times New Roman" w:hAnsi="Times New Roman" w:eastAsia="宋体" w:cs="Times New Roman"/>
                <w:b w:val="0"/>
                <w:bCs/>
                <w:color w:val="auto"/>
                <w:spacing w:val="10"/>
                <w:kern w:val="2"/>
                <w:sz w:val="24"/>
                <w:szCs w:val="24"/>
                <w:highlight w:val="none"/>
                <w:lang w:val="en-US" w:eastAsia="zh-CN" w:bidi="ar-SA"/>
              </w:rPr>
              <w:t>采取的措施是可行</w:t>
            </w:r>
            <w:r>
              <w:rPr>
                <w:rFonts w:hint="eastAsia" w:eastAsia="宋体" w:cs="Times New Roman"/>
                <w:b w:val="0"/>
                <w:bCs/>
                <w:color w:val="auto"/>
                <w:spacing w:val="10"/>
                <w:kern w:val="2"/>
                <w:sz w:val="24"/>
                <w:szCs w:val="24"/>
                <w:highlight w:val="none"/>
                <w:lang w:val="en-US" w:eastAsia="zh-CN" w:bidi="ar-SA"/>
              </w:rPr>
              <w:t>的。</w:t>
            </w:r>
          </w:p>
          <w:p w14:paraId="7C101B7E">
            <w:pPr>
              <w:pStyle w:val="43"/>
              <w:spacing w:beforeLines="0" w:afterLines="0"/>
              <w:ind w:firstLine="0" w:firstLineChars="0"/>
              <w:rPr>
                <w:rFonts w:hint="default" w:ascii="Times New Roman" w:hAnsi="Times New Roman" w:cs="Times New Roman"/>
                <w:b/>
                <w:color w:val="auto"/>
                <w:sz w:val="24"/>
                <w:szCs w:val="24"/>
                <w:highlight w:val="none"/>
                <w:u w:val="none" w:color="auto"/>
              </w:rPr>
            </w:pPr>
            <w:r>
              <w:rPr>
                <w:rFonts w:hint="default" w:ascii="Times New Roman" w:hAnsi="Times New Roman" w:eastAsia="宋体" w:cs="Times New Roman"/>
                <w:b/>
                <w:color w:val="auto"/>
                <w:sz w:val="24"/>
                <w:szCs w:val="24"/>
                <w:highlight w:val="none"/>
                <w:u w:val="none" w:color="auto"/>
              </w:rPr>
              <w:t>5</w:t>
            </w:r>
            <w:r>
              <w:rPr>
                <w:rFonts w:hint="default" w:ascii="Times New Roman" w:hAnsi="Times New Roman" w:cs="Times New Roman"/>
                <w:b/>
                <w:color w:val="auto"/>
                <w:sz w:val="24"/>
                <w:szCs w:val="24"/>
                <w:highlight w:val="none"/>
                <w:u w:val="none" w:color="auto"/>
              </w:rPr>
              <w:t>.</w:t>
            </w:r>
            <w:r>
              <w:rPr>
                <w:rFonts w:hint="default" w:ascii="Times New Roman" w:hAnsi="Times New Roman" w:eastAsia="宋体" w:cs="Times New Roman"/>
                <w:b/>
                <w:color w:val="auto"/>
                <w:sz w:val="24"/>
                <w:szCs w:val="24"/>
                <w:highlight w:val="none"/>
                <w:u w:val="none" w:color="auto"/>
              </w:rPr>
              <w:t>施工期固废污染防治措施</w:t>
            </w:r>
          </w:p>
          <w:p w14:paraId="2E140A9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根据《城市建筑垃圾管理规定》，建筑垃圾处置实行减量化、资源化、无害化和谁产生、谁承担处置责任的原则。国家鼓励建筑垃圾综合利用，鼓励建设单位、施工单位优先采用建筑垃圾综合利用产品。本项目施工期产生的固废主要为建筑垃圾和施工人员生活垃圾。为妥善处理施工过程产生的固体废物，针对项目固体废物产生特点，确保项目建设过程产生的固体废物得到妥善处置，应采取如下措施：</w:t>
            </w:r>
          </w:p>
          <w:p w14:paraId="2838DBB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（1）对于产生的弃土，收集用于回填，</w:t>
            </w:r>
            <w:r>
              <w:rPr>
                <w:rFonts w:hint="eastAsia" w:cs="Times New Roman"/>
                <w:sz w:val="24"/>
                <w:szCs w:val="24"/>
                <w:highlight w:val="none"/>
                <w:lang w:val="en-US" w:eastAsia="zh-CN"/>
              </w:rPr>
              <w:t>本项目可消耗所有开挖土方。</w:t>
            </w:r>
            <w:r>
              <w:rPr>
                <w:rFonts w:hint="eastAsia" w:ascii="Times New Roman" w:hAnsi="Times New Roman" w:eastAsia="宋体" w:cs="Times New Roman"/>
                <w:color w:val="auto"/>
                <w:sz w:val="24"/>
                <w:szCs w:val="24"/>
                <w:highlight w:val="none"/>
                <w:lang w:eastAsia="zh-CN"/>
              </w:rPr>
              <w:t>土方堆放时，应采取覆盖防尘网等防尘措施，并定时洒水，保持土壤湿润</w:t>
            </w:r>
            <w:r>
              <w:rPr>
                <w:rFonts w:hint="eastAsia" w:ascii="Times New Roman" w:hAnsi="Times New Roman" w:cs="Times New Roman"/>
                <w:color w:val="auto"/>
                <w:sz w:val="24"/>
                <w:szCs w:val="24"/>
                <w:highlight w:val="none"/>
                <w:lang w:eastAsia="zh-CN"/>
              </w:rPr>
              <w:t>；</w:t>
            </w:r>
          </w:p>
          <w:p w14:paraId="1E459DD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（2）河道清淤过程产生的淤泥主要为河道中的淤泥质土，平均清淤深度为1~2m。符合要求的淤泥直接还林或还田利用，不符合要求的</w:t>
            </w:r>
            <w:r>
              <w:rPr>
                <w:rFonts w:ascii="宋体" w:hAnsi="宋体" w:eastAsia="宋体" w:cs="宋体"/>
                <w:b w:val="0"/>
                <w:bCs w:val="0"/>
                <w:color w:val="000000"/>
                <w:sz w:val="24"/>
                <w:szCs w:val="24"/>
                <w:highlight w:val="none"/>
              </w:rPr>
              <w:t>收集</w:t>
            </w:r>
            <w:r>
              <w:rPr>
                <w:rFonts w:hint="eastAsia" w:ascii="宋体" w:hAnsi="宋体" w:eastAsia="宋体" w:cs="宋体"/>
                <w:b w:val="0"/>
                <w:bCs w:val="0"/>
                <w:color w:val="000000"/>
                <w:sz w:val="24"/>
                <w:szCs w:val="24"/>
                <w:highlight w:val="none"/>
                <w:lang w:eastAsia="zh-CN"/>
              </w:rPr>
              <w:t>后</w:t>
            </w:r>
            <w:r>
              <w:rPr>
                <w:rFonts w:hint="eastAsia" w:ascii="宋体" w:hAnsi="宋体" w:cs="宋体"/>
                <w:b w:val="0"/>
                <w:bCs w:val="0"/>
                <w:color w:val="000000"/>
                <w:sz w:val="24"/>
                <w:szCs w:val="24"/>
                <w:highlight w:val="none"/>
                <w:lang w:eastAsia="zh-CN"/>
              </w:rPr>
              <w:t>运至建筑垃圾填埋场处理</w:t>
            </w:r>
            <w:r>
              <w:rPr>
                <w:rFonts w:ascii="宋体" w:hAnsi="宋体" w:eastAsia="宋体" w:cs="宋体"/>
                <w:b w:val="0"/>
                <w:bCs w:val="0"/>
                <w:color w:val="000000"/>
                <w:sz w:val="24"/>
                <w:szCs w:val="24"/>
                <w:highlight w:val="none"/>
              </w:rPr>
              <w:t>。</w:t>
            </w:r>
            <w:r>
              <w:rPr>
                <w:rFonts w:hint="default" w:ascii="Times New Roman" w:hAnsi="Times New Roman" w:eastAsia="宋体" w:cs="Times New Roman"/>
                <w:sz w:val="24"/>
                <w:szCs w:val="24"/>
                <w:highlight w:val="none"/>
                <w:lang w:val="en-US" w:eastAsia="zh-CN"/>
              </w:rPr>
              <w:t>运输车辆车厢做好防渗措施，减少底泥渗漏；运输车辆顶部做好覆盖，减少底泥洒落</w:t>
            </w:r>
            <w:r>
              <w:rPr>
                <w:rFonts w:hint="eastAsia" w:cs="Times New Roman"/>
                <w:sz w:val="24"/>
                <w:szCs w:val="24"/>
                <w:highlight w:val="none"/>
                <w:lang w:val="en-US" w:eastAsia="zh-CN"/>
              </w:rPr>
              <w:t>；</w:t>
            </w:r>
          </w:p>
          <w:p w14:paraId="6C2A726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（3）建筑施工过程中将产生一定量的建筑垃圾，建筑垃圾能够回用的回用，不能回用的运至指定建筑垃圾填埋场进行处置；</w:t>
            </w:r>
          </w:p>
          <w:p w14:paraId="681C7DD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（4）在施工期间，施工人员生活垃圾</w:t>
            </w:r>
            <w:r>
              <w:rPr>
                <w:rFonts w:hint="default" w:ascii="Times New Roman" w:hAnsi="Times New Roman" w:eastAsia="宋体" w:cs="Times New Roman"/>
                <w:sz w:val="24"/>
                <w:szCs w:val="24"/>
                <w:highlight w:val="none"/>
                <w:lang w:eastAsia="zh-CN"/>
              </w:rPr>
              <w:t>分类收集后，交由环卫部门统一收集后进行</w:t>
            </w:r>
            <w:r>
              <w:rPr>
                <w:rFonts w:hint="eastAsia" w:ascii="Times New Roman" w:hAnsi="Times New Roman" w:eastAsia="宋体" w:cs="Times New Roman"/>
                <w:sz w:val="24"/>
                <w:szCs w:val="24"/>
                <w:highlight w:val="none"/>
                <w:lang w:eastAsia="zh-CN"/>
              </w:rPr>
              <w:t>处理</w:t>
            </w:r>
            <w:r>
              <w:rPr>
                <w:rFonts w:hint="eastAsia" w:cs="Times New Roman"/>
                <w:sz w:val="24"/>
                <w:szCs w:val="24"/>
                <w:highlight w:val="none"/>
                <w:lang w:eastAsia="zh-CN"/>
              </w:rPr>
              <w:t>。</w:t>
            </w:r>
          </w:p>
          <w:p w14:paraId="70AE2C02">
            <w:pPr>
              <w:pStyle w:val="17"/>
              <w:ind w:firstLine="482" w:firstLineChars="200"/>
              <w:rPr>
                <w:rFonts w:hint="eastAsia" w:cs="Times New Roman"/>
                <w:b/>
                <w:bCs/>
                <w:color w:val="auto"/>
                <w:sz w:val="24"/>
                <w:szCs w:val="24"/>
                <w:highlight w:val="none"/>
                <w:u w:val="none" w:color="auto"/>
                <w:lang w:val="en-US" w:eastAsia="zh-CN"/>
              </w:rPr>
            </w:pPr>
            <w:r>
              <w:rPr>
                <w:rFonts w:hint="eastAsia" w:cs="Times New Roman"/>
                <w:b/>
                <w:bCs/>
                <w:color w:val="auto"/>
                <w:sz w:val="24"/>
                <w:szCs w:val="24"/>
                <w:highlight w:val="none"/>
                <w:u w:val="none" w:color="auto"/>
                <w:lang w:val="en-US" w:eastAsia="zh-CN"/>
              </w:rPr>
              <w:t>5.1措施分析</w:t>
            </w:r>
          </w:p>
          <w:p w14:paraId="25D244BF">
            <w:pPr>
              <w:adjustRightInd w:val="0"/>
              <w:snapToGrid w:val="0"/>
              <w:spacing w:line="360" w:lineRule="auto"/>
              <w:ind w:firstLine="520" w:firstLineChars="200"/>
              <w:rPr>
                <w:rFonts w:hint="default" w:ascii="Times New Roman" w:hAnsi="Times New Roman" w:eastAsia="宋体" w:cs="Times New Roman"/>
                <w:b w:val="0"/>
                <w:bCs/>
                <w:color w:val="auto"/>
                <w:spacing w:val="10"/>
                <w:sz w:val="24"/>
                <w:szCs w:val="24"/>
                <w:highlight w:val="none"/>
                <w:lang w:eastAsia="zh-CN"/>
              </w:rPr>
            </w:pPr>
            <w:r>
              <w:rPr>
                <w:rFonts w:hint="default" w:ascii="Times New Roman" w:hAnsi="Times New Roman" w:cs="Times New Roman"/>
                <w:b w:val="0"/>
                <w:bCs/>
                <w:color w:val="auto"/>
                <w:spacing w:val="10"/>
                <w:sz w:val="24"/>
                <w:szCs w:val="24"/>
                <w:highlight w:val="none"/>
                <w:lang w:eastAsia="zh-CN"/>
              </w:rPr>
              <w:t>本项目针对</w:t>
            </w:r>
            <w:r>
              <w:rPr>
                <w:rFonts w:hint="default" w:ascii="Times New Roman" w:hAnsi="Times New Roman" w:cs="Times New Roman"/>
                <w:b w:val="0"/>
                <w:bCs/>
                <w:color w:val="auto"/>
                <w:sz w:val="24"/>
                <w:szCs w:val="24"/>
                <w:highlight w:val="none"/>
                <w:lang w:val="en-US" w:eastAsia="zh-CN"/>
              </w:rPr>
              <w:t>施工期固废采取</w:t>
            </w:r>
            <w:r>
              <w:rPr>
                <w:rFonts w:hint="default" w:ascii="Times New Roman" w:hAnsi="Times New Roman" w:eastAsia="宋体" w:cs="Times New Roman"/>
                <w:b w:val="0"/>
                <w:bCs/>
                <w:color w:val="auto"/>
                <w:kern w:val="2"/>
                <w:sz w:val="24"/>
                <w:szCs w:val="24"/>
                <w:highlight w:val="none"/>
                <w:lang w:val="en-US" w:eastAsia="zh-CN" w:bidi="ar-SA"/>
              </w:rPr>
              <w:t>建筑垃圾能够回用的回用，不能回用的运至城建部门指定地点处置</w:t>
            </w:r>
            <w:r>
              <w:rPr>
                <w:rFonts w:hint="default" w:ascii="Times New Roman" w:hAnsi="Times New Roman" w:cs="Times New Roman"/>
                <w:b w:val="0"/>
                <w:bCs/>
                <w:color w:val="auto"/>
                <w:sz w:val="24"/>
                <w:szCs w:val="24"/>
                <w:highlight w:val="none"/>
                <w:lang w:val="en-US" w:eastAsia="zh-CN"/>
              </w:rPr>
              <w:t>等措施是施工期</w:t>
            </w:r>
            <w:r>
              <w:rPr>
                <w:rFonts w:hint="eastAsia" w:cs="Times New Roman"/>
                <w:b w:val="0"/>
                <w:bCs/>
                <w:color w:val="auto"/>
                <w:sz w:val="24"/>
                <w:szCs w:val="24"/>
                <w:highlight w:val="none"/>
                <w:lang w:val="en-US" w:eastAsia="zh-CN"/>
              </w:rPr>
              <w:t>固废</w:t>
            </w:r>
            <w:r>
              <w:rPr>
                <w:rFonts w:hint="default" w:ascii="Times New Roman" w:hAnsi="Times New Roman" w:cs="Times New Roman"/>
                <w:b w:val="0"/>
                <w:bCs/>
                <w:color w:val="auto"/>
                <w:sz w:val="24"/>
                <w:szCs w:val="24"/>
                <w:highlight w:val="none"/>
                <w:lang w:val="en-US" w:eastAsia="zh-CN"/>
              </w:rPr>
              <w:t>防治</w:t>
            </w:r>
            <w:r>
              <w:rPr>
                <w:rFonts w:hint="default" w:ascii="Times New Roman" w:hAnsi="Times New Roman" w:cs="Times New Roman"/>
                <w:b w:val="0"/>
                <w:bCs/>
                <w:color w:val="auto"/>
                <w:spacing w:val="10"/>
                <w:sz w:val="24"/>
                <w:szCs w:val="24"/>
                <w:highlight w:val="none"/>
              </w:rPr>
              <w:t>常用措施</w:t>
            </w:r>
            <w:r>
              <w:rPr>
                <w:rFonts w:hint="default" w:ascii="Times New Roman" w:hAnsi="Times New Roman" w:cs="Times New Roman"/>
                <w:b w:val="0"/>
                <w:bCs/>
                <w:color w:val="auto"/>
                <w:spacing w:val="10"/>
                <w:sz w:val="24"/>
                <w:szCs w:val="24"/>
                <w:highlight w:val="none"/>
                <w:lang w:eastAsia="zh-CN"/>
              </w:rPr>
              <w:t>，是可行技术，同时</w:t>
            </w:r>
            <w:r>
              <w:rPr>
                <w:rFonts w:hint="default" w:ascii="Times New Roman" w:hAnsi="Times New Roman" w:cs="Times New Roman"/>
                <w:b w:val="0"/>
                <w:bCs/>
                <w:color w:val="auto"/>
                <w:spacing w:val="10"/>
                <w:sz w:val="24"/>
                <w:szCs w:val="24"/>
                <w:highlight w:val="none"/>
              </w:rPr>
              <w:t>也</w:t>
            </w:r>
            <w:r>
              <w:rPr>
                <w:rFonts w:hint="default" w:ascii="Times New Roman" w:hAnsi="Times New Roman" w:cs="Times New Roman"/>
                <w:b w:val="0"/>
                <w:bCs/>
                <w:color w:val="auto"/>
                <w:spacing w:val="10"/>
                <w:sz w:val="24"/>
                <w:szCs w:val="24"/>
                <w:highlight w:val="none"/>
                <w:lang w:eastAsia="zh-CN"/>
              </w:rPr>
              <w:t>是</w:t>
            </w:r>
            <w:r>
              <w:rPr>
                <w:rFonts w:hint="default" w:ascii="Times New Roman" w:hAnsi="Times New Roman" w:cs="Times New Roman"/>
                <w:b w:val="0"/>
                <w:bCs/>
                <w:color w:val="auto"/>
                <w:spacing w:val="10"/>
                <w:sz w:val="24"/>
                <w:szCs w:val="24"/>
                <w:highlight w:val="none"/>
              </w:rPr>
              <w:t>比较</w:t>
            </w:r>
            <w:r>
              <w:rPr>
                <w:rFonts w:hint="default" w:ascii="Times New Roman" w:hAnsi="Times New Roman" w:cs="Times New Roman"/>
                <w:b w:val="0"/>
                <w:bCs/>
                <w:color w:val="auto"/>
                <w:spacing w:val="10"/>
                <w:sz w:val="24"/>
                <w:szCs w:val="24"/>
                <w:highlight w:val="none"/>
                <w:lang w:eastAsia="zh-CN"/>
              </w:rPr>
              <w:t>经济</w:t>
            </w:r>
            <w:r>
              <w:rPr>
                <w:rFonts w:hint="default" w:ascii="Times New Roman" w:hAnsi="Times New Roman" w:cs="Times New Roman"/>
                <w:b w:val="0"/>
                <w:bCs/>
                <w:color w:val="auto"/>
                <w:spacing w:val="10"/>
                <w:sz w:val="24"/>
                <w:szCs w:val="24"/>
                <w:highlight w:val="none"/>
              </w:rPr>
              <w:t>有效的措施，</w:t>
            </w:r>
            <w:r>
              <w:rPr>
                <w:rFonts w:hint="default" w:ascii="Times New Roman" w:hAnsi="Times New Roman" w:cs="Times New Roman"/>
                <w:b w:val="0"/>
                <w:bCs/>
                <w:color w:val="auto"/>
                <w:spacing w:val="10"/>
                <w:sz w:val="24"/>
                <w:szCs w:val="24"/>
                <w:highlight w:val="none"/>
                <w:lang w:eastAsia="zh-CN"/>
              </w:rPr>
              <w:t>可操作性和实施较简单，</w:t>
            </w:r>
            <w:r>
              <w:rPr>
                <w:rFonts w:hint="default" w:ascii="Times New Roman" w:hAnsi="Times New Roman" w:cs="Times New Roman"/>
                <w:b w:val="0"/>
                <w:bCs/>
                <w:color w:val="auto"/>
                <w:spacing w:val="10"/>
                <w:sz w:val="24"/>
                <w:szCs w:val="24"/>
                <w:highlight w:val="none"/>
              </w:rPr>
              <w:t>可取得较好的控制效果。</w:t>
            </w:r>
          </w:p>
          <w:p w14:paraId="1F12A5A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520" w:firstLineChars="200"/>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cs="Times New Roman"/>
                <w:b w:val="0"/>
                <w:bCs/>
                <w:color w:val="auto"/>
                <w:spacing w:val="10"/>
                <w:sz w:val="24"/>
                <w:szCs w:val="24"/>
                <w:highlight w:val="none"/>
              </w:rPr>
              <w:t>综上所述，本项目通过合理施工，加强管理，采取相应的环保设施后本项目施工期</w:t>
            </w:r>
            <w:r>
              <w:rPr>
                <w:rFonts w:hint="default" w:ascii="Times New Roman" w:hAnsi="Times New Roman" w:cs="Times New Roman"/>
                <w:b w:val="0"/>
                <w:bCs/>
                <w:color w:val="auto"/>
                <w:spacing w:val="10"/>
                <w:sz w:val="24"/>
                <w:szCs w:val="24"/>
                <w:highlight w:val="none"/>
                <w:lang w:eastAsia="zh-CN"/>
              </w:rPr>
              <w:t>固废</w:t>
            </w:r>
            <w:r>
              <w:rPr>
                <w:rFonts w:hint="default" w:ascii="Times New Roman" w:hAnsi="Times New Roman" w:cs="Times New Roman"/>
                <w:b w:val="0"/>
                <w:bCs/>
                <w:color w:val="auto"/>
                <w:spacing w:val="10"/>
                <w:sz w:val="24"/>
                <w:szCs w:val="24"/>
                <w:highlight w:val="none"/>
              </w:rPr>
              <w:t>对环境影响较小</w:t>
            </w:r>
            <w:r>
              <w:rPr>
                <w:rFonts w:hint="default" w:ascii="Times New Roman" w:hAnsi="Times New Roman" w:cs="Times New Roman"/>
                <w:b w:val="0"/>
                <w:bCs/>
                <w:color w:val="auto"/>
                <w:spacing w:val="10"/>
                <w:sz w:val="24"/>
                <w:szCs w:val="24"/>
                <w:highlight w:val="none"/>
                <w:lang w:eastAsia="zh-CN"/>
              </w:rPr>
              <w:t>，</w:t>
            </w:r>
            <w:r>
              <w:rPr>
                <w:rFonts w:hint="default" w:ascii="Times New Roman" w:hAnsi="Times New Roman" w:cs="Times New Roman"/>
                <w:b w:val="0"/>
                <w:bCs/>
                <w:color w:val="auto"/>
                <w:spacing w:val="10"/>
                <w:sz w:val="24"/>
                <w:szCs w:val="24"/>
                <w:highlight w:val="none"/>
              </w:rPr>
              <w:t>项目施工期</w:t>
            </w:r>
            <w:r>
              <w:rPr>
                <w:rFonts w:hint="eastAsia" w:ascii="Times New Roman" w:hAnsi="Times New Roman" w:cs="Times New Roman"/>
                <w:b w:val="0"/>
                <w:bCs/>
                <w:color w:val="auto"/>
                <w:spacing w:val="10"/>
                <w:sz w:val="24"/>
                <w:szCs w:val="24"/>
                <w:highlight w:val="none"/>
                <w:lang w:eastAsia="zh-CN"/>
              </w:rPr>
              <w:t>固废</w:t>
            </w:r>
            <w:r>
              <w:rPr>
                <w:rFonts w:hint="default" w:ascii="Times New Roman" w:hAnsi="Times New Roman" w:cs="Times New Roman"/>
                <w:b w:val="0"/>
                <w:bCs/>
                <w:color w:val="auto"/>
                <w:spacing w:val="10"/>
                <w:sz w:val="24"/>
                <w:szCs w:val="24"/>
                <w:highlight w:val="none"/>
              </w:rPr>
              <w:t>采取的措施是可行的。</w:t>
            </w:r>
          </w:p>
          <w:p w14:paraId="357D3932">
            <w:pPr>
              <w:pStyle w:val="43"/>
              <w:spacing w:before="157" w:beforeLines="50" w:afterLines="0"/>
              <w:ind w:firstLine="0" w:firstLineChars="0"/>
              <w:rPr>
                <w:rFonts w:hint="default" w:ascii="Times New Roman" w:hAnsi="Times New Roman" w:cs="Times New Roman"/>
                <w:b/>
                <w:color w:val="auto"/>
                <w:sz w:val="24"/>
                <w:szCs w:val="24"/>
                <w:highlight w:val="none"/>
                <w:u w:val="none" w:color="auto"/>
              </w:rPr>
            </w:pPr>
            <w:r>
              <w:rPr>
                <w:rFonts w:hint="default" w:ascii="Times New Roman" w:hAnsi="Times New Roman" w:eastAsia="宋体" w:cs="Times New Roman"/>
                <w:b/>
                <w:color w:val="auto"/>
                <w:sz w:val="24"/>
                <w:szCs w:val="24"/>
                <w:highlight w:val="none"/>
                <w:u w:val="none" w:color="auto"/>
              </w:rPr>
              <w:t>6</w:t>
            </w:r>
            <w:r>
              <w:rPr>
                <w:rFonts w:hint="default" w:ascii="Times New Roman" w:hAnsi="Times New Roman" w:cs="Times New Roman"/>
                <w:b/>
                <w:color w:val="auto"/>
                <w:sz w:val="24"/>
                <w:szCs w:val="24"/>
                <w:highlight w:val="none"/>
                <w:u w:val="none" w:color="auto"/>
              </w:rPr>
              <w:t>.</w:t>
            </w:r>
            <w:r>
              <w:rPr>
                <w:rFonts w:hint="default" w:ascii="Times New Roman" w:hAnsi="Times New Roman" w:eastAsia="宋体" w:cs="Times New Roman"/>
                <w:b/>
                <w:color w:val="auto"/>
                <w:sz w:val="24"/>
                <w:szCs w:val="24"/>
                <w:highlight w:val="none"/>
                <w:u w:val="none" w:color="auto"/>
              </w:rPr>
              <w:t>生态环境保护措施</w:t>
            </w:r>
          </w:p>
          <w:p w14:paraId="76F93997">
            <w:pPr>
              <w:adjustRightInd w:val="0"/>
              <w:snapToGrid w:val="0"/>
              <w:spacing w:beforeLines="0" w:afterLines="0" w:line="360" w:lineRule="auto"/>
              <w:ind w:firstLine="480" w:firstLineChars="200"/>
              <w:rPr>
                <w:rFonts w:hint="default" w:ascii="Times New Roman" w:hAnsi="Times New Roman" w:eastAsia="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要在施工过程中，减少对生态环境的不利影响，仍需进一步的完善和落实生态保护措施。</w:t>
            </w:r>
          </w:p>
          <w:p w14:paraId="50084DA8">
            <w:pPr>
              <w:adjustRightInd w:val="0"/>
              <w:snapToGrid w:val="0"/>
              <w:spacing w:beforeLines="0" w:afterLines="0" w:line="360" w:lineRule="auto"/>
              <w:ind w:firstLine="480" w:firstLineChars="200"/>
              <w:rPr>
                <w:rFonts w:hint="default" w:ascii="Times New Roman" w:hAnsi="Times New Roman" w:eastAsia="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1）施工活动开始之前，需制定详细的施工方案，限定施工人员的活动区域，尽量控制施工动土范围，以保持原生生态系统的稳定性和完整性。通过优化方案，有效降低项目建设对评价范围内植物、植被的影响和破坏。</w:t>
            </w:r>
          </w:p>
          <w:p w14:paraId="44870233">
            <w:pPr>
              <w:adjustRightInd w:val="0"/>
              <w:snapToGrid w:val="0"/>
              <w:spacing w:beforeLines="0" w:afterLines="0" w:line="360" w:lineRule="auto"/>
              <w:ind w:firstLine="480" w:firstLineChars="200"/>
              <w:rPr>
                <w:rFonts w:hint="default" w:ascii="Times New Roman" w:hAnsi="Times New Roman" w:eastAsia="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w:t>
            </w:r>
            <w:r>
              <w:rPr>
                <w:rFonts w:hint="eastAsia" w:cs="Times New Roman"/>
                <w:color w:val="auto"/>
                <w:sz w:val="24"/>
                <w:szCs w:val="24"/>
                <w:highlight w:val="none"/>
                <w:u w:val="none" w:color="auto"/>
                <w:lang w:val="en-US" w:eastAsia="zh-CN"/>
              </w:rPr>
              <w:t>2</w:t>
            </w:r>
            <w:r>
              <w:rPr>
                <w:rFonts w:hint="default" w:ascii="Times New Roman" w:hAnsi="Times New Roman" w:eastAsia="宋体" w:cs="Times New Roman"/>
                <w:color w:val="auto"/>
                <w:sz w:val="24"/>
                <w:szCs w:val="24"/>
                <w:highlight w:val="none"/>
                <w:u w:val="none" w:color="auto"/>
              </w:rPr>
              <w:t>）在施工中尽可能地防止机械检修、冲洗废水等随意排放，对工程废物进行快速、集中处理，减少对环境的污染，对于施工人员产生的垃圾集中进行处理。</w:t>
            </w:r>
          </w:p>
          <w:p w14:paraId="73D6D8F7">
            <w:pPr>
              <w:adjustRightInd w:val="0"/>
              <w:snapToGrid w:val="0"/>
              <w:spacing w:beforeLines="0" w:afterLines="0" w:line="360" w:lineRule="auto"/>
              <w:ind w:firstLine="480" w:firstLineChars="200"/>
              <w:rPr>
                <w:rFonts w:hint="default" w:ascii="Times New Roman" w:hAnsi="Times New Roman" w:eastAsia="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w:t>
            </w:r>
            <w:r>
              <w:rPr>
                <w:rFonts w:hint="eastAsia" w:cs="Times New Roman"/>
                <w:color w:val="auto"/>
                <w:sz w:val="24"/>
                <w:szCs w:val="24"/>
                <w:highlight w:val="none"/>
                <w:u w:val="none" w:color="auto"/>
                <w:lang w:val="en-US" w:eastAsia="zh-CN"/>
              </w:rPr>
              <w:t>3</w:t>
            </w:r>
            <w:r>
              <w:rPr>
                <w:rFonts w:hint="default" w:ascii="Times New Roman" w:hAnsi="Times New Roman" w:eastAsia="宋体" w:cs="Times New Roman"/>
                <w:color w:val="auto"/>
                <w:sz w:val="24"/>
                <w:szCs w:val="24"/>
                <w:highlight w:val="none"/>
                <w:u w:val="none" w:color="auto"/>
              </w:rPr>
              <w:t>）为减少施工期间的景观影响，应对施工场地内施工机械整齐放置、合理布设，散乱的建筑材料和物品尽量加以覆盖，开挖后的区域尽快平整，保持施工场地及周围的整齐美观。</w:t>
            </w:r>
          </w:p>
          <w:p w14:paraId="6416468E">
            <w:pPr>
              <w:adjustRightInd w:val="0"/>
              <w:snapToGrid w:val="0"/>
              <w:spacing w:beforeLines="0" w:afterLines="0" w:line="360" w:lineRule="auto"/>
              <w:ind w:firstLine="480" w:firstLineChars="200"/>
              <w:rPr>
                <w:rFonts w:hint="default" w:ascii="Times New Roman" w:hAnsi="Times New Roman" w:eastAsia="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w:t>
            </w:r>
            <w:r>
              <w:rPr>
                <w:rFonts w:hint="eastAsia" w:cs="Times New Roman"/>
                <w:color w:val="auto"/>
                <w:sz w:val="24"/>
                <w:szCs w:val="24"/>
                <w:highlight w:val="none"/>
                <w:u w:val="none" w:color="auto"/>
                <w:lang w:val="en-US" w:eastAsia="zh-CN"/>
              </w:rPr>
              <w:t>4</w:t>
            </w:r>
            <w:r>
              <w:rPr>
                <w:rFonts w:hint="default" w:ascii="Times New Roman" w:hAnsi="Times New Roman" w:eastAsia="宋体" w:cs="Times New Roman"/>
                <w:color w:val="auto"/>
                <w:sz w:val="24"/>
                <w:szCs w:val="24"/>
                <w:highlight w:val="none"/>
                <w:u w:val="none" w:color="auto"/>
              </w:rPr>
              <w:t>）加强管理，保护水质。避免因污水的直接排放对水体产生污染而引起对水生生物的影响。</w:t>
            </w:r>
          </w:p>
          <w:p w14:paraId="38B0FC03">
            <w:pPr>
              <w:adjustRightInd w:val="0"/>
              <w:snapToGrid w:val="0"/>
              <w:spacing w:beforeLines="0" w:afterLines="0" w:line="360" w:lineRule="auto"/>
              <w:ind w:firstLine="480" w:firstLineChars="200"/>
              <w:rPr>
                <w:rFonts w:hint="default" w:ascii="Times New Roman" w:hAnsi="Times New Roman" w:eastAsia="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w:t>
            </w:r>
            <w:r>
              <w:rPr>
                <w:rFonts w:hint="eastAsia" w:cs="Times New Roman"/>
                <w:color w:val="auto"/>
                <w:sz w:val="24"/>
                <w:szCs w:val="24"/>
                <w:highlight w:val="none"/>
                <w:u w:val="none" w:color="auto"/>
                <w:lang w:val="en-US" w:eastAsia="zh-CN"/>
              </w:rPr>
              <w:t>5</w:t>
            </w:r>
            <w:r>
              <w:rPr>
                <w:rFonts w:hint="default" w:ascii="Times New Roman" w:hAnsi="Times New Roman" w:eastAsia="宋体" w:cs="Times New Roman"/>
                <w:color w:val="auto"/>
                <w:sz w:val="24"/>
                <w:szCs w:val="24"/>
                <w:highlight w:val="none"/>
                <w:u w:val="none" w:color="auto"/>
              </w:rPr>
              <w:t>）建设单位应在施工过程中加强施工管理，严格执行施工操作规程，合理安排施工周期，在发生大暴雨时应停止施工，并采取短期覆盖措施，减少水土流失。</w:t>
            </w:r>
          </w:p>
          <w:p w14:paraId="3FFEA941">
            <w:pPr>
              <w:adjustRightInd w:val="0"/>
              <w:snapToGrid w:val="0"/>
              <w:spacing w:beforeLines="0" w:afterLines="0" w:line="360" w:lineRule="auto"/>
              <w:ind w:firstLine="480" w:firstLineChars="200"/>
              <w:rPr>
                <w:rFonts w:hint="default" w:ascii="Times New Roman" w:hAnsi="Times New Roman" w:eastAsia="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w:t>
            </w:r>
            <w:r>
              <w:rPr>
                <w:rFonts w:hint="eastAsia" w:cs="Times New Roman"/>
                <w:color w:val="auto"/>
                <w:sz w:val="24"/>
                <w:szCs w:val="24"/>
                <w:highlight w:val="none"/>
                <w:u w:val="none" w:color="auto"/>
                <w:lang w:val="en-US" w:eastAsia="zh-CN"/>
              </w:rPr>
              <w:t>6</w:t>
            </w:r>
            <w:r>
              <w:rPr>
                <w:rFonts w:hint="default" w:ascii="Times New Roman" w:hAnsi="Times New Roman" w:eastAsia="宋体" w:cs="Times New Roman"/>
                <w:color w:val="auto"/>
                <w:sz w:val="24"/>
                <w:szCs w:val="24"/>
                <w:highlight w:val="none"/>
                <w:u w:val="none" w:color="auto"/>
              </w:rPr>
              <w:t>）对施工单位和施工人员进行水土保持教育，广泛宣传水土保持法律法规及有关方针政策，普及水土保持知识，提高其水土保持意识，规范其水土保持行为。在工程建设中，尽量采用先进的施工手段和合理的施工程序以减少和避免水土流失。</w:t>
            </w:r>
          </w:p>
          <w:p w14:paraId="18B00605">
            <w:pPr>
              <w:adjustRightInd w:val="0"/>
              <w:snapToGrid w:val="0"/>
              <w:spacing w:beforeLines="0" w:afterLines="0" w:line="360" w:lineRule="auto"/>
              <w:ind w:firstLine="480" w:firstLineChars="200"/>
              <w:rPr>
                <w:rFonts w:hint="default" w:ascii="Times New Roman" w:hAnsi="Times New Roman" w:eastAsia="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w:t>
            </w:r>
            <w:r>
              <w:rPr>
                <w:rFonts w:hint="eastAsia" w:cs="Times New Roman"/>
                <w:color w:val="auto"/>
                <w:sz w:val="24"/>
                <w:szCs w:val="24"/>
                <w:highlight w:val="none"/>
                <w:u w:val="none" w:color="auto"/>
                <w:lang w:val="en-US" w:eastAsia="zh-CN"/>
              </w:rPr>
              <w:t>7</w:t>
            </w:r>
            <w:r>
              <w:rPr>
                <w:rFonts w:hint="default" w:ascii="Times New Roman" w:hAnsi="Times New Roman" w:eastAsia="宋体" w:cs="Times New Roman"/>
                <w:color w:val="auto"/>
                <w:sz w:val="24"/>
                <w:szCs w:val="24"/>
                <w:highlight w:val="none"/>
                <w:u w:val="none" w:color="auto"/>
              </w:rPr>
              <w:t>）项目在施工过程中应加强施工管理，避免雨水冲刷。道路运输避免沿途抛弃，减少水土流失。工程施工后期，植树种草，覆盖表土，避免水土流失，计划植草、植水保树等。</w:t>
            </w:r>
          </w:p>
          <w:p w14:paraId="7CAC6FB4">
            <w:pPr>
              <w:adjustRightInd w:val="0"/>
              <w:snapToGrid w:val="0"/>
              <w:spacing w:beforeLines="0" w:afterLines="0" w:line="360" w:lineRule="auto"/>
              <w:ind w:firstLine="480" w:firstLineChars="200"/>
              <w:rPr>
                <w:rFonts w:hint="default" w:ascii="Times New Roman" w:hAnsi="Times New Roman" w:eastAsia="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w:t>
            </w:r>
            <w:r>
              <w:rPr>
                <w:rFonts w:hint="eastAsia" w:cs="Times New Roman"/>
                <w:color w:val="auto"/>
                <w:sz w:val="24"/>
                <w:szCs w:val="24"/>
                <w:highlight w:val="none"/>
                <w:u w:val="none" w:color="auto"/>
                <w:lang w:val="en-US" w:eastAsia="zh-CN"/>
              </w:rPr>
              <w:t>8</w:t>
            </w:r>
            <w:r>
              <w:rPr>
                <w:rFonts w:hint="default" w:ascii="Times New Roman" w:hAnsi="Times New Roman" w:eastAsia="宋体" w:cs="Times New Roman"/>
                <w:color w:val="auto"/>
                <w:sz w:val="24"/>
                <w:szCs w:val="24"/>
                <w:highlight w:val="none"/>
                <w:u w:val="none" w:color="auto"/>
              </w:rPr>
              <w:t>）做好水土保持和生态保护工作，项目施工过程应注意保护生态环境，尽量减少施工区的数量和面积。</w:t>
            </w:r>
          </w:p>
          <w:p w14:paraId="279439E9">
            <w:pPr>
              <w:adjustRightInd w:val="0"/>
              <w:snapToGrid w:val="0"/>
              <w:spacing w:beforeLines="0" w:afterLines="0" w:line="360" w:lineRule="auto"/>
              <w:ind w:firstLine="480" w:firstLineChars="200"/>
              <w:rPr>
                <w:rFonts w:hint="default" w:ascii="Times New Roman" w:hAnsi="Times New Roman" w:eastAsia="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w:t>
            </w:r>
            <w:r>
              <w:rPr>
                <w:rFonts w:hint="eastAsia" w:cs="Times New Roman"/>
                <w:color w:val="auto"/>
                <w:sz w:val="24"/>
                <w:szCs w:val="24"/>
                <w:highlight w:val="none"/>
                <w:u w:val="none" w:color="auto"/>
                <w:lang w:val="en-US" w:eastAsia="zh-CN"/>
              </w:rPr>
              <w:t>9</w:t>
            </w:r>
            <w:r>
              <w:rPr>
                <w:rFonts w:hint="default" w:ascii="Times New Roman" w:hAnsi="Times New Roman" w:eastAsia="宋体" w:cs="Times New Roman"/>
                <w:color w:val="auto"/>
                <w:sz w:val="24"/>
                <w:szCs w:val="24"/>
                <w:highlight w:val="none"/>
                <w:u w:val="none" w:color="auto"/>
              </w:rPr>
              <w:t>）在施工过程中应合理安排工期，做好施工场地、施工便道等的规划设置工作，最大限度地减少对植被的影响。</w:t>
            </w:r>
          </w:p>
          <w:p w14:paraId="36A05154">
            <w:pPr>
              <w:adjustRightInd w:val="0"/>
              <w:snapToGrid w:val="0"/>
              <w:spacing w:beforeLines="0" w:afterLines="0" w:line="360" w:lineRule="auto"/>
              <w:ind w:firstLine="480" w:firstLineChars="200"/>
              <w:rPr>
                <w:rFonts w:hint="default" w:ascii="Times New Roman" w:hAnsi="Times New Roman" w:eastAsia="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（1</w:t>
            </w:r>
            <w:r>
              <w:rPr>
                <w:rFonts w:hint="eastAsia" w:cs="Times New Roman"/>
                <w:color w:val="auto"/>
                <w:sz w:val="24"/>
                <w:szCs w:val="24"/>
                <w:highlight w:val="none"/>
                <w:u w:val="none" w:color="auto"/>
                <w:lang w:val="en-US" w:eastAsia="zh-CN"/>
              </w:rPr>
              <w:t>0</w:t>
            </w:r>
            <w:r>
              <w:rPr>
                <w:rFonts w:hint="default" w:ascii="Times New Roman" w:hAnsi="Times New Roman" w:eastAsia="宋体" w:cs="Times New Roman"/>
                <w:color w:val="auto"/>
                <w:sz w:val="24"/>
                <w:szCs w:val="24"/>
                <w:highlight w:val="none"/>
                <w:u w:val="none" w:color="auto"/>
              </w:rPr>
              <w:t>）在施工结束后进行植树补偿，以保持自然和生态环境免遭破坏。</w:t>
            </w:r>
          </w:p>
          <w:p w14:paraId="4CBA234A">
            <w:pPr>
              <w:adjustRightInd w:val="0"/>
              <w:snapToGrid w:val="0"/>
              <w:spacing w:beforeLines="0" w:afterLines="0" w:line="360" w:lineRule="auto"/>
              <w:ind w:firstLine="480" w:firstLineChars="200"/>
              <w:rPr>
                <w:rFonts w:hint="default" w:ascii="Times New Roman" w:hAnsi="Times New Roman" w:eastAsia="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（1</w:t>
            </w:r>
            <w:r>
              <w:rPr>
                <w:rFonts w:hint="eastAsia" w:cs="Times New Roman"/>
                <w:color w:val="auto"/>
                <w:sz w:val="24"/>
                <w:szCs w:val="24"/>
                <w:highlight w:val="none"/>
                <w:u w:val="none" w:color="auto"/>
                <w:lang w:val="en-US" w:eastAsia="zh-CN"/>
              </w:rPr>
              <w:t>1</w:t>
            </w:r>
            <w:r>
              <w:rPr>
                <w:rFonts w:hint="default" w:ascii="Times New Roman" w:hAnsi="Times New Roman" w:eastAsia="宋体" w:cs="Times New Roman"/>
                <w:color w:val="auto"/>
                <w:sz w:val="24"/>
                <w:szCs w:val="24"/>
                <w:highlight w:val="none"/>
                <w:u w:val="none" w:color="auto"/>
              </w:rPr>
              <w:t>）施工结束后，要及时清理、恢复施工场所的生态环境和路面进行修复。</w:t>
            </w:r>
          </w:p>
          <w:p w14:paraId="2D4FD76B">
            <w:pPr>
              <w:pStyle w:val="8"/>
              <w:adjustRightInd w:val="0"/>
              <w:snapToGrid w:val="0"/>
              <w:spacing w:beforeLines="0" w:afterLines="0" w:line="360" w:lineRule="auto"/>
              <w:ind w:left="0" w:right="0" w:firstLine="480" w:firstLineChars="200"/>
              <w:jc w:val="both"/>
              <w:rPr>
                <w:rFonts w:hint="default" w:ascii="Times New Roman" w:hAnsi="Times New Roman"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（1</w:t>
            </w:r>
            <w:r>
              <w:rPr>
                <w:rFonts w:hint="eastAsia" w:eastAsia="宋体" w:cs="Times New Roman"/>
                <w:color w:val="auto"/>
                <w:sz w:val="24"/>
                <w:szCs w:val="24"/>
                <w:highlight w:val="none"/>
                <w:u w:val="none" w:color="auto"/>
                <w:lang w:val="en-US" w:eastAsia="zh-CN"/>
              </w:rPr>
              <w:t>2</w:t>
            </w:r>
            <w:r>
              <w:rPr>
                <w:rFonts w:hint="default" w:ascii="Times New Roman" w:hAnsi="Times New Roman" w:eastAsia="宋体" w:cs="Times New Roman"/>
                <w:color w:val="auto"/>
                <w:sz w:val="24"/>
                <w:szCs w:val="24"/>
                <w:highlight w:val="none"/>
                <w:u w:val="none" w:color="auto"/>
              </w:rPr>
              <w:t>）临时开挖出的土方堆放，要采取防浸泡、防冲刷、防止水土流失等措施，避免给环境带来二次污染。</w:t>
            </w:r>
          </w:p>
          <w:p w14:paraId="6B881968">
            <w:pPr>
              <w:pStyle w:val="8"/>
              <w:adjustRightInd w:val="0"/>
              <w:snapToGrid w:val="0"/>
              <w:spacing w:beforeLines="0" w:afterLines="0" w:line="360" w:lineRule="auto"/>
              <w:ind w:left="0" w:right="0" w:firstLine="480" w:firstLineChars="200"/>
              <w:jc w:val="both"/>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（1</w:t>
            </w:r>
            <w:r>
              <w:rPr>
                <w:rFonts w:hint="eastAsia" w:eastAsia="宋体" w:cs="Times New Roman"/>
                <w:color w:val="auto"/>
                <w:sz w:val="24"/>
                <w:szCs w:val="24"/>
                <w:highlight w:val="none"/>
                <w:u w:val="none" w:color="auto"/>
                <w:lang w:val="en-US" w:eastAsia="zh-CN"/>
              </w:rPr>
              <w:t>3</w:t>
            </w:r>
            <w:r>
              <w:rPr>
                <w:rFonts w:hint="default" w:ascii="Times New Roman" w:hAnsi="Times New Roman" w:eastAsia="宋体" w:cs="Times New Roman"/>
                <w:color w:val="auto"/>
                <w:sz w:val="24"/>
                <w:szCs w:val="24"/>
                <w:highlight w:val="none"/>
                <w:u w:val="none" w:color="auto"/>
              </w:rPr>
              <w:t>）施工时应分层开挖、摊铺表土单独剥离妥善保管、分层堆放、分层回填，摊铺表土边沿应设导水沟，增设覆盖物。</w:t>
            </w:r>
          </w:p>
          <w:p w14:paraId="7DD056F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none" w:color="auto"/>
              </w:rPr>
            </w:pPr>
            <w:r>
              <w:rPr>
                <w:rFonts w:hint="default" w:ascii="Times New Roman" w:hAnsi="Times New Roman" w:eastAsia="宋体" w:cs="Times New Roman"/>
                <w:color w:val="auto"/>
                <w:sz w:val="24"/>
                <w:szCs w:val="24"/>
                <w:highlight w:val="none"/>
                <w:u w:val="none" w:color="auto"/>
              </w:rPr>
              <w:t>（1</w:t>
            </w:r>
            <w:r>
              <w:rPr>
                <w:rFonts w:hint="eastAsia" w:cs="Times New Roman"/>
                <w:color w:val="auto"/>
                <w:sz w:val="24"/>
                <w:szCs w:val="24"/>
                <w:highlight w:val="none"/>
                <w:u w:val="none" w:color="auto"/>
                <w:lang w:val="en-US" w:eastAsia="zh-CN"/>
              </w:rPr>
              <w:t>4</w:t>
            </w:r>
            <w:r>
              <w:rPr>
                <w:rFonts w:hint="default" w:ascii="Times New Roman" w:hAnsi="Times New Roman" w:eastAsia="宋体" w:cs="Times New Roman"/>
                <w:color w:val="auto"/>
                <w:sz w:val="24"/>
                <w:szCs w:val="24"/>
                <w:highlight w:val="none"/>
                <w:u w:val="none" w:color="auto"/>
              </w:rPr>
              <w:t>）项目水土保持措施有：表土剥离、表土回覆、土地平整、排水沟、直播种草、乔灌木栽植、临时排水沟等，工程建设应严格控制地表扰动和植被损坏范围，尽量减少工程占地、加强工程建设管理、优化施工工艺、加强水土保持防护，控制可能造成的水土流失。</w:t>
            </w:r>
          </w:p>
          <w:p w14:paraId="0935BD62">
            <w:pPr>
              <w:pStyle w:val="17"/>
              <w:ind w:firstLine="482" w:firstLineChars="200"/>
              <w:rPr>
                <w:rFonts w:hint="default" w:eastAsia="宋体"/>
                <w:b/>
                <w:bCs/>
                <w:color w:val="auto"/>
                <w:highlight w:val="none"/>
                <w:lang w:val="en-US" w:eastAsia="zh-CN"/>
              </w:rPr>
            </w:pPr>
            <w:r>
              <w:rPr>
                <w:rFonts w:hint="eastAsia" w:cs="Times New Roman"/>
                <w:b/>
                <w:bCs/>
                <w:color w:val="auto"/>
                <w:sz w:val="24"/>
                <w:szCs w:val="24"/>
                <w:highlight w:val="none"/>
                <w:u w:val="none" w:color="auto"/>
                <w:lang w:val="en-US" w:eastAsia="zh-CN"/>
              </w:rPr>
              <w:t>6.1措施分析</w:t>
            </w:r>
          </w:p>
          <w:p w14:paraId="74E31DF3">
            <w:pPr>
              <w:adjustRightInd w:val="0"/>
              <w:snapToGrid w:val="0"/>
              <w:spacing w:line="360" w:lineRule="auto"/>
              <w:ind w:firstLine="520" w:firstLineChars="200"/>
              <w:rPr>
                <w:rFonts w:hint="default" w:ascii="Times New Roman" w:hAnsi="Times New Roman" w:eastAsia="宋体" w:cs="Times New Roman"/>
                <w:b w:val="0"/>
                <w:bCs/>
                <w:color w:val="auto"/>
                <w:spacing w:val="10"/>
                <w:sz w:val="24"/>
                <w:szCs w:val="24"/>
                <w:highlight w:val="none"/>
                <w:lang w:eastAsia="zh-CN"/>
              </w:rPr>
            </w:pPr>
            <w:r>
              <w:rPr>
                <w:rFonts w:hint="default" w:ascii="Times New Roman" w:hAnsi="Times New Roman" w:cs="Times New Roman"/>
                <w:b w:val="0"/>
                <w:bCs/>
                <w:color w:val="auto"/>
                <w:spacing w:val="10"/>
                <w:sz w:val="24"/>
                <w:szCs w:val="24"/>
                <w:highlight w:val="none"/>
                <w:lang w:eastAsia="zh-CN"/>
              </w:rPr>
              <w:t>本项目</w:t>
            </w:r>
            <w:r>
              <w:rPr>
                <w:rFonts w:hint="default" w:ascii="Times New Roman" w:hAnsi="Times New Roman" w:cs="Times New Roman"/>
                <w:b w:val="0"/>
                <w:bCs/>
                <w:color w:val="auto"/>
                <w:sz w:val="24"/>
                <w:szCs w:val="24"/>
                <w:highlight w:val="none"/>
                <w:lang w:eastAsia="zh-CN"/>
              </w:rPr>
              <w:t>生态环境保护</w:t>
            </w:r>
            <w:r>
              <w:rPr>
                <w:rFonts w:hint="default" w:ascii="Times New Roman" w:hAnsi="Times New Roman" w:cs="Times New Roman"/>
                <w:b w:val="0"/>
                <w:bCs/>
                <w:color w:val="auto"/>
                <w:spacing w:val="10"/>
                <w:sz w:val="24"/>
                <w:szCs w:val="24"/>
                <w:highlight w:val="none"/>
                <w:lang w:eastAsia="zh-CN"/>
              </w:rPr>
              <w:t>采取的</w:t>
            </w:r>
            <w:r>
              <w:rPr>
                <w:rFonts w:hint="default" w:ascii="Times New Roman" w:hAnsi="Times New Roman" w:eastAsia="宋体" w:cs="Times New Roman"/>
                <w:color w:val="auto"/>
                <w:sz w:val="24"/>
                <w:szCs w:val="24"/>
                <w:highlight w:val="none"/>
                <w:u w:val="none" w:color="auto"/>
              </w:rPr>
              <w:t>制定详细的施工方案</w:t>
            </w:r>
            <w:r>
              <w:rPr>
                <w:rFonts w:hint="default" w:ascii="Times New Roman" w:hAnsi="Times New Roman" w:eastAsia="宋体" w:cs="Times New Roman"/>
                <w:b w:val="0"/>
                <w:bCs/>
                <w:color w:val="auto"/>
                <w:kern w:val="2"/>
                <w:sz w:val="24"/>
                <w:szCs w:val="24"/>
                <w:highlight w:val="none"/>
                <w:lang w:val="en-US" w:eastAsia="zh-CN" w:bidi="ar-SA"/>
              </w:rPr>
              <w:t>、</w:t>
            </w:r>
            <w:r>
              <w:rPr>
                <w:rFonts w:hint="default" w:ascii="Times New Roman" w:hAnsi="Times New Roman" w:eastAsia="宋体" w:cs="Times New Roman"/>
                <w:color w:val="auto"/>
                <w:sz w:val="24"/>
                <w:szCs w:val="24"/>
                <w:highlight w:val="none"/>
                <w:u w:val="none" w:color="auto"/>
              </w:rPr>
              <w:t>在施工结束后</w:t>
            </w:r>
            <w:r>
              <w:rPr>
                <w:rFonts w:hint="eastAsia" w:cs="Times New Roman"/>
                <w:color w:val="auto"/>
                <w:sz w:val="24"/>
                <w:szCs w:val="24"/>
                <w:highlight w:val="none"/>
                <w:u w:val="none" w:color="auto"/>
                <w:lang w:eastAsia="zh-CN"/>
              </w:rPr>
              <w:t>在厂区</w:t>
            </w:r>
            <w:r>
              <w:rPr>
                <w:rFonts w:hint="default" w:ascii="Times New Roman" w:hAnsi="Times New Roman" w:eastAsia="宋体" w:cs="Times New Roman"/>
                <w:color w:val="auto"/>
                <w:sz w:val="24"/>
                <w:szCs w:val="24"/>
                <w:highlight w:val="none"/>
                <w:u w:val="none" w:color="auto"/>
              </w:rPr>
              <w:t>进行</w:t>
            </w:r>
            <w:r>
              <w:rPr>
                <w:rFonts w:hint="eastAsia" w:cs="Times New Roman"/>
                <w:color w:val="auto"/>
                <w:sz w:val="24"/>
                <w:szCs w:val="24"/>
                <w:highlight w:val="none"/>
                <w:u w:val="none" w:color="auto"/>
                <w:lang w:eastAsia="zh-CN"/>
              </w:rPr>
              <w:t>适当的绿化、</w:t>
            </w:r>
            <w:r>
              <w:rPr>
                <w:rFonts w:hint="default" w:ascii="Times New Roman" w:hAnsi="Times New Roman" w:eastAsia="宋体" w:cs="Times New Roman"/>
                <w:b w:val="0"/>
                <w:bCs/>
                <w:color w:val="auto"/>
                <w:kern w:val="2"/>
                <w:sz w:val="24"/>
                <w:szCs w:val="24"/>
                <w:highlight w:val="none"/>
                <w:lang w:val="en-US" w:eastAsia="zh-CN" w:bidi="ar-SA"/>
              </w:rPr>
              <w:t>施工机械整齐放置、合理布设，加强施工管理、合理安排施工周期、严格控制地表扰动和植被损坏范围，尽量减少工程占地、优化施工工艺、加强水土保持防护等措施，是生态环境保护</w:t>
            </w:r>
            <w:r>
              <w:rPr>
                <w:rFonts w:hint="default" w:ascii="Times New Roman" w:hAnsi="Times New Roman" w:cs="Times New Roman"/>
                <w:b w:val="0"/>
                <w:bCs/>
                <w:color w:val="auto"/>
                <w:spacing w:val="10"/>
                <w:sz w:val="24"/>
                <w:szCs w:val="24"/>
                <w:highlight w:val="none"/>
              </w:rPr>
              <w:t>常用措施</w:t>
            </w:r>
            <w:r>
              <w:rPr>
                <w:rFonts w:hint="default" w:ascii="Times New Roman" w:hAnsi="Times New Roman" w:cs="Times New Roman"/>
                <w:b w:val="0"/>
                <w:bCs/>
                <w:color w:val="auto"/>
                <w:spacing w:val="10"/>
                <w:sz w:val="24"/>
                <w:szCs w:val="24"/>
                <w:highlight w:val="none"/>
                <w:lang w:eastAsia="zh-CN"/>
              </w:rPr>
              <w:t>，是可行技术，同时</w:t>
            </w:r>
            <w:r>
              <w:rPr>
                <w:rFonts w:hint="default" w:ascii="Times New Roman" w:hAnsi="Times New Roman" w:cs="Times New Roman"/>
                <w:b w:val="0"/>
                <w:bCs/>
                <w:color w:val="auto"/>
                <w:spacing w:val="10"/>
                <w:sz w:val="24"/>
                <w:szCs w:val="24"/>
                <w:highlight w:val="none"/>
              </w:rPr>
              <w:t>也</w:t>
            </w:r>
            <w:r>
              <w:rPr>
                <w:rFonts w:hint="default" w:ascii="Times New Roman" w:hAnsi="Times New Roman" w:cs="Times New Roman"/>
                <w:b w:val="0"/>
                <w:bCs/>
                <w:color w:val="auto"/>
                <w:spacing w:val="10"/>
                <w:sz w:val="24"/>
                <w:szCs w:val="24"/>
                <w:highlight w:val="none"/>
                <w:lang w:eastAsia="zh-CN"/>
              </w:rPr>
              <w:t>是</w:t>
            </w:r>
            <w:r>
              <w:rPr>
                <w:rFonts w:hint="default" w:ascii="Times New Roman" w:hAnsi="Times New Roman" w:cs="Times New Roman"/>
                <w:b w:val="0"/>
                <w:bCs/>
                <w:color w:val="auto"/>
                <w:spacing w:val="10"/>
                <w:sz w:val="24"/>
                <w:szCs w:val="24"/>
                <w:highlight w:val="none"/>
              </w:rPr>
              <w:t>比较</w:t>
            </w:r>
            <w:r>
              <w:rPr>
                <w:rFonts w:hint="default" w:ascii="Times New Roman" w:hAnsi="Times New Roman" w:cs="Times New Roman"/>
                <w:b w:val="0"/>
                <w:bCs/>
                <w:color w:val="auto"/>
                <w:spacing w:val="10"/>
                <w:sz w:val="24"/>
                <w:szCs w:val="24"/>
                <w:highlight w:val="none"/>
                <w:lang w:eastAsia="zh-CN"/>
              </w:rPr>
              <w:t>经济</w:t>
            </w:r>
            <w:r>
              <w:rPr>
                <w:rFonts w:hint="default" w:ascii="Times New Roman" w:hAnsi="Times New Roman" w:cs="Times New Roman"/>
                <w:b w:val="0"/>
                <w:bCs/>
                <w:color w:val="auto"/>
                <w:spacing w:val="10"/>
                <w:sz w:val="24"/>
                <w:szCs w:val="24"/>
                <w:highlight w:val="none"/>
              </w:rPr>
              <w:t>有效的措施，</w:t>
            </w:r>
            <w:r>
              <w:rPr>
                <w:rFonts w:hint="default" w:ascii="Times New Roman" w:hAnsi="Times New Roman" w:cs="Times New Roman"/>
                <w:b w:val="0"/>
                <w:bCs/>
                <w:color w:val="auto"/>
                <w:spacing w:val="10"/>
                <w:sz w:val="24"/>
                <w:szCs w:val="24"/>
                <w:highlight w:val="none"/>
                <w:lang w:eastAsia="zh-CN"/>
              </w:rPr>
              <w:t>可操作性和实施较简单，</w:t>
            </w:r>
            <w:r>
              <w:rPr>
                <w:rFonts w:hint="default" w:ascii="Times New Roman" w:hAnsi="Times New Roman" w:cs="Times New Roman"/>
                <w:b w:val="0"/>
                <w:bCs/>
                <w:color w:val="auto"/>
                <w:spacing w:val="10"/>
                <w:sz w:val="24"/>
                <w:szCs w:val="24"/>
                <w:highlight w:val="none"/>
              </w:rPr>
              <w:t>可取得较好的</w:t>
            </w:r>
            <w:r>
              <w:rPr>
                <w:rFonts w:hint="default" w:ascii="Times New Roman" w:hAnsi="Times New Roman" w:cs="Times New Roman"/>
                <w:b w:val="0"/>
                <w:bCs/>
                <w:color w:val="auto"/>
                <w:spacing w:val="10"/>
                <w:sz w:val="24"/>
                <w:szCs w:val="24"/>
                <w:highlight w:val="none"/>
                <w:lang w:eastAsia="zh-CN"/>
              </w:rPr>
              <w:t>生态保护</w:t>
            </w:r>
            <w:r>
              <w:rPr>
                <w:rFonts w:hint="default" w:ascii="Times New Roman" w:hAnsi="Times New Roman" w:cs="Times New Roman"/>
                <w:b w:val="0"/>
                <w:bCs/>
                <w:color w:val="auto"/>
                <w:spacing w:val="10"/>
                <w:sz w:val="24"/>
                <w:szCs w:val="24"/>
                <w:highlight w:val="none"/>
              </w:rPr>
              <w:t>效果。</w:t>
            </w:r>
          </w:p>
          <w:p w14:paraId="368F313C">
            <w:pPr>
              <w:pStyle w:val="8"/>
              <w:keepNext w:val="0"/>
              <w:keepLines w:val="0"/>
              <w:pageBreakBefore w:val="0"/>
              <w:widowControl w:val="0"/>
              <w:kinsoku/>
              <w:wordWrap/>
              <w:overflowPunct/>
              <w:topLinePunct w:val="0"/>
              <w:autoSpaceDE/>
              <w:autoSpaceDN/>
              <w:bidi w:val="0"/>
              <w:adjustRightInd w:val="0"/>
              <w:snapToGrid w:val="0"/>
              <w:spacing w:line="360" w:lineRule="auto"/>
              <w:ind w:left="0" w:right="0" w:firstLine="520" w:firstLineChars="200"/>
              <w:jc w:val="both"/>
              <w:textAlignment w:val="auto"/>
              <w:rPr>
                <w:rFonts w:hint="default" w:ascii="Times New Roman" w:hAnsi="Times New Roman" w:eastAsia="宋体" w:cs="Times New Roman"/>
                <w:b w:val="0"/>
                <w:bCs/>
                <w:color w:val="FF0000"/>
                <w:spacing w:val="10"/>
                <w:kern w:val="2"/>
                <w:sz w:val="21"/>
                <w:szCs w:val="21"/>
                <w:highlight w:val="none"/>
                <w:lang w:val="en-US" w:eastAsia="zh-CN" w:bidi="ar-SA"/>
              </w:rPr>
            </w:pPr>
            <w:r>
              <w:rPr>
                <w:rFonts w:hint="default" w:ascii="Times New Roman" w:hAnsi="Times New Roman" w:eastAsia="宋体" w:cs="Times New Roman"/>
                <w:b w:val="0"/>
                <w:bCs/>
                <w:color w:val="auto"/>
                <w:spacing w:val="10"/>
                <w:kern w:val="2"/>
                <w:sz w:val="24"/>
                <w:szCs w:val="24"/>
                <w:highlight w:val="none"/>
                <w:lang w:val="en-US" w:eastAsia="zh-CN" w:bidi="ar-SA"/>
              </w:rPr>
              <w:t>综上所述，本项目通过合理施工，加强管理，采取相应的环保设施后本项目施工期对环境影响较小，项目施工期生态环境保护采取的措施是可行</w:t>
            </w:r>
            <w:r>
              <w:rPr>
                <w:rFonts w:hint="default" w:ascii="Times New Roman" w:hAnsi="Times New Roman" w:eastAsia="宋体" w:cs="Times New Roman"/>
                <w:b w:val="0"/>
                <w:bCs/>
                <w:color w:val="000000" w:themeColor="text1"/>
                <w:spacing w:val="10"/>
                <w:kern w:val="2"/>
                <w:sz w:val="21"/>
                <w:szCs w:val="21"/>
                <w:highlight w:val="none"/>
                <w:lang w:val="en-US" w:eastAsia="zh-CN" w:bidi="ar-SA"/>
                <w14:textFill>
                  <w14:solidFill>
                    <w14:schemeClr w14:val="tx1"/>
                  </w14:solidFill>
                </w14:textFill>
              </w:rPr>
              <w:t>。</w:t>
            </w:r>
          </w:p>
          <w:p w14:paraId="47E10627">
            <w:pPr>
              <w:pStyle w:val="12"/>
              <w:numPr>
                <w:ilvl w:val="0"/>
                <w:numId w:val="0"/>
              </w:numPr>
              <w:spacing w:line="360" w:lineRule="auto"/>
              <w:rPr>
                <w:rFonts w:hint="eastAsia"/>
                <w:b/>
                <w:bCs/>
                <w:sz w:val="24"/>
                <w:szCs w:val="24"/>
                <w:highlight w:val="none"/>
                <w:lang w:val="en-US" w:eastAsia="zh-CN"/>
              </w:rPr>
            </w:pPr>
            <w:r>
              <w:rPr>
                <w:rFonts w:hint="eastAsia"/>
                <w:b/>
                <w:bCs/>
                <w:sz w:val="24"/>
                <w:szCs w:val="24"/>
                <w:highlight w:val="none"/>
                <w:lang w:val="en-US" w:eastAsia="zh-CN"/>
              </w:rPr>
              <w:t>7.环境监测计划</w:t>
            </w:r>
          </w:p>
          <w:p w14:paraId="28E081B8">
            <w:pPr>
              <w:adjustRightInd w:val="0"/>
              <w:snapToGrid w:val="0"/>
              <w:spacing w:line="360" w:lineRule="auto"/>
              <w:ind w:firstLine="520" w:firstLineChars="200"/>
              <w:rPr>
                <w:rFonts w:hint="default"/>
                <w:highlight w:val="none"/>
                <w:lang w:val="en-US" w:eastAsia="zh-CN"/>
              </w:rPr>
            </w:pPr>
            <w:r>
              <w:rPr>
                <w:rFonts w:hint="default" w:ascii="Times New Roman" w:hAnsi="Times New Roman" w:cs="Times New Roman"/>
                <w:b w:val="0"/>
                <w:bCs/>
                <w:color w:val="auto"/>
                <w:spacing w:val="10"/>
                <w:sz w:val="24"/>
                <w:szCs w:val="24"/>
                <w:highlight w:val="none"/>
                <w:lang w:eastAsia="zh-CN"/>
              </w:rPr>
              <w:t>本项目需制定大气环境和声环境的监测计划，大气环境：项目施工工地</w:t>
            </w:r>
            <w:r>
              <w:rPr>
                <w:rFonts w:hint="default" w:ascii="Times New Roman" w:hAnsi="Times New Roman" w:cs="Times New Roman"/>
                <w:b w:val="0"/>
                <w:bCs/>
                <w:color w:val="auto"/>
                <w:sz w:val="24"/>
                <w:szCs w:val="24"/>
                <w:highlight w:val="none"/>
                <w:lang w:eastAsia="zh-CN"/>
              </w:rPr>
              <w:t>安装</w:t>
            </w:r>
            <w:r>
              <w:rPr>
                <w:rFonts w:hint="default" w:ascii="Times New Roman" w:hAnsi="Times New Roman" w:cs="Times New Roman"/>
                <w:b w:val="0"/>
                <w:bCs/>
                <w:color w:val="auto"/>
                <w:sz w:val="24"/>
                <w:szCs w:val="24"/>
                <w:highlight w:val="none"/>
              </w:rPr>
              <w:t>扬尘</w:t>
            </w:r>
            <w:r>
              <w:rPr>
                <w:rFonts w:hint="eastAsia" w:cs="Times New Roman"/>
                <w:b w:val="0"/>
                <w:bCs/>
                <w:color w:val="auto"/>
                <w:sz w:val="24"/>
                <w:szCs w:val="24"/>
                <w:highlight w:val="none"/>
                <w:lang w:eastAsia="zh-CN"/>
              </w:rPr>
              <w:t>实时</w:t>
            </w:r>
            <w:r>
              <w:rPr>
                <w:rFonts w:hint="default" w:ascii="Times New Roman" w:hAnsi="Times New Roman" w:cs="Times New Roman"/>
                <w:b w:val="0"/>
                <w:bCs/>
                <w:color w:val="auto"/>
                <w:sz w:val="24"/>
                <w:szCs w:val="24"/>
                <w:highlight w:val="none"/>
                <w:lang w:eastAsia="zh-CN"/>
              </w:rPr>
              <w:t>监测系统，实时监测施工扬尘；声环境：项目对场界</w:t>
            </w:r>
            <w:r>
              <w:rPr>
                <w:rFonts w:hint="eastAsia" w:cs="Times New Roman"/>
                <w:b w:val="0"/>
                <w:bCs w:val="0"/>
                <w:smallCaps w:val="0"/>
                <w:snapToGrid w:val="0"/>
                <w:color w:val="auto"/>
                <w:kern w:val="0"/>
                <w:sz w:val="24"/>
                <w:szCs w:val="24"/>
                <w:highlight w:val="none"/>
                <w:u w:val="none" w:color="auto"/>
                <w:lang w:val="en-US" w:eastAsia="zh-CN" w:bidi="ar-SA"/>
              </w:rPr>
              <w:t>距离敏感点较近的位置</w:t>
            </w:r>
            <w:r>
              <w:rPr>
                <w:rFonts w:hint="default" w:ascii="Times New Roman" w:hAnsi="Times New Roman" w:cs="Times New Roman"/>
                <w:b w:val="0"/>
                <w:bCs/>
                <w:color w:val="auto"/>
                <w:sz w:val="24"/>
                <w:szCs w:val="24"/>
                <w:highlight w:val="none"/>
                <w:lang w:eastAsia="zh-CN"/>
              </w:rPr>
              <w:t>定期开展声环境监测，具体项目环境监测计划见下表。</w:t>
            </w:r>
          </w:p>
          <w:p w14:paraId="1EC7DB61">
            <w:pPr>
              <w:keepNext w:val="0"/>
              <w:keepLines w:val="0"/>
              <w:pageBreakBefore w:val="0"/>
              <w:widowControl w:val="0"/>
              <w:tabs>
                <w:tab w:val="left" w:pos="2325"/>
              </w:tabs>
              <w:kinsoku/>
              <w:wordWrap/>
              <w:overflowPunct/>
              <w:topLinePunct w:val="0"/>
              <w:autoSpaceDE/>
              <w:autoSpaceDN/>
              <w:bidi w:val="0"/>
              <w:adjustRightInd w:val="0"/>
              <w:snapToGrid w:val="0"/>
              <w:spacing w:before="157" w:beforeLines="50" w:line="240" w:lineRule="auto"/>
              <w:jc w:val="center"/>
              <w:textAlignment w:val="baseline"/>
              <w:rPr>
                <w:rFonts w:hint="default" w:ascii="Times New Roman" w:hAnsi="Times New Roman" w:eastAsia="宋体" w:cs="Times New Roman"/>
                <w:b/>
                <w:bCs/>
                <w:color w:val="auto"/>
                <w:sz w:val="21"/>
                <w:szCs w:val="21"/>
                <w:highlight w:val="none"/>
                <w:u w:val="none" w:color="auto"/>
                <w:lang w:val="en-US" w:eastAsia="zh-CN"/>
              </w:rPr>
            </w:pPr>
            <w:r>
              <w:rPr>
                <w:rFonts w:hint="default" w:ascii="Times New Roman" w:hAnsi="Times New Roman" w:eastAsia="宋体" w:cs="Times New Roman"/>
                <w:b/>
                <w:bCs/>
                <w:color w:val="auto"/>
                <w:sz w:val="21"/>
                <w:szCs w:val="21"/>
                <w:highlight w:val="none"/>
                <w:u w:val="none" w:color="auto"/>
                <w:lang w:val="en-US" w:eastAsia="zh-CN"/>
              </w:rPr>
              <w:t>监测方案一览表</w:t>
            </w:r>
          </w:p>
          <w:tbl>
            <w:tblPr>
              <w:tblStyle w:val="1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97"/>
              <w:gridCol w:w="1606"/>
              <w:gridCol w:w="1781"/>
              <w:gridCol w:w="2836"/>
            </w:tblGrid>
            <w:tr w14:paraId="31072B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1260" w:type="pct"/>
                  <w:tcBorders>
                    <w:tl2br w:val="nil"/>
                    <w:tr2bl w:val="nil"/>
                  </w:tcBorders>
                  <w:noWrap w:val="0"/>
                  <w:vAlign w:val="center"/>
                </w:tcPr>
                <w:p w14:paraId="1155DF9A">
                  <w:pPr>
                    <w:pStyle w:val="46"/>
                    <w:keepNext w:val="0"/>
                    <w:keepLines w:val="0"/>
                    <w:pageBreakBefore w:val="0"/>
                    <w:widowControl w:val="0"/>
                    <w:tabs>
                      <w:tab w:val="right" w:leader="dot" w:pos="8296"/>
                    </w:tabs>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监测点位</w:t>
                  </w:r>
                </w:p>
              </w:tc>
              <w:tc>
                <w:tcPr>
                  <w:tcW w:w="965" w:type="pct"/>
                  <w:tcBorders>
                    <w:tl2br w:val="nil"/>
                    <w:tr2bl w:val="nil"/>
                  </w:tcBorders>
                  <w:noWrap w:val="0"/>
                  <w:vAlign w:val="center"/>
                </w:tcPr>
                <w:p w14:paraId="13507DC5">
                  <w:pPr>
                    <w:pStyle w:val="46"/>
                    <w:keepNext w:val="0"/>
                    <w:keepLines w:val="0"/>
                    <w:pageBreakBefore w:val="0"/>
                    <w:widowControl w:val="0"/>
                    <w:tabs>
                      <w:tab w:val="right" w:leader="dot" w:pos="8296"/>
                    </w:tabs>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监测指标</w:t>
                  </w:r>
                </w:p>
              </w:tc>
              <w:tc>
                <w:tcPr>
                  <w:tcW w:w="1070" w:type="pct"/>
                  <w:tcBorders>
                    <w:tl2br w:val="nil"/>
                    <w:tr2bl w:val="nil"/>
                  </w:tcBorders>
                  <w:noWrap w:val="0"/>
                  <w:vAlign w:val="center"/>
                </w:tcPr>
                <w:p w14:paraId="55095C6F">
                  <w:pPr>
                    <w:pStyle w:val="46"/>
                    <w:keepNext w:val="0"/>
                    <w:keepLines w:val="0"/>
                    <w:pageBreakBefore w:val="0"/>
                    <w:widowControl w:val="0"/>
                    <w:tabs>
                      <w:tab w:val="right" w:leader="dot" w:pos="8296"/>
                    </w:tabs>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bCs/>
                      <w:color w:val="auto"/>
                      <w:sz w:val="21"/>
                      <w:szCs w:val="21"/>
                      <w:highlight w:val="none"/>
                      <w:u w:val="none" w:color="auto"/>
                    </w:rPr>
                  </w:pPr>
                  <w:r>
                    <w:rPr>
                      <w:rFonts w:hint="default" w:ascii="Times New Roman" w:hAnsi="Times New Roman" w:eastAsia="宋体" w:cs="Times New Roman"/>
                      <w:b/>
                      <w:bCs/>
                      <w:color w:val="auto"/>
                      <w:sz w:val="21"/>
                      <w:szCs w:val="21"/>
                      <w:highlight w:val="none"/>
                      <w:u w:val="none" w:color="auto"/>
                    </w:rPr>
                    <w:t>监测频次</w:t>
                  </w:r>
                </w:p>
              </w:tc>
              <w:tc>
                <w:tcPr>
                  <w:tcW w:w="1703" w:type="pct"/>
                  <w:tcBorders>
                    <w:tl2br w:val="nil"/>
                    <w:tr2bl w:val="nil"/>
                  </w:tcBorders>
                  <w:noWrap w:val="0"/>
                  <w:vAlign w:val="center"/>
                </w:tcPr>
                <w:p w14:paraId="1733E652">
                  <w:pPr>
                    <w:pStyle w:val="46"/>
                    <w:keepNext w:val="0"/>
                    <w:keepLines w:val="0"/>
                    <w:pageBreakBefore w:val="0"/>
                    <w:widowControl w:val="0"/>
                    <w:tabs>
                      <w:tab w:val="right" w:leader="dot" w:pos="8296"/>
                    </w:tabs>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bCs/>
                      <w:color w:val="auto"/>
                      <w:sz w:val="21"/>
                      <w:szCs w:val="21"/>
                      <w:highlight w:val="none"/>
                      <w:u w:val="none" w:color="auto"/>
                      <w:lang w:eastAsia="zh-CN"/>
                    </w:rPr>
                  </w:pPr>
                  <w:r>
                    <w:rPr>
                      <w:rFonts w:hint="default" w:ascii="Times New Roman" w:hAnsi="Times New Roman" w:eastAsia="宋体" w:cs="Times New Roman"/>
                      <w:b/>
                      <w:bCs/>
                      <w:color w:val="auto"/>
                      <w:sz w:val="21"/>
                      <w:szCs w:val="21"/>
                      <w:highlight w:val="none"/>
                      <w:u w:val="none" w:color="auto"/>
                      <w:lang w:eastAsia="zh-CN"/>
                    </w:rPr>
                    <w:t>监测方法</w:t>
                  </w:r>
                </w:p>
              </w:tc>
            </w:tr>
            <w:tr w14:paraId="193492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1260" w:type="pct"/>
                  <w:tcBorders>
                    <w:tl2br w:val="nil"/>
                    <w:tr2bl w:val="nil"/>
                  </w:tcBorders>
                  <w:noWrap w:val="0"/>
                  <w:vAlign w:val="center"/>
                </w:tcPr>
                <w:p w14:paraId="483659A8">
                  <w:pPr>
                    <w:pStyle w:val="46"/>
                    <w:keepNext w:val="0"/>
                    <w:keepLines w:val="0"/>
                    <w:pageBreakBefore w:val="0"/>
                    <w:widowControl w:val="0"/>
                    <w:tabs>
                      <w:tab w:val="right" w:leader="dot" w:pos="8296"/>
                    </w:tabs>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val="0"/>
                      <w:color w:val="auto"/>
                      <w:sz w:val="21"/>
                      <w:szCs w:val="21"/>
                      <w:highlight w:val="none"/>
                      <w:u w:val="none" w:color="auto"/>
                      <w:lang w:eastAsia="zh-CN"/>
                    </w:rPr>
                  </w:pPr>
                  <w:r>
                    <w:rPr>
                      <w:rFonts w:hint="default" w:ascii="Times New Roman" w:hAnsi="Times New Roman" w:eastAsia="宋体" w:cs="Times New Roman"/>
                      <w:b w:val="0"/>
                      <w:bCs w:val="0"/>
                      <w:color w:val="auto"/>
                      <w:sz w:val="21"/>
                      <w:szCs w:val="21"/>
                      <w:highlight w:val="none"/>
                      <w:u w:val="none" w:color="auto"/>
                      <w:lang w:eastAsia="zh-CN"/>
                    </w:rPr>
                    <w:t>施工场</w:t>
                  </w:r>
                  <w:r>
                    <w:rPr>
                      <w:rFonts w:hint="eastAsia" w:cs="Times New Roman"/>
                      <w:b w:val="0"/>
                      <w:bCs w:val="0"/>
                      <w:color w:val="auto"/>
                      <w:sz w:val="21"/>
                      <w:szCs w:val="21"/>
                      <w:highlight w:val="none"/>
                      <w:u w:val="none" w:color="auto"/>
                      <w:lang w:eastAsia="zh-CN"/>
                    </w:rPr>
                    <w:t>地</w:t>
                  </w:r>
                </w:p>
              </w:tc>
              <w:tc>
                <w:tcPr>
                  <w:tcW w:w="965" w:type="pct"/>
                  <w:tcBorders>
                    <w:tl2br w:val="nil"/>
                    <w:tr2bl w:val="nil"/>
                  </w:tcBorders>
                  <w:noWrap w:val="0"/>
                  <w:vAlign w:val="center"/>
                </w:tcPr>
                <w:p w14:paraId="6E185ABD">
                  <w:pPr>
                    <w:pStyle w:val="46"/>
                    <w:keepNext w:val="0"/>
                    <w:keepLines w:val="0"/>
                    <w:pageBreakBefore w:val="0"/>
                    <w:widowControl w:val="0"/>
                    <w:tabs>
                      <w:tab w:val="right" w:leader="dot" w:pos="8296"/>
                    </w:tabs>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val="0"/>
                      <w:smallCaps w:val="0"/>
                      <w:snapToGrid w:val="0"/>
                      <w:color w:val="auto"/>
                      <w:kern w:val="0"/>
                      <w:sz w:val="21"/>
                      <w:szCs w:val="21"/>
                      <w:highlight w:val="none"/>
                      <w:u w:val="none" w:color="auto"/>
                      <w:lang w:val="en-US" w:eastAsia="zh-CN" w:bidi="ar-SA"/>
                    </w:rPr>
                  </w:pPr>
                  <w:r>
                    <w:rPr>
                      <w:rFonts w:hint="default" w:ascii="Times New Roman" w:hAnsi="Times New Roman" w:eastAsia="宋体" w:cs="Times New Roman"/>
                      <w:b w:val="0"/>
                      <w:bCs w:val="0"/>
                      <w:smallCaps w:val="0"/>
                      <w:snapToGrid w:val="0"/>
                      <w:color w:val="auto"/>
                      <w:kern w:val="0"/>
                      <w:sz w:val="21"/>
                      <w:szCs w:val="21"/>
                      <w:highlight w:val="none"/>
                      <w:u w:val="none" w:color="auto"/>
                      <w:lang w:val="en-US" w:eastAsia="zh-CN" w:bidi="ar-SA"/>
                    </w:rPr>
                    <w:t>颗粒物</w:t>
                  </w:r>
                </w:p>
              </w:tc>
              <w:tc>
                <w:tcPr>
                  <w:tcW w:w="1070" w:type="pct"/>
                  <w:tcBorders>
                    <w:tl2br w:val="nil"/>
                    <w:tr2bl w:val="nil"/>
                  </w:tcBorders>
                  <w:noWrap w:val="0"/>
                  <w:vAlign w:val="center"/>
                </w:tcPr>
                <w:p w14:paraId="14E64CEB">
                  <w:pPr>
                    <w:pStyle w:val="46"/>
                    <w:keepNext w:val="0"/>
                    <w:keepLines w:val="0"/>
                    <w:pageBreakBefore w:val="0"/>
                    <w:widowControl w:val="0"/>
                    <w:tabs>
                      <w:tab w:val="right" w:leader="dot" w:pos="8296"/>
                    </w:tabs>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val="0"/>
                      <w:smallCaps w:val="0"/>
                      <w:snapToGrid w:val="0"/>
                      <w:color w:val="auto"/>
                      <w:kern w:val="0"/>
                      <w:sz w:val="21"/>
                      <w:szCs w:val="21"/>
                      <w:highlight w:val="none"/>
                      <w:u w:val="none" w:color="auto"/>
                      <w:lang w:val="en-US" w:eastAsia="zh-CN" w:bidi="ar-SA"/>
                    </w:rPr>
                  </w:pPr>
                  <w:r>
                    <w:rPr>
                      <w:rFonts w:hint="eastAsia" w:cs="Times New Roman"/>
                      <w:b w:val="0"/>
                      <w:bCs/>
                      <w:color w:val="auto"/>
                      <w:sz w:val="21"/>
                      <w:szCs w:val="21"/>
                      <w:highlight w:val="none"/>
                      <w:lang w:eastAsia="zh-CN"/>
                    </w:rPr>
                    <w:t>扬尘实时</w:t>
                  </w:r>
                  <w:r>
                    <w:rPr>
                      <w:rFonts w:hint="default" w:ascii="Times New Roman" w:hAnsi="Times New Roman" w:cs="Times New Roman"/>
                      <w:b w:val="0"/>
                      <w:bCs/>
                      <w:color w:val="auto"/>
                      <w:sz w:val="21"/>
                      <w:szCs w:val="21"/>
                      <w:highlight w:val="none"/>
                      <w:lang w:eastAsia="zh-CN"/>
                    </w:rPr>
                    <w:t>监测</w:t>
                  </w:r>
                </w:p>
              </w:tc>
              <w:tc>
                <w:tcPr>
                  <w:tcW w:w="1703" w:type="pct"/>
                  <w:tcBorders>
                    <w:tl2br w:val="nil"/>
                    <w:tr2bl w:val="nil"/>
                  </w:tcBorders>
                  <w:noWrap w:val="0"/>
                  <w:vAlign w:val="center"/>
                </w:tcPr>
                <w:p w14:paraId="0AF10FEE">
                  <w:pPr>
                    <w:keepLines w:val="0"/>
                    <w:pageBreakBefore w:val="0"/>
                    <w:widowControl w:val="0"/>
                    <w:kinsoku/>
                    <w:wordWrap/>
                    <w:overflowPunct/>
                    <w:topLinePunct w:val="0"/>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color w:val="auto"/>
                      <w:sz w:val="21"/>
                      <w:szCs w:val="21"/>
                      <w:highlight w:val="none"/>
                      <w:u w:val="none" w:color="auto"/>
                      <w:lang w:val="en-US" w:eastAsia="zh-CN"/>
                    </w:rPr>
                    <w:t>《环境空气质量标准》(GB3095-2012)</w:t>
                  </w:r>
                </w:p>
              </w:tc>
            </w:tr>
            <w:tr w14:paraId="1AA088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260" w:type="pct"/>
                  <w:tcBorders>
                    <w:tl2br w:val="nil"/>
                    <w:tr2bl w:val="nil"/>
                  </w:tcBorders>
                  <w:noWrap w:val="0"/>
                  <w:vAlign w:val="center"/>
                </w:tcPr>
                <w:p w14:paraId="78D9D085">
                  <w:pPr>
                    <w:pStyle w:val="46"/>
                    <w:keepNext w:val="0"/>
                    <w:keepLines w:val="0"/>
                    <w:pageBreakBefore w:val="0"/>
                    <w:widowControl w:val="0"/>
                    <w:tabs>
                      <w:tab w:val="right" w:leader="dot" w:pos="8296"/>
                    </w:tabs>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val="0"/>
                      <w:smallCaps w:val="0"/>
                      <w:snapToGrid w:val="0"/>
                      <w:color w:val="auto"/>
                      <w:kern w:val="0"/>
                      <w:sz w:val="21"/>
                      <w:szCs w:val="21"/>
                      <w:highlight w:val="none"/>
                      <w:u w:val="none" w:color="auto"/>
                      <w:lang w:val="en-US" w:eastAsia="zh-CN" w:bidi="ar-SA"/>
                    </w:rPr>
                  </w:pPr>
                  <w:r>
                    <w:rPr>
                      <w:rFonts w:hint="eastAsia" w:cs="Times New Roman"/>
                      <w:b w:val="0"/>
                      <w:bCs w:val="0"/>
                      <w:smallCaps w:val="0"/>
                      <w:snapToGrid w:val="0"/>
                      <w:color w:val="auto"/>
                      <w:kern w:val="0"/>
                      <w:sz w:val="21"/>
                      <w:szCs w:val="21"/>
                      <w:highlight w:val="none"/>
                      <w:u w:val="none" w:color="auto"/>
                      <w:lang w:val="en-US" w:eastAsia="zh-CN" w:bidi="ar-SA"/>
                    </w:rPr>
                    <w:t>附近敏感点</w:t>
                  </w:r>
                </w:p>
              </w:tc>
              <w:tc>
                <w:tcPr>
                  <w:tcW w:w="965" w:type="pct"/>
                  <w:tcBorders>
                    <w:tl2br w:val="nil"/>
                    <w:tr2bl w:val="nil"/>
                  </w:tcBorders>
                  <w:noWrap w:val="0"/>
                  <w:vAlign w:val="center"/>
                </w:tcPr>
                <w:p w14:paraId="30289EE4">
                  <w:pPr>
                    <w:pStyle w:val="46"/>
                    <w:keepNext w:val="0"/>
                    <w:keepLines w:val="0"/>
                    <w:pageBreakBefore w:val="0"/>
                    <w:widowControl w:val="0"/>
                    <w:tabs>
                      <w:tab w:val="right" w:leader="dot" w:pos="8296"/>
                    </w:tabs>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val="0"/>
                      <w:smallCaps w:val="0"/>
                      <w:snapToGrid w:val="0"/>
                      <w:color w:val="auto"/>
                      <w:kern w:val="0"/>
                      <w:sz w:val="21"/>
                      <w:szCs w:val="21"/>
                      <w:highlight w:val="none"/>
                      <w:u w:val="none" w:color="auto"/>
                      <w:lang w:val="en-US" w:eastAsia="zh-CN" w:bidi="ar-SA"/>
                    </w:rPr>
                  </w:pPr>
                  <w:r>
                    <w:rPr>
                      <w:rFonts w:hint="default" w:ascii="Times New Roman" w:hAnsi="Times New Roman" w:eastAsia="宋体" w:cs="Times New Roman"/>
                      <w:b w:val="0"/>
                      <w:bCs w:val="0"/>
                      <w:smallCaps w:val="0"/>
                      <w:snapToGrid w:val="0"/>
                      <w:color w:val="auto"/>
                      <w:kern w:val="0"/>
                      <w:sz w:val="21"/>
                      <w:szCs w:val="21"/>
                      <w:highlight w:val="none"/>
                      <w:u w:val="none" w:color="auto"/>
                      <w:lang w:val="en-US" w:eastAsia="zh-CN" w:bidi="ar-SA"/>
                    </w:rPr>
                    <w:t>Leq（A）</w:t>
                  </w:r>
                  <w:r>
                    <w:rPr>
                      <w:rFonts w:hint="eastAsia" w:cs="Times New Roman"/>
                      <w:b w:val="0"/>
                      <w:bCs w:val="0"/>
                      <w:smallCaps w:val="0"/>
                      <w:snapToGrid w:val="0"/>
                      <w:color w:val="auto"/>
                      <w:kern w:val="0"/>
                      <w:sz w:val="21"/>
                      <w:szCs w:val="21"/>
                      <w:highlight w:val="none"/>
                      <w:u w:val="none" w:color="auto"/>
                      <w:lang w:val="en-US" w:eastAsia="zh-CN" w:bidi="ar-SA"/>
                    </w:rPr>
                    <w:t>，最大值</w:t>
                  </w:r>
                </w:p>
              </w:tc>
              <w:tc>
                <w:tcPr>
                  <w:tcW w:w="1070" w:type="pct"/>
                  <w:tcBorders>
                    <w:tl2br w:val="nil"/>
                    <w:tr2bl w:val="nil"/>
                  </w:tcBorders>
                  <w:noWrap w:val="0"/>
                  <w:vAlign w:val="center"/>
                </w:tcPr>
                <w:p w14:paraId="176E7907">
                  <w:pPr>
                    <w:pStyle w:val="46"/>
                    <w:keepNext w:val="0"/>
                    <w:keepLines w:val="0"/>
                    <w:pageBreakBefore w:val="0"/>
                    <w:widowControl w:val="0"/>
                    <w:tabs>
                      <w:tab w:val="right" w:leader="dot" w:pos="8296"/>
                    </w:tabs>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val="0"/>
                      <w:smallCaps w:val="0"/>
                      <w:snapToGrid w:val="0"/>
                      <w:color w:val="auto"/>
                      <w:kern w:val="0"/>
                      <w:sz w:val="21"/>
                      <w:szCs w:val="21"/>
                      <w:highlight w:val="none"/>
                      <w:u w:val="none" w:color="auto"/>
                      <w:lang w:val="en-US" w:eastAsia="zh-CN" w:bidi="ar-SA"/>
                    </w:rPr>
                  </w:pPr>
                  <w:r>
                    <w:rPr>
                      <w:rFonts w:hint="default" w:ascii="Times New Roman" w:hAnsi="Times New Roman" w:eastAsia="宋体" w:cs="Times New Roman"/>
                      <w:b w:val="0"/>
                      <w:bCs w:val="0"/>
                      <w:smallCaps w:val="0"/>
                      <w:snapToGrid w:val="0"/>
                      <w:color w:val="auto"/>
                      <w:kern w:val="0"/>
                      <w:sz w:val="21"/>
                      <w:szCs w:val="21"/>
                      <w:highlight w:val="none"/>
                      <w:u w:val="none" w:color="auto"/>
                      <w:lang w:val="en-US" w:eastAsia="zh-CN" w:bidi="ar-SA"/>
                    </w:rPr>
                    <w:t>每季度至少开展一次监测</w:t>
                  </w:r>
                </w:p>
              </w:tc>
              <w:tc>
                <w:tcPr>
                  <w:tcW w:w="1703" w:type="pct"/>
                  <w:tcBorders>
                    <w:tl2br w:val="nil"/>
                    <w:tr2bl w:val="nil"/>
                  </w:tcBorders>
                  <w:noWrap w:val="0"/>
                  <w:vAlign w:val="center"/>
                </w:tcPr>
                <w:p w14:paraId="4616542E">
                  <w:pPr>
                    <w:keepLines w:val="0"/>
                    <w:pageBreakBefore w:val="0"/>
                    <w:widowControl w:val="0"/>
                    <w:kinsoku/>
                    <w:wordWrap/>
                    <w:overflowPunct/>
                    <w:topLinePunct w:val="0"/>
                    <w:bidi w:val="0"/>
                    <w:adjustRightInd w:val="0"/>
                    <w:snapToGrid w:val="0"/>
                    <w:spacing w:line="240" w:lineRule="auto"/>
                    <w:ind w:left="0" w:leftChars="0" w:right="0" w:rightChars="0"/>
                    <w:jc w:val="center"/>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bCs/>
                      <w:color w:val="auto"/>
                      <w:sz w:val="21"/>
                      <w:szCs w:val="21"/>
                      <w:highlight w:val="none"/>
                      <w:u w:val="none" w:color="auto"/>
                      <w:lang w:val="en-US" w:eastAsia="zh-CN"/>
                    </w:rPr>
                    <w:t>《建筑施工场界环境噪声排放标准》（GB12523-2011）</w:t>
                  </w:r>
                </w:p>
              </w:tc>
            </w:tr>
            <w:tr w14:paraId="6C86DB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260" w:type="pct"/>
                  <w:tcBorders>
                    <w:tl2br w:val="nil"/>
                    <w:tr2bl w:val="nil"/>
                  </w:tcBorders>
                  <w:noWrap w:val="0"/>
                  <w:vAlign w:val="center"/>
                </w:tcPr>
                <w:p w14:paraId="0A241FB6">
                  <w:pPr>
                    <w:pStyle w:val="46"/>
                    <w:keepNext w:val="0"/>
                    <w:keepLines w:val="0"/>
                    <w:pageBreakBefore w:val="0"/>
                    <w:widowControl w:val="0"/>
                    <w:tabs>
                      <w:tab w:val="right" w:leader="dot" w:pos="8296"/>
                    </w:tabs>
                    <w:kinsoku/>
                    <w:wordWrap/>
                    <w:overflowPunct/>
                    <w:topLinePunct w:val="0"/>
                    <w:autoSpaceDE/>
                    <w:autoSpaceDN/>
                    <w:bidi w:val="0"/>
                    <w:adjustRightInd w:val="0"/>
                    <w:snapToGrid w:val="0"/>
                    <w:ind w:left="0" w:leftChars="0" w:right="0" w:rightChars="0"/>
                    <w:jc w:val="center"/>
                    <w:textAlignment w:val="auto"/>
                    <w:rPr>
                      <w:rFonts w:hint="eastAsia" w:cs="Times New Roman"/>
                      <w:b w:val="0"/>
                      <w:bCs w:val="0"/>
                      <w:smallCaps w:val="0"/>
                      <w:snapToGrid w:val="0"/>
                      <w:color w:val="auto"/>
                      <w:kern w:val="0"/>
                      <w:sz w:val="21"/>
                      <w:szCs w:val="21"/>
                      <w:highlight w:val="none"/>
                      <w:u w:val="none" w:color="auto"/>
                      <w:lang w:val="en-US" w:eastAsia="zh-CN" w:bidi="ar-SA"/>
                    </w:rPr>
                  </w:pPr>
                  <w:r>
                    <w:rPr>
                      <w:rFonts w:hint="eastAsia" w:cs="Times New Roman"/>
                      <w:b w:val="0"/>
                      <w:bCs w:val="0"/>
                      <w:smallCaps w:val="0"/>
                      <w:snapToGrid w:val="0"/>
                      <w:color w:val="auto"/>
                      <w:kern w:val="0"/>
                      <w:sz w:val="21"/>
                      <w:szCs w:val="21"/>
                      <w:highlight w:val="none"/>
                      <w:u w:val="none" w:color="auto"/>
                      <w:lang w:val="en-US" w:eastAsia="zh-CN" w:bidi="ar-SA"/>
                    </w:rPr>
                    <w:t>施工场界内河道地表水</w:t>
                  </w:r>
                </w:p>
              </w:tc>
              <w:tc>
                <w:tcPr>
                  <w:tcW w:w="965" w:type="pct"/>
                  <w:tcBorders>
                    <w:tl2br w:val="nil"/>
                    <w:tr2bl w:val="nil"/>
                  </w:tcBorders>
                  <w:noWrap w:val="0"/>
                  <w:vAlign w:val="center"/>
                </w:tcPr>
                <w:p w14:paraId="31468E05">
                  <w:pPr>
                    <w:pStyle w:val="46"/>
                    <w:keepNext w:val="0"/>
                    <w:keepLines w:val="0"/>
                    <w:pageBreakBefore w:val="0"/>
                    <w:widowControl w:val="0"/>
                    <w:tabs>
                      <w:tab w:val="right" w:leader="dot" w:pos="8296"/>
                    </w:tabs>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val="0"/>
                      <w:smallCaps w:val="0"/>
                      <w:snapToGrid w:val="0"/>
                      <w:color w:val="auto"/>
                      <w:kern w:val="0"/>
                      <w:sz w:val="21"/>
                      <w:szCs w:val="21"/>
                      <w:highlight w:val="none"/>
                      <w:u w:val="none" w:color="auto"/>
                      <w:lang w:val="en-US" w:eastAsia="zh-CN" w:bidi="ar-SA"/>
                    </w:rPr>
                  </w:pPr>
                  <w:r>
                    <w:rPr>
                      <w:rFonts w:hint="eastAsia" w:cs="Times New Roman"/>
                      <w:b w:val="0"/>
                      <w:bCs w:val="0"/>
                      <w:smallCaps w:val="0"/>
                      <w:snapToGrid w:val="0"/>
                      <w:color w:val="auto"/>
                      <w:kern w:val="0"/>
                      <w:sz w:val="21"/>
                      <w:szCs w:val="21"/>
                      <w:highlight w:val="none"/>
                      <w:u w:val="none" w:color="auto"/>
                      <w:lang w:val="en-US" w:eastAsia="zh-CN" w:bidi="ar-SA"/>
                    </w:rPr>
                    <w:t>pH，化学需氧量，生化需氧量，氨氮，悬浮物</w:t>
                  </w:r>
                </w:p>
              </w:tc>
              <w:tc>
                <w:tcPr>
                  <w:tcW w:w="1070" w:type="pct"/>
                  <w:tcBorders>
                    <w:tl2br w:val="nil"/>
                    <w:tr2bl w:val="nil"/>
                  </w:tcBorders>
                  <w:noWrap w:val="0"/>
                  <w:vAlign w:val="center"/>
                </w:tcPr>
                <w:p w14:paraId="06FDC295">
                  <w:pPr>
                    <w:pStyle w:val="46"/>
                    <w:keepNext w:val="0"/>
                    <w:keepLines w:val="0"/>
                    <w:pageBreakBefore w:val="0"/>
                    <w:widowControl w:val="0"/>
                    <w:tabs>
                      <w:tab w:val="right" w:leader="dot" w:pos="8296"/>
                    </w:tabs>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eastAsia="宋体" w:cs="Times New Roman"/>
                      <w:b w:val="0"/>
                      <w:bCs w:val="0"/>
                      <w:smallCaps w:val="0"/>
                      <w:snapToGrid w:val="0"/>
                      <w:color w:val="auto"/>
                      <w:kern w:val="0"/>
                      <w:sz w:val="21"/>
                      <w:szCs w:val="21"/>
                      <w:highlight w:val="none"/>
                      <w:u w:val="none" w:color="auto"/>
                      <w:lang w:val="en-US" w:eastAsia="zh-CN" w:bidi="ar-SA"/>
                    </w:rPr>
                  </w:pPr>
                  <w:r>
                    <w:rPr>
                      <w:rFonts w:hint="eastAsia" w:cs="Times New Roman"/>
                      <w:b w:val="0"/>
                      <w:bCs w:val="0"/>
                      <w:smallCaps w:val="0"/>
                      <w:snapToGrid w:val="0"/>
                      <w:color w:val="auto"/>
                      <w:kern w:val="0"/>
                      <w:sz w:val="21"/>
                      <w:szCs w:val="21"/>
                      <w:highlight w:val="none"/>
                      <w:u w:val="none" w:color="auto"/>
                      <w:lang w:val="en-US" w:eastAsia="zh-CN" w:bidi="ar-SA"/>
                    </w:rPr>
                    <w:t>每月一次</w:t>
                  </w:r>
                </w:p>
              </w:tc>
              <w:tc>
                <w:tcPr>
                  <w:tcW w:w="1703" w:type="pct"/>
                  <w:tcBorders>
                    <w:tl2br w:val="nil"/>
                    <w:tr2bl w:val="nil"/>
                  </w:tcBorders>
                  <w:noWrap w:val="0"/>
                  <w:vAlign w:val="center"/>
                </w:tcPr>
                <w:p w14:paraId="350A6F2A">
                  <w:pPr>
                    <w:keepLines w:val="0"/>
                    <w:pageBreakBefore w:val="0"/>
                    <w:widowControl w:val="0"/>
                    <w:kinsoku/>
                    <w:wordWrap/>
                    <w:overflowPunct/>
                    <w:topLinePunct w:val="0"/>
                    <w:bidi w:val="0"/>
                    <w:adjustRightInd w:val="0"/>
                    <w:snapToGrid w:val="0"/>
                    <w:spacing w:line="240" w:lineRule="auto"/>
                    <w:ind w:left="0" w:leftChars="0" w:right="0" w:rightChars="0"/>
                    <w:jc w:val="center"/>
                    <w:rPr>
                      <w:rFonts w:hint="default" w:ascii="Times New Roman" w:hAnsi="Times New Roman" w:eastAsia="宋体" w:cs="Times New Roman"/>
                      <w:bCs/>
                      <w:color w:val="auto"/>
                      <w:sz w:val="21"/>
                      <w:szCs w:val="21"/>
                      <w:highlight w:val="none"/>
                      <w:u w:val="none" w:color="auto"/>
                      <w:lang w:val="en-US" w:eastAsia="zh-CN"/>
                    </w:rPr>
                  </w:pPr>
                  <w:r>
                    <w:rPr>
                      <w:rFonts w:hint="eastAsia" w:cs="Times New Roman"/>
                      <w:bCs/>
                      <w:color w:val="auto"/>
                      <w:sz w:val="21"/>
                      <w:szCs w:val="21"/>
                      <w:highlight w:val="none"/>
                      <w:u w:val="none" w:color="auto"/>
                      <w:lang w:val="en-US" w:eastAsia="zh-CN"/>
                    </w:rPr>
                    <w:t>《地表水环境质量标准》（GB3838-2002）</w:t>
                  </w:r>
                </w:p>
              </w:tc>
            </w:tr>
          </w:tbl>
          <w:p w14:paraId="6F16C979">
            <w:pPr>
              <w:pStyle w:val="17"/>
              <w:rPr>
                <w:highlight w:val="none"/>
              </w:rPr>
            </w:pPr>
          </w:p>
          <w:p w14:paraId="2CCE64A0">
            <w:pPr>
              <w:rPr>
                <w:highlight w:val="none"/>
              </w:rPr>
            </w:pPr>
          </w:p>
          <w:p w14:paraId="78709260">
            <w:pPr>
              <w:rPr>
                <w:highlight w:val="none"/>
              </w:rPr>
            </w:pPr>
          </w:p>
          <w:p w14:paraId="52AC71B3">
            <w:pPr>
              <w:rPr>
                <w:highlight w:val="none"/>
              </w:rPr>
            </w:pPr>
          </w:p>
          <w:p w14:paraId="7913222D">
            <w:pPr>
              <w:rPr>
                <w:highlight w:val="none"/>
              </w:rPr>
            </w:pPr>
          </w:p>
          <w:p w14:paraId="61D37BD7">
            <w:pPr>
              <w:rPr>
                <w:highlight w:val="none"/>
              </w:rPr>
            </w:pPr>
          </w:p>
          <w:p w14:paraId="38494CFC">
            <w:pPr>
              <w:rPr>
                <w:highlight w:val="none"/>
              </w:rPr>
            </w:pPr>
          </w:p>
          <w:p w14:paraId="42E59A48">
            <w:pPr>
              <w:rPr>
                <w:highlight w:val="none"/>
              </w:rPr>
            </w:pPr>
          </w:p>
        </w:tc>
      </w:tr>
      <w:tr w14:paraId="0F092A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8" w:hRule="atLeast"/>
          <w:jc w:val="center"/>
        </w:trPr>
        <w:tc>
          <w:tcPr>
            <w:tcW w:w="873" w:type="dxa"/>
            <w:noWrap w:val="0"/>
            <w:tcMar>
              <w:left w:w="28" w:type="dxa"/>
              <w:right w:w="28" w:type="dxa"/>
            </w:tcMar>
            <w:vAlign w:val="center"/>
          </w:tcPr>
          <w:p w14:paraId="34BEE416">
            <w:pPr>
              <w:adjustRightInd w:val="0"/>
              <w:snapToGrid w:val="0"/>
              <w:jc w:val="center"/>
              <w:rPr>
                <w:rFonts w:ascii="宋体" w:hAnsi="宋体" w:cs="宋体"/>
                <w:bCs/>
                <w:spacing w:val="10"/>
                <w:sz w:val="24"/>
                <w:szCs w:val="24"/>
                <w:highlight w:val="none"/>
              </w:rPr>
            </w:pPr>
            <w:r>
              <w:rPr>
                <w:rFonts w:hint="eastAsia" w:ascii="宋体" w:hAnsi="宋体" w:cs="宋体"/>
                <w:bCs/>
                <w:spacing w:val="10"/>
                <w:sz w:val="24"/>
                <w:szCs w:val="24"/>
                <w:highlight w:val="none"/>
              </w:rPr>
              <w:t>运营期生态环境保护措施</w:t>
            </w:r>
          </w:p>
        </w:tc>
        <w:tc>
          <w:tcPr>
            <w:tcW w:w="8539" w:type="dxa"/>
            <w:noWrap w:val="0"/>
            <w:vAlign w:val="top"/>
          </w:tcPr>
          <w:p w14:paraId="6527A930">
            <w:pPr>
              <w:pStyle w:val="8"/>
              <w:keepNext w:val="0"/>
              <w:keepLines w:val="0"/>
              <w:pageBreakBefore w:val="0"/>
              <w:widowControl w:val="0"/>
              <w:kinsoku/>
              <w:wordWrap/>
              <w:overflowPunct/>
              <w:topLinePunct w:val="0"/>
              <w:autoSpaceDE/>
              <w:autoSpaceDN/>
              <w:bidi w:val="0"/>
              <w:adjustRightInd w:val="0"/>
              <w:snapToGrid w:val="0"/>
              <w:spacing w:line="360" w:lineRule="auto"/>
              <w:ind w:right="0"/>
              <w:jc w:val="both"/>
              <w:textAlignment w:val="auto"/>
              <w:rPr>
                <w:rFonts w:hint="default" w:ascii="Times New Roman" w:hAnsi="Times New Roman" w:eastAsia="宋体" w:cs="Times New Roman"/>
                <w:b/>
                <w:bCs/>
                <w:i w:val="0"/>
                <w:iCs w:val="0"/>
                <w:color w:val="auto"/>
                <w:sz w:val="24"/>
                <w:szCs w:val="24"/>
                <w:highlight w:val="none"/>
                <w:u w:val="none" w:color="auto"/>
                <w:lang w:val="zh-CN" w:eastAsia="zh-CN"/>
              </w:rPr>
            </w:pPr>
            <w:r>
              <w:rPr>
                <w:rFonts w:hint="default" w:ascii="Times New Roman" w:hAnsi="Times New Roman" w:eastAsia="宋体" w:cs="Times New Roman"/>
                <w:b/>
                <w:bCs/>
                <w:i w:val="0"/>
                <w:iCs w:val="0"/>
                <w:color w:val="auto"/>
                <w:sz w:val="24"/>
                <w:szCs w:val="24"/>
                <w:highlight w:val="none"/>
                <w:u w:val="none" w:color="auto"/>
                <w:lang w:val="zh-CN" w:eastAsia="zh-CN"/>
              </w:rPr>
              <w:t>1</w:t>
            </w:r>
            <w:r>
              <w:rPr>
                <w:rFonts w:hint="eastAsia" w:eastAsia="宋体" w:cs="Times New Roman"/>
                <w:b/>
                <w:bCs/>
                <w:i w:val="0"/>
                <w:iCs w:val="0"/>
                <w:color w:val="auto"/>
                <w:sz w:val="24"/>
                <w:szCs w:val="24"/>
                <w:highlight w:val="none"/>
                <w:u w:val="none" w:color="auto"/>
                <w:lang w:val="en-US" w:eastAsia="zh-CN"/>
              </w:rPr>
              <w:t>.</w:t>
            </w:r>
            <w:r>
              <w:rPr>
                <w:rFonts w:hint="default" w:ascii="Times New Roman" w:hAnsi="Times New Roman" w:eastAsia="宋体" w:cs="Times New Roman"/>
                <w:b/>
                <w:bCs/>
                <w:i w:val="0"/>
                <w:iCs w:val="0"/>
                <w:color w:val="auto"/>
                <w:sz w:val="24"/>
                <w:szCs w:val="24"/>
                <w:highlight w:val="none"/>
                <w:u w:val="none" w:color="auto"/>
                <w:lang w:val="zh-CN" w:eastAsia="zh-CN"/>
              </w:rPr>
              <w:t>运营期生态环境影响保护措施</w:t>
            </w:r>
          </w:p>
          <w:p w14:paraId="4BC7236B">
            <w:pPr>
              <w:pStyle w:val="8"/>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jc w:val="left"/>
              <w:textAlignment w:val="auto"/>
              <w:rPr>
                <w:rFonts w:hint="default" w:ascii="Times New Roman" w:hAnsi="Times New Roman" w:eastAsia="宋体" w:cs="Times New Roman"/>
                <w:b w:val="0"/>
                <w:bCs w:val="0"/>
                <w:i w:val="0"/>
                <w:iCs w:val="0"/>
                <w:color w:val="auto"/>
                <w:sz w:val="24"/>
                <w:szCs w:val="24"/>
                <w:highlight w:val="none"/>
                <w:u w:val="none" w:color="auto"/>
                <w:lang w:val="en-US" w:eastAsia="zh-CN"/>
              </w:rPr>
            </w:pPr>
            <w:r>
              <w:rPr>
                <w:rFonts w:hint="default" w:ascii="Times New Roman" w:hAnsi="Times New Roman" w:eastAsia="宋体" w:cs="Times New Roman"/>
                <w:b w:val="0"/>
                <w:bCs w:val="0"/>
                <w:i w:val="0"/>
                <w:iCs w:val="0"/>
                <w:color w:val="auto"/>
                <w:sz w:val="24"/>
                <w:szCs w:val="24"/>
                <w:highlight w:val="none"/>
                <w:u w:val="none" w:color="auto"/>
                <w:lang w:val="en-US" w:eastAsia="zh-CN"/>
              </w:rPr>
              <w:t>评价建议运行期对生态恢复植被定期维护，加强绿化，在此情况下，项目运营期对生态环境的影响较小。</w:t>
            </w:r>
          </w:p>
          <w:p w14:paraId="1AD67380">
            <w:pPr>
              <w:pStyle w:val="8"/>
              <w:keepNext w:val="0"/>
              <w:keepLines w:val="0"/>
              <w:pageBreakBefore w:val="0"/>
              <w:widowControl w:val="0"/>
              <w:kinsoku/>
              <w:wordWrap/>
              <w:overflowPunct/>
              <w:topLinePunct w:val="0"/>
              <w:autoSpaceDE/>
              <w:autoSpaceDN/>
              <w:bidi w:val="0"/>
              <w:adjustRightInd w:val="0"/>
              <w:snapToGrid w:val="0"/>
              <w:spacing w:line="360" w:lineRule="auto"/>
              <w:ind w:right="0"/>
              <w:jc w:val="both"/>
              <w:textAlignment w:val="auto"/>
              <w:rPr>
                <w:rFonts w:hint="default" w:ascii="Times New Roman" w:hAnsi="Times New Roman" w:eastAsia="宋体" w:cs="Times New Roman"/>
                <w:b/>
                <w:bCs/>
                <w:i w:val="0"/>
                <w:iCs w:val="0"/>
                <w:color w:val="auto"/>
                <w:sz w:val="24"/>
                <w:szCs w:val="24"/>
                <w:highlight w:val="none"/>
                <w:u w:val="none" w:color="auto"/>
                <w:lang w:val="en-US" w:eastAsia="zh-CN"/>
              </w:rPr>
            </w:pPr>
            <w:r>
              <w:rPr>
                <w:rFonts w:hint="default" w:ascii="Times New Roman" w:hAnsi="Times New Roman" w:eastAsia="宋体" w:cs="Times New Roman"/>
                <w:b/>
                <w:bCs/>
                <w:i w:val="0"/>
                <w:iCs w:val="0"/>
                <w:color w:val="auto"/>
                <w:sz w:val="24"/>
                <w:szCs w:val="24"/>
                <w:highlight w:val="none"/>
                <w:u w:val="none" w:color="auto"/>
                <w:lang w:val="zh-CN" w:eastAsia="zh-CN"/>
              </w:rPr>
              <w:t>2</w:t>
            </w:r>
            <w:r>
              <w:rPr>
                <w:rFonts w:hint="eastAsia" w:eastAsia="宋体" w:cs="Times New Roman"/>
                <w:b/>
                <w:bCs/>
                <w:i w:val="0"/>
                <w:iCs w:val="0"/>
                <w:color w:val="auto"/>
                <w:sz w:val="24"/>
                <w:szCs w:val="24"/>
                <w:highlight w:val="none"/>
                <w:u w:val="none" w:color="auto"/>
                <w:lang w:val="en-US" w:eastAsia="zh-CN"/>
              </w:rPr>
              <w:t>.</w:t>
            </w:r>
            <w:r>
              <w:rPr>
                <w:rFonts w:hint="default" w:ascii="Times New Roman" w:hAnsi="Times New Roman" w:eastAsia="宋体" w:cs="Times New Roman"/>
                <w:b/>
                <w:bCs/>
                <w:i w:val="0"/>
                <w:iCs w:val="0"/>
                <w:color w:val="auto"/>
                <w:sz w:val="24"/>
                <w:szCs w:val="24"/>
                <w:highlight w:val="none"/>
                <w:u w:val="none" w:color="auto"/>
                <w:lang w:val="zh-CN" w:eastAsia="zh-CN"/>
              </w:rPr>
              <w:t>运营期大气环境保护措施</w:t>
            </w:r>
          </w:p>
          <w:p w14:paraId="76144333">
            <w:pPr>
              <w:pStyle w:val="43"/>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b w:val="0"/>
                <w:bCs w:val="0"/>
                <w:i w:val="0"/>
                <w:iCs w:val="0"/>
                <w:color w:val="auto"/>
                <w:sz w:val="24"/>
                <w:szCs w:val="24"/>
                <w:highlight w:val="none"/>
                <w:u w:val="none" w:color="auto"/>
                <w:lang w:val="en-US" w:eastAsia="zh-CN"/>
              </w:rPr>
            </w:pPr>
            <w:r>
              <w:rPr>
                <w:rFonts w:hint="default" w:ascii="Times New Roman" w:hAnsi="Times New Roman" w:eastAsia="宋体" w:cs="Times New Roman"/>
                <w:b w:val="0"/>
                <w:bCs/>
                <w:color w:val="auto"/>
                <w:sz w:val="24"/>
                <w:szCs w:val="24"/>
                <w:highlight w:val="none"/>
                <w:u w:val="none" w:color="auto"/>
                <w:lang w:val="en-US" w:eastAsia="zh-CN"/>
              </w:rPr>
              <w:t>本项目运营过程中无废气产生及排放，不会对大气环境造成影响。</w:t>
            </w:r>
          </w:p>
          <w:p w14:paraId="088DFF46">
            <w:pPr>
              <w:pStyle w:val="8"/>
              <w:keepNext w:val="0"/>
              <w:keepLines w:val="0"/>
              <w:pageBreakBefore w:val="0"/>
              <w:widowControl w:val="0"/>
              <w:kinsoku/>
              <w:wordWrap/>
              <w:overflowPunct/>
              <w:topLinePunct w:val="0"/>
              <w:autoSpaceDE/>
              <w:autoSpaceDN/>
              <w:bidi w:val="0"/>
              <w:adjustRightInd w:val="0"/>
              <w:snapToGrid w:val="0"/>
              <w:spacing w:line="360" w:lineRule="auto"/>
              <w:ind w:right="0"/>
              <w:jc w:val="both"/>
              <w:textAlignment w:val="auto"/>
              <w:rPr>
                <w:rFonts w:hint="default" w:ascii="Times New Roman" w:hAnsi="Times New Roman" w:eastAsia="宋体" w:cs="Times New Roman"/>
                <w:b/>
                <w:bCs/>
                <w:i w:val="0"/>
                <w:iCs w:val="0"/>
                <w:color w:val="auto"/>
                <w:sz w:val="24"/>
                <w:szCs w:val="24"/>
                <w:highlight w:val="none"/>
                <w:u w:val="none" w:color="auto"/>
                <w:lang w:val="en-US" w:eastAsia="zh-CN"/>
              </w:rPr>
            </w:pPr>
            <w:r>
              <w:rPr>
                <w:rFonts w:hint="default" w:ascii="Times New Roman" w:hAnsi="Times New Roman" w:eastAsia="宋体" w:cs="Times New Roman"/>
                <w:b/>
                <w:bCs/>
                <w:i w:val="0"/>
                <w:iCs w:val="0"/>
                <w:color w:val="auto"/>
                <w:sz w:val="24"/>
                <w:szCs w:val="24"/>
                <w:highlight w:val="none"/>
                <w:u w:val="none" w:color="auto"/>
                <w:lang w:val="zh-CN" w:eastAsia="zh-CN"/>
              </w:rPr>
              <w:t>3</w:t>
            </w:r>
            <w:r>
              <w:rPr>
                <w:rFonts w:hint="eastAsia" w:eastAsia="宋体" w:cs="Times New Roman"/>
                <w:b/>
                <w:bCs/>
                <w:i w:val="0"/>
                <w:iCs w:val="0"/>
                <w:color w:val="auto"/>
                <w:sz w:val="24"/>
                <w:szCs w:val="24"/>
                <w:highlight w:val="none"/>
                <w:u w:val="none" w:color="auto"/>
                <w:lang w:val="en-US" w:eastAsia="zh-CN"/>
              </w:rPr>
              <w:t>.</w:t>
            </w:r>
            <w:r>
              <w:rPr>
                <w:rFonts w:hint="default" w:ascii="Times New Roman" w:hAnsi="Times New Roman" w:eastAsia="宋体" w:cs="Times New Roman"/>
                <w:b/>
                <w:bCs/>
                <w:i w:val="0"/>
                <w:iCs w:val="0"/>
                <w:color w:val="auto"/>
                <w:sz w:val="24"/>
                <w:szCs w:val="24"/>
                <w:highlight w:val="none"/>
                <w:u w:val="none" w:color="auto"/>
                <w:lang w:val="zh-CN" w:eastAsia="zh-CN"/>
              </w:rPr>
              <w:t>运营期水环境保护措施</w:t>
            </w:r>
          </w:p>
          <w:p w14:paraId="60DEF2E1">
            <w:pPr>
              <w:pStyle w:val="43"/>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default" w:ascii="Times New Roman" w:hAnsi="Times New Roman" w:eastAsia="宋体" w:cs="Times New Roman"/>
                <w:b w:val="0"/>
                <w:bCs w:val="0"/>
                <w:i w:val="0"/>
                <w:iCs w:val="0"/>
                <w:color w:val="auto"/>
                <w:sz w:val="24"/>
                <w:szCs w:val="24"/>
                <w:highlight w:val="none"/>
                <w:u w:val="none" w:color="auto"/>
                <w:lang w:val="en-US" w:eastAsia="zh-CN"/>
              </w:rPr>
            </w:pPr>
            <w:r>
              <w:rPr>
                <w:rFonts w:hint="default" w:ascii="Times New Roman" w:hAnsi="Times New Roman" w:eastAsia="宋体" w:cs="Times New Roman"/>
                <w:b w:val="0"/>
                <w:bCs/>
                <w:color w:val="auto"/>
                <w:sz w:val="24"/>
                <w:szCs w:val="24"/>
                <w:highlight w:val="none"/>
                <w:u w:val="none" w:color="auto"/>
                <w:lang w:val="en-US" w:eastAsia="zh-CN"/>
              </w:rPr>
              <w:t>本项目运营过程中</w:t>
            </w:r>
            <w:r>
              <w:rPr>
                <w:rFonts w:hint="eastAsia" w:cs="Times New Roman"/>
                <w:b w:val="0"/>
                <w:bCs/>
                <w:color w:val="auto"/>
                <w:sz w:val="24"/>
                <w:szCs w:val="24"/>
                <w:highlight w:val="none"/>
                <w:u w:val="none" w:color="auto"/>
                <w:lang w:val="en-US" w:eastAsia="zh-CN"/>
              </w:rPr>
              <w:t>提升泵站管理人员</w:t>
            </w:r>
            <w:r>
              <w:rPr>
                <w:rFonts w:hint="eastAsia"/>
                <w:color w:val="auto"/>
                <w:sz w:val="24"/>
                <w:szCs w:val="24"/>
                <w:highlight w:val="none"/>
                <w:lang w:val="en-US" w:eastAsia="zh-CN"/>
              </w:rPr>
              <w:t>利用周边公共洗手间，产生污水由公共设施收集处理，</w:t>
            </w:r>
            <w:r>
              <w:rPr>
                <w:rFonts w:hint="default" w:ascii="Times New Roman" w:hAnsi="Times New Roman" w:eastAsia="宋体" w:cs="Times New Roman"/>
                <w:b w:val="0"/>
                <w:bCs/>
                <w:color w:val="auto"/>
                <w:sz w:val="24"/>
                <w:szCs w:val="24"/>
                <w:highlight w:val="none"/>
                <w:u w:val="none" w:color="auto"/>
                <w:lang w:val="en-US" w:eastAsia="zh-CN"/>
              </w:rPr>
              <w:t>不会对水环境造成影响</w:t>
            </w:r>
            <w:r>
              <w:rPr>
                <w:rFonts w:hint="default" w:ascii="Times New Roman" w:hAnsi="Times New Roman" w:cs="Times New Roman"/>
                <w:b w:val="0"/>
                <w:bCs/>
                <w:color w:val="auto"/>
                <w:sz w:val="24"/>
                <w:szCs w:val="24"/>
                <w:highlight w:val="none"/>
                <w:u w:val="none" w:color="auto"/>
                <w:lang w:val="en-US" w:eastAsia="zh-CN"/>
              </w:rPr>
              <w:t>。</w:t>
            </w:r>
          </w:p>
          <w:p w14:paraId="4E3A1092">
            <w:pPr>
              <w:pStyle w:val="8"/>
              <w:keepNext w:val="0"/>
              <w:keepLines w:val="0"/>
              <w:pageBreakBefore w:val="0"/>
              <w:widowControl w:val="0"/>
              <w:kinsoku/>
              <w:wordWrap/>
              <w:overflowPunct/>
              <w:topLinePunct w:val="0"/>
              <w:autoSpaceDE/>
              <w:autoSpaceDN/>
              <w:bidi w:val="0"/>
              <w:adjustRightInd w:val="0"/>
              <w:snapToGrid w:val="0"/>
              <w:spacing w:line="360" w:lineRule="auto"/>
              <w:ind w:right="0"/>
              <w:jc w:val="both"/>
              <w:textAlignment w:val="auto"/>
              <w:rPr>
                <w:rFonts w:hint="default" w:ascii="Times New Roman" w:hAnsi="Times New Roman" w:eastAsia="宋体" w:cs="Times New Roman"/>
                <w:b/>
                <w:bCs/>
                <w:i w:val="0"/>
                <w:iCs w:val="0"/>
                <w:color w:val="auto"/>
                <w:sz w:val="24"/>
                <w:szCs w:val="24"/>
                <w:highlight w:val="none"/>
                <w:u w:val="none" w:color="auto"/>
                <w:lang w:val="zh-CN" w:eastAsia="zh-CN"/>
              </w:rPr>
            </w:pPr>
            <w:r>
              <w:rPr>
                <w:rFonts w:hint="default" w:ascii="Times New Roman" w:hAnsi="Times New Roman" w:eastAsia="宋体" w:cs="Times New Roman"/>
                <w:b/>
                <w:bCs/>
                <w:i w:val="0"/>
                <w:iCs w:val="0"/>
                <w:color w:val="auto"/>
                <w:sz w:val="24"/>
                <w:szCs w:val="24"/>
                <w:highlight w:val="none"/>
                <w:u w:val="none" w:color="auto"/>
                <w:lang w:val="zh-CN" w:eastAsia="zh-CN"/>
              </w:rPr>
              <w:t>4</w:t>
            </w:r>
            <w:r>
              <w:rPr>
                <w:rFonts w:hint="eastAsia" w:eastAsia="宋体" w:cs="Times New Roman"/>
                <w:b/>
                <w:bCs/>
                <w:i w:val="0"/>
                <w:iCs w:val="0"/>
                <w:color w:val="auto"/>
                <w:sz w:val="24"/>
                <w:szCs w:val="24"/>
                <w:highlight w:val="none"/>
                <w:u w:val="none" w:color="auto"/>
                <w:lang w:val="en-US" w:eastAsia="zh-CN"/>
              </w:rPr>
              <w:t>.</w:t>
            </w:r>
            <w:r>
              <w:rPr>
                <w:rFonts w:hint="default" w:ascii="Times New Roman" w:hAnsi="Times New Roman" w:eastAsia="宋体" w:cs="Times New Roman"/>
                <w:b/>
                <w:bCs/>
                <w:i w:val="0"/>
                <w:iCs w:val="0"/>
                <w:color w:val="auto"/>
                <w:sz w:val="24"/>
                <w:szCs w:val="24"/>
                <w:highlight w:val="none"/>
                <w:u w:val="none" w:color="auto"/>
                <w:lang w:val="zh-CN" w:eastAsia="zh-CN"/>
              </w:rPr>
              <w:t>运营期声环境保护措施</w:t>
            </w:r>
          </w:p>
          <w:p w14:paraId="043C86D3">
            <w:pPr>
              <w:pStyle w:val="8"/>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firstLineChars="200"/>
              <w:jc w:val="both"/>
              <w:textAlignment w:val="auto"/>
              <w:rPr>
                <w:rFonts w:hint="eastAsia"/>
                <w:color w:val="auto"/>
                <w:sz w:val="24"/>
                <w:szCs w:val="24"/>
                <w:highlight w:val="none"/>
                <w:lang w:val="en-US" w:eastAsia="zh-CN"/>
              </w:rPr>
            </w:pPr>
            <w:r>
              <w:rPr>
                <w:rFonts w:hint="eastAsia" w:ascii="Times New Roman" w:hAnsi="Times New Roman" w:eastAsia="宋体" w:cs="Times New Roman"/>
                <w:b w:val="0"/>
                <w:bCs/>
                <w:color w:val="auto"/>
                <w:kern w:val="2"/>
                <w:sz w:val="24"/>
                <w:szCs w:val="24"/>
                <w:highlight w:val="none"/>
                <w:u w:val="none" w:color="auto"/>
                <w:lang w:val="en-US" w:eastAsia="zh-CN" w:bidi="ar-SA"/>
              </w:rPr>
              <w:t>本项目运营过程中的噪声主要来源于</w:t>
            </w:r>
            <w:r>
              <w:rPr>
                <w:rFonts w:hint="eastAsia" w:eastAsia="宋体" w:cs="Times New Roman"/>
                <w:b w:val="0"/>
                <w:bCs/>
                <w:color w:val="auto"/>
                <w:kern w:val="2"/>
                <w:sz w:val="24"/>
                <w:szCs w:val="24"/>
                <w:highlight w:val="none"/>
                <w:u w:val="none" w:color="auto"/>
                <w:lang w:val="en-US" w:eastAsia="zh-CN" w:bidi="ar-SA"/>
              </w:rPr>
              <w:t>提升泵站机械运行噪声</w:t>
            </w:r>
            <w:r>
              <w:rPr>
                <w:rFonts w:hint="eastAsia" w:ascii="Times New Roman" w:hAnsi="Times New Roman" w:eastAsia="宋体" w:cs="Times New Roman"/>
                <w:b w:val="0"/>
                <w:bCs/>
                <w:color w:val="auto"/>
                <w:kern w:val="2"/>
                <w:sz w:val="24"/>
                <w:szCs w:val="24"/>
                <w:highlight w:val="none"/>
                <w:u w:val="none" w:color="auto"/>
                <w:lang w:val="en-US" w:eastAsia="zh-CN" w:bidi="ar-SA"/>
              </w:rPr>
              <w:t>。建议本次设备安装专门的减振设施，并通过混凝土外墙进行进一步隔声减振，泵站设施日常定期进行维修。</w:t>
            </w:r>
            <w:r>
              <w:rPr>
                <w:rFonts w:hint="eastAsia" w:eastAsia="宋体" w:cs="Times New Roman"/>
                <w:b w:val="0"/>
                <w:bCs/>
                <w:color w:val="auto"/>
                <w:kern w:val="2"/>
                <w:sz w:val="24"/>
                <w:szCs w:val="24"/>
                <w:highlight w:val="none"/>
                <w:u w:val="none" w:color="auto"/>
                <w:lang w:val="en-US" w:eastAsia="zh-CN" w:bidi="ar-SA"/>
              </w:rPr>
              <w:t>提升</w:t>
            </w:r>
            <w:r>
              <w:rPr>
                <w:rFonts w:hint="eastAsia" w:ascii="Times New Roman" w:hAnsi="Times New Roman" w:eastAsia="宋体" w:cs="Times New Roman"/>
                <w:b w:val="0"/>
                <w:bCs/>
                <w:color w:val="auto"/>
                <w:kern w:val="2"/>
                <w:sz w:val="24"/>
                <w:szCs w:val="24"/>
                <w:highlight w:val="none"/>
                <w:u w:val="none" w:color="auto"/>
                <w:lang w:val="en-US" w:eastAsia="zh-CN" w:bidi="ar-SA"/>
              </w:rPr>
              <w:t>泵站抽水作业为阶段性工作，在避开午间和夜间时进行，对周边环境影响较小。</w:t>
            </w:r>
          </w:p>
          <w:p w14:paraId="5FAC33D3">
            <w:pPr>
              <w:pStyle w:val="8"/>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0" w:firstLineChars="0"/>
              <w:jc w:val="both"/>
              <w:textAlignment w:val="auto"/>
              <w:rPr>
                <w:rFonts w:hint="default" w:ascii="Times New Roman" w:hAnsi="Times New Roman" w:eastAsia="宋体" w:cs="Times New Roman"/>
                <w:b/>
                <w:bCs/>
                <w:i w:val="0"/>
                <w:iCs w:val="0"/>
                <w:color w:val="auto"/>
                <w:sz w:val="24"/>
                <w:szCs w:val="24"/>
                <w:highlight w:val="none"/>
                <w:u w:val="none" w:color="auto"/>
                <w:lang w:val="zh-CN" w:eastAsia="zh-CN"/>
              </w:rPr>
            </w:pPr>
            <w:r>
              <w:rPr>
                <w:rFonts w:hint="default" w:ascii="Times New Roman" w:hAnsi="Times New Roman" w:eastAsia="宋体" w:cs="Times New Roman"/>
                <w:b/>
                <w:bCs/>
                <w:i w:val="0"/>
                <w:iCs w:val="0"/>
                <w:color w:val="auto"/>
                <w:sz w:val="24"/>
                <w:szCs w:val="24"/>
                <w:highlight w:val="none"/>
                <w:u w:val="none" w:color="auto"/>
                <w:lang w:val="zh-CN" w:eastAsia="zh-CN"/>
              </w:rPr>
              <w:t>5</w:t>
            </w:r>
            <w:r>
              <w:rPr>
                <w:rFonts w:hint="eastAsia" w:eastAsia="宋体" w:cs="Times New Roman"/>
                <w:b/>
                <w:bCs/>
                <w:i w:val="0"/>
                <w:iCs w:val="0"/>
                <w:color w:val="auto"/>
                <w:sz w:val="24"/>
                <w:szCs w:val="24"/>
                <w:highlight w:val="none"/>
                <w:u w:val="none" w:color="auto"/>
                <w:lang w:val="en-US" w:eastAsia="zh-CN"/>
              </w:rPr>
              <w:t>.</w:t>
            </w:r>
            <w:r>
              <w:rPr>
                <w:rFonts w:hint="default" w:ascii="Times New Roman" w:hAnsi="Times New Roman" w:eastAsia="宋体" w:cs="Times New Roman"/>
                <w:b/>
                <w:bCs/>
                <w:i w:val="0"/>
                <w:iCs w:val="0"/>
                <w:color w:val="auto"/>
                <w:sz w:val="24"/>
                <w:szCs w:val="24"/>
                <w:highlight w:val="none"/>
                <w:u w:val="none" w:color="auto"/>
                <w:lang w:val="zh-CN" w:eastAsia="zh-CN"/>
              </w:rPr>
              <w:t>运营期固体废物环境保护措施</w:t>
            </w:r>
          </w:p>
          <w:p w14:paraId="0C5D91EF">
            <w:pPr>
              <w:pStyle w:val="43"/>
              <w:bidi w:val="0"/>
              <w:rPr>
                <w:rFonts w:ascii="宋体" w:hAnsi="宋体" w:cs="宋体"/>
                <w:bCs/>
                <w:spacing w:val="10"/>
                <w:sz w:val="24"/>
                <w:szCs w:val="24"/>
                <w:highlight w:val="none"/>
              </w:rPr>
            </w:pPr>
            <w:r>
              <w:rPr>
                <w:rFonts w:hint="eastAsia"/>
                <w:bCs/>
                <w:color w:val="auto"/>
                <w:sz w:val="24"/>
                <w:szCs w:val="24"/>
                <w:highlight w:val="none"/>
              </w:rPr>
              <w:t>项目营运期所产生的固体废物主要为</w:t>
            </w:r>
            <w:r>
              <w:rPr>
                <w:rFonts w:hint="eastAsia"/>
                <w:bCs/>
                <w:color w:val="auto"/>
                <w:sz w:val="24"/>
                <w:szCs w:val="24"/>
                <w:highlight w:val="none"/>
                <w:lang w:eastAsia="zh-CN"/>
              </w:rPr>
              <w:t>提升泵站管理人员</w:t>
            </w:r>
            <w:r>
              <w:rPr>
                <w:rFonts w:hint="eastAsia"/>
                <w:bCs/>
                <w:color w:val="auto"/>
                <w:sz w:val="24"/>
                <w:szCs w:val="24"/>
                <w:highlight w:val="none"/>
              </w:rPr>
              <w:t>生活垃圾，</w:t>
            </w:r>
            <w:r>
              <w:rPr>
                <w:rFonts w:hint="eastAsia"/>
                <w:bCs/>
                <w:color w:val="auto"/>
                <w:sz w:val="24"/>
                <w:szCs w:val="24"/>
                <w:highlight w:val="none"/>
                <w:lang w:eastAsia="zh-CN"/>
              </w:rPr>
              <w:t>经</w:t>
            </w:r>
            <w:r>
              <w:rPr>
                <w:rFonts w:hint="eastAsia"/>
                <w:bCs/>
                <w:color w:val="auto"/>
                <w:sz w:val="24"/>
                <w:szCs w:val="24"/>
                <w:highlight w:val="none"/>
              </w:rPr>
              <w:t>统一收集后，由环卫部门统一处理，对周围环境影响很小</w:t>
            </w:r>
            <w:r>
              <w:rPr>
                <w:rFonts w:hint="eastAsia"/>
                <w:bCs/>
                <w:color w:val="auto"/>
                <w:sz w:val="24"/>
                <w:szCs w:val="24"/>
                <w:highlight w:val="none"/>
                <w:lang w:eastAsia="zh-CN"/>
              </w:rPr>
              <w:t>。</w:t>
            </w:r>
            <w:r>
              <w:rPr>
                <w:rFonts w:hint="eastAsia"/>
                <w:color w:val="auto"/>
                <w:sz w:val="24"/>
                <w:szCs w:val="24"/>
                <w:highlight w:val="none"/>
                <w:lang w:val="en-US" w:eastAsia="zh-CN"/>
              </w:rPr>
              <w:t xml:space="preserve"> </w:t>
            </w:r>
          </w:p>
        </w:tc>
      </w:tr>
      <w:tr w14:paraId="74BA8E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73" w:type="dxa"/>
            <w:noWrap w:val="0"/>
            <w:vAlign w:val="center"/>
          </w:tcPr>
          <w:p w14:paraId="62E913A7">
            <w:pPr>
              <w:adjustRightInd w:val="0"/>
              <w:snapToGrid w:val="0"/>
              <w:jc w:val="center"/>
              <w:rPr>
                <w:rFonts w:ascii="宋体" w:hAnsi="宋体" w:cs="宋体"/>
                <w:bCs/>
                <w:spacing w:val="10"/>
                <w:sz w:val="24"/>
                <w:szCs w:val="24"/>
                <w:highlight w:val="none"/>
              </w:rPr>
            </w:pPr>
            <w:r>
              <w:rPr>
                <w:rFonts w:hint="eastAsia" w:ascii="宋体" w:hAnsi="宋体"/>
                <w:bCs/>
                <w:sz w:val="24"/>
                <w:szCs w:val="24"/>
                <w:highlight w:val="none"/>
              </w:rPr>
              <w:t>其他</w:t>
            </w:r>
          </w:p>
        </w:tc>
        <w:tc>
          <w:tcPr>
            <w:tcW w:w="8539" w:type="dxa"/>
            <w:noWrap w:val="0"/>
            <w:vAlign w:val="center"/>
          </w:tcPr>
          <w:p w14:paraId="47571B57">
            <w:pPr>
              <w:adjustRightInd w:val="0"/>
              <w:snapToGrid w:val="0"/>
              <w:jc w:val="center"/>
              <w:rPr>
                <w:rFonts w:hint="eastAsia" w:ascii="宋体" w:hAnsi="宋体" w:eastAsia="宋体" w:cs="宋体"/>
                <w:bCs/>
                <w:spacing w:val="10"/>
                <w:sz w:val="24"/>
                <w:szCs w:val="24"/>
                <w:highlight w:val="none"/>
                <w:lang w:eastAsia="zh-CN"/>
              </w:rPr>
            </w:pPr>
            <w:r>
              <w:rPr>
                <w:rFonts w:hint="eastAsia" w:ascii="宋体" w:hAnsi="宋体" w:cs="宋体"/>
                <w:bCs/>
                <w:spacing w:val="10"/>
                <w:sz w:val="24"/>
                <w:szCs w:val="24"/>
                <w:highlight w:val="none"/>
                <w:lang w:eastAsia="zh-CN"/>
              </w:rPr>
              <w:t>无</w:t>
            </w:r>
          </w:p>
        </w:tc>
      </w:tr>
      <w:tr w14:paraId="1FE107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1" w:hRule="atLeast"/>
          <w:jc w:val="center"/>
        </w:trPr>
        <w:tc>
          <w:tcPr>
            <w:tcW w:w="873" w:type="dxa"/>
            <w:noWrap w:val="0"/>
            <w:vAlign w:val="center"/>
          </w:tcPr>
          <w:p w14:paraId="50E36514">
            <w:pPr>
              <w:adjustRightInd w:val="0"/>
              <w:snapToGrid w:val="0"/>
              <w:jc w:val="center"/>
              <w:rPr>
                <w:rFonts w:hint="eastAsia" w:ascii="宋体" w:hAnsi="宋体"/>
                <w:bCs/>
                <w:sz w:val="24"/>
                <w:szCs w:val="24"/>
                <w:highlight w:val="none"/>
              </w:rPr>
            </w:pPr>
            <w:r>
              <w:rPr>
                <w:rFonts w:hint="eastAsia" w:ascii="宋体" w:hAnsi="宋体"/>
                <w:bCs/>
                <w:sz w:val="24"/>
                <w:szCs w:val="24"/>
                <w:highlight w:val="none"/>
              </w:rPr>
              <w:t>环保投资</w:t>
            </w:r>
          </w:p>
          <w:p w14:paraId="6A0B004E">
            <w:pPr>
              <w:adjustRightInd w:val="0"/>
              <w:snapToGrid w:val="0"/>
              <w:jc w:val="center"/>
              <w:rPr>
                <w:rFonts w:hint="eastAsia" w:ascii="宋体" w:hAnsi="宋体"/>
                <w:bCs/>
                <w:sz w:val="24"/>
                <w:szCs w:val="24"/>
                <w:highlight w:val="none"/>
              </w:rPr>
            </w:pPr>
          </w:p>
          <w:p w14:paraId="5B382FC2">
            <w:pPr>
              <w:adjustRightInd w:val="0"/>
              <w:snapToGrid w:val="0"/>
              <w:jc w:val="center"/>
              <w:rPr>
                <w:rFonts w:hint="eastAsia" w:ascii="宋体" w:hAnsi="宋体"/>
                <w:bCs/>
                <w:sz w:val="24"/>
                <w:szCs w:val="24"/>
                <w:highlight w:val="none"/>
              </w:rPr>
            </w:pPr>
          </w:p>
        </w:tc>
        <w:tc>
          <w:tcPr>
            <w:tcW w:w="8539" w:type="dxa"/>
            <w:noWrap w:val="0"/>
            <w:vAlign w:val="top"/>
          </w:tcPr>
          <w:p w14:paraId="6C460A82">
            <w:pPr>
              <w:keepNext w:val="0"/>
              <w:keepLines w:val="0"/>
              <w:pageBreakBefore w:val="0"/>
              <w:widowControl w:val="0"/>
              <w:kinsoku/>
              <w:wordWrap/>
              <w:overflowPunct/>
              <w:topLinePunct w:val="0"/>
              <w:autoSpaceDE/>
              <w:autoSpaceDN/>
              <w:bidi w:val="0"/>
              <w:adjustRightInd w:val="0"/>
              <w:snapToGrid/>
              <w:spacing w:line="360" w:lineRule="auto"/>
              <w:ind w:firstLine="520" w:firstLineChars="200"/>
              <w:textAlignment w:val="auto"/>
              <w:rPr>
                <w:rFonts w:hint="default" w:ascii="Times New Roman" w:hAnsi="Times New Roman" w:eastAsia="宋体" w:cs="Times New Roman"/>
                <w:b/>
                <w:bCs/>
                <w:color w:val="auto"/>
                <w:sz w:val="21"/>
                <w:szCs w:val="21"/>
                <w:highlight w:val="none"/>
                <w:u w:val="none" w:color="auto"/>
                <w:lang w:val="zh-CN"/>
              </w:rPr>
            </w:pPr>
            <w:r>
              <w:rPr>
                <w:rFonts w:hint="default" w:ascii="Times New Roman" w:hAnsi="Times New Roman" w:cs="Times New Roman"/>
                <w:bCs/>
                <w:spacing w:val="10"/>
                <w:sz w:val="24"/>
                <w:szCs w:val="24"/>
                <w:highlight w:val="none"/>
                <w:lang w:eastAsia="zh-CN"/>
              </w:rPr>
              <w:t>项目环保投资共计</w:t>
            </w:r>
            <w:r>
              <w:rPr>
                <w:rFonts w:hint="default" w:ascii="Times New Roman" w:hAnsi="Times New Roman" w:cs="Times New Roman"/>
                <w:bCs/>
                <w:spacing w:val="10"/>
                <w:sz w:val="24"/>
                <w:szCs w:val="24"/>
                <w:highlight w:val="none"/>
                <w:lang w:val="en-US" w:eastAsia="zh-CN"/>
              </w:rPr>
              <w:t>14.05万元，占总投资的0.44%。这部分环保设施和环保措施的投入，可以将各种污染物达标排放，符合国家规定的环保要求，具有一定的社会效益和环境效益。</w:t>
            </w:r>
          </w:p>
          <w:p w14:paraId="0BA14D37">
            <w:pPr>
              <w:pStyle w:val="8"/>
              <w:adjustRightInd w:val="0"/>
              <w:snapToGrid w:val="0"/>
              <w:spacing w:beforeLines="0" w:afterLines="0" w:line="240" w:lineRule="auto"/>
              <w:ind w:right="0"/>
              <w:jc w:val="center"/>
              <w:rPr>
                <w:rFonts w:hint="default" w:ascii="Times New Roman" w:hAnsi="Times New Roman" w:eastAsia="宋体" w:cs="Times New Roman"/>
                <w:b/>
                <w:bCs/>
                <w:color w:val="auto"/>
                <w:sz w:val="21"/>
                <w:szCs w:val="21"/>
                <w:highlight w:val="none"/>
                <w:u w:val="none" w:color="auto"/>
                <w:lang w:val="zh-CN"/>
              </w:rPr>
            </w:pPr>
            <w:r>
              <w:rPr>
                <w:rFonts w:hint="default" w:ascii="Times New Roman" w:hAnsi="Times New Roman" w:eastAsia="宋体" w:cs="Times New Roman"/>
                <w:b/>
                <w:bCs/>
                <w:color w:val="auto"/>
                <w:sz w:val="21"/>
                <w:szCs w:val="21"/>
                <w:highlight w:val="none"/>
                <w:u w:val="none" w:color="auto"/>
                <w:lang w:val="zh-CN"/>
              </w:rPr>
              <w:t>环保工程一览表</w:t>
            </w:r>
          </w:p>
          <w:tbl>
            <w:tblPr>
              <w:tblStyle w:val="18"/>
              <w:tblW w:w="4998" w:type="pct"/>
              <w:jc w:val="center"/>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22"/>
              <w:gridCol w:w="4310"/>
              <w:gridCol w:w="1788"/>
            </w:tblGrid>
            <w:tr w14:paraId="684CBA42">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1335" w:type="pct"/>
                  <w:tcBorders>
                    <w:tl2br w:val="nil"/>
                    <w:tr2bl w:val="nil"/>
                  </w:tcBorders>
                  <w:noWrap w:val="0"/>
                  <w:vAlign w:val="center"/>
                </w:tcPr>
                <w:p w14:paraId="10ABB5DE">
                  <w:pPr>
                    <w:pStyle w:val="15"/>
                    <w:widowControl w:val="0"/>
                    <w:autoSpaceDE w:val="0"/>
                    <w:adjustRightInd w:val="0"/>
                    <w:snapToGrid w:val="0"/>
                    <w:spacing w:before="0" w:beforeLines="0" w:beforeAutospacing="0" w:after="0" w:afterLines="0" w:afterAutospacing="0"/>
                    <w:jc w:val="center"/>
                    <w:rPr>
                      <w:rFonts w:hint="default" w:ascii="Times New Roman" w:hAnsi="Times New Roman" w:eastAsia="Times New Roman" w:cs="Times New Roman"/>
                      <w:b/>
                      <w:bCs/>
                      <w:kern w:val="0"/>
                      <w:sz w:val="21"/>
                      <w:szCs w:val="21"/>
                      <w:highlight w:val="none"/>
                    </w:rPr>
                  </w:pPr>
                  <w:r>
                    <w:rPr>
                      <w:rFonts w:hint="default" w:ascii="Times New Roman" w:hAnsi="Times New Roman" w:cs="Times New Roman"/>
                      <w:b/>
                      <w:bCs/>
                      <w:kern w:val="0"/>
                      <w:sz w:val="21"/>
                      <w:szCs w:val="21"/>
                      <w:highlight w:val="none"/>
                      <w:lang w:bidi="ar"/>
                    </w:rPr>
                    <w:t>项目</w:t>
                  </w:r>
                </w:p>
              </w:tc>
              <w:tc>
                <w:tcPr>
                  <w:tcW w:w="2589" w:type="pct"/>
                  <w:tcBorders>
                    <w:tl2br w:val="nil"/>
                    <w:tr2bl w:val="nil"/>
                  </w:tcBorders>
                  <w:noWrap w:val="0"/>
                  <w:vAlign w:val="center"/>
                </w:tcPr>
                <w:p w14:paraId="55F17ECC">
                  <w:pPr>
                    <w:pStyle w:val="15"/>
                    <w:widowControl w:val="0"/>
                    <w:autoSpaceDE w:val="0"/>
                    <w:adjustRightInd w:val="0"/>
                    <w:snapToGrid w:val="0"/>
                    <w:spacing w:before="0" w:beforeLines="0" w:beforeAutospacing="0" w:after="0" w:afterLines="0" w:afterAutospacing="0"/>
                    <w:jc w:val="center"/>
                    <w:rPr>
                      <w:rFonts w:hint="default" w:ascii="Times New Roman" w:hAnsi="Times New Roman" w:eastAsia="Times New Roman" w:cs="Times New Roman"/>
                      <w:b/>
                      <w:bCs/>
                      <w:kern w:val="0"/>
                      <w:sz w:val="21"/>
                      <w:szCs w:val="21"/>
                      <w:highlight w:val="none"/>
                    </w:rPr>
                  </w:pPr>
                  <w:r>
                    <w:rPr>
                      <w:rFonts w:hint="default" w:ascii="Times New Roman" w:hAnsi="Times New Roman" w:cs="Times New Roman"/>
                      <w:b/>
                      <w:bCs/>
                      <w:kern w:val="0"/>
                      <w:sz w:val="21"/>
                      <w:szCs w:val="21"/>
                      <w:highlight w:val="none"/>
                      <w:lang w:bidi="ar"/>
                    </w:rPr>
                    <w:t>措施</w:t>
                  </w:r>
                </w:p>
              </w:tc>
              <w:tc>
                <w:tcPr>
                  <w:tcW w:w="1074" w:type="pct"/>
                  <w:tcBorders>
                    <w:tl2br w:val="nil"/>
                    <w:tr2bl w:val="nil"/>
                  </w:tcBorders>
                  <w:noWrap w:val="0"/>
                  <w:vAlign w:val="center"/>
                </w:tcPr>
                <w:p w14:paraId="654E365C">
                  <w:pPr>
                    <w:pStyle w:val="15"/>
                    <w:widowControl w:val="0"/>
                    <w:autoSpaceDE w:val="0"/>
                    <w:adjustRightInd w:val="0"/>
                    <w:snapToGrid w:val="0"/>
                    <w:spacing w:before="0" w:beforeLines="0" w:beforeAutospacing="0" w:after="0" w:afterLines="0" w:afterAutospacing="0"/>
                    <w:jc w:val="center"/>
                    <w:rPr>
                      <w:rFonts w:hint="default" w:ascii="Times New Roman" w:hAnsi="Times New Roman" w:eastAsia="Times New Roman" w:cs="Times New Roman"/>
                      <w:b/>
                      <w:bCs/>
                      <w:kern w:val="0"/>
                      <w:sz w:val="21"/>
                      <w:szCs w:val="21"/>
                      <w:highlight w:val="none"/>
                    </w:rPr>
                  </w:pPr>
                  <w:r>
                    <w:rPr>
                      <w:rFonts w:hint="default" w:ascii="Times New Roman" w:hAnsi="Times New Roman" w:cs="Times New Roman"/>
                      <w:b/>
                      <w:bCs/>
                      <w:kern w:val="0"/>
                      <w:sz w:val="21"/>
                      <w:szCs w:val="21"/>
                      <w:highlight w:val="none"/>
                      <w:lang w:bidi="ar"/>
                    </w:rPr>
                    <w:t>投资（万元）</w:t>
                  </w:r>
                </w:p>
              </w:tc>
            </w:tr>
            <w:tr w14:paraId="586DBB59">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1335" w:type="pct"/>
                  <w:tcBorders>
                    <w:tl2br w:val="nil"/>
                    <w:tr2bl w:val="nil"/>
                  </w:tcBorders>
                  <w:noWrap w:val="0"/>
                  <w:vAlign w:val="center"/>
                </w:tcPr>
                <w:p w14:paraId="3ADC3351">
                  <w:pPr>
                    <w:pStyle w:val="15"/>
                    <w:widowControl w:val="0"/>
                    <w:autoSpaceDE w:val="0"/>
                    <w:adjustRightInd w:val="0"/>
                    <w:snapToGrid w:val="0"/>
                    <w:spacing w:before="0" w:beforeLines="0" w:beforeAutospacing="0" w:after="0" w:afterLines="0" w:afterAutospacing="0" w:line="240" w:lineRule="auto"/>
                    <w:jc w:val="center"/>
                    <w:rPr>
                      <w:rFonts w:hint="default" w:ascii="Times New Roman" w:hAnsi="Times New Roman" w:eastAsia="Times New Roman" w:cs="Times New Roman"/>
                      <w:kern w:val="0"/>
                      <w:sz w:val="21"/>
                      <w:szCs w:val="21"/>
                      <w:highlight w:val="none"/>
                    </w:rPr>
                  </w:pPr>
                  <w:r>
                    <w:rPr>
                      <w:rFonts w:hint="default" w:ascii="Times New Roman" w:hAnsi="Times New Roman" w:cs="Times New Roman"/>
                      <w:kern w:val="0"/>
                      <w:sz w:val="21"/>
                      <w:szCs w:val="21"/>
                      <w:highlight w:val="none"/>
                      <w:lang w:bidi="ar"/>
                    </w:rPr>
                    <w:t>第一部分环境保护措施</w:t>
                  </w:r>
                </w:p>
              </w:tc>
              <w:tc>
                <w:tcPr>
                  <w:tcW w:w="2589" w:type="pct"/>
                  <w:tcBorders>
                    <w:tl2br w:val="nil"/>
                    <w:tr2bl w:val="nil"/>
                  </w:tcBorders>
                  <w:noWrap w:val="0"/>
                  <w:vAlign w:val="center"/>
                </w:tcPr>
                <w:p w14:paraId="283C5849">
                  <w:pPr>
                    <w:pStyle w:val="15"/>
                    <w:widowControl w:val="0"/>
                    <w:autoSpaceDE w:val="0"/>
                    <w:adjustRightInd w:val="0"/>
                    <w:snapToGrid w:val="0"/>
                    <w:spacing w:before="0" w:beforeLines="0" w:beforeAutospacing="0" w:after="0" w:afterLines="0" w:afterAutospacing="0" w:line="240" w:lineRule="auto"/>
                    <w:jc w:val="center"/>
                    <w:rPr>
                      <w:rFonts w:hint="default" w:ascii="Times New Roman" w:hAnsi="Times New Roman" w:eastAsia="Times New Roman" w:cs="Times New Roman"/>
                      <w:kern w:val="0"/>
                      <w:sz w:val="21"/>
                      <w:szCs w:val="21"/>
                      <w:highlight w:val="none"/>
                    </w:rPr>
                  </w:pPr>
                  <w:r>
                    <w:rPr>
                      <w:rFonts w:hint="default" w:ascii="Times New Roman" w:hAnsi="Times New Roman" w:cs="Times New Roman"/>
                      <w:kern w:val="0"/>
                      <w:sz w:val="21"/>
                      <w:szCs w:val="21"/>
                      <w:highlight w:val="none"/>
                      <w:lang w:bidi="ar"/>
                    </w:rPr>
                    <w:t>树立宣传栏、刷写标语等宣传教育</w:t>
                  </w:r>
                </w:p>
              </w:tc>
              <w:tc>
                <w:tcPr>
                  <w:tcW w:w="1074" w:type="pct"/>
                  <w:vMerge w:val="restart"/>
                  <w:tcBorders>
                    <w:tl2br w:val="nil"/>
                    <w:tr2bl w:val="nil"/>
                  </w:tcBorders>
                  <w:noWrap w:val="0"/>
                  <w:vAlign w:val="center"/>
                </w:tcPr>
                <w:p w14:paraId="364B6E87">
                  <w:pPr>
                    <w:pStyle w:val="15"/>
                    <w:widowControl w:val="0"/>
                    <w:autoSpaceDE w:val="0"/>
                    <w:adjustRightInd w:val="0"/>
                    <w:snapToGrid w:val="0"/>
                    <w:spacing w:before="0" w:beforeLines="0" w:beforeAutospacing="0" w:after="0" w:afterLines="0" w:afterAutospacing="0"/>
                    <w:jc w:val="center"/>
                    <w:rPr>
                      <w:rFonts w:hint="default" w:ascii="Times New Roman" w:hAnsi="Times New Roman" w:eastAsia="宋体" w:cs="Times New Roman"/>
                      <w:kern w:val="0"/>
                      <w:sz w:val="21"/>
                      <w:szCs w:val="21"/>
                      <w:highlight w:val="none"/>
                      <w:lang w:val="en-US" w:eastAsia="zh-CN"/>
                    </w:rPr>
                  </w:pPr>
                  <w:r>
                    <w:rPr>
                      <w:rFonts w:hint="eastAsia" w:ascii="Times New Roman" w:hAnsi="Times New Roman" w:eastAsia="宋体" w:cs="Times New Roman"/>
                      <w:kern w:val="0"/>
                      <w:sz w:val="21"/>
                      <w:szCs w:val="21"/>
                      <w:highlight w:val="none"/>
                      <w:lang w:val="en-US" w:eastAsia="zh-CN"/>
                    </w:rPr>
                    <w:t>14.05</w:t>
                  </w:r>
                </w:p>
              </w:tc>
            </w:tr>
            <w:tr w14:paraId="6AA9EB4A">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1335" w:type="pct"/>
                  <w:tcBorders>
                    <w:tl2br w:val="nil"/>
                    <w:tr2bl w:val="nil"/>
                  </w:tcBorders>
                  <w:noWrap w:val="0"/>
                  <w:vAlign w:val="center"/>
                </w:tcPr>
                <w:p w14:paraId="7FF41AE4">
                  <w:pPr>
                    <w:pStyle w:val="15"/>
                    <w:widowControl w:val="0"/>
                    <w:autoSpaceDE w:val="0"/>
                    <w:adjustRightInd w:val="0"/>
                    <w:snapToGrid w:val="0"/>
                    <w:spacing w:before="0" w:beforeLines="0" w:beforeAutospacing="0" w:after="0" w:afterLines="0" w:afterAutospacing="0" w:line="240" w:lineRule="auto"/>
                    <w:jc w:val="center"/>
                    <w:rPr>
                      <w:rFonts w:hint="default" w:ascii="Times New Roman" w:hAnsi="Times New Roman" w:eastAsia="Times New Roman" w:cs="Times New Roman"/>
                      <w:kern w:val="0"/>
                      <w:sz w:val="21"/>
                      <w:szCs w:val="21"/>
                      <w:highlight w:val="none"/>
                    </w:rPr>
                  </w:pPr>
                  <w:r>
                    <w:rPr>
                      <w:rFonts w:hint="default" w:ascii="Times New Roman" w:hAnsi="Times New Roman" w:cs="Times New Roman"/>
                      <w:kern w:val="0"/>
                      <w:sz w:val="21"/>
                      <w:szCs w:val="21"/>
                      <w:highlight w:val="none"/>
                      <w:lang w:bidi="ar"/>
                    </w:rPr>
                    <w:t>第二部分</w:t>
                  </w:r>
                  <w:r>
                    <w:rPr>
                      <w:rFonts w:hint="eastAsia" w:ascii="Times New Roman" w:hAnsi="Times New Roman" w:cs="Times New Roman"/>
                      <w:kern w:val="0"/>
                      <w:sz w:val="21"/>
                      <w:szCs w:val="21"/>
                      <w:highlight w:val="none"/>
                      <w:lang w:eastAsia="zh-CN" w:bidi="ar"/>
                    </w:rPr>
                    <w:t>声环境保护</w:t>
                  </w:r>
                  <w:r>
                    <w:rPr>
                      <w:rFonts w:hint="default" w:ascii="Times New Roman" w:hAnsi="Times New Roman" w:cs="Times New Roman"/>
                      <w:kern w:val="0"/>
                      <w:sz w:val="21"/>
                      <w:szCs w:val="21"/>
                      <w:highlight w:val="none"/>
                      <w:lang w:bidi="ar"/>
                    </w:rPr>
                    <w:t>措施</w:t>
                  </w:r>
                </w:p>
              </w:tc>
              <w:tc>
                <w:tcPr>
                  <w:tcW w:w="2589" w:type="pct"/>
                  <w:tcBorders>
                    <w:tl2br w:val="nil"/>
                    <w:tr2bl w:val="nil"/>
                  </w:tcBorders>
                  <w:noWrap w:val="0"/>
                  <w:vAlign w:val="center"/>
                </w:tcPr>
                <w:p w14:paraId="0ACFB0A4">
                  <w:pPr>
                    <w:pStyle w:val="15"/>
                    <w:widowControl w:val="0"/>
                    <w:autoSpaceDE w:val="0"/>
                    <w:adjustRightInd w:val="0"/>
                    <w:snapToGrid w:val="0"/>
                    <w:spacing w:before="0" w:beforeLines="0" w:beforeAutospacing="0" w:after="0" w:afterLines="0" w:afterAutospacing="0" w:line="240" w:lineRule="auto"/>
                    <w:jc w:val="center"/>
                    <w:rPr>
                      <w:rFonts w:hint="default" w:ascii="Times New Roman" w:hAnsi="Times New Roman" w:eastAsia="Times New Roman" w:cs="Times New Roman"/>
                      <w:kern w:val="0"/>
                      <w:sz w:val="21"/>
                      <w:szCs w:val="21"/>
                      <w:highlight w:val="none"/>
                    </w:rPr>
                  </w:pPr>
                  <w:r>
                    <w:rPr>
                      <w:rFonts w:hint="eastAsia" w:ascii="Times New Roman" w:hAnsi="Times New Roman" w:eastAsia="宋体" w:cs="Times New Roman"/>
                      <w:kern w:val="0"/>
                      <w:sz w:val="21"/>
                      <w:szCs w:val="21"/>
                      <w:highlight w:val="none"/>
                      <w:lang w:eastAsia="zh-CN"/>
                    </w:rPr>
                    <w:t>选用低噪声机械设备，设置围挡、限速禁鸣标志，减速带等措施，监测费用</w:t>
                  </w:r>
                </w:p>
              </w:tc>
              <w:tc>
                <w:tcPr>
                  <w:tcW w:w="1074" w:type="pct"/>
                  <w:vMerge w:val="continue"/>
                  <w:tcBorders>
                    <w:tl2br w:val="nil"/>
                    <w:tr2bl w:val="nil"/>
                  </w:tcBorders>
                  <w:noWrap w:val="0"/>
                  <w:vAlign w:val="center"/>
                </w:tcPr>
                <w:p w14:paraId="6F9C9CB2">
                  <w:pPr>
                    <w:pStyle w:val="15"/>
                    <w:widowControl w:val="0"/>
                    <w:autoSpaceDE w:val="0"/>
                    <w:adjustRightInd w:val="0"/>
                    <w:snapToGrid w:val="0"/>
                    <w:spacing w:before="0" w:beforeLines="0" w:beforeAutospacing="0" w:after="0" w:afterLines="0" w:afterAutospacing="0"/>
                    <w:jc w:val="center"/>
                    <w:rPr>
                      <w:rFonts w:hint="default" w:ascii="Times New Roman" w:hAnsi="Times New Roman" w:eastAsia="Times New Roman" w:cs="Times New Roman"/>
                      <w:kern w:val="0"/>
                      <w:sz w:val="21"/>
                      <w:szCs w:val="21"/>
                      <w:highlight w:val="none"/>
                    </w:rPr>
                  </w:pPr>
                </w:p>
              </w:tc>
            </w:tr>
            <w:tr w14:paraId="61CF6F58">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1335" w:type="pct"/>
                  <w:tcBorders>
                    <w:tl2br w:val="nil"/>
                    <w:tr2bl w:val="nil"/>
                  </w:tcBorders>
                  <w:noWrap w:val="0"/>
                  <w:vAlign w:val="center"/>
                </w:tcPr>
                <w:p w14:paraId="5BB46855">
                  <w:pPr>
                    <w:pStyle w:val="15"/>
                    <w:widowControl w:val="0"/>
                    <w:autoSpaceDE w:val="0"/>
                    <w:adjustRightInd w:val="0"/>
                    <w:snapToGrid w:val="0"/>
                    <w:spacing w:before="0" w:beforeLines="0" w:beforeAutospacing="0" w:after="0" w:afterLines="0" w:afterAutospacing="0" w:line="240" w:lineRule="auto"/>
                    <w:jc w:val="center"/>
                    <w:rPr>
                      <w:rFonts w:hint="default" w:ascii="Times New Roman" w:hAnsi="Times New Roman" w:eastAsia="Times New Roman" w:cs="Times New Roman"/>
                      <w:kern w:val="0"/>
                      <w:sz w:val="21"/>
                      <w:szCs w:val="21"/>
                      <w:highlight w:val="none"/>
                    </w:rPr>
                  </w:pPr>
                  <w:r>
                    <w:rPr>
                      <w:rFonts w:hint="default" w:ascii="Times New Roman" w:hAnsi="Times New Roman" w:cs="Times New Roman"/>
                      <w:kern w:val="0"/>
                      <w:sz w:val="21"/>
                      <w:szCs w:val="21"/>
                      <w:highlight w:val="none"/>
                      <w:lang w:bidi="ar"/>
                    </w:rPr>
                    <w:t>第三部分</w:t>
                  </w:r>
                  <w:r>
                    <w:rPr>
                      <w:rFonts w:hint="eastAsia" w:ascii="Times New Roman" w:hAnsi="Times New Roman" w:cs="Times New Roman"/>
                      <w:kern w:val="0"/>
                      <w:sz w:val="21"/>
                      <w:szCs w:val="21"/>
                      <w:highlight w:val="none"/>
                      <w:lang w:eastAsia="zh-CN" w:bidi="ar"/>
                    </w:rPr>
                    <w:t>大气环境保护措施</w:t>
                  </w:r>
                </w:p>
              </w:tc>
              <w:tc>
                <w:tcPr>
                  <w:tcW w:w="2589" w:type="pct"/>
                  <w:tcBorders>
                    <w:tl2br w:val="nil"/>
                    <w:tr2bl w:val="nil"/>
                  </w:tcBorders>
                  <w:noWrap w:val="0"/>
                  <w:vAlign w:val="center"/>
                </w:tcPr>
                <w:p w14:paraId="20DEF2EB">
                  <w:pPr>
                    <w:pStyle w:val="15"/>
                    <w:widowControl w:val="0"/>
                    <w:autoSpaceDE w:val="0"/>
                    <w:adjustRightInd w:val="0"/>
                    <w:snapToGrid w:val="0"/>
                    <w:spacing w:before="0" w:beforeLines="0" w:beforeAutospacing="0" w:after="0" w:afterLines="0" w:afterAutospacing="0" w:line="240" w:lineRule="auto"/>
                    <w:jc w:val="center"/>
                    <w:rPr>
                      <w:rFonts w:hint="default" w:ascii="Times New Roman" w:hAnsi="Times New Roman" w:eastAsia="Times New Roman" w:cs="Times New Roman"/>
                      <w:kern w:val="0"/>
                      <w:sz w:val="21"/>
                      <w:szCs w:val="21"/>
                      <w:highlight w:val="none"/>
                    </w:rPr>
                  </w:pPr>
                  <w:r>
                    <w:rPr>
                      <w:rFonts w:hint="eastAsia" w:ascii="Times New Roman" w:hAnsi="Times New Roman" w:eastAsia="宋体" w:cs="Times New Roman"/>
                      <w:kern w:val="0"/>
                      <w:sz w:val="21"/>
                      <w:szCs w:val="21"/>
                      <w:highlight w:val="none"/>
                      <w:lang w:eastAsia="zh-CN"/>
                    </w:rPr>
                    <w:t>扬尘防治教育培训、雾炮冲洗、车辆冲洗台、扬尘防治牌等，</w:t>
                  </w:r>
                  <w:r>
                    <w:rPr>
                      <w:rFonts w:ascii="宋体" w:hAnsi="宋体" w:eastAsia="宋体" w:cs="宋体"/>
                      <w:b w:val="0"/>
                      <w:bCs w:val="0"/>
                      <w:color w:val="000000"/>
                      <w:sz w:val="21"/>
                      <w:szCs w:val="21"/>
                      <w:highlight w:val="none"/>
                    </w:rPr>
                    <w:t>进入施工现场的机动车辆全部达到尾气排放标准，所有施工机械尽量使用环保型施工机械，燃油机车和施工机械必须使用符合国家标准的燃料</w:t>
                  </w:r>
                </w:p>
              </w:tc>
              <w:tc>
                <w:tcPr>
                  <w:tcW w:w="1074" w:type="pct"/>
                  <w:vMerge w:val="continue"/>
                  <w:tcBorders>
                    <w:tl2br w:val="nil"/>
                    <w:tr2bl w:val="nil"/>
                  </w:tcBorders>
                  <w:noWrap w:val="0"/>
                  <w:vAlign w:val="center"/>
                </w:tcPr>
                <w:p w14:paraId="41079BF1">
                  <w:pPr>
                    <w:pStyle w:val="15"/>
                    <w:widowControl w:val="0"/>
                    <w:autoSpaceDE w:val="0"/>
                    <w:adjustRightInd w:val="0"/>
                    <w:snapToGrid w:val="0"/>
                    <w:spacing w:before="0" w:beforeLines="0" w:beforeAutospacing="0" w:after="0" w:afterLines="0" w:afterAutospacing="0"/>
                    <w:jc w:val="center"/>
                    <w:rPr>
                      <w:rFonts w:hint="default" w:ascii="Times New Roman" w:hAnsi="Times New Roman" w:eastAsia="Times New Roman" w:cs="Times New Roman"/>
                      <w:kern w:val="0"/>
                      <w:sz w:val="21"/>
                      <w:szCs w:val="21"/>
                      <w:highlight w:val="none"/>
                    </w:rPr>
                  </w:pPr>
                </w:p>
              </w:tc>
            </w:tr>
            <w:tr w14:paraId="7984659D">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1335" w:type="pct"/>
                  <w:tcBorders>
                    <w:tl2br w:val="nil"/>
                    <w:tr2bl w:val="nil"/>
                  </w:tcBorders>
                  <w:noWrap w:val="0"/>
                  <w:vAlign w:val="center"/>
                </w:tcPr>
                <w:p w14:paraId="596181D2">
                  <w:pPr>
                    <w:pStyle w:val="15"/>
                    <w:widowControl w:val="0"/>
                    <w:autoSpaceDE w:val="0"/>
                    <w:adjustRightInd w:val="0"/>
                    <w:snapToGrid w:val="0"/>
                    <w:spacing w:before="0" w:beforeLines="0" w:beforeAutospacing="0" w:after="0" w:afterLines="0" w:afterAutospacing="0" w:line="240" w:lineRule="auto"/>
                    <w:jc w:val="center"/>
                    <w:rPr>
                      <w:rFonts w:hint="default" w:ascii="Times New Roman" w:hAnsi="Times New Roman" w:eastAsia="Times New Roman" w:cs="Times New Roman"/>
                      <w:kern w:val="0"/>
                      <w:sz w:val="21"/>
                      <w:szCs w:val="21"/>
                      <w:highlight w:val="none"/>
                    </w:rPr>
                  </w:pPr>
                  <w:r>
                    <w:rPr>
                      <w:rFonts w:hint="default" w:ascii="Times New Roman" w:hAnsi="Times New Roman" w:cs="Times New Roman"/>
                      <w:kern w:val="0"/>
                      <w:sz w:val="21"/>
                      <w:szCs w:val="21"/>
                      <w:highlight w:val="none"/>
                      <w:lang w:bidi="ar"/>
                    </w:rPr>
                    <w:t>第</w:t>
                  </w:r>
                  <w:r>
                    <w:rPr>
                      <w:rFonts w:hint="eastAsia" w:ascii="Times New Roman" w:hAnsi="Times New Roman" w:cs="Times New Roman"/>
                      <w:kern w:val="0"/>
                      <w:sz w:val="21"/>
                      <w:szCs w:val="21"/>
                      <w:highlight w:val="none"/>
                      <w:lang w:eastAsia="zh-CN" w:bidi="ar"/>
                    </w:rPr>
                    <w:t>四</w:t>
                  </w:r>
                  <w:r>
                    <w:rPr>
                      <w:rFonts w:hint="default" w:ascii="Times New Roman" w:hAnsi="Times New Roman" w:cs="Times New Roman"/>
                      <w:kern w:val="0"/>
                      <w:sz w:val="21"/>
                      <w:szCs w:val="21"/>
                      <w:highlight w:val="none"/>
                      <w:lang w:bidi="ar"/>
                    </w:rPr>
                    <w:t>部分</w:t>
                  </w:r>
                  <w:r>
                    <w:rPr>
                      <w:rFonts w:hint="eastAsia" w:ascii="Times New Roman" w:hAnsi="Times New Roman" w:cs="Times New Roman"/>
                      <w:kern w:val="0"/>
                      <w:sz w:val="21"/>
                      <w:szCs w:val="21"/>
                      <w:highlight w:val="none"/>
                      <w:lang w:eastAsia="zh-CN" w:bidi="ar"/>
                    </w:rPr>
                    <w:t>废水保护措施</w:t>
                  </w:r>
                </w:p>
              </w:tc>
              <w:tc>
                <w:tcPr>
                  <w:tcW w:w="2589" w:type="pct"/>
                  <w:tcBorders>
                    <w:tl2br w:val="nil"/>
                    <w:tr2bl w:val="nil"/>
                  </w:tcBorders>
                  <w:noWrap w:val="0"/>
                  <w:vAlign w:val="center"/>
                </w:tcPr>
                <w:p w14:paraId="6747FC41">
                  <w:pPr>
                    <w:pStyle w:val="15"/>
                    <w:widowControl w:val="0"/>
                    <w:autoSpaceDE w:val="0"/>
                    <w:adjustRightInd w:val="0"/>
                    <w:snapToGrid w:val="0"/>
                    <w:spacing w:before="0" w:beforeLines="0" w:beforeAutospacing="0" w:after="0" w:afterLines="0" w:afterAutospacing="0" w:line="240" w:lineRule="auto"/>
                    <w:jc w:val="center"/>
                    <w:rPr>
                      <w:rFonts w:hint="default" w:ascii="Times New Roman" w:hAnsi="Times New Roman" w:eastAsia="Times New Roman" w:cs="Times New Roman"/>
                      <w:kern w:val="0"/>
                      <w:sz w:val="21"/>
                      <w:szCs w:val="21"/>
                      <w:highlight w:val="none"/>
                    </w:rPr>
                  </w:pPr>
                  <w:r>
                    <w:rPr>
                      <w:rFonts w:hint="eastAsia" w:ascii="Times New Roman" w:hAnsi="Times New Roman" w:eastAsia="宋体" w:cs="Times New Roman"/>
                      <w:kern w:val="0"/>
                      <w:sz w:val="21"/>
                      <w:szCs w:val="21"/>
                      <w:highlight w:val="none"/>
                      <w:lang w:eastAsia="zh-CN"/>
                    </w:rPr>
                    <w:t>沉淀池、临时化粪池</w:t>
                  </w:r>
                </w:p>
              </w:tc>
              <w:tc>
                <w:tcPr>
                  <w:tcW w:w="1074" w:type="pct"/>
                  <w:vMerge w:val="continue"/>
                  <w:tcBorders>
                    <w:tl2br w:val="nil"/>
                    <w:tr2bl w:val="nil"/>
                  </w:tcBorders>
                  <w:noWrap w:val="0"/>
                  <w:vAlign w:val="center"/>
                </w:tcPr>
                <w:p w14:paraId="2C651015">
                  <w:pPr>
                    <w:pStyle w:val="15"/>
                    <w:widowControl w:val="0"/>
                    <w:autoSpaceDE w:val="0"/>
                    <w:adjustRightInd w:val="0"/>
                    <w:snapToGrid w:val="0"/>
                    <w:spacing w:before="0" w:beforeLines="0" w:beforeAutospacing="0" w:after="0" w:afterLines="0" w:afterAutospacing="0"/>
                    <w:jc w:val="center"/>
                    <w:rPr>
                      <w:rFonts w:hint="default" w:ascii="Times New Roman" w:hAnsi="Times New Roman" w:eastAsia="宋体" w:cs="Times New Roman"/>
                      <w:kern w:val="0"/>
                      <w:sz w:val="21"/>
                      <w:szCs w:val="21"/>
                      <w:highlight w:val="none"/>
                      <w:lang w:val="en-US" w:eastAsia="zh-CN"/>
                    </w:rPr>
                  </w:pPr>
                </w:p>
              </w:tc>
            </w:tr>
            <w:tr w14:paraId="6411C256">
              <w:tblPrEx>
                <w:tblBorders>
                  <w:top w:val="single" w:color="auto" w:sz="18" w:space="0"/>
                  <w:left w:val="none" w:color="auto" w:sz="0" w:space="0"/>
                  <w:bottom w:val="single" w:color="auto" w:sz="1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1335" w:type="pct"/>
                  <w:tcBorders>
                    <w:tl2br w:val="nil"/>
                    <w:tr2bl w:val="nil"/>
                  </w:tcBorders>
                  <w:noWrap w:val="0"/>
                  <w:vAlign w:val="center"/>
                </w:tcPr>
                <w:p w14:paraId="7BFFFD5A">
                  <w:pPr>
                    <w:pStyle w:val="15"/>
                    <w:widowControl w:val="0"/>
                    <w:autoSpaceDE w:val="0"/>
                    <w:adjustRightInd w:val="0"/>
                    <w:snapToGrid w:val="0"/>
                    <w:spacing w:before="0" w:beforeLines="0" w:beforeAutospacing="0" w:after="0" w:afterLines="0" w:afterAutospacing="0" w:line="240" w:lineRule="auto"/>
                    <w:jc w:val="center"/>
                    <w:rPr>
                      <w:rFonts w:hint="default" w:ascii="Times New Roman" w:hAnsi="Times New Roman" w:cs="Times New Roman"/>
                      <w:kern w:val="0"/>
                      <w:sz w:val="21"/>
                      <w:szCs w:val="21"/>
                      <w:highlight w:val="none"/>
                      <w:lang w:bidi="ar"/>
                    </w:rPr>
                  </w:pPr>
                  <w:r>
                    <w:rPr>
                      <w:rFonts w:hint="default" w:ascii="Times New Roman" w:hAnsi="Times New Roman" w:cs="Times New Roman"/>
                      <w:kern w:val="0"/>
                      <w:sz w:val="21"/>
                      <w:szCs w:val="21"/>
                      <w:highlight w:val="none"/>
                      <w:lang w:bidi="ar"/>
                    </w:rPr>
                    <w:t>第</w:t>
                  </w:r>
                  <w:r>
                    <w:rPr>
                      <w:rFonts w:hint="eastAsia" w:ascii="Times New Roman" w:hAnsi="Times New Roman" w:cs="Times New Roman"/>
                      <w:kern w:val="0"/>
                      <w:sz w:val="21"/>
                      <w:szCs w:val="21"/>
                      <w:highlight w:val="none"/>
                      <w:lang w:eastAsia="zh-CN" w:bidi="ar"/>
                    </w:rPr>
                    <w:t>五</w:t>
                  </w:r>
                  <w:r>
                    <w:rPr>
                      <w:rFonts w:hint="default" w:ascii="Times New Roman" w:hAnsi="Times New Roman" w:cs="Times New Roman"/>
                      <w:kern w:val="0"/>
                      <w:sz w:val="21"/>
                      <w:szCs w:val="21"/>
                      <w:highlight w:val="none"/>
                      <w:lang w:bidi="ar"/>
                    </w:rPr>
                    <w:t>部分</w:t>
                  </w:r>
                  <w:r>
                    <w:rPr>
                      <w:rFonts w:hint="eastAsia" w:ascii="Times New Roman" w:hAnsi="Times New Roman" w:cs="Times New Roman"/>
                      <w:kern w:val="0"/>
                      <w:sz w:val="21"/>
                      <w:szCs w:val="21"/>
                      <w:highlight w:val="none"/>
                      <w:lang w:eastAsia="zh-CN" w:bidi="ar"/>
                    </w:rPr>
                    <w:t>固废保护措施</w:t>
                  </w:r>
                </w:p>
              </w:tc>
              <w:tc>
                <w:tcPr>
                  <w:tcW w:w="2589" w:type="pct"/>
                  <w:tcBorders>
                    <w:tl2br w:val="nil"/>
                    <w:tr2bl w:val="nil"/>
                  </w:tcBorders>
                  <w:noWrap w:val="0"/>
                  <w:vAlign w:val="center"/>
                </w:tcPr>
                <w:p w14:paraId="0212DF34">
                  <w:pPr>
                    <w:pStyle w:val="15"/>
                    <w:widowControl w:val="0"/>
                    <w:autoSpaceDE w:val="0"/>
                    <w:adjustRightInd w:val="0"/>
                    <w:snapToGrid w:val="0"/>
                    <w:spacing w:before="0" w:beforeLines="0" w:beforeAutospacing="0" w:after="0" w:afterLines="0" w:afterAutospacing="0" w:line="240" w:lineRule="auto"/>
                    <w:jc w:val="center"/>
                    <w:rPr>
                      <w:rFonts w:hint="default" w:ascii="Times New Roman" w:hAnsi="Times New Roman" w:cs="Times New Roman"/>
                      <w:kern w:val="0"/>
                      <w:sz w:val="21"/>
                      <w:szCs w:val="21"/>
                      <w:highlight w:val="none"/>
                      <w:lang w:bidi="ar"/>
                    </w:rPr>
                  </w:pPr>
                  <w:r>
                    <w:rPr>
                      <w:rFonts w:ascii="宋体" w:hAnsi="宋体" w:eastAsia="宋体" w:cs="宋体"/>
                      <w:b w:val="0"/>
                      <w:bCs w:val="0"/>
                      <w:color w:val="000000"/>
                      <w:sz w:val="21"/>
                      <w:szCs w:val="21"/>
                      <w:highlight w:val="none"/>
                    </w:rPr>
                    <w:t>施工人员生活产生的生活垃圾集中临时堆放，送至生活垃圾</w:t>
                  </w:r>
                  <w:r>
                    <w:rPr>
                      <w:rFonts w:hint="eastAsia" w:ascii="宋体" w:hAnsi="宋体" w:eastAsia="宋体" w:cs="宋体"/>
                      <w:b w:val="0"/>
                      <w:bCs w:val="0"/>
                      <w:color w:val="000000"/>
                      <w:sz w:val="21"/>
                      <w:szCs w:val="21"/>
                      <w:highlight w:val="none"/>
                      <w:lang w:eastAsia="zh-CN"/>
                    </w:rPr>
                    <w:t>填埋</w:t>
                  </w:r>
                  <w:r>
                    <w:rPr>
                      <w:rFonts w:ascii="宋体" w:hAnsi="宋体" w:eastAsia="宋体" w:cs="宋体"/>
                      <w:b w:val="0"/>
                      <w:bCs w:val="0"/>
                      <w:color w:val="000000"/>
                      <w:sz w:val="21"/>
                      <w:szCs w:val="21"/>
                      <w:highlight w:val="none"/>
                    </w:rPr>
                    <w:t>场处置</w:t>
                  </w:r>
                  <w:r>
                    <w:rPr>
                      <w:rFonts w:hint="eastAsia" w:cs="宋体"/>
                      <w:b w:val="0"/>
                      <w:bCs w:val="0"/>
                      <w:color w:val="000000"/>
                      <w:sz w:val="21"/>
                      <w:szCs w:val="21"/>
                      <w:highlight w:val="none"/>
                      <w:lang w:eastAsia="zh-CN"/>
                    </w:rPr>
                    <w:t>，土石方回填</w:t>
                  </w:r>
                </w:p>
              </w:tc>
              <w:tc>
                <w:tcPr>
                  <w:tcW w:w="1074" w:type="pct"/>
                  <w:vMerge w:val="continue"/>
                  <w:tcBorders>
                    <w:tl2br w:val="nil"/>
                    <w:tr2bl w:val="nil"/>
                  </w:tcBorders>
                  <w:noWrap w:val="0"/>
                  <w:vAlign w:val="center"/>
                </w:tcPr>
                <w:p w14:paraId="3297A3B1">
                  <w:pPr>
                    <w:pStyle w:val="15"/>
                    <w:widowControl w:val="0"/>
                    <w:autoSpaceDE w:val="0"/>
                    <w:adjustRightInd w:val="0"/>
                    <w:snapToGrid w:val="0"/>
                    <w:spacing w:before="0" w:beforeLines="0" w:beforeAutospacing="0" w:after="0" w:afterLines="0" w:afterAutospacing="0"/>
                    <w:jc w:val="center"/>
                    <w:rPr>
                      <w:rFonts w:hint="default" w:ascii="Times New Roman" w:hAnsi="Times New Roman" w:eastAsia="宋体" w:cs="Times New Roman"/>
                      <w:kern w:val="0"/>
                      <w:sz w:val="21"/>
                      <w:szCs w:val="21"/>
                      <w:highlight w:val="none"/>
                      <w:lang w:val="en-US" w:eastAsia="zh-CN"/>
                    </w:rPr>
                  </w:pPr>
                </w:p>
              </w:tc>
            </w:tr>
          </w:tbl>
          <w:p w14:paraId="31613018">
            <w:pPr>
              <w:rPr>
                <w:rFonts w:hint="default"/>
                <w:highlight w:val="none"/>
                <w:lang w:val="en-US" w:eastAsia="zh-CN"/>
              </w:rPr>
            </w:pPr>
          </w:p>
        </w:tc>
      </w:tr>
    </w:tbl>
    <w:p w14:paraId="5CB1C241">
      <w:pPr>
        <w:pStyle w:val="15"/>
        <w:jc w:val="center"/>
        <w:outlineLvl w:val="0"/>
        <w:rPr>
          <w:rFonts w:ascii="黑体" w:hAnsi="黑体" w:eastAsia="黑体"/>
          <w:snapToGrid w:val="0"/>
          <w:sz w:val="30"/>
          <w:szCs w:val="30"/>
          <w:highlight w:val="none"/>
        </w:rPr>
      </w:pPr>
      <w:bookmarkStart w:id="11" w:name="_Toc3721"/>
      <w:r>
        <w:rPr>
          <w:rFonts w:hint="eastAsia" w:ascii="黑体" w:hAnsi="黑体" w:eastAsia="黑体"/>
          <w:snapToGrid w:val="0"/>
          <w:sz w:val="30"/>
          <w:szCs w:val="30"/>
          <w:highlight w:val="none"/>
        </w:rPr>
        <w:t>六、生态环境保护措施监督检查清单</w:t>
      </w:r>
      <w:bookmarkEnd w:id="11"/>
    </w:p>
    <w:tbl>
      <w:tblPr>
        <w:tblStyle w:val="18"/>
        <w:tblW w:w="538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63"/>
        <w:gridCol w:w="4416"/>
        <w:gridCol w:w="1770"/>
        <w:gridCol w:w="870"/>
        <w:gridCol w:w="863"/>
      </w:tblGrid>
      <w:tr w14:paraId="7764A1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687" w:type="pct"/>
            <w:vMerge w:val="restart"/>
            <w:tcBorders>
              <w:tl2br w:val="single" w:color="auto" w:sz="4" w:space="0"/>
            </w:tcBorders>
            <w:noWrap w:val="0"/>
            <w:vAlign w:val="top"/>
          </w:tcPr>
          <w:p w14:paraId="17D0D3F7">
            <w:pPr>
              <w:pStyle w:val="15"/>
              <w:adjustRightInd w:val="0"/>
              <w:snapToGrid w:val="0"/>
              <w:spacing w:before="72" w:beforeLines="30" w:beforeAutospacing="0" w:after="0" w:afterAutospacing="0"/>
              <w:ind w:left="480" w:hanging="420" w:hangingChars="200"/>
              <w:jc w:val="both"/>
              <w:outlineLvl w:val="9"/>
              <w:rPr>
                <w:rFonts w:hint="default" w:ascii="Times New Roman" w:hAnsi="Times New Roman" w:eastAsia="宋体" w:cs="Times New Roman"/>
                <w:kern w:val="2"/>
                <w:sz w:val="21"/>
                <w:szCs w:val="21"/>
                <w:highlight w:val="none"/>
              </w:rPr>
            </w:pPr>
            <w:r>
              <w:rPr>
                <w:rFonts w:hint="default" w:ascii="Times New Roman" w:hAnsi="Times New Roman" w:eastAsia="宋体" w:cs="Times New Roman"/>
                <w:kern w:val="2"/>
                <w:sz w:val="21"/>
                <w:szCs w:val="21"/>
                <w:highlight w:val="none"/>
              </w:rPr>
              <w:t xml:space="preserve">   </w:t>
            </w:r>
            <w:bookmarkStart w:id="12" w:name="_Toc21247"/>
            <w:r>
              <w:rPr>
                <w:rFonts w:hint="default" w:ascii="Times New Roman" w:hAnsi="Times New Roman" w:eastAsia="宋体" w:cs="Times New Roman"/>
                <w:kern w:val="2"/>
                <w:sz w:val="21"/>
                <w:szCs w:val="21"/>
                <w:highlight w:val="none"/>
              </w:rPr>
              <w:t>内容</w:t>
            </w:r>
            <w:bookmarkEnd w:id="12"/>
          </w:p>
          <w:p w14:paraId="5D095032">
            <w:pPr>
              <w:pStyle w:val="15"/>
              <w:adjustRightInd w:val="0"/>
              <w:snapToGrid w:val="0"/>
              <w:spacing w:before="0" w:beforeAutospacing="0" w:after="0" w:afterAutospacing="0" w:line="14" w:lineRule="auto"/>
              <w:outlineLvl w:val="9"/>
              <w:rPr>
                <w:rFonts w:hint="default" w:ascii="Times New Roman" w:hAnsi="Times New Roman" w:eastAsia="宋体" w:cs="Times New Roman"/>
                <w:kern w:val="2"/>
                <w:sz w:val="21"/>
                <w:szCs w:val="21"/>
                <w:highlight w:val="none"/>
              </w:rPr>
            </w:pPr>
            <w:r>
              <w:rPr>
                <w:rFonts w:hint="default" w:ascii="Times New Roman" w:hAnsi="Times New Roman" w:eastAsia="宋体" w:cs="Times New Roman"/>
                <w:kern w:val="2"/>
                <w:sz w:val="21"/>
                <w:szCs w:val="21"/>
                <w:highlight w:val="none"/>
              </w:rPr>
              <w:t xml:space="preserve">  </w:t>
            </w:r>
          </w:p>
          <w:p w14:paraId="11EF4929">
            <w:pPr>
              <w:pStyle w:val="15"/>
              <w:adjustRightInd w:val="0"/>
              <w:snapToGrid w:val="0"/>
              <w:spacing w:before="0" w:beforeAutospacing="0" w:after="0" w:afterAutospacing="0"/>
              <w:outlineLvl w:val="0"/>
              <w:rPr>
                <w:rFonts w:hint="default" w:ascii="Times New Roman" w:hAnsi="Times New Roman" w:eastAsia="宋体" w:cs="Times New Roman"/>
                <w:kern w:val="2"/>
                <w:sz w:val="21"/>
                <w:szCs w:val="21"/>
                <w:highlight w:val="none"/>
              </w:rPr>
            </w:pPr>
            <w:bookmarkStart w:id="13" w:name="_Toc11958"/>
            <w:r>
              <w:rPr>
                <w:rFonts w:hint="default" w:ascii="Times New Roman" w:hAnsi="Times New Roman" w:eastAsia="宋体" w:cs="Times New Roman"/>
                <w:kern w:val="2"/>
                <w:sz w:val="21"/>
                <w:szCs w:val="21"/>
                <w:highlight w:val="none"/>
              </w:rPr>
              <w:t>要素</w:t>
            </w:r>
            <w:bookmarkEnd w:id="13"/>
          </w:p>
        </w:tc>
        <w:tc>
          <w:tcPr>
            <w:tcW w:w="3368" w:type="pct"/>
            <w:gridSpan w:val="2"/>
            <w:noWrap w:val="0"/>
            <w:vAlign w:val="center"/>
          </w:tcPr>
          <w:p w14:paraId="3241FE02">
            <w:pPr>
              <w:pStyle w:val="15"/>
              <w:adjustRightInd w:val="0"/>
              <w:snapToGrid w:val="0"/>
              <w:spacing w:before="0" w:beforeAutospacing="0" w:after="0" w:afterAutospacing="0"/>
              <w:jc w:val="center"/>
              <w:outlineLvl w:val="0"/>
              <w:rPr>
                <w:rFonts w:hint="default" w:ascii="Times New Roman" w:hAnsi="Times New Roman" w:eastAsia="宋体" w:cs="Times New Roman"/>
                <w:kern w:val="2"/>
                <w:sz w:val="21"/>
                <w:szCs w:val="21"/>
                <w:highlight w:val="none"/>
              </w:rPr>
            </w:pPr>
            <w:bookmarkStart w:id="14" w:name="_Toc30842"/>
            <w:r>
              <w:rPr>
                <w:rFonts w:hint="default" w:ascii="Times New Roman" w:hAnsi="Times New Roman" w:eastAsia="宋体" w:cs="Times New Roman"/>
                <w:kern w:val="2"/>
                <w:sz w:val="21"/>
                <w:szCs w:val="21"/>
                <w:highlight w:val="none"/>
              </w:rPr>
              <w:t>施工期</w:t>
            </w:r>
            <w:bookmarkEnd w:id="14"/>
          </w:p>
        </w:tc>
        <w:tc>
          <w:tcPr>
            <w:tcW w:w="943" w:type="pct"/>
            <w:gridSpan w:val="2"/>
            <w:noWrap w:val="0"/>
            <w:vAlign w:val="center"/>
          </w:tcPr>
          <w:p w14:paraId="3CA71FB2">
            <w:pPr>
              <w:pStyle w:val="15"/>
              <w:adjustRightInd w:val="0"/>
              <w:snapToGrid w:val="0"/>
              <w:spacing w:before="0" w:beforeAutospacing="0" w:after="0" w:afterAutospacing="0"/>
              <w:jc w:val="center"/>
              <w:outlineLvl w:val="0"/>
              <w:rPr>
                <w:rFonts w:hint="default" w:ascii="Times New Roman" w:hAnsi="Times New Roman" w:eastAsia="宋体" w:cs="Times New Roman"/>
                <w:kern w:val="2"/>
                <w:sz w:val="21"/>
                <w:szCs w:val="21"/>
                <w:highlight w:val="none"/>
              </w:rPr>
            </w:pPr>
            <w:bookmarkStart w:id="15" w:name="_Toc15337"/>
            <w:r>
              <w:rPr>
                <w:rFonts w:hint="default" w:ascii="Times New Roman" w:hAnsi="Times New Roman" w:eastAsia="宋体" w:cs="Times New Roman"/>
                <w:kern w:val="2"/>
                <w:sz w:val="21"/>
                <w:szCs w:val="21"/>
                <w:highlight w:val="none"/>
              </w:rPr>
              <w:t>运营期</w:t>
            </w:r>
            <w:bookmarkEnd w:id="15"/>
          </w:p>
        </w:tc>
      </w:tr>
      <w:tr w14:paraId="4AA7AB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687" w:type="pct"/>
            <w:vMerge w:val="continue"/>
            <w:noWrap w:val="0"/>
            <w:vAlign w:val="top"/>
          </w:tcPr>
          <w:p w14:paraId="0AC55E75">
            <w:pPr>
              <w:pStyle w:val="15"/>
              <w:adjustRightInd w:val="0"/>
              <w:snapToGrid w:val="0"/>
              <w:spacing w:before="0" w:beforeAutospacing="0" w:after="0" w:afterAutospacing="0"/>
              <w:ind w:firstLine="840"/>
              <w:jc w:val="center"/>
              <w:outlineLvl w:val="9"/>
              <w:rPr>
                <w:rFonts w:hint="default" w:ascii="Times New Roman" w:hAnsi="Times New Roman" w:eastAsia="宋体" w:cs="Times New Roman"/>
                <w:kern w:val="2"/>
                <w:sz w:val="21"/>
                <w:szCs w:val="21"/>
                <w:highlight w:val="none"/>
              </w:rPr>
            </w:pPr>
          </w:p>
        </w:tc>
        <w:tc>
          <w:tcPr>
            <w:tcW w:w="2404" w:type="pct"/>
            <w:noWrap w:val="0"/>
            <w:vAlign w:val="center"/>
          </w:tcPr>
          <w:p w14:paraId="5B7F4E05">
            <w:pPr>
              <w:pStyle w:val="15"/>
              <w:adjustRightInd w:val="0"/>
              <w:snapToGrid w:val="0"/>
              <w:spacing w:before="0" w:beforeAutospacing="0" w:after="0" w:afterAutospacing="0"/>
              <w:jc w:val="center"/>
              <w:outlineLvl w:val="0"/>
              <w:rPr>
                <w:rFonts w:hint="default" w:ascii="Times New Roman" w:hAnsi="Times New Roman" w:eastAsia="宋体" w:cs="Times New Roman"/>
                <w:kern w:val="2"/>
                <w:sz w:val="21"/>
                <w:szCs w:val="21"/>
                <w:highlight w:val="none"/>
              </w:rPr>
            </w:pPr>
            <w:bookmarkStart w:id="16" w:name="_Toc10522"/>
            <w:r>
              <w:rPr>
                <w:rFonts w:hint="default" w:ascii="Times New Roman" w:hAnsi="Times New Roman" w:eastAsia="宋体" w:cs="Times New Roman"/>
                <w:kern w:val="2"/>
                <w:sz w:val="21"/>
                <w:szCs w:val="21"/>
                <w:highlight w:val="none"/>
              </w:rPr>
              <w:t>环境保护措施</w:t>
            </w:r>
            <w:bookmarkEnd w:id="16"/>
          </w:p>
        </w:tc>
        <w:tc>
          <w:tcPr>
            <w:tcW w:w="963" w:type="pct"/>
            <w:noWrap w:val="0"/>
            <w:vAlign w:val="center"/>
          </w:tcPr>
          <w:p w14:paraId="7CA38651">
            <w:pPr>
              <w:pStyle w:val="15"/>
              <w:adjustRightInd w:val="0"/>
              <w:snapToGrid w:val="0"/>
              <w:spacing w:before="0" w:beforeAutospacing="0" w:after="0" w:afterAutospacing="0"/>
              <w:jc w:val="center"/>
              <w:outlineLvl w:val="0"/>
              <w:rPr>
                <w:rFonts w:hint="default" w:ascii="Times New Roman" w:hAnsi="Times New Roman" w:eastAsia="宋体" w:cs="Times New Roman"/>
                <w:kern w:val="2"/>
                <w:sz w:val="21"/>
                <w:szCs w:val="21"/>
                <w:highlight w:val="none"/>
              </w:rPr>
            </w:pPr>
            <w:bookmarkStart w:id="17" w:name="_Toc11766"/>
            <w:r>
              <w:rPr>
                <w:rFonts w:hint="default" w:ascii="Times New Roman" w:hAnsi="Times New Roman" w:eastAsia="宋体" w:cs="Times New Roman"/>
                <w:kern w:val="2"/>
                <w:sz w:val="21"/>
                <w:szCs w:val="21"/>
                <w:highlight w:val="none"/>
              </w:rPr>
              <w:t>验收要求</w:t>
            </w:r>
            <w:bookmarkEnd w:id="17"/>
          </w:p>
        </w:tc>
        <w:tc>
          <w:tcPr>
            <w:tcW w:w="473" w:type="pct"/>
            <w:noWrap w:val="0"/>
            <w:vAlign w:val="center"/>
          </w:tcPr>
          <w:p w14:paraId="601779E7">
            <w:pPr>
              <w:pStyle w:val="15"/>
              <w:adjustRightInd w:val="0"/>
              <w:snapToGrid w:val="0"/>
              <w:spacing w:before="0" w:beforeAutospacing="0" w:after="0" w:afterAutospacing="0"/>
              <w:jc w:val="center"/>
              <w:outlineLvl w:val="0"/>
              <w:rPr>
                <w:rFonts w:hint="default" w:ascii="Times New Roman" w:hAnsi="Times New Roman" w:eastAsia="宋体" w:cs="Times New Roman"/>
                <w:kern w:val="2"/>
                <w:sz w:val="21"/>
                <w:szCs w:val="21"/>
                <w:highlight w:val="none"/>
              </w:rPr>
            </w:pPr>
            <w:bookmarkStart w:id="18" w:name="_Toc8515"/>
            <w:r>
              <w:rPr>
                <w:rFonts w:hint="default" w:ascii="Times New Roman" w:hAnsi="Times New Roman" w:eastAsia="宋体" w:cs="Times New Roman"/>
                <w:kern w:val="2"/>
                <w:sz w:val="21"/>
                <w:szCs w:val="21"/>
                <w:highlight w:val="none"/>
              </w:rPr>
              <w:t>环境保护措施</w:t>
            </w:r>
            <w:bookmarkEnd w:id="18"/>
          </w:p>
        </w:tc>
        <w:tc>
          <w:tcPr>
            <w:tcW w:w="469" w:type="pct"/>
            <w:noWrap w:val="0"/>
            <w:vAlign w:val="center"/>
          </w:tcPr>
          <w:p w14:paraId="57AEC563">
            <w:pPr>
              <w:pStyle w:val="15"/>
              <w:adjustRightInd w:val="0"/>
              <w:snapToGrid w:val="0"/>
              <w:spacing w:before="0" w:beforeAutospacing="0" w:after="0" w:afterAutospacing="0"/>
              <w:jc w:val="center"/>
              <w:outlineLvl w:val="0"/>
              <w:rPr>
                <w:rFonts w:hint="default" w:ascii="Times New Roman" w:hAnsi="Times New Roman" w:eastAsia="宋体" w:cs="Times New Roman"/>
                <w:kern w:val="2"/>
                <w:sz w:val="21"/>
                <w:szCs w:val="21"/>
                <w:highlight w:val="none"/>
              </w:rPr>
            </w:pPr>
            <w:bookmarkStart w:id="19" w:name="_Toc19502"/>
            <w:r>
              <w:rPr>
                <w:rFonts w:hint="default" w:ascii="Times New Roman" w:hAnsi="Times New Roman" w:eastAsia="宋体" w:cs="Times New Roman"/>
                <w:kern w:val="2"/>
                <w:sz w:val="21"/>
                <w:szCs w:val="21"/>
                <w:highlight w:val="none"/>
              </w:rPr>
              <w:t>验收要求</w:t>
            </w:r>
            <w:bookmarkEnd w:id="19"/>
          </w:p>
        </w:tc>
      </w:tr>
      <w:tr w14:paraId="2389D0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87" w:type="pct"/>
            <w:noWrap w:val="0"/>
            <w:vAlign w:val="center"/>
          </w:tcPr>
          <w:p w14:paraId="0D04ABE4">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陆生生态</w:t>
            </w:r>
          </w:p>
        </w:tc>
        <w:tc>
          <w:tcPr>
            <w:tcW w:w="2404" w:type="pct"/>
            <w:noWrap w:val="0"/>
            <w:vAlign w:val="center"/>
          </w:tcPr>
          <w:p w14:paraId="2792998C">
            <w:pPr>
              <w:keepNext w:val="0"/>
              <w:keepLines w:val="0"/>
              <w:pageBreakBefore w:val="0"/>
              <w:widowControl w:val="0"/>
              <w:kinsoku/>
              <w:wordWrap w:val="0"/>
              <w:overflowPunct/>
              <w:topLinePunct w:val="0"/>
              <w:autoSpaceDE/>
              <w:autoSpaceDN/>
              <w:bidi w:val="0"/>
              <w:adjustRightInd w:val="0"/>
              <w:snapToGrid w:val="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bCs/>
                <w:color w:val="auto"/>
                <w:spacing w:val="10"/>
                <w:sz w:val="21"/>
                <w:szCs w:val="21"/>
                <w:highlight w:val="none"/>
                <w:u w:val="none" w:color="auto"/>
              </w:rPr>
              <w:t>制定详细的施工方案，控制施工动土范围，施工完成后进行植被恢复</w:t>
            </w:r>
            <w:r>
              <w:rPr>
                <w:rFonts w:hint="default" w:ascii="Times New Roman" w:hAnsi="Times New Roman" w:eastAsia="宋体" w:cs="Times New Roman"/>
                <w:bCs/>
                <w:color w:val="auto"/>
                <w:spacing w:val="10"/>
                <w:sz w:val="21"/>
                <w:szCs w:val="21"/>
                <w:highlight w:val="none"/>
                <w:u w:val="none" w:color="auto"/>
                <w:lang w:eastAsia="zh-CN"/>
              </w:rPr>
              <w:t>。</w:t>
            </w:r>
          </w:p>
        </w:tc>
        <w:tc>
          <w:tcPr>
            <w:tcW w:w="963" w:type="pct"/>
            <w:noWrap w:val="0"/>
            <w:vAlign w:val="center"/>
          </w:tcPr>
          <w:p w14:paraId="034B50E0">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植被恢复</w:t>
            </w:r>
          </w:p>
        </w:tc>
        <w:tc>
          <w:tcPr>
            <w:tcW w:w="473" w:type="pct"/>
            <w:noWrap w:val="0"/>
            <w:vAlign w:val="center"/>
          </w:tcPr>
          <w:p w14:paraId="4BD06DBE">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469" w:type="pct"/>
            <w:noWrap w:val="0"/>
            <w:vAlign w:val="center"/>
          </w:tcPr>
          <w:p w14:paraId="15C75124">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30F351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687" w:type="pct"/>
            <w:noWrap w:val="0"/>
            <w:vAlign w:val="center"/>
          </w:tcPr>
          <w:p w14:paraId="0A666B4A">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水生生态</w:t>
            </w:r>
          </w:p>
        </w:tc>
        <w:tc>
          <w:tcPr>
            <w:tcW w:w="2404" w:type="pct"/>
            <w:noWrap w:val="0"/>
            <w:vAlign w:val="center"/>
          </w:tcPr>
          <w:p w14:paraId="3E1ABC9A">
            <w:pPr>
              <w:keepNext w:val="0"/>
              <w:keepLines w:val="0"/>
              <w:pageBreakBefore w:val="0"/>
              <w:widowControl w:val="0"/>
              <w:kinsoku/>
              <w:wordWrap w:val="0"/>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963" w:type="pct"/>
            <w:noWrap w:val="0"/>
            <w:vAlign w:val="center"/>
          </w:tcPr>
          <w:p w14:paraId="1DD230C6">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473" w:type="pct"/>
            <w:noWrap w:val="0"/>
            <w:vAlign w:val="center"/>
          </w:tcPr>
          <w:p w14:paraId="271411CE">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469" w:type="pct"/>
            <w:noWrap w:val="0"/>
            <w:vAlign w:val="center"/>
          </w:tcPr>
          <w:p w14:paraId="286EA776">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7C95AD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80" w:hRule="atLeast"/>
          <w:jc w:val="center"/>
        </w:trPr>
        <w:tc>
          <w:tcPr>
            <w:tcW w:w="687" w:type="pct"/>
            <w:noWrap w:val="0"/>
            <w:vAlign w:val="center"/>
          </w:tcPr>
          <w:p w14:paraId="228DC9C1">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地表水环境</w:t>
            </w:r>
          </w:p>
        </w:tc>
        <w:tc>
          <w:tcPr>
            <w:tcW w:w="2404" w:type="pct"/>
            <w:noWrap w:val="0"/>
            <w:vAlign w:val="center"/>
          </w:tcPr>
          <w:p w14:paraId="2EBDB3B4">
            <w:pPr>
              <w:keepNext w:val="0"/>
              <w:keepLines w:val="0"/>
              <w:pageBreakBefore w:val="0"/>
              <w:widowControl w:val="0"/>
              <w:kinsoku/>
              <w:wordWrap w:val="0"/>
              <w:overflowPunct/>
              <w:topLinePunct w:val="0"/>
              <w:autoSpaceDE/>
              <w:autoSpaceDN/>
              <w:bidi w:val="0"/>
              <w:adjustRightInd w:val="0"/>
              <w:snapToGrid w:val="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bCs/>
                <w:color w:val="auto"/>
                <w:spacing w:val="10"/>
                <w:sz w:val="21"/>
                <w:szCs w:val="21"/>
                <w:highlight w:val="none"/>
                <w:u w:val="none" w:color="auto"/>
                <w:lang w:val="en-US" w:eastAsia="zh-CN"/>
              </w:rPr>
              <w:t>机械车辆冲洗废水经沉淀池收集处理，回用于车辆冲洗使用和弃土降尘，不外排；生活废水排入临时</w:t>
            </w:r>
            <w:r>
              <w:rPr>
                <w:rFonts w:hint="default" w:ascii="Times New Roman" w:hAnsi="Times New Roman" w:eastAsia="宋体" w:cs="Times New Roman"/>
                <w:bCs/>
                <w:color w:val="auto"/>
                <w:spacing w:val="10"/>
                <w:sz w:val="21"/>
                <w:szCs w:val="21"/>
                <w:highlight w:val="none"/>
                <w:u w:val="none" w:color="auto"/>
                <w:vertAlign w:val="baseline"/>
                <w:lang w:val="en-US" w:eastAsia="zh-CN"/>
              </w:rPr>
              <w:t>化粪池</w:t>
            </w:r>
            <w:r>
              <w:rPr>
                <w:rFonts w:hint="default" w:ascii="Times New Roman" w:hAnsi="Times New Roman" w:eastAsia="宋体" w:cs="Times New Roman"/>
                <w:bCs/>
                <w:color w:val="auto"/>
                <w:spacing w:val="10"/>
                <w:sz w:val="21"/>
                <w:szCs w:val="21"/>
                <w:highlight w:val="none"/>
                <w:u w:val="none" w:color="auto"/>
                <w:lang w:val="en-US" w:eastAsia="zh-CN"/>
              </w:rPr>
              <w:t>，由市政卫生部门定期清掏；淤泥渗滤水经收集后排入沉淀池沉淀处理后，用作周边洒水绿化。</w:t>
            </w:r>
          </w:p>
        </w:tc>
        <w:tc>
          <w:tcPr>
            <w:tcW w:w="963" w:type="pct"/>
            <w:noWrap w:val="0"/>
            <w:vAlign w:val="center"/>
          </w:tcPr>
          <w:p w14:paraId="68340B0E">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lang w:val="en-US" w:eastAsia="zh-CN"/>
              </w:rPr>
              <w:t>不外排</w:t>
            </w:r>
          </w:p>
        </w:tc>
        <w:tc>
          <w:tcPr>
            <w:tcW w:w="473" w:type="pct"/>
            <w:noWrap w:val="0"/>
            <w:vAlign w:val="center"/>
          </w:tcPr>
          <w:p w14:paraId="69A38B16">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469" w:type="pct"/>
            <w:noWrap w:val="0"/>
            <w:vAlign w:val="center"/>
          </w:tcPr>
          <w:p w14:paraId="4D04B480">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1AF6EC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9" w:hRule="atLeast"/>
          <w:jc w:val="center"/>
        </w:trPr>
        <w:tc>
          <w:tcPr>
            <w:tcW w:w="687" w:type="pct"/>
            <w:noWrap w:val="0"/>
            <w:vAlign w:val="center"/>
          </w:tcPr>
          <w:p w14:paraId="7EAE93C6">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地下水及土壤环境</w:t>
            </w:r>
          </w:p>
        </w:tc>
        <w:tc>
          <w:tcPr>
            <w:tcW w:w="2404" w:type="pct"/>
            <w:noWrap w:val="0"/>
            <w:vAlign w:val="center"/>
          </w:tcPr>
          <w:p w14:paraId="2ECC980E">
            <w:pPr>
              <w:keepNext w:val="0"/>
              <w:keepLines w:val="0"/>
              <w:pageBreakBefore w:val="0"/>
              <w:widowControl w:val="0"/>
              <w:kinsoku/>
              <w:wordWrap w:val="0"/>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963" w:type="pct"/>
            <w:noWrap w:val="0"/>
            <w:vAlign w:val="center"/>
          </w:tcPr>
          <w:p w14:paraId="695DF087">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473" w:type="pct"/>
            <w:noWrap w:val="0"/>
            <w:vAlign w:val="center"/>
          </w:tcPr>
          <w:p w14:paraId="2459D5CB">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469" w:type="pct"/>
            <w:noWrap w:val="0"/>
            <w:vAlign w:val="center"/>
          </w:tcPr>
          <w:p w14:paraId="14371ECE">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5D8975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687" w:type="pct"/>
            <w:noWrap w:val="0"/>
            <w:vAlign w:val="center"/>
          </w:tcPr>
          <w:p w14:paraId="7E57C370">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声环境</w:t>
            </w:r>
          </w:p>
        </w:tc>
        <w:tc>
          <w:tcPr>
            <w:tcW w:w="2404" w:type="pct"/>
            <w:noWrap w:val="0"/>
            <w:vAlign w:val="center"/>
          </w:tcPr>
          <w:p w14:paraId="323F1ADF">
            <w:pPr>
              <w:keepNext w:val="0"/>
              <w:keepLines w:val="0"/>
              <w:pageBreakBefore w:val="0"/>
              <w:widowControl w:val="0"/>
              <w:kinsoku/>
              <w:wordWrap w:val="0"/>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（1）合理安排施工时段。中午（12:00-14:00）避免多台高噪声设备同时施工，若临近敏感目标，禁止施工，并加强管理；夜间（22:00～6:00）禁止施工；高噪声不得同时作业；</w:t>
            </w:r>
          </w:p>
          <w:p w14:paraId="65C79E88">
            <w:pPr>
              <w:keepNext w:val="0"/>
              <w:keepLines w:val="0"/>
              <w:pageBreakBefore w:val="0"/>
              <w:widowControl w:val="0"/>
              <w:kinsoku/>
              <w:wordWrap w:val="0"/>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（2）合理布局施工场地，避免在同一地点附近安排大量动力机械设备，以避免局部声级过高，并尽可能选择在远离噪声敏感点。</w:t>
            </w:r>
          </w:p>
          <w:p w14:paraId="3B6F8320">
            <w:pPr>
              <w:keepNext w:val="0"/>
              <w:keepLines w:val="0"/>
              <w:pageBreakBefore w:val="0"/>
              <w:widowControl w:val="0"/>
              <w:kinsoku/>
              <w:wordWrap w:val="0"/>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3）采取降噪措施。在施工设备的选型上尽量采用低噪声设备；固定机械设备与挖土、运土机构，可通过消音器和隔离发动机振动部件的方法降低噪声；对于个别高噪音设备在使用时，可采用固定式或活动式隔声罩或隔声屏障进行局部遮挡。加强对设备的维护、养护，闲置设备应立即关闭。尽可能采用外加工材料，减少现场加工的工作量。</w:t>
            </w:r>
          </w:p>
          <w:p w14:paraId="42F8865C">
            <w:pPr>
              <w:keepNext w:val="0"/>
              <w:keepLines w:val="0"/>
              <w:pageBreakBefore w:val="0"/>
              <w:widowControl w:val="0"/>
              <w:kinsoku/>
              <w:wordWrap w:val="0"/>
              <w:overflowPunct/>
              <w:topLinePunct w:val="0"/>
              <w:autoSpaceDE/>
              <w:autoSpaceDN/>
              <w:bidi w:val="0"/>
              <w:adjustRightInd w:val="0"/>
              <w:snapToGrid w:val="0"/>
              <w:jc w:val="both"/>
              <w:textAlignment w:val="auto"/>
              <w:rPr>
                <w:rFonts w:hint="default" w:ascii="Times New Roman" w:hAnsi="Times New Roman" w:eastAsia="宋体" w:cs="Times New Roman"/>
                <w:color w:val="auto"/>
                <w:sz w:val="21"/>
                <w:szCs w:val="21"/>
                <w:highlight w:val="none"/>
                <w:u w:val="none" w:color="auto"/>
              </w:rPr>
            </w:pPr>
            <w:r>
              <w:rPr>
                <w:rFonts w:hint="default" w:ascii="Times New Roman" w:hAnsi="Times New Roman" w:eastAsia="宋体" w:cs="Times New Roman"/>
                <w:color w:val="auto"/>
                <w:sz w:val="21"/>
                <w:szCs w:val="21"/>
                <w:highlight w:val="none"/>
                <w:u w:val="none" w:color="auto"/>
              </w:rPr>
              <w:t>（4）降低人为噪声影响。按操作规范操作机械设备等过程中减少碰撞噪声，并对工人进行环保方面的教育。在装卸进程中，禁止野蛮作业，减少作业噪声。</w:t>
            </w:r>
          </w:p>
          <w:p w14:paraId="18963553">
            <w:pPr>
              <w:keepNext w:val="0"/>
              <w:keepLines w:val="0"/>
              <w:pageBreakBefore w:val="0"/>
              <w:widowControl w:val="0"/>
              <w:kinsoku/>
              <w:wordWrap w:val="0"/>
              <w:overflowPunct/>
              <w:topLinePunct w:val="0"/>
              <w:autoSpaceDE/>
              <w:autoSpaceDN/>
              <w:bidi w:val="0"/>
              <w:adjustRightInd w:val="0"/>
              <w:snapToGrid w:val="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color w:val="auto"/>
                <w:sz w:val="21"/>
                <w:szCs w:val="21"/>
                <w:highlight w:val="none"/>
                <w:u w:val="none" w:color="auto"/>
              </w:rPr>
              <w:t>（5）施工场界建立施工围挡，在高噪声设备周围设置高硬质围挡以减轻噪声对周围环境的影响。</w:t>
            </w:r>
          </w:p>
        </w:tc>
        <w:tc>
          <w:tcPr>
            <w:tcW w:w="963" w:type="pct"/>
            <w:noWrap w:val="0"/>
            <w:vAlign w:val="center"/>
          </w:tcPr>
          <w:p w14:paraId="59240EA0">
            <w:pPr>
              <w:keepNext w:val="0"/>
              <w:keepLines w:val="0"/>
              <w:pageBreakBefore w:val="0"/>
              <w:widowControl w:val="0"/>
              <w:kinsoku/>
              <w:wordWrap w:val="0"/>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color w:val="auto"/>
                <w:sz w:val="21"/>
                <w:szCs w:val="21"/>
                <w:highlight w:val="none"/>
                <w:u w:val="none" w:color="auto"/>
              </w:rPr>
              <w:t>《建筑施工场界环境噪声排放标准》（GB12523-2011）</w:t>
            </w:r>
          </w:p>
        </w:tc>
        <w:tc>
          <w:tcPr>
            <w:tcW w:w="473" w:type="pct"/>
            <w:noWrap w:val="0"/>
            <w:vAlign w:val="center"/>
          </w:tcPr>
          <w:p w14:paraId="66929616">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469" w:type="pct"/>
            <w:noWrap w:val="0"/>
            <w:vAlign w:val="center"/>
          </w:tcPr>
          <w:p w14:paraId="13D2A87E">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266D5C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37" w:hRule="atLeast"/>
          <w:jc w:val="center"/>
        </w:trPr>
        <w:tc>
          <w:tcPr>
            <w:tcW w:w="687" w:type="pct"/>
            <w:noWrap w:val="0"/>
            <w:vAlign w:val="center"/>
          </w:tcPr>
          <w:p w14:paraId="2C68D52E">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振动</w:t>
            </w:r>
          </w:p>
        </w:tc>
        <w:tc>
          <w:tcPr>
            <w:tcW w:w="2404" w:type="pct"/>
            <w:noWrap w:val="0"/>
            <w:vAlign w:val="center"/>
          </w:tcPr>
          <w:p w14:paraId="52DA41B6">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963" w:type="pct"/>
            <w:noWrap w:val="0"/>
            <w:vAlign w:val="center"/>
          </w:tcPr>
          <w:p w14:paraId="3114059D">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473" w:type="pct"/>
            <w:noWrap w:val="0"/>
            <w:vAlign w:val="center"/>
          </w:tcPr>
          <w:p w14:paraId="55EFA3EA">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469" w:type="pct"/>
            <w:noWrap w:val="0"/>
            <w:vAlign w:val="center"/>
          </w:tcPr>
          <w:p w14:paraId="153011FB">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1C3011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16" w:hRule="atLeast"/>
          <w:jc w:val="center"/>
        </w:trPr>
        <w:tc>
          <w:tcPr>
            <w:tcW w:w="687" w:type="pct"/>
            <w:noWrap w:val="0"/>
            <w:vAlign w:val="center"/>
          </w:tcPr>
          <w:p w14:paraId="48771CFC">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大气环境</w:t>
            </w:r>
          </w:p>
        </w:tc>
        <w:tc>
          <w:tcPr>
            <w:tcW w:w="2404" w:type="pct"/>
            <w:noWrap w:val="0"/>
            <w:vAlign w:val="center"/>
          </w:tcPr>
          <w:p w14:paraId="4CFA4A89">
            <w:pPr>
              <w:keepNext w:val="0"/>
              <w:keepLines w:val="0"/>
              <w:pageBreakBefore w:val="0"/>
              <w:widowControl w:val="0"/>
              <w:kinsoku/>
              <w:wordWrap w:val="0"/>
              <w:overflowPunct/>
              <w:topLinePunct w:val="0"/>
              <w:autoSpaceDE/>
              <w:autoSpaceDN/>
              <w:bidi w:val="0"/>
              <w:adjustRightInd w:val="0"/>
              <w:snapToGrid w:val="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color w:val="auto"/>
                <w:sz w:val="21"/>
                <w:szCs w:val="21"/>
                <w:highlight w:val="none"/>
                <w:u w:val="none" w:color="auto"/>
              </w:rPr>
              <w:t>采用洒水、防尘用具</w:t>
            </w:r>
            <w:r>
              <w:rPr>
                <w:rFonts w:hint="default" w:ascii="Times New Roman" w:hAnsi="Times New Roman" w:eastAsia="宋体" w:cs="Times New Roman"/>
                <w:color w:val="auto"/>
                <w:sz w:val="21"/>
                <w:szCs w:val="21"/>
                <w:highlight w:val="none"/>
                <w:u w:val="none" w:color="auto"/>
                <w:lang w:eastAsia="zh-CN"/>
              </w:rPr>
              <w:t>和建设围挡</w:t>
            </w:r>
            <w:r>
              <w:rPr>
                <w:rFonts w:hint="default" w:ascii="Times New Roman" w:hAnsi="Times New Roman" w:eastAsia="宋体" w:cs="Times New Roman"/>
                <w:color w:val="auto"/>
                <w:sz w:val="21"/>
                <w:szCs w:val="21"/>
                <w:highlight w:val="none"/>
                <w:u w:val="none" w:color="auto"/>
              </w:rPr>
              <w:t>来减轻对大气环境的污染影响；运输淤泥时运输车辆密闭，</w:t>
            </w:r>
            <w:r>
              <w:rPr>
                <w:rFonts w:hint="default" w:ascii="Times New Roman" w:hAnsi="Times New Roman" w:eastAsia="宋体" w:cs="Times New Roman"/>
                <w:color w:val="auto"/>
                <w:sz w:val="21"/>
                <w:szCs w:val="21"/>
                <w:highlight w:val="none"/>
                <w:u w:val="none" w:color="auto"/>
                <w:lang w:eastAsia="zh-CN"/>
              </w:rPr>
              <w:t>淤泥</w:t>
            </w:r>
            <w:r>
              <w:rPr>
                <w:rFonts w:hint="default" w:ascii="Times New Roman" w:hAnsi="Times New Roman" w:eastAsia="宋体" w:cs="Times New Roman"/>
                <w:color w:val="auto"/>
                <w:sz w:val="21"/>
                <w:szCs w:val="21"/>
                <w:highlight w:val="none"/>
                <w:u w:val="none" w:color="auto"/>
              </w:rPr>
              <w:t>运输时要避开城市中心区，避开运输高峰期，尽量减小臭气对运输线路附近大气环境的影响</w:t>
            </w:r>
            <w:r>
              <w:rPr>
                <w:rFonts w:hint="default" w:ascii="Times New Roman" w:hAnsi="Times New Roman" w:eastAsia="宋体" w:cs="Times New Roman"/>
                <w:color w:val="auto"/>
                <w:sz w:val="21"/>
                <w:szCs w:val="21"/>
                <w:highlight w:val="none"/>
                <w:u w:val="none" w:color="auto"/>
                <w:lang w:eastAsia="zh-CN"/>
              </w:rPr>
              <w:t>；严格按照</w:t>
            </w:r>
            <w:r>
              <w:rPr>
                <w:rFonts w:hint="default" w:ascii="Times New Roman" w:hAnsi="Times New Roman" w:eastAsia="宋体" w:cs="Times New Roman"/>
                <w:sz w:val="21"/>
                <w:szCs w:val="21"/>
                <w:highlight w:val="none"/>
                <w:lang w:val="en-US" w:eastAsia="zh-CN"/>
              </w:rPr>
              <w:t>《河南省生态环境保护委员会办公室关于印发&lt;河南省2024年蓝天保卫战实施方案&gt;的通知》（豫环委办﹝2024﹞7号）、《安阳市生态环境保护委员会关于印发安阳市2024-2025年空气质量持续改善暨综合指数“退后十”攻坚行动方案的通知》（安环委〔2024〕3号</w:t>
            </w:r>
            <w:r>
              <w:rPr>
                <w:rFonts w:hint="default" w:ascii="Times New Roman" w:hAnsi="Times New Roman" w:eastAsia="宋体" w:cs="Times New Roman"/>
                <w:color w:val="auto"/>
                <w:sz w:val="21"/>
                <w:szCs w:val="21"/>
                <w:highlight w:val="none"/>
                <w:u w:val="none" w:color="auto"/>
                <w:lang w:eastAsia="zh-CN"/>
              </w:rPr>
              <w:t>的要求，针对本项目施工期间扬尘及运输车辆废气，评价建议施工期建立施工工地动态管理清单，全面开展标准化施工，严格落实“六个百分之百”、开复工验收、“三员”管理等制度。严格落实“两个禁止”（禁止现场搅拌混凝土、禁止现场搅拌砂浆）要求。严格渣土运输车辆规范化管理，密闭运输、清洁运输；组织做好重污染天气预警、大风天气条件下施工工地、道路扬尘管控等措施；加强施工车辆管理，选用尾气排放符合国家环保排放标准的施工机械、运输车辆，保证施工车辆尾气完全达标，减少施工车辆尾气对大气环境造成污染。</w:t>
            </w:r>
          </w:p>
        </w:tc>
        <w:tc>
          <w:tcPr>
            <w:tcW w:w="963" w:type="pct"/>
            <w:noWrap w:val="0"/>
            <w:vAlign w:val="center"/>
          </w:tcPr>
          <w:p w14:paraId="4C74AA94">
            <w:pPr>
              <w:keepNext w:val="0"/>
              <w:keepLines w:val="0"/>
              <w:pageBreakBefore w:val="0"/>
              <w:widowControl w:val="0"/>
              <w:kinsoku/>
              <w:wordWrap w:val="0"/>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bCs/>
                <w:color w:val="auto"/>
                <w:sz w:val="21"/>
                <w:szCs w:val="21"/>
                <w:highlight w:val="none"/>
                <w:u w:val="none" w:color="auto"/>
              </w:rPr>
              <w:t>《大气污染物综合排放标准》（GB16297-1996）表2的二级标准</w:t>
            </w:r>
            <w:r>
              <w:rPr>
                <w:rFonts w:hint="default" w:ascii="Times New Roman" w:hAnsi="Times New Roman" w:eastAsia="宋体" w:cs="Times New Roman"/>
                <w:bCs/>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《恶臭污染物排放标准》（GB14554-1993）表1中标准</w:t>
            </w:r>
          </w:p>
        </w:tc>
        <w:tc>
          <w:tcPr>
            <w:tcW w:w="473" w:type="pct"/>
            <w:noWrap w:val="0"/>
            <w:vAlign w:val="center"/>
          </w:tcPr>
          <w:p w14:paraId="03D13ACA">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469" w:type="pct"/>
            <w:noWrap w:val="0"/>
            <w:vAlign w:val="center"/>
          </w:tcPr>
          <w:p w14:paraId="1597D1F3">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173B1B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08" w:hRule="atLeast"/>
          <w:jc w:val="center"/>
        </w:trPr>
        <w:tc>
          <w:tcPr>
            <w:tcW w:w="687" w:type="pct"/>
            <w:noWrap w:val="0"/>
            <w:vAlign w:val="center"/>
          </w:tcPr>
          <w:p w14:paraId="3916A574">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固体废物</w:t>
            </w:r>
          </w:p>
        </w:tc>
        <w:tc>
          <w:tcPr>
            <w:tcW w:w="2404" w:type="pct"/>
            <w:noWrap w:val="0"/>
            <w:vAlign w:val="center"/>
          </w:tcPr>
          <w:p w14:paraId="21AEC184">
            <w:pPr>
              <w:keepNext w:val="0"/>
              <w:keepLines w:val="0"/>
              <w:pageBreakBefore w:val="0"/>
              <w:widowControl w:val="0"/>
              <w:kinsoku/>
              <w:wordWrap w:val="0"/>
              <w:overflowPunct/>
              <w:topLinePunct w:val="0"/>
              <w:autoSpaceDE/>
              <w:autoSpaceDN/>
              <w:bidi w:val="0"/>
              <w:adjustRightInd w:val="0"/>
              <w:snapToGrid w:val="0"/>
              <w:jc w:val="both"/>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color w:val="auto"/>
                <w:sz w:val="21"/>
                <w:szCs w:val="21"/>
                <w:highlight w:val="none"/>
                <w:u w:val="none" w:color="auto"/>
              </w:rPr>
              <w:t>生活垃圾收集后由</w:t>
            </w:r>
            <w:r>
              <w:rPr>
                <w:rFonts w:hint="default" w:ascii="Times New Roman" w:hAnsi="Times New Roman" w:eastAsia="宋体" w:cs="Times New Roman"/>
                <w:color w:val="auto"/>
                <w:sz w:val="21"/>
                <w:szCs w:val="21"/>
                <w:highlight w:val="none"/>
                <w:u w:val="none" w:color="auto"/>
                <w:lang w:eastAsia="zh-CN"/>
              </w:rPr>
              <w:t>当地环卫部门定期清运至垃圾填埋厂进行处置</w:t>
            </w:r>
            <w:r>
              <w:rPr>
                <w:rFonts w:hint="default" w:ascii="Times New Roman" w:hAnsi="Times New Roman" w:eastAsia="宋体" w:cs="Times New Roman"/>
                <w:color w:val="auto"/>
                <w:sz w:val="21"/>
                <w:szCs w:val="21"/>
                <w:highlight w:val="none"/>
                <w:u w:val="none" w:color="auto"/>
              </w:rPr>
              <w:t>；疏浚淤泥</w:t>
            </w:r>
            <w:r>
              <w:rPr>
                <w:rFonts w:hint="default" w:ascii="Times New Roman" w:hAnsi="Times New Roman" w:eastAsia="宋体" w:cs="Times New Roman"/>
                <w:color w:val="auto"/>
                <w:sz w:val="21"/>
                <w:szCs w:val="21"/>
                <w:highlight w:val="none"/>
                <w:u w:val="none" w:color="auto"/>
                <w:lang w:val="en-US" w:eastAsia="zh-CN"/>
              </w:rPr>
              <w:t>运输到垃圾填埋进行处置；</w:t>
            </w:r>
            <w:r>
              <w:rPr>
                <w:rFonts w:hint="default" w:ascii="Times New Roman" w:hAnsi="Times New Roman" w:eastAsia="宋体" w:cs="Times New Roman"/>
                <w:color w:val="auto"/>
                <w:sz w:val="21"/>
                <w:szCs w:val="21"/>
                <w:highlight w:val="none"/>
                <w:u w:val="none" w:color="auto"/>
                <w:vertAlign w:val="baseline"/>
                <w:lang w:val="en-US" w:eastAsia="zh-CN"/>
              </w:rPr>
              <w:t>无法利用的建筑垃圾</w:t>
            </w:r>
            <w:r>
              <w:rPr>
                <w:rFonts w:hint="default" w:ascii="Times New Roman" w:hAnsi="Times New Roman" w:eastAsia="宋体" w:cs="Times New Roman"/>
                <w:color w:val="auto"/>
                <w:sz w:val="21"/>
                <w:szCs w:val="21"/>
                <w:highlight w:val="none"/>
                <w:u w:val="none" w:color="auto"/>
                <w:lang w:val="en-US" w:eastAsia="zh-CN"/>
              </w:rPr>
              <w:t>集中收集后运至指定建筑垃圾填埋场进行处置</w:t>
            </w:r>
            <w:r>
              <w:rPr>
                <w:rFonts w:hint="default" w:ascii="Times New Roman" w:hAnsi="Times New Roman" w:eastAsia="宋体" w:cs="Times New Roman"/>
                <w:b w:val="0"/>
                <w:bCs/>
                <w:color w:val="auto"/>
                <w:sz w:val="21"/>
                <w:szCs w:val="21"/>
                <w:highlight w:val="none"/>
                <w:u w:val="none" w:color="auto"/>
                <w:lang w:val="en-US" w:eastAsia="zh-CN"/>
              </w:rPr>
              <w:t>。</w:t>
            </w:r>
          </w:p>
        </w:tc>
        <w:tc>
          <w:tcPr>
            <w:tcW w:w="963" w:type="pct"/>
            <w:noWrap w:val="0"/>
            <w:vAlign w:val="center"/>
          </w:tcPr>
          <w:p w14:paraId="2CC48670">
            <w:pPr>
              <w:keepNext w:val="0"/>
              <w:keepLines w:val="0"/>
              <w:pageBreakBefore w:val="0"/>
              <w:widowControl w:val="0"/>
              <w:kinsoku/>
              <w:wordWrap w:val="0"/>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rPr>
            </w:pPr>
            <w:r>
              <w:rPr>
                <w:rFonts w:hint="default" w:ascii="Times New Roman" w:hAnsi="Times New Roman" w:eastAsia="宋体" w:cs="Times New Roman"/>
                <w:color w:val="auto"/>
                <w:sz w:val="21"/>
                <w:szCs w:val="21"/>
                <w:highlight w:val="none"/>
                <w:u w:val="none" w:color="auto"/>
              </w:rPr>
              <w:t>《一般工业固体废物贮存和填埋污染控制标准》（GB18599-2020）</w:t>
            </w:r>
          </w:p>
        </w:tc>
        <w:tc>
          <w:tcPr>
            <w:tcW w:w="473" w:type="pct"/>
            <w:noWrap w:val="0"/>
            <w:vAlign w:val="center"/>
          </w:tcPr>
          <w:p w14:paraId="3A46097D">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469" w:type="pct"/>
            <w:noWrap w:val="0"/>
            <w:vAlign w:val="center"/>
          </w:tcPr>
          <w:p w14:paraId="586785E9">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610535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2" w:hRule="atLeast"/>
          <w:jc w:val="center"/>
        </w:trPr>
        <w:tc>
          <w:tcPr>
            <w:tcW w:w="687" w:type="pct"/>
            <w:noWrap w:val="0"/>
            <w:vAlign w:val="center"/>
          </w:tcPr>
          <w:p w14:paraId="3803D782">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电磁环境</w:t>
            </w:r>
          </w:p>
        </w:tc>
        <w:tc>
          <w:tcPr>
            <w:tcW w:w="2404" w:type="pct"/>
            <w:noWrap w:val="0"/>
            <w:vAlign w:val="center"/>
          </w:tcPr>
          <w:p w14:paraId="3C1B3C72">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963" w:type="pct"/>
            <w:noWrap w:val="0"/>
            <w:vAlign w:val="center"/>
          </w:tcPr>
          <w:p w14:paraId="4D23B316">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473" w:type="pct"/>
            <w:noWrap w:val="0"/>
            <w:vAlign w:val="center"/>
          </w:tcPr>
          <w:p w14:paraId="3F4CBA24">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469" w:type="pct"/>
            <w:noWrap w:val="0"/>
            <w:vAlign w:val="center"/>
          </w:tcPr>
          <w:p w14:paraId="0BD075E6">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5F8B94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7" w:hRule="atLeast"/>
          <w:jc w:val="center"/>
        </w:trPr>
        <w:tc>
          <w:tcPr>
            <w:tcW w:w="687" w:type="pct"/>
            <w:noWrap w:val="0"/>
            <w:vAlign w:val="center"/>
          </w:tcPr>
          <w:p w14:paraId="2B1D3B7E">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环境风险</w:t>
            </w:r>
          </w:p>
        </w:tc>
        <w:tc>
          <w:tcPr>
            <w:tcW w:w="2404" w:type="pct"/>
            <w:noWrap w:val="0"/>
            <w:vAlign w:val="center"/>
          </w:tcPr>
          <w:p w14:paraId="14EE8CF6">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963" w:type="pct"/>
            <w:noWrap w:val="0"/>
            <w:vAlign w:val="center"/>
          </w:tcPr>
          <w:p w14:paraId="000E70B1">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473" w:type="pct"/>
            <w:noWrap w:val="0"/>
            <w:vAlign w:val="center"/>
          </w:tcPr>
          <w:p w14:paraId="65C0D549">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469" w:type="pct"/>
            <w:noWrap w:val="0"/>
            <w:vAlign w:val="center"/>
          </w:tcPr>
          <w:p w14:paraId="509183E7">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01D710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687" w:type="pct"/>
            <w:noWrap w:val="0"/>
            <w:vAlign w:val="center"/>
          </w:tcPr>
          <w:p w14:paraId="781107E9">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环境监测</w:t>
            </w:r>
          </w:p>
        </w:tc>
        <w:tc>
          <w:tcPr>
            <w:tcW w:w="2404" w:type="pct"/>
            <w:noWrap w:val="0"/>
            <w:vAlign w:val="center"/>
          </w:tcPr>
          <w:p w14:paraId="5DFC417C">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963" w:type="pct"/>
            <w:noWrap w:val="0"/>
            <w:vAlign w:val="center"/>
          </w:tcPr>
          <w:p w14:paraId="0D84983E">
            <w:pPr>
              <w:keepNext w:val="0"/>
              <w:keepLines w:val="0"/>
              <w:pageBreakBefore w:val="0"/>
              <w:widowControl w:val="0"/>
              <w:kinsoku/>
              <w:wordWrap w:val="0"/>
              <w:overflowPunct/>
              <w:topLinePunct w:val="0"/>
              <w:autoSpaceDE/>
              <w:autoSpaceDN/>
              <w:bidi w:val="0"/>
              <w:adjustRightInd w:val="0"/>
              <w:snapToGrid w:val="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z w:val="21"/>
                <w:szCs w:val="21"/>
                <w:highlight w:val="none"/>
                <w:u w:val="none" w:color="auto"/>
              </w:rPr>
              <w:t>《大气污染物综合排放标准》（GB16297-1996）</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color w:val="auto"/>
                <w:sz w:val="21"/>
                <w:szCs w:val="21"/>
                <w:highlight w:val="none"/>
                <w:u w:val="none" w:color="auto"/>
              </w:rPr>
              <w:t>《建筑施工场界环境噪声排放标准》</w:t>
            </w:r>
            <w:r>
              <w:rPr>
                <w:rFonts w:hint="eastAsia" w:ascii="Times New Roman" w:hAnsi="Times New Roman" w:eastAsia="宋体" w:cs="Times New Roman"/>
                <w:color w:val="auto"/>
                <w:sz w:val="21"/>
                <w:szCs w:val="21"/>
                <w:highlight w:val="none"/>
                <w:u w:val="none" w:color="auto"/>
                <w:lang w:val="en-US" w:eastAsia="zh-CN"/>
              </w:rPr>
              <w:t xml:space="preserve"> </w:t>
            </w:r>
            <w:r>
              <w:rPr>
                <w:rFonts w:hint="default" w:ascii="Times New Roman" w:hAnsi="Times New Roman" w:eastAsia="宋体" w:cs="Times New Roman"/>
                <w:color w:val="auto"/>
                <w:sz w:val="21"/>
                <w:szCs w:val="21"/>
                <w:highlight w:val="none"/>
                <w:u w:val="none" w:color="auto"/>
              </w:rPr>
              <w:t>（GB12523-2011）标准</w:t>
            </w:r>
            <w:r>
              <w:rPr>
                <w:rFonts w:hint="default" w:ascii="Times New Roman" w:hAnsi="Times New Roman" w:eastAsia="宋体" w:cs="Times New Roman"/>
                <w:color w:val="auto"/>
                <w:sz w:val="21"/>
                <w:szCs w:val="21"/>
                <w:highlight w:val="none"/>
                <w:u w:val="none" w:color="auto"/>
                <w:lang w:eastAsia="zh-CN"/>
              </w:rPr>
              <w:t>；</w:t>
            </w:r>
            <w:r>
              <w:rPr>
                <w:rFonts w:hint="default" w:ascii="Times New Roman" w:hAnsi="Times New Roman" w:eastAsia="宋体" w:cs="Times New Roman"/>
                <w:bCs/>
                <w:color w:val="auto"/>
                <w:sz w:val="21"/>
                <w:szCs w:val="21"/>
                <w:highlight w:val="none"/>
                <w:u w:val="none" w:color="auto"/>
                <w:lang w:val="en-US" w:eastAsia="zh-CN"/>
              </w:rPr>
              <w:t>《地表水环境质量标准》（GB3838-2002）</w:t>
            </w:r>
          </w:p>
        </w:tc>
        <w:tc>
          <w:tcPr>
            <w:tcW w:w="473" w:type="pct"/>
            <w:noWrap w:val="0"/>
            <w:vAlign w:val="center"/>
          </w:tcPr>
          <w:p w14:paraId="2FB9F704">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469" w:type="pct"/>
            <w:noWrap w:val="0"/>
            <w:vAlign w:val="center"/>
          </w:tcPr>
          <w:p w14:paraId="6623DDA8">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4A11C8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8" w:hRule="atLeast"/>
          <w:jc w:val="center"/>
        </w:trPr>
        <w:tc>
          <w:tcPr>
            <w:tcW w:w="687" w:type="pct"/>
            <w:noWrap w:val="0"/>
            <w:vAlign w:val="center"/>
          </w:tcPr>
          <w:p w14:paraId="208D1B22">
            <w:pPr>
              <w:adjustRightInd w:val="0"/>
              <w:snapToGrid w:val="0"/>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其他</w:t>
            </w:r>
          </w:p>
        </w:tc>
        <w:tc>
          <w:tcPr>
            <w:tcW w:w="2404" w:type="pct"/>
            <w:noWrap w:val="0"/>
            <w:vAlign w:val="center"/>
          </w:tcPr>
          <w:p w14:paraId="515A0C1F">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963" w:type="pct"/>
            <w:noWrap w:val="0"/>
            <w:vAlign w:val="center"/>
          </w:tcPr>
          <w:p w14:paraId="675B1745">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473" w:type="pct"/>
            <w:noWrap w:val="0"/>
            <w:vAlign w:val="center"/>
          </w:tcPr>
          <w:p w14:paraId="461ABF7C">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469" w:type="pct"/>
            <w:noWrap w:val="0"/>
            <w:vAlign w:val="center"/>
          </w:tcPr>
          <w:p w14:paraId="3C9119E8">
            <w:pPr>
              <w:adjustRightInd w:val="0"/>
              <w:snapToGrid w:val="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bl>
    <w:p w14:paraId="5B9566F9">
      <w:pPr>
        <w:pStyle w:val="15"/>
        <w:spacing w:before="0" w:beforeAutospacing="0" w:line="14" w:lineRule="auto"/>
        <w:jc w:val="both"/>
        <w:outlineLvl w:val="9"/>
        <w:rPr>
          <w:rFonts w:hint="eastAsia" w:ascii="黑体" w:hAnsi="黑体" w:eastAsia="黑体"/>
          <w:snapToGrid w:val="0"/>
          <w:sz w:val="30"/>
          <w:szCs w:val="30"/>
          <w:highlight w:val="none"/>
        </w:rPr>
      </w:pPr>
      <w:r>
        <w:rPr>
          <w:rFonts w:ascii="黑体" w:hAnsi="黑体" w:eastAsia="黑体"/>
          <w:snapToGrid w:val="0"/>
          <w:sz w:val="30"/>
          <w:szCs w:val="30"/>
          <w:highlight w:val="none"/>
        </w:rPr>
        <w:br w:type="page"/>
      </w:r>
    </w:p>
    <w:p w14:paraId="6DE4F25B">
      <w:pPr>
        <w:pStyle w:val="15"/>
        <w:spacing w:before="192" w:beforeLines="80" w:beforeAutospacing="0"/>
        <w:jc w:val="center"/>
        <w:outlineLvl w:val="0"/>
        <w:rPr>
          <w:rFonts w:ascii="黑体" w:hAnsi="黑体" w:eastAsia="黑体"/>
          <w:snapToGrid w:val="0"/>
          <w:sz w:val="30"/>
          <w:szCs w:val="30"/>
          <w:highlight w:val="none"/>
        </w:rPr>
      </w:pPr>
      <w:bookmarkStart w:id="20" w:name="_Toc23978"/>
      <w:r>
        <w:rPr>
          <w:rFonts w:hint="eastAsia" w:ascii="黑体" w:hAnsi="黑体" w:eastAsia="黑体"/>
          <w:snapToGrid w:val="0"/>
          <w:sz w:val="30"/>
          <w:szCs w:val="30"/>
          <w:highlight w:val="none"/>
        </w:rPr>
        <w:t>七、结论</w:t>
      </w:r>
      <w:bookmarkEnd w:id="20"/>
    </w:p>
    <w:tbl>
      <w:tblPr>
        <w:tblStyle w:val="18"/>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14:paraId="60BE33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9289" w:type="dxa"/>
            <w:noWrap w:val="0"/>
            <w:vAlign w:val="top"/>
          </w:tcPr>
          <w:p w14:paraId="7ACA4BD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ascii="宋体" w:hAnsi="宋体" w:eastAsia="宋体" w:cs="宋体"/>
                <w:szCs w:val="21"/>
                <w:highlight w:val="none"/>
                <w:lang w:eastAsia="zh-CN"/>
              </w:rPr>
            </w:pPr>
            <w:r>
              <w:rPr>
                <w:rFonts w:hint="eastAsia" w:ascii="宋体" w:hAnsi="宋体" w:cs="宋体"/>
                <w:sz w:val="24"/>
                <w:szCs w:val="24"/>
                <w:highlight w:val="none"/>
                <w:lang w:eastAsia="zh-CN"/>
              </w:rPr>
              <w:t>综上所述，本项目为</w:t>
            </w:r>
            <w:r>
              <w:rPr>
                <w:rFonts w:hint="eastAsia" w:cs="Times New Roman"/>
                <w:color w:val="auto"/>
                <w:kern w:val="0"/>
                <w:sz w:val="24"/>
                <w:szCs w:val="24"/>
                <w:highlight w:val="none"/>
                <w:u w:val="none" w:color="auto"/>
                <w:lang w:val="en-US" w:eastAsia="zh-CN"/>
              </w:rPr>
              <w:t>河道治理、</w:t>
            </w:r>
            <w:r>
              <w:rPr>
                <w:rFonts w:hint="eastAsia" w:asciiTheme="minorEastAsia" w:hAnsiTheme="minorEastAsia" w:eastAsiaTheme="minorEastAsia" w:cstheme="minorEastAsia"/>
                <w:b w:val="0"/>
                <w:bCs w:val="0"/>
                <w:color w:val="000000"/>
                <w:sz w:val="24"/>
                <w:szCs w:val="24"/>
                <w:highlight w:val="none"/>
              </w:rPr>
              <w:t>排涝通道建设</w:t>
            </w:r>
            <w:r>
              <w:rPr>
                <w:rFonts w:hint="default" w:ascii="Times New Roman" w:hAnsi="Times New Roman" w:cs="Times New Roman" w:eastAsiaTheme="minorEastAsia"/>
                <w:color w:val="auto"/>
                <w:sz w:val="24"/>
                <w:szCs w:val="24"/>
                <w:highlight w:val="none"/>
                <w:lang w:val="en-US" w:eastAsia="zh-CN"/>
              </w:rPr>
              <w:t>工程</w:t>
            </w:r>
            <w:r>
              <w:rPr>
                <w:rFonts w:hint="eastAsia" w:ascii="宋体" w:hAnsi="宋体" w:cs="宋体"/>
                <w:sz w:val="24"/>
                <w:szCs w:val="24"/>
                <w:highlight w:val="none"/>
                <w:lang w:eastAsia="zh-CN"/>
              </w:rPr>
              <w:t>，不属于生产型项目，</w:t>
            </w:r>
            <w:r>
              <w:rPr>
                <w:rFonts w:hint="default" w:ascii="Times New Roman" w:hAnsi="Times New Roman" w:cs="Times New Roman"/>
                <w:sz w:val="24"/>
                <w:szCs w:val="24"/>
                <w:highlight w:val="none"/>
                <w:lang w:eastAsia="zh-CN"/>
              </w:rPr>
              <w:t>是直接保障周边村庄村民生命财产安全的建设项目，</w:t>
            </w:r>
            <w:r>
              <w:rPr>
                <w:rFonts w:hint="eastAsia" w:cs="Times New Roman"/>
                <w:sz w:val="24"/>
                <w:szCs w:val="24"/>
                <w:highlight w:val="none"/>
                <w:lang w:eastAsia="zh-CN"/>
              </w:rPr>
              <w:t>工程建设不涉及自然保护区、世界自然和文化遗产地、风景名胜区、森林公园等环境敏感区，在认真落实评价所提的各项防治措施和建议情况下，该项目建成后对周围环境影响较小。从环境保护技术角度论证，该项目的建设可行。</w:t>
            </w:r>
          </w:p>
        </w:tc>
      </w:tr>
    </w:tbl>
    <w:p w14:paraId="3C8C3C7A">
      <w:pPr>
        <w:adjustRightInd w:val="0"/>
        <w:snapToGrid w:val="0"/>
        <w:spacing w:before="192" w:beforeLines="80"/>
        <w:rPr>
          <w:rFonts w:ascii="宋体"/>
          <w:highlight w:val="none"/>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14:paraId="679D8887">
      <w:pPr>
        <w:sectPr>
          <w:pgSz w:w="16838" w:h="11906"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251670528" behindDoc="0" locked="0" layoutInCell="1" allowOverlap="1">
                <wp:simplePos x="0" y="0"/>
                <wp:positionH relativeFrom="column">
                  <wp:posOffset>4860290</wp:posOffset>
                </wp:positionH>
                <wp:positionV relativeFrom="paragraph">
                  <wp:posOffset>584200</wp:posOffset>
                </wp:positionV>
                <wp:extent cx="518160" cy="1101725"/>
                <wp:effectExtent l="13970" t="13970" r="20320" b="27305"/>
                <wp:wrapNone/>
                <wp:docPr id="1" name="矩形 1"/>
                <wp:cNvGraphicFramePr/>
                <a:graphic xmlns:a="http://schemas.openxmlformats.org/drawingml/2006/main">
                  <a:graphicData uri="http://schemas.microsoft.com/office/word/2010/wordprocessingShape">
                    <wps:wsp>
                      <wps:cNvSpPr/>
                      <wps:spPr>
                        <a:xfrm>
                          <a:off x="7431405" y="3168015"/>
                          <a:ext cx="518160" cy="1101725"/>
                        </a:xfrm>
                        <a:prstGeom prst="rect">
                          <a:avLst/>
                        </a:prstGeom>
                        <a:noFill/>
                        <a:ln w="285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2.7pt;margin-top:46pt;height:86.75pt;width:40.8pt;z-index:251670528;v-text-anchor:middle;mso-width-relative:page;mso-height-relative:page;" filled="f" stroked="t" coordsize="21600,21600" o:gfxdata="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eUrOs2QAAAAoBAAAPAAAAAAAAAAEAIAAAACIAAABkcnMvZG93bnJldi54&#10;bWxQSwECFAAUAAAACACHTuJAzzXlh2sCAADABAAADgAAAAAAAAABACAAAAAoAQAAZHJzL2Uyb0Rv&#10;Yy54bWxQSwUGAAAAAAYABgBZAQAABQYAAAAA&#10;">
                <v:fill on="f" focussize="0,0"/>
                <v:stroke weight="2.25pt" color="#FF0000 [2404]" joinstyle="round"/>
                <v:imagedata o:title=""/>
                <o:lock v:ext="edit" aspectratio="f"/>
              </v:rect>
            </w:pict>
          </mc:Fallback>
        </mc:AlternateContent>
      </w:r>
      <w:r>
        <w:rPr>
          <w:sz w:val="21"/>
        </w:rPr>
        <mc:AlternateContent>
          <mc:Choice Requires="wps">
            <w:drawing>
              <wp:anchor distT="0" distB="0" distL="114300" distR="114300" simplePos="0" relativeHeight="251671552" behindDoc="0" locked="0" layoutInCell="1" allowOverlap="1">
                <wp:simplePos x="0" y="0"/>
                <wp:positionH relativeFrom="column">
                  <wp:posOffset>5741035</wp:posOffset>
                </wp:positionH>
                <wp:positionV relativeFrom="paragraph">
                  <wp:posOffset>657225</wp:posOffset>
                </wp:positionV>
                <wp:extent cx="1219200" cy="505460"/>
                <wp:effectExtent l="342900" t="12700" r="19050" b="224790"/>
                <wp:wrapNone/>
                <wp:docPr id="11" name="矩形标注 11"/>
                <wp:cNvGraphicFramePr/>
                <a:graphic xmlns:a="http://schemas.openxmlformats.org/drawingml/2006/main">
                  <a:graphicData uri="http://schemas.microsoft.com/office/word/2010/wordprocessingShape">
                    <wps:wsp>
                      <wps:cNvSpPr/>
                      <wps:spPr>
                        <a:xfrm>
                          <a:off x="7793355" y="2548890"/>
                          <a:ext cx="1219200" cy="505460"/>
                        </a:xfrm>
                        <a:prstGeom prst="wedgeRectCallout">
                          <a:avLst>
                            <a:gd name="adj1" fmla="val -77083"/>
                            <a:gd name="adj2" fmla="val 88550"/>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62EACB8">
                            <w:pPr>
                              <w:jc w:val="center"/>
                              <w:rPr>
                                <w:rFonts w:hint="eastAsia" w:eastAsiaTheme="minorEastAsia"/>
                                <w:b/>
                                <w:bCs/>
                                <w:color w:val="FF0000"/>
                                <w:sz w:val="24"/>
                                <w:szCs w:val="24"/>
                                <w:lang w:eastAsia="zh-CN"/>
                              </w:rPr>
                            </w:pPr>
                            <w:r>
                              <w:rPr>
                                <w:rFonts w:hint="eastAsia"/>
                                <w:b/>
                                <w:bCs/>
                                <w:color w:val="FF0000"/>
                                <w:sz w:val="24"/>
                                <w:szCs w:val="24"/>
                                <w:lang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52.05pt;margin-top:51.75pt;height:39.8pt;width:96pt;z-index:251671552;v-text-anchor:middle;mso-width-relative:page;mso-height-relative:page;" filled="f" stroked="t" coordsize="21600,21600" o:gfxdata="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Nklm5XaAAAADAEAAA8AAAAAAAAAAQAgAAAAIgAAAGRycy9kb3du&#10;cmV2LnhtbFBLAQIUABQAAAAIAIdO4kD2tYmtqAIAADEFAAAOAAAAAAAAAAEAIAAAACkBAABkcnMv&#10;ZTJvRG9jLnhtbFBLBQYAAAAABgAGAFkBAABDBgAAAAA=&#10;" adj="-5850,29927">
                <v:fill on="f" focussize="0,0"/>
                <v:stroke weight="2pt" color="#FF0000 [2404]" joinstyle="round"/>
                <v:imagedata o:title=""/>
                <o:lock v:ext="edit" aspectratio="f"/>
                <v:textbox>
                  <w:txbxContent>
                    <w:p w14:paraId="062EACB8">
                      <w:pPr>
                        <w:jc w:val="center"/>
                        <w:rPr>
                          <w:rFonts w:hint="eastAsia" w:eastAsiaTheme="minorEastAsia"/>
                          <w:b/>
                          <w:bCs/>
                          <w:color w:val="FF0000"/>
                          <w:sz w:val="24"/>
                          <w:szCs w:val="24"/>
                          <w:lang w:eastAsia="zh-CN"/>
                        </w:rPr>
                      </w:pPr>
                      <w:r>
                        <w:rPr>
                          <w:rFonts w:hint="eastAsia"/>
                          <w:b/>
                          <w:bCs/>
                          <w:color w:val="FF0000"/>
                          <w:sz w:val="24"/>
                          <w:szCs w:val="24"/>
                          <w:lang w:eastAsia="zh-CN"/>
                        </w:rPr>
                        <w:t>本项目位置</w:t>
                      </w:r>
                    </w:p>
                  </w:txbxContent>
                </v:textbox>
              </v:shape>
            </w:pict>
          </mc:Fallback>
        </mc:AlternateContent>
      </w:r>
      <w:r>
        <w:drawing>
          <wp:anchor distT="0" distB="0" distL="114300" distR="114300" simplePos="0" relativeHeight="251669504" behindDoc="0" locked="0" layoutInCell="1" allowOverlap="1">
            <wp:simplePos x="0" y="0"/>
            <wp:positionH relativeFrom="column">
              <wp:posOffset>595630</wp:posOffset>
            </wp:positionH>
            <wp:positionV relativeFrom="page">
              <wp:posOffset>1080135</wp:posOffset>
            </wp:positionV>
            <wp:extent cx="7781925" cy="5454650"/>
            <wp:effectExtent l="19050" t="19050" r="28575" b="31750"/>
            <wp:wrapSquare wrapText="bothSides"/>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8"/>
                    <a:srcRect l="40566" t="20777" r="13828" b="20379"/>
                    <a:stretch>
                      <a:fillRect/>
                    </a:stretch>
                  </pic:blipFill>
                  <pic:spPr>
                    <a:xfrm>
                      <a:off x="0" y="0"/>
                      <a:ext cx="7781925" cy="5454650"/>
                    </a:xfrm>
                    <a:prstGeom prst="rect">
                      <a:avLst/>
                    </a:prstGeom>
                    <a:noFill/>
                    <a:ln w="19050" cap="flat" cmpd="sng">
                      <a:solidFill>
                        <a:srgbClr val="000000"/>
                      </a:solidFill>
                      <a:prstDash val="solid"/>
                      <a:miter/>
                      <a:headEnd type="none" w="med" len="med"/>
                      <a:tailEnd type="none" w="med" len="med"/>
                    </a:ln>
                  </pic:spPr>
                </pic:pic>
              </a:graphicData>
            </a:graphic>
          </wp:anchor>
        </w:drawing>
      </w:r>
      <w:r>
        <w:rPr>
          <w:rFonts w:hint="eastAsia" w:eastAsia="宋体"/>
          <w:lang w:eastAsia="zh-CN"/>
        </w:rPr>
        <w:drawing>
          <wp:anchor distT="0" distB="0" distL="114300" distR="114300" simplePos="0" relativeHeight="251708416" behindDoc="0" locked="0" layoutInCell="1" allowOverlap="1">
            <wp:simplePos x="0" y="0"/>
            <wp:positionH relativeFrom="column">
              <wp:posOffset>8263255</wp:posOffset>
            </wp:positionH>
            <wp:positionV relativeFrom="paragraph">
              <wp:posOffset>74930</wp:posOffset>
            </wp:positionV>
            <wp:extent cx="533400" cy="1043940"/>
            <wp:effectExtent l="0" t="0" r="0" b="3810"/>
            <wp:wrapSquare wrapText="bothSides"/>
            <wp:docPr id="50" name="图片 4" descr="16181149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 descr="1618114952(1)"/>
                    <pic:cNvPicPr>
                      <a:picLocks noChangeAspect="1"/>
                    </pic:cNvPicPr>
                  </pic:nvPicPr>
                  <pic:blipFill>
                    <a:blip r:embed="rId19"/>
                    <a:stretch>
                      <a:fillRect/>
                    </a:stretch>
                  </pic:blipFill>
                  <pic:spPr>
                    <a:xfrm>
                      <a:off x="0" y="0"/>
                      <a:ext cx="533400" cy="1043940"/>
                    </a:xfrm>
                    <a:prstGeom prst="rect">
                      <a:avLst/>
                    </a:prstGeom>
                    <a:noFill/>
                    <a:ln>
                      <a:noFill/>
                    </a:ln>
                  </pic:spPr>
                </pic:pic>
              </a:graphicData>
            </a:graphic>
          </wp:anchor>
        </w:drawing>
      </w:r>
      <w:r>
        <w:rPr>
          <w:sz w:val="21"/>
        </w:rPr>
        <mc:AlternateContent>
          <mc:Choice Requires="wps">
            <w:drawing>
              <wp:anchor distT="0" distB="0" distL="114300" distR="114300" simplePos="0" relativeHeight="251674624" behindDoc="0" locked="0" layoutInCell="1" allowOverlap="1">
                <wp:simplePos x="0" y="0"/>
                <wp:positionH relativeFrom="column">
                  <wp:posOffset>-2540</wp:posOffset>
                </wp:positionH>
                <wp:positionV relativeFrom="paragraph">
                  <wp:posOffset>5642610</wp:posOffset>
                </wp:positionV>
                <wp:extent cx="8798560" cy="548005"/>
                <wp:effectExtent l="0" t="0" r="0" b="0"/>
                <wp:wrapNone/>
                <wp:docPr id="13" name="文本框 13"/>
                <wp:cNvGraphicFramePr/>
                <a:graphic xmlns:a="http://schemas.openxmlformats.org/drawingml/2006/main">
                  <a:graphicData uri="http://schemas.microsoft.com/office/word/2010/wordprocessingShape">
                    <wps:wsp>
                      <wps:cNvSpPr txBox="1"/>
                      <wps:spPr>
                        <a:xfrm>
                          <a:off x="911860" y="6793230"/>
                          <a:ext cx="8798560" cy="548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1A2498">
                            <w:pPr>
                              <w:jc w:val="center"/>
                              <w:rPr>
                                <w:rFonts w:hint="default" w:eastAsia="宋体"/>
                                <w:b/>
                                <w:bCs/>
                                <w:sz w:val="28"/>
                                <w:szCs w:val="28"/>
                                <w:lang w:val="en-US" w:eastAsia="zh-CN"/>
                              </w:rPr>
                            </w:pPr>
                            <w:r>
                              <w:rPr>
                                <w:rFonts w:hint="eastAsia" w:ascii="Times New Roman" w:hAnsi="Times New Roman"/>
                                <w:b/>
                                <w:bCs/>
                                <w:sz w:val="28"/>
                                <w:szCs w:val="28"/>
                                <w:lang w:eastAsia="zh-CN"/>
                              </w:rPr>
                              <w:t>附图</w:t>
                            </w:r>
                            <w:r>
                              <w:rPr>
                                <w:rFonts w:hint="eastAsia" w:ascii="Times New Roman" w:hAnsi="Times New Roman"/>
                                <w:b/>
                                <w:bCs/>
                                <w:sz w:val="28"/>
                                <w:szCs w:val="28"/>
                                <w:lang w:val="en-US" w:eastAsia="zh-CN"/>
                              </w:rPr>
                              <w:t>1</w:t>
                            </w:r>
                            <w:r>
                              <w:rPr>
                                <w:rFonts w:hint="eastAsia"/>
                                <w:b/>
                                <w:bCs/>
                                <w:sz w:val="28"/>
                                <w:szCs w:val="28"/>
                                <w:lang w:val="en-US" w:eastAsia="zh-CN"/>
                              </w:rPr>
                              <w:t xml:space="preserve">  项目地理位置图（比例尺</w:t>
                            </w:r>
                            <w:r>
                              <w:rPr>
                                <w:rFonts w:hint="default" w:ascii="Times New Roman" w:hAnsi="Times New Roman" w:cs="Times New Roman"/>
                                <w:b/>
                                <w:bCs/>
                                <w:sz w:val="28"/>
                                <w:szCs w:val="28"/>
                                <w:lang w:val="en-US" w:eastAsia="zh-CN"/>
                              </w:rPr>
                              <w:t>1：40000</w:t>
                            </w:r>
                            <w:r>
                              <w:rPr>
                                <w:rFonts w:hint="eastAsia"/>
                                <w:b/>
                                <w:bCs/>
                                <w:sz w:val="28"/>
                                <w:szCs w:val="28"/>
                                <w:lang w:val="en-US" w:eastAsia="zh-CN"/>
                              </w:rPr>
                              <w:t>）</w:t>
                            </w:r>
                          </w:p>
                          <w:p w14:paraId="6961761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2pt;margin-top:444.3pt;height:43.15pt;width:692.8pt;z-index:251674624;mso-width-relative:page;mso-height-relative:page;" filled="f" stroked="f" coordsize="21600,21600" o:gfxdata="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8rQ+ftsAAAAKAQAADwAAAAAAAAAB&#10;ACAAAAAiAAAAZHJzL2Rvd25yZXYueG1sUEsBAhQAFAAAAAgAh07iQHCWrnRGAgAAcwQAAA4AAAAA&#10;AAAAAQAgAAAAKgEAAGRycy9lMm9Eb2MueG1sUEsFBgAAAAAGAAYAWQEAAOIFAAAAAA==&#10;">
                <v:fill on="f" focussize="0,0"/>
                <v:stroke on="f" weight="0.5pt"/>
                <v:imagedata o:title=""/>
                <o:lock v:ext="edit" aspectratio="f"/>
                <v:textbox>
                  <w:txbxContent>
                    <w:p w14:paraId="071A2498">
                      <w:pPr>
                        <w:jc w:val="center"/>
                        <w:rPr>
                          <w:rFonts w:hint="default" w:eastAsia="宋体"/>
                          <w:b/>
                          <w:bCs/>
                          <w:sz w:val="28"/>
                          <w:szCs w:val="28"/>
                          <w:lang w:val="en-US" w:eastAsia="zh-CN"/>
                        </w:rPr>
                      </w:pPr>
                      <w:r>
                        <w:rPr>
                          <w:rFonts w:hint="eastAsia" w:ascii="Times New Roman" w:hAnsi="Times New Roman"/>
                          <w:b/>
                          <w:bCs/>
                          <w:sz w:val="28"/>
                          <w:szCs w:val="28"/>
                          <w:lang w:eastAsia="zh-CN"/>
                        </w:rPr>
                        <w:t>附图</w:t>
                      </w:r>
                      <w:r>
                        <w:rPr>
                          <w:rFonts w:hint="eastAsia" w:ascii="Times New Roman" w:hAnsi="Times New Roman"/>
                          <w:b/>
                          <w:bCs/>
                          <w:sz w:val="28"/>
                          <w:szCs w:val="28"/>
                          <w:lang w:val="en-US" w:eastAsia="zh-CN"/>
                        </w:rPr>
                        <w:t>1</w:t>
                      </w:r>
                      <w:r>
                        <w:rPr>
                          <w:rFonts w:hint="eastAsia"/>
                          <w:b/>
                          <w:bCs/>
                          <w:sz w:val="28"/>
                          <w:szCs w:val="28"/>
                          <w:lang w:val="en-US" w:eastAsia="zh-CN"/>
                        </w:rPr>
                        <w:t xml:space="preserve">  项目地理位置图（比例尺</w:t>
                      </w:r>
                      <w:r>
                        <w:rPr>
                          <w:rFonts w:hint="default" w:ascii="Times New Roman" w:hAnsi="Times New Roman" w:cs="Times New Roman"/>
                          <w:b/>
                          <w:bCs/>
                          <w:sz w:val="28"/>
                          <w:szCs w:val="28"/>
                          <w:lang w:val="en-US" w:eastAsia="zh-CN"/>
                        </w:rPr>
                        <w:t>1：40000</w:t>
                      </w:r>
                      <w:r>
                        <w:rPr>
                          <w:rFonts w:hint="eastAsia"/>
                          <w:b/>
                          <w:bCs/>
                          <w:sz w:val="28"/>
                          <w:szCs w:val="28"/>
                          <w:lang w:val="en-US" w:eastAsia="zh-CN"/>
                        </w:rPr>
                        <w:t>）</w:t>
                      </w:r>
                    </w:p>
                    <w:p w14:paraId="6961761A"/>
                  </w:txbxContent>
                </v:textbox>
              </v:shape>
            </w:pict>
          </mc:Fallback>
        </mc:AlternateContent>
      </w:r>
      <w:r>
        <w:rPr>
          <w:sz w:val="21"/>
        </w:rPr>
        <mc:AlternateContent>
          <mc:Choice Requires="wps">
            <w:drawing>
              <wp:anchor distT="0" distB="0" distL="114300" distR="114300" simplePos="0" relativeHeight="251675648" behindDoc="0" locked="0" layoutInCell="1" allowOverlap="1">
                <wp:simplePos x="0" y="0"/>
                <wp:positionH relativeFrom="column">
                  <wp:posOffset>953135</wp:posOffset>
                </wp:positionH>
                <wp:positionV relativeFrom="paragraph">
                  <wp:posOffset>6781165</wp:posOffset>
                </wp:positionV>
                <wp:extent cx="9174480" cy="617220"/>
                <wp:effectExtent l="0" t="0" r="0" b="0"/>
                <wp:wrapNone/>
                <wp:docPr id="14" name="文本框 14"/>
                <wp:cNvGraphicFramePr/>
                <a:graphic xmlns:a="http://schemas.openxmlformats.org/drawingml/2006/main">
                  <a:graphicData uri="http://schemas.microsoft.com/office/word/2010/wordprocessingShape">
                    <wps:wsp>
                      <wps:cNvSpPr txBox="1"/>
                      <wps:spPr>
                        <a:xfrm>
                          <a:off x="2842895" y="6727825"/>
                          <a:ext cx="9174480" cy="617220"/>
                        </a:xfrm>
                        <a:prstGeom prst="rect">
                          <a:avLst/>
                        </a:prstGeom>
                        <a:noFill/>
                        <a:ln w="6350">
                          <a:noFill/>
                        </a:ln>
                        <a:effectLst/>
                      </wps:spPr>
                      <wps:txbx>
                        <w:txbxContent>
                          <w:p w14:paraId="303634F4">
                            <w:pPr>
                              <w:jc w:val="center"/>
                              <w:rPr>
                                <w:rFonts w:hint="default" w:eastAsia="宋体"/>
                                <w:b/>
                                <w:bCs/>
                                <w:sz w:val="28"/>
                                <w:szCs w:val="28"/>
                                <w:lang w:val="en-US" w:eastAsia="zh-CN"/>
                              </w:rPr>
                            </w:pPr>
                            <w:r>
                              <w:rPr>
                                <w:rFonts w:hint="eastAsia" w:ascii="Times New Roman" w:hAnsi="Times New Roman"/>
                                <w:b/>
                                <w:bCs/>
                                <w:sz w:val="28"/>
                                <w:szCs w:val="28"/>
                                <w:lang w:eastAsia="zh-CN"/>
                              </w:rPr>
                              <w:t>附图</w:t>
                            </w:r>
                            <w:r>
                              <w:rPr>
                                <w:rFonts w:hint="eastAsia" w:ascii="Times New Roman" w:hAnsi="Times New Roman"/>
                                <w:b/>
                                <w:bCs/>
                                <w:sz w:val="28"/>
                                <w:szCs w:val="28"/>
                                <w:lang w:val="en-US" w:eastAsia="zh-CN"/>
                              </w:rPr>
                              <w:t>1</w:t>
                            </w:r>
                            <w:r>
                              <w:rPr>
                                <w:rFonts w:hint="eastAsia"/>
                                <w:b/>
                                <w:bCs/>
                                <w:sz w:val="28"/>
                                <w:szCs w:val="28"/>
                                <w:lang w:val="en-US" w:eastAsia="zh-CN"/>
                              </w:rPr>
                              <w:t xml:space="preserve">  项目地理位置图（比例尺</w:t>
                            </w:r>
                            <w:r>
                              <w:rPr>
                                <w:rFonts w:hint="default" w:ascii="Times New Roman" w:hAnsi="Times New Roman" w:cs="Times New Roman"/>
                                <w:b/>
                                <w:bCs/>
                                <w:sz w:val="28"/>
                                <w:szCs w:val="28"/>
                                <w:lang w:val="en-US" w:eastAsia="zh-CN"/>
                              </w:rPr>
                              <w:t>1：40000</w:t>
                            </w:r>
                            <w:r>
                              <w:rPr>
                                <w:rFonts w:hint="eastAsia"/>
                                <w:b/>
                                <w:bCs/>
                                <w:sz w:val="28"/>
                                <w:szCs w:val="28"/>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5.05pt;margin-top:533.95pt;height:48.6pt;width:722.4pt;z-index:251675648;mso-width-relative:page;mso-height-relative:page;" filled="f" stroked="f" coordsize="21600,21600" o:gfxdata="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D0xP3AAAAA4B&#10;AAAPAAAAAAAAAAEAIAAAACIAAABkcnMvZG93bnJldi54bWxQSwECFAAUAAAACACHTuJA5Dcmh1AC&#10;AACCBAAADgAAAAAAAAABACAAAAArAQAAZHJzL2Uyb0RvYy54bWxQSwUGAAAAAAYABgBZAQAA7QUA&#10;AAAA&#10;">
                <v:fill on="f" focussize="0,0"/>
                <v:stroke on="f" weight="0.5pt"/>
                <v:imagedata o:title=""/>
                <o:lock v:ext="edit" aspectratio="f"/>
                <v:textbox>
                  <w:txbxContent>
                    <w:p w14:paraId="303634F4">
                      <w:pPr>
                        <w:jc w:val="center"/>
                        <w:rPr>
                          <w:rFonts w:hint="default" w:eastAsia="宋体"/>
                          <w:b/>
                          <w:bCs/>
                          <w:sz w:val="28"/>
                          <w:szCs w:val="28"/>
                          <w:lang w:val="en-US" w:eastAsia="zh-CN"/>
                        </w:rPr>
                      </w:pPr>
                      <w:r>
                        <w:rPr>
                          <w:rFonts w:hint="eastAsia" w:ascii="Times New Roman" w:hAnsi="Times New Roman"/>
                          <w:b/>
                          <w:bCs/>
                          <w:sz w:val="28"/>
                          <w:szCs w:val="28"/>
                          <w:lang w:eastAsia="zh-CN"/>
                        </w:rPr>
                        <w:t>附图</w:t>
                      </w:r>
                      <w:r>
                        <w:rPr>
                          <w:rFonts w:hint="eastAsia" w:ascii="Times New Roman" w:hAnsi="Times New Roman"/>
                          <w:b/>
                          <w:bCs/>
                          <w:sz w:val="28"/>
                          <w:szCs w:val="28"/>
                          <w:lang w:val="en-US" w:eastAsia="zh-CN"/>
                        </w:rPr>
                        <w:t>1</w:t>
                      </w:r>
                      <w:r>
                        <w:rPr>
                          <w:rFonts w:hint="eastAsia"/>
                          <w:b/>
                          <w:bCs/>
                          <w:sz w:val="28"/>
                          <w:szCs w:val="28"/>
                          <w:lang w:val="en-US" w:eastAsia="zh-CN"/>
                        </w:rPr>
                        <w:t xml:space="preserve">  项目地理位置图（比例尺</w:t>
                      </w:r>
                      <w:r>
                        <w:rPr>
                          <w:rFonts w:hint="default" w:ascii="Times New Roman" w:hAnsi="Times New Roman" w:cs="Times New Roman"/>
                          <w:b/>
                          <w:bCs/>
                          <w:sz w:val="28"/>
                          <w:szCs w:val="28"/>
                          <w:lang w:val="en-US" w:eastAsia="zh-CN"/>
                        </w:rPr>
                        <w:t>1：40000</w:t>
                      </w:r>
                      <w:r>
                        <w:rPr>
                          <w:rFonts w:hint="eastAsia"/>
                          <w:b/>
                          <w:bCs/>
                          <w:sz w:val="28"/>
                          <w:szCs w:val="28"/>
                          <w:lang w:val="en-US" w:eastAsia="zh-CN"/>
                        </w:rPr>
                        <w:t>）</w:t>
                      </w:r>
                    </w:p>
                  </w:txbxContent>
                </v:textbox>
              </v:shape>
            </w:pict>
          </mc:Fallback>
        </mc:AlternateContent>
      </w:r>
      <w:r>
        <w:rPr>
          <w:sz w:val="21"/>
        </w:rPr>
        <mc:AlternateContent>
          <mc:Choice Requires="wps">
            <w:drawing>
              <wp:anchor distT="0" distB="0" distL="114300" distR="114300" simplePos="0" relativeHeight="251673600" behindDoc="0" locked="0" layoutInCell="1" allowOverlap="1">
                <wp:simplePos x="0" y="0"/>
                <wp:positionH relativeFrom="column">
                  <wp:posOffset>800735</wp:posOffset>
                </wp:positionH>
                <wp:positionV relativeFrom="paragraph">
                  <wp:posOffset>6628765</wp:posOffset>
                </wp:positionV>
                <wp:extent cx="9174480" cy="617220"/>
                <wp:effectExtent l="0" t="0" r="0" b="0"/>
                <wp:wrapNone/>
                <wp:docPr id="15" name="文本框 15"/>
                <wp:cNvGraphicFramePr/>
                <a:graphic xmlns:a="http://schemas.openxmlformats.org/drawingml/2006/main">
                  <a:graphicData uri="http://schemas.microsoft.com/office/word/2010/wordprocessingShape">
                    <wps:wsp>
                      <wps:cNvSpPr txBox="1"/>
                      <wps:spPr>
                        <a:xfrm>
                          <a:off x="2842895" y="6727825"/>
                          <a:ext cx="9174480" cy="617220"/>
                        </a:xfrm>
                        <a:prstGeom prst="rect">
                          <a:avLst/>
                        </a:prstGeom>
                        <a:noFill/>
                        <a:ln w="6350">
                          <a:noFill/>
                        </a:ln>
                        <a:effectLst/>
                      </wps:spPr>
                      <wps:txbx>
                        <w:txbxContent>
                          <w:p w14:paraId="77E9F829">
                            <w:pPr>
                              <w:jc w:val="center"/>
                              <w:rPr>
                                <w:rFonts w:hint="default" w:eastAsia="宋体"/>
                                <w:b/>
                                <w:bCs/>
                                <w:sz w:val="28"/>
                                <w:szCs w:val="28"/>
                                <w:lang w:val="en-US" w:eastAsia="zh-CN"/>
                              </w:rPr>
                            </w:pPr>
                            <w:r>
                              <w:rPr>
                                <w:rFonts w:hint="eastAsia" w:ascii="Times New Roman" w:hAnsi="Times New Roman"/>
                                <w:b/>
                                <w:bCs/>
                                <w:sz w:val="28"/>
                                <w:szCs w:val="28"/>
                                <w:lang w:eastAsia="zh-CN"/>
                              </w:rPr>
                              <w:t>附图</w:t>
                            </w:r>
                            <w:r>
                              <w:rPr>
                                <w:rFonts w:hint="eastAsia" w:ascii="Times New Roman" w:hAnsi="Times New Roman"/>
                                <w:b/>
                                <w:bCs/>
                                <w:sz w:val="28"/>
                                <w:szCs w:val="28"/>
                                <w:lang w:val="en-US" w:eastAsia="zh-CN"/>
                              </w:rPr>
                              <w:t>1</w:t>
                            </w:r>
                            <w:r>
                              <w:rPr>
                                <w:rFonts w:hint="eastAsia"/>
                                <w:b/>
                                <w:bCs/>
                                <w:sz w:val="28"/>
                                <w:szCs w:val="28"/>
                                <w:lang w:val="en-US" w:eastAsia="zh-CN"/>
                              </w:rPr>
                              <w:t xml:space="preserve">  项目地理位置图（比例尺</w:t>
                            </w:r>
                            <w:r>
                              <w:rPr>
                                <w:rFonts w:hint="default" w:ascii="Times New Roman" w:hAnsi="Times New Roman" w:cs="Times New Roman"/>
                                <w:b/>
                                <w:bCs/>
                                <w:sz w:val="28"/>
                                <w:szCs w:val="28"/>
                                <w:lang w:val="en-US" w:eastAsia="zh-CN"/>
                              </w:rPr>
                              <w:t>1：40000</w:t>
                            </w:r>
                            <w:r>
                              <w:rPr>
                                <w:rFonts w:hint="eastAsia"/>
                                <w:b/>
                                <w:bCs/>
                                <w:sz w:val="28"/>
                                <w:szCs w:val="28"/>
                                <w:lang w:val="en-US"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05pt;margin-top:521.95pt;height:48.6pt;width:722.4pt;z-index:251673600;mso-width-relative:page;mso-height-relative:page;" filled="f" stroked="f" coordsize="21600,21600" o:gfxdata="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BexOSvcAAAADgEA&#10;AA8AAAAAAAAAAQAgAAAAIgAAAGRycy9kb3ducmV2LnhtbFBLAQIUABQAAAAIAIdO4kDe3IhsTwIA&#10;AIIEAAAOAAAAAAAAAAEAIAAAACsBAABkcnMvZTJvRG9jLnhtbFBLBQYAAAAABgAGAFkBAADsBQAA&#10;AAA=&#10;">
                <v:fill on="f" focussize="0,0"/>
                <v:stroke on="f" weight="0.5pt"/>
                <v:imagedata o:title=""/>
                <o:lock v:ext="edit" aspectratio="f"/>
                <v:textbox>
                  <w:txbxContent>
                    <w:p w14:paraId="77E9F829">
                      <w:pPr>
                        <w:jc w:val="center"/>
                        <w:rPr>
                          <w:rFonts w:hint="default" w:eastAsia="宋体"/>
                          <w:b/>
                          <w:bCs/>
                          <w:sz w:val="28"/>
                          <w:szCs w:val="28"/>
                          <w:lang w:val="en-US" w:eastAsia="zh-CN"/>
                        </w:rPr>
                      </w:pPr>
                      <w:r>
                        <w:rPr>
                          <w:rFonts w:hint="eastAsia" w:ascii="Times New Roman" w:hAnsi="Times New Roman"/>
                          <w:b/>
                          <w:bCs/>
                          <w:sz w:val="28"/>
                          <w:szCs w:val="28"/>
                          <w:lang w:eastAsia="zh-CN"/>
                        </w:rPr>
                        <w:t>附图</w:t>
                      </w:r>
                      <w:r>
                        <w:rPr>
                          <w:rFonts w:hint="eastAsia" w:ascii="Times New Roman" w:hAnsi="Times New Roman"/>
                          <w:b/>
                          <w:bCs/>
                          <w:sz w:val="28"/>
                          <w:szCs w:val="28"/>
                          <w:lang w:val="en-US" w:eastAsia="zh-CN"/>
                        </w:rPr>
                        <w:t>1</w:t>
                      </w:r>
                      <w:r>
                        <w:rPr>
                          <w:rFonts w:hint="eastAsia"/>
                          <w:b/>
                          <w:bCs/>
                          <w:sz w:val="28"/>
                          <w:szCs w:val="28"/>
                          <w:lang w:val="en-US" w:eastAsia="zh-CN"/>
                        </w:rPr>
                        <w:t xml:space="preserve">  项目地理位置图（比例尺</w:t>
                      </w:r>
                      <w:r>
                        <w:rPr>
                          <w:rFonts w:hint="default" w:ascii="Times New Roman" w:hAnsi="Times New Roman" w:cs="Times New Roman"/>
                          <w:b/>
                          <w:bCs/>
                          <w:sz w:val="28"/>
                          <w:szCs w:val="28"/>
                          <w:lang w:val="en-US" w:eastAsia="zh-CN"/>
                        </w:rPr>
                        <w:t>1：40000</w:t>
                      </w:r>
                      <w:r>
                        <w:rPr>
                          <w:rFonts w:hint="eastAsia"/>
                          <w:b/>
                          <w:bCs/>
                          <w:sz w:val="28"/>
                          <w:szCs w:val="28"/>
                          <w:lang w:val="en-US" w:eastAsia="zh-CN"/>
                        </w:rPr>
                        <w:t>）</w:t>
                      </w:r>
                    </w:p>
                  </w:txbxContent>
                </v:textbox>
              </v:shape>
            </w:pict>
          </mc:Fallback>
        </mc:AlternateContent>
      </w:r>
    </w:p>
    <w:p w14:paraId="3C596932">
      <w:pPr>
        <w:rPr>
          <w:rFonts w:hint="default" w:cs="宋体"/>
          <w:b/>
          <w:bCs w:val="0"/>
          <w:color w:val="auto"/>
          <w:sz w:val="28"/>
          <w:szCs w:val="28"/>
          <w:highlight w:val="none"/>
          <w:lang w:val="en-US" w:eastAsia="zh-CN"/>
        </w:rPr>
        <w:sectPr>
          <w:pgSz w:w="16838" w:h="11906" w:orient="landscape"/>
          <w:pgMar w:top="1800" w:right="1440" w:bottom="1800" w:left="1440" w:header="851" w:footer="992" w:gutter="0"/>
          <w:cols w:space="425" w:num="1"/>
          <w:docGrid w:type="lines" w:linePitch="312" w:charSpace="0"/>
        </w:sectPr>
      </w:pPr>
      <w:r>
        <w:rPr>
          <w:rFonts w:hint="eastAsia" w:eastAsia="宋体"/>
          <w:lang w:eastAsia="zh-CN"/>
        </w:rPr>
        <w:drawing>
          <wp:anchor distT="0" distB="0" distL="114300" distR="114300" simplePos="0" relativeHeight="251709440" behindDoc="0" locked="0" layoutInCell="1" allowOverlap="1">
            <wp:simplePos x="0" y="0"/>
            <wp:positionH relativeFrom="column">
              <wp:posOffset>8370570</wp:posOffset>
            </wp:positionH>
            <wp:positionV relativeFrom="paragraph">
              <wp:posOffset>99060</wp:posOffset>
            </wp:positionV>
            <wp:extent cx="533400" cy="1043940"/>
            <wp:effectExtent l="0" t="0" r="0" b="3810"/>
            <wp:wrapSquare wrapText="bothSides"/>
            <wp:docPr id="52" name="图片 4" descr="16181149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 descr="1618114952(1)"/>
                    <pic:cNvPicPr>
                      <a:picLocks noChangeAspect="1"/>
                    </pic:cNvPicPr>
                  </pic:nvPicPr>
                  <pic:blipFill>
                    <a:blip r:embed="rId19"/>
                    <a:stretch>
                      <a:fillRect/>
                    </a:stretch>
                  </pic:blipFill>
                  <pic:spPr>
                    <a:xfrm>
                      <a:off x="0" y="0"/>
                      <a:ext cx="533400" cy="1043940"/>
                    </a:xfrm>
                    <a:prstGeom prst="rect">
                      <a:avLst/>
                    </a:prstGeom>
                    <a:noFill/>
                    <a:ln>
                      <a:noFill/>
                    </a:ln>
                  </pic:spPr>
                </pic:pic>
              </a:graphicData>
            </a:graphic>
          </wp:anchor>
        </w:drawing>
      </w:r>
      <w:r>
        <w:rPr>
          <w:sz w:val="21"/>
        </w:rPr>
        <mc:AlternateContent>
          <mc:Choice Requires="wps">
            <w:drawing>
              <wp:anchor distT="0" distB="0" distL="114300" distR="114300" simplePos="0" relativeHeight="251679744" behindDoc="0" locked="0" layoutInCell="1" allowOverlap="1">
                <wp:simplePos x="0" y="0"/>
                <wp:positionH relativeFrom="column">
                  <wp:posOffset>1618615</wp:posOffset>
                </wp:positionH>
                <wp:positionV relativeFrom="paragraph">
                  <wp:posOffset>2222500</wp:posOffset>
                </wp:positionV>
                <wp:extent cx="1644650" cy="2819400"/>
                <wp:effectExtent l="12700" t="12700" r="19050" b="25400"/>
                <wp:wrapNone/>
                <wp:docPr id="17" name="任意多边形 17"/>
                <wp:cNvGraphicFramePr/>
                <a:graphic xmlns:a="http://schemas.openxmlformats.org/drawingml/2006/main">
                  <a:graphicData uri="http://schemas.microsoft.com/office/word/2010/wordprocessingShape">
                    <wps:wsp>
                      <wps:cNvSpPr/>
                      <wps:spPr>
                        <a:xfrm>
                          <a:off x="2525395" y="3270250"/>
                          <a:ext cx="1644650" cy="2819400"/>
                        </a:xfrm>
                        <a:custGeom>
                          <a:avLst/>
                          <a:gdLst>
                            <a:gd name="connisteX0" fmla="*/ 412750 w 1644650"/>
                            <a:gd name="connsiteY0" fmla="*/ 0 h 2819400"/>
                            <a:gd name="connisteX1" fmla="*/ 1168400 w 1644650"/>
                            <a:gd name="connsiteY1" fmla="*/ 12700 h 2819400"/>
                            <a:gd name="connisteX2" fmla="*/ 1371600 w 1644650"/>
                            <a:gd name="connsiteY2" fmla="*/ 539750 h 2819400"/>
                            <a:gd name="connisteX3" fmla="*/ 933450 w 1644650"/>
                            <a:gd name="connsiteY3" fmla="*/ 622300 h 2819400"/>
                            <a:gd name="connisteX4" fmla="*/ 933450 w 1644650"/>
                            <a:gd name="connsiteY4" fmla="*/ 787400 h 2819400"/>
                            <a:gd name="connisteX5" fmla="*/ 1543050 w 1644650"/>
                            <a:gd name="connsiteY5" fmla="*/ 927100 h 2819400"/>
                            <a:gd name="connisteX6" fmla="*/ 1644650 w 1644650"/>
                            <a:gd name="connsiteY6" fmla="*/ 1803400 h 2819400"/>
                            <a:gd name="connisteX7" fmla="*/ 1016000 w 1644650"/>
                            <a:gd name="connsiteY7" fmla="*/ 1746250 h 2819400"/>
                            <a:gd name="connisteX8" fmla="*/ 984250 w 1644650"/>
                            <a:gd name="connsiteY8" fmla="*/ 2076450 h 2819400"/>
                            <a:gd name="connisteX9" fmla="*/ 971550 w 1644650"/>
                            <a:gd name="connsiteY9" fmla="*/ 2622550 h 2819400"/>
                            <a:gd name="connisteX10" fmla="*/ 946150 w 1644650"/>
                            <a:gd name="connsiteY10" fmla="*/ 2819400 h 2819400"/>
                            <a:gd name="connisteX11" fmla="*/ 368300 w 1644650"/>
                            <a:gd name="connsiteY11" fmla="*/ 2781300 h 2819400"/>
                            <a:gd name="connisteX12" fmla="*/ 508000 w 1644650"/>
                            <a:gd name="connsiteY12" fmla="*/ 1670050 h 2819400"/>
                            <a:gd name="connisteX13" fmla="*/ 0 w 1644650"/>
                            <a:gd name="connsiteY13" fmla="*/ 1784350 h 2819400"/>
                            <a:gd name="connisteX14" fmla="*/ 38100 w 1644650"/>
                            <a:gd name="connsiteY14" fmla="*/ 1295400 h 2819400"/>
                            <a:gd name="connisteX15" fmla="*/ 539750 w 1644650"/>
                            <a:gd name="connsiteY15" fmla="*/ 1270000 h 2819400"/>
                            <a:gd name="connisteX16" fmla="*/ 577850 w 1644650"/>
                            <a:gd name="connsiteY16" fmla="*/ 438150 h 2819400"/>
                            <a:gd name="connisteX17" fmla="*/ 57150 w 1644650"/>
                            <a:gd name="connsiteY17" fmla="*/ 361950 h 2819400"/>
                            <a:gd name="connisteX18" fmla="*/ 88900 w 1644650"/>
                            <a:gd name="connsiteY18" fmla="*/ 95250 h 2819400"/>
                            <a:gd name="connisteX19" fmla="*/ 412750 w 1644650"/>
                            <a:gd name="connsiteY19" fmla="*/ 0 h 28194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Lst>
                          <a:rect l="l" t="t" r="r" b="b"/>
                          <a:pathLst>
                            <a:path w="1644650" h="2819400">
                              <a:moveTo>
                                <a:pt x="412750" y="0"/>
                              </a:moveTo>
                              <a:lnTo>
                                <a:pt x="1168400" y="12700"/>
                              </a:lnTo>
                              <a:lnTo>
                                <a:pt x="1371600" y="539750"/>
                              </a:lnTo>
                              <a:lnTo>
                                <a:pt x="933450" y="622300"/>
                              </a:lnTo>
                              <a:lnTo>
                                <a:pt x="933450" y="787400"/>
                              </a:lnTo>
                              <a:lnTo>
                                <a:pt x="1543050" y="927100"/>
                              </a:lnTo>
                              <a:lnTo>
                                <a:pt x="1644650" y="1803400"/>
                              </a:lnTo>
                              <a:lnTo>
                                <a:pt x="1016000" y="1746250"/>
                              </a:lnTo>
                              <a:lnTo>
                                <a:pt x="984250" y="2076450"/>
                              </a:lnTo>
                              <a:lnTo>
                                <a:pt x="971550" y="2622550"/>
                              </a:lnTo>
                              <a:lnTo>
                                <a:pt x="946150" y="2819400"/>
                              </a:lnTo>
                              <a:lnTo>
                                <a:pt x="368300" y="2781300"/>
                              </a:lnTo>
                              <a:lnTo>
                                <a:pt x="508000" y="1670050"/>
                              </a:lnTo>
                              <a:lnTo>
                                <a:pt x="0" y="1784350"/>
                              </a:lnTo>
                              <a:lnTo>
                                <a:pt x="38100" y="1295400"/>
                              </a:lnTo>
                              <a:lnTo>
                                <a:pt x="539750" y="1270000"/>
                              </a:lnTo>
                              <a:lnTo>
                                <a:pt x="577850" y="438150"/>
                              </a:lnTo>
                              <a:lnTo>
                                <a:pt x="57150" y="361950"/>
                              </a:lnTo>
                              <a:lnTo>
                                <a:pt x="88900" y="95250"/>
                              </a:lnTo>
                              <a:lnTo>
                                <a:pt x="412750" y="0"/>
                              </a:lnTo>
                              <a:close/>
                            </a:path>
                          </a:pathLst>
                        </a:cu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27.45pt;margin-top:175pt;height:222pt;width:129.5pt;z-index:251679744;mso-width-relative:page;mso-height-relative:page;" filled="f" stroked="t" coordsize="1644650,2819400" o:gfxdata="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" path="m412750,0l1168400,12700,1371600,539750,933450,622300,933450,787400,1543050,927100,1644650,1803400,1016000,1746250,984250,2076450,971550,2622550,946150,2819400,368300,2781300,508000,1670050,0,1784350,38100,1295400,539750,1270000,577850,438150,57150,361950,88900,95250,412750,0xe">
                <v:path o:connectlocs="412750,0;1168400,12700;1371600,539750;933450,622300;933450,787400;1543050,927100;1644650,1803400;1016000,1746250;984250,2076450;971550,2622550;946150,2819400;368300,2781300;508000,1670050;0,1784350;38100,1295400;539750,1270000;577850,438150;57150,361950;88900,95250;412750,0" o:connectangles="0,0,0,0,0,0,0,0,0,0,0,0,0,0,0,0,0,0,0,0"/>
                <v:fill on="f" focussize="0,0"/>
                <v:stroke weight="2pt" color="#00B0F0 [2404]" joinstyle="round"/>
                <v:imagedata o:title=""/>
                <o:lock v:ext="edit" aspectratio="f"/>
              </v:shape>
            </w:pict>
          </mc:Fallback>
        </mc:AlternateContent>
      </w:r>
      <w:r>
        <w:rPr>
          <w:sz w:val="21"/>
        </w:rPr>
        <mc:AlternateContent>
          <mc:Choice Requires="wps">
            <w:drawing>
              <wp:anchor distT="0" distB="0" distL="114300" distR="114300" simplePos="0" relativeHeight="251681792" behindDoc="0" locked="0" layoutInCell="1" allowOverlap="1">
                <wp:simplePos x="0" y="0"/>
                <wp:positionH relativeFrom="column">
                  <wp:posOffset>5615940</wp:posOffset>
                </wp:positionH>
                <wp:positionV relativeFrom="paragraph">
                  <wp:posOffset>2124075</wp:posOffset>
                </wp:positionV>
                <wp:extent cx="1720850" cy="1517650"/>
                <wp:effectExtent l="12700" t="12700" r="19050" b="12700"/>
                <wp:wrapNone/>
                <wp:docPr id="19" name="任意多边形 19"/>
                <wp:cNvGraphicFramePr/>
                <a:graphic xmlns:a="http://schemas.openxmlformats.org/drawingml/2006/main">
                  <a:graphicData uri="http://schemas.microsoft.com/office/word/2010/wordprocessingShape">
                    <wps:wsp>
                      <wps:cNvSpPr/>
                      <wps:spPr>
                        <a:xfrm>
                          <a:off x="6538595" y="3187700"/>
                          <a:ext cx="1720850" cy="1517650"/>
                        </a:xfrm>
                        <a:custGeom>
                          <a:avLst/>
                          <a:gdLst>
                            <a:gd name="connisteX0" fmla="*/ 520700 w 1720850"/>
                            <a:gd name="connsiteY0" fmla="*/ 0 h 1517650"/>
                            <a:gd name="connisteX1" fmla="*/ 476250 w 1720850"/>
                            <a:gd name="connsiteY1" fmla="*/ 406400 h 1517650"/>
                            <a:gd name="connisteX2" fmla="*/ 114300 w 1720850"/>
                            <a:gd name="connsiteY2" fmla="*/ 342900 h 1517650"/>
                            <a:gd name="connisteX3" fmla="*/ 0 w 1720850"/>
                            <a:gd name="connsiteY3" fmla="*/ 1098550 h 1517650"/>
                            <a:gd name="connisteX4" fmla="*/ 660400 w 1720850"/>
                            <a:gd name="connsiteY4" fmla="*/ 1485900 h 1517650"/>
                            <a:gd name="connisteX5" fmla="*/ 1028700 w 1720850"/>
                            <a:gd name="connsiteY5" fmla="*/ 1517650 h 1517650"/>
                            <a:gd name="connisteX6" fmla="*/ 1155700 w 1720850"/>
                            <a:gd name="connsiteY6" fmla="*/ 1397000 h 1517650"/>
                            <a:gd name="connisteX7" fmla="*/ 1543050 w 1720850"/>
                            <a:gd name="connsiteY7" fmla="*/ 1409700 h 1517650"/>
                            <a:gd name="connisteX8" fmla="*/ 1600200 w 1720850"/>
                            <a:gd name="connsiteY8" fmla="*/ 1028700 h 1517650"/>
                            <a:gd name="connisteX9" fmla="*/ 1714500 w 1720850"/>
                            <a:gd name="connsiteY9" fmla="*/ 1016000 h 1517650"/>
                            <a:gd name="connisteX10" fmla="*/ 1498600 w 1720850"/>
                            <a:gd name="connsiteY10" fmla="*/ 603250 h 1517650"/>
                            <a:gd name="connisteX11" fmla="*/ 1720850 w 1720850"/>
                            <a:gd name="connsiteY11" fmla="*/ 527050 h 1517650"/>
                            <a:gd name="connisteX12" fmla="*/ 1689100 w 1720850"/>
                            <a:gd name="connsiteY12" fmla="*/ 139700 h 1517650"/>
                            <a:gd name="connisteX13" fmla="*/ 520700 w 1720850"/>
                            <a:gd name="connsiteY13" fmla="*/ 0 h 15176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Lst>
                          <a:rect l="l" t="t" r="r" b="b"/>
                          <a:pathLst>
                            <a:path w="1720850" h="1517650">
                              <a:moveTo>
                                <a:pt x="520700" y="0"/>
                              </a:moveTo>
                              <a:lnTo>
                                <a:pt x="476250" y="406400"/>
                              </a:lnTo>
                              <a:lnTo>
                                <a:pt x="114300" y="342900"/>
                              </a:lnTo>
                              <a:lnTo>
                                <a:pt x="0" y="1098550"/>
                              </a:lnTo>
                              <a:lnTo>
                                <a:pt x="660400" y="1485900"/>
                              </a:lnTo>
                              <a:lnTo>
                                <a:pt x="1028700" y="1517650"/>
                              </a:lnTo>
                              <a:lnTo>
                                <a:pt x="1155700" y="1397000"/>
                              </a:lnTo>
                              <a:lnTo>
                                <a:pt x="1543050" y="1409700"/>
                              </a:lnTo>
                              <a:lnTo>
                                <a:pt x="1600200" y="1028700"/>
                              </a:lnTo>
                              <a:lnTo>
                                <a:pt x="1714500" y="1016000"/>
                              </a:lnTo>
                              <a:lnTo>
                                <a:pt x="1498600" y="603250"/>
                              </a:lnTo>
                              <a:lnTo>
                                <a:pt x="1720850" y="527050"/>
                              </a:lnTo>
                              <a:lnTo>
                                <a:pt x="1689100" y="139700"/>
                              </a:lnTo>
                              <a:lnTo>
                                <a:pt x="520700" y="0"/>
                              </a:lnTo>
                              <a:close/>
                            </a:path>
                          </a:pathLst>
                        </a:cu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42.2pt;margin-top:167.25pt;height:119.5pt;width:135.5pt;z-index:251681792;mso-width-relative:page;mso-height-relative:page;" filled="f" stroked="t" coordsize="1720850,1517650" o:gfxdata="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" path="m520700,0l476250,406400,114300,342900,0,1098550,660400,1485900,1028700,1517650,1155700,1397000,1543050,1409700,1600200,1028700,1714500,1016000,1498600,603250,1720850,527050,1689100,139700,520700,0xe">
                <v:path o:connectlocs="520700,0;476250,406400;114300,342900;0,1098550;660400,1485900;1028700,1517650;1155700,1397000;1543050,1409700;1600200,1028700;1714500,1016000;1498600,603250;1720850,527050;1689100,139700;520700,0" o:connectangles="0,0,0,0,0,0,0,0,0,0,0,0,0,0"/>
                <v:fill on="f" focussize="0,0"/>
                <v:stroke weight="2pt" color="#00B0F0 [2404]" joinstyle="round"/>
                <v:imagedata o:title=""/>
                <o:lock v:ext="edit" aspectratio="f"/>
              </v:shape>
            </w:pict>
          </mc:Fallback>
        </mc:AlternateContent>
      </w:r>
      <w:r>
        <w:rPr>
          <w:sz w:val="21"/>
        </w:rPr>
        <mc:AlternateContent>
          <mc:Choice Requires="wps">
            <w:drawing>
              <wp:anchor distT="0" distB="0" distL="114300" distR="114300" simplePos="0" relativeHeight="251680768" behindDoc="0" locked="0" layoutInCell="1" allowOverlap="1">
                <wp:simplePos x="0" y="0"/>
                <wp:positionH relativeFrom="column">
                  <wp:posOffset>3253740</wp:posOffset>
                </wp:positionH>
                <wp:positionV relativeFrom="paragraph">
                  <wp:posOffset>2349500</wp:posOffset>
                </wp:positionV>
                <wp:extent cx="1993900" cy="1473200"/>
                <wp:effectExtent l="12700" t="12700" r="12700" b="19050"/>
                <wp:wrapNone/>
                <wp:docPr id="18" name="任意多边形 18"/>
                <wp:cNvGraphicFramePr/>
                <a:graphic xmlns:a="http://schemas.openxmlformats.org/drawingml/2006/main">
                  <a:graphicData uri="http://schemas.microsoft.com/office/word/2010/wordprocessingShape">
                    <wps:wsp>
                      <wps:cNvSpPr/>
                      <wps:spPr>
                        <a:xfrm>
                          <a:off x="4176395" y="3397250"/>
                          <a:ext cx="1993900" cy="1473200"/>
                        </a:xfrm>
                        <a:custGeom>
                          <a:avLst/>
                          <a:gdLst>
                            <a:gd name="connisteX0" fmla="*/ 615950 w 1993900"/>
                            <a:gd name="connsiteY0" fmla="*/ 0 h 1473200"/>
                            <a:gd name="connisteX1" fmla="*/ 1225550 w 1993900"/>
                            <a:gd name="connsiteY1" fmla="*/ 6350 h 1473200"/>
                            <a:gd name="connisteX2" fmla="*/ 1993900 w 1993900"/>
                            <a:gd name="connsiteY2" fmla="*/ 400050 h 1473200"/>
                            <a:gd name="connisteX3" fmla="*/ 1619250 w 1993900"/>
                            <a:gd name="connsiteY3" fmla="*/ 1212850 h 1473200"/>
                            <a:gd name="connisteX4" fmla="*/ 704850 w 1993900"/>
                            <a:gd name="connsiteY4" fmla="*/ 1250950 h 1473200"/>
                            <a:gd name="connisteX5" fmla="*/ 692150 w 1993900"/>
                            <a:gd name="connsiteY5" fmla="*/ 1473200 h 1473200"/>
                            <a:gd name="connisteX6" fmla="*/ 0 w 1993900"/>
                            <a:gd name="connsiteY6" fmla="*/ 1466850 h 1473200"/>
                            <a:gd name="connisteX7" fmla="*/ 19050 w 1993900"/>
                            <a:gd name="connsiteY7" fmla="*/ 450850 h 1473200"/>
                            <a:gd name="connisteX8" fmla="*/ 615950 w 1993900"/>
                            <a:gd name="connsiteY8" fmla="*/ 0 h 14732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1993900" h="1473200">
                              <a:moveTo>
                                <a:pt x="615950" y="0"/>
                              </a:moveTo>
                              <a:lnTo>
                                <a:pt x="1225550" y="6350"/>
                              </a:lnTo>
                              <a:lnTo>
                                <a:pt x="1993900" y="400050"/>
                              </a:lnTo>
                              <a:lnTo>
                                <a:pt x="1619250" y="1212850"/>
                              </a:lnTo>
                              <a:lnTo>
                                <a:pt x="704850" y="1250950"/>
                              </a:lnTo>
                              <a:lnTo>
                                <a:pt x="692150" y="1473200"/>
                              </a:lnTo>
                              <a:lnTo>
                                <a:pt x="0" y="1466850"/>
                              </a:lnTo>
                              <a:lnTo>
                                <a:pt x="19050" y="450850"/>
                              </a:lnTo>
                              <a:lnTo>
                                <a:pt x="615950" y="0"/>
                              </a:lnTo>
                              <a:close/>
                            </a:path>
                          </a:pathLst>
                        </a:cu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56.2pt;margin-top:185pt;height:116pt;width:157pt;z-index:251680768;mso-width-relative:page;mso-height-relative:page;" filled="f" stroked="t" coordsize="1993900,1473200" o:gfxdata="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" path="m615950,0l1225550,6350,1993900,400050,1619250,1212850,704850,1250950,692150,1473200,0,1466850,19050,450850,615950,0xe">
                <v:path o:connectlocs="615950,0;1225550,6350;1993900,400050;1619250,1212850;704850,1250950;692150,1473200;0,1466850;19050,450850;615950,0" o:connectangles="0,0,0,0,0,0,0,0,0"/>
                <v:fill on="f" focussize="0,0"/>
                <v:stroke weight="2pt" color="#00B0F0 [2404]" joinstyle="round"/>
                <v:imagedata o:title=""/>
                <o:lock v:ext="edit" aspectratio="f"/>
              </v:shape>
            </w:pict>
          </mc:Fallback>
        </mc:AlternateContent>
      </w:r>
      <w:r>
        <w:rPr>
          <w:sz w:val="21"/>
        </w:rPr>
        <mc:AlternateContent>
          <mc:Choice Requires="wps">
            <w:drawing>
              <wp:anchor distT="0" distB="0" distL="114300" distR="114300" simplePos="0" relativeHeight="251696128" behindDoc="0" locked="0" layoutInCell="1" allowOverlap="1">
                <wp:simplePos x="0" y="0"/>
                <wp:positionH relativeFrom="column">
                  <wp:posOffset>10795</wp:posOffset>
                </wp:positionH>
                <wp:positionV relativeFrom="paragraph">
                  <wp:posOffset>5534025</wp:posOffset>
                </wp:positionV>
                <wp:extent cx="8798560" cy="548005"/>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8798560" cy="548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E62E72">
                            <w:pPr>
                              <w:jc w:val="center"/>
                              <w:rPr>
                                <w:rFonts w:hint="default" w:eastAsia="宋体"/>
                                <w:b/>
                                <w:bCs/>
                                <w:sz w:val="28"/>
                                <w:szCs w:val="28"/>
                                <w:lang w:val="en-US" w:eastAsia="zh-CN"/>
                              </w:rPr>
                            </w:pPr>
                            <w:r>
                              <w:rPr>
                                <w:rFonts w:hint="eastAsia" w:ascii="Times New Roman" w:hAnsi="Times New Roman"/>
                                <w:b/>
                                <w:bCs/>
                                <w:sz w:val="28"/>
                                <w:szCs w:val="28"/>
                                <w:lang w:eastAsia="zh-CN"/>
                              </w:rPr>
                              <w:t>附图</w:t>
                            </w:r>
                            <w:r>
                              <w:rPr>
                                <w:rFonts w:hint="eastAsia" w:ascii="Times New Roman" w:hAnsi="Times New Roman"/>
                                <w:b/>
                                <w:bCs/>
                                <w:sz w:val="28"/>
                                <w:szCs w:val="28"/>
                                <w:lang w:val="en-US" w:eastAsia="zh-CN"/>
                              </w:rPr>
                              <w:t>2</w:t>
                            </w:r>
                            <w:r>
                              <w:rPr>
                                <w:rFonts w:hint="eastAsia"/>
                                <w:b/>
                                <w:bCs/>
                                <w:sz w:val="28"/>
                                <w:szCs w:val="28"/>
                                <w:lang w:val="en-US" w:eastAsia="zh-CN"/>
                              </w:rPr>
                              <w:t xml:space="preserve">  项目周边环境示意图（</w:t>
                            </w:r>
                            <w:r>
                              <w:rPr>
                                <w:rFonts w:hint="default" w:ascii="Times New Roman" w:hAnsi="Times New Roman" w:cs="Times New Roman"/>
                                <w:b/>
                                <w:bCs/>
                                <w:sz w:val="28"/>
                                <w:szCs w:val="28"/>
                                <w:lang w:val="en-US" w:eastAsia="zh-CN"/>
                              </w:rPr>
                              <w:t>1:</w:t>
                            </w:r>
                            <w:r>
                              <w:rPr>
                                <w:rFonts w:hint="eastAsia" w:ascii="Times New Roman" w:hAnsi="Times New Roman" w:cs="Times New Roman"/>
                                <w:b/>
                                <w:bCs/>
                                <w:sz w:val="28"/>
                                <w:szCs w:val="28"/>
                                <w:lang w:val="en-US" w:eastAsia="zh-CN"/>
                              </w:rPr>
                              <w:t>7000</w:t>
                            </w:r>
                            <w:r>
                              <w:rPr>
                                <w:rFonts w:hint="eastAsia"/>
                                <w:b/>
                                <w:bCs/>
                                <w:sz w:val="28"/>
                                <w:szCs w:val="28"/>
                                <w:lang w:val="en-US" w:eastAsia="zh-CN"/>
                              </w:rPr>
                              <w:t>）</w:t>
                            </w:r>
                          </w:p>
                          <w:p w14:paraId="33AFA382"/>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85pt;margin-top:435.75pt;height:43.15pt;width:692.8pt;z-index:251696128;mso-width-relative:page;mso-height-relative:page;" filled="f" stroked="f" coordsize="21600,21600" o:gfxdata="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ZFrGp2gAAAAoBAAAPAAAAAAAAAAEAIAAAACIAAABk&#10;cnMvZG93bnJldi54bWxQSwECFAAUAAAACACHTuJAJt54+T0CAABoBAAADgAAAAAAAAABACAAAAAp&#10;AQAAZHJzL2Uyb0RvYy54bWxQSwUGAAAAAAYABgBZAQAA2AUAAAAA&#10;">
                <v:fill on="f" focussize="0,0"/>
                <v:stroke on="f" weight="0.5pt"/>
                <v:imagedata o:title=""/>
                <o:lock v:ext="edit" aspectratio="f"/>
                <v:textbox>
                  <w:txbxContent>
                    <w:p w14:paraId="48E62E72">
                      <w:pPr>
                        <w:jc w:val="center"/>
                        <w:rPr>
                          <w:rFonts w:hint="default" w:eastAsia="宋体"/>
                          <w:b/>
                          <w:bCs/>
                          <w:sz w:val="28"/>
                          <w:szCs w:val="28"/>
                          <w:lang w:val="en-US" w:eastAsia="zh-CN"/>
                        </w:rPr>
                      </w:pPr>
                      <w:r>
                        <w:rPr>
                          <w:rFonts w:hint="eastAsia" w:ascii="Times New Roman" w:hAnsi="Times New Roman"/>
                          <w:b/>
                          <w:bCs/>
                          <w:sz w:val="28"/>
                          <w:szCs w:val="28"/>
                          <w:lang w:eastAsia="zh-CN"/>
                        </w:rPr>
                        <w:t>附图</w:t>
                      </w:r>
                      <w:r>
                        <w:rPr>
                          <w:rFonts w:hint="eastAsia" w:ascii="Times New Roman" w:hAnsi="Times New Roman"/>
                          <w:b/>
                          <w:bCs/>
                          <w:sz w:val="28"/>
                          <w:szCs w:val="28"/>
                          <w:lang w:val="en-US" w:eastAsia="zh-CN"/>
                        </w:rPr>
                        <w:t>2</w:t>
                      </w:r>
                      <w:r>
                        <w:rPr>
                          <w:rFonts w:hint="eastAsia"/>
                          <w:b/>
                          <w:bCs/>
                          <w:sz w:val="28"/>
                          <w:szCs w:val="28"/>
                          <w:lang w:val="en-US" w:eastAsia="zh-CN"/>
                        </w:rPr>
                        <w:t xml:space="preserve">  项目周边环境示意图（</w:t>
                      </w:r>
                      <w:r>
                        <w:rPr>
                          <w:rFonts w:hint="default" w:ascii="Times New Roman" w:hAnsi="Times New Roman" w:cs="Times New Roman"/>
                          <w:b/>
                          <w:bCs/>
                          <w:sz w:val="28"/>
                          <w:szCs w:val="28"/>
                          <w:lang w:val="en-US" w:eastAsia="zh-CN"/>
                        </w:rPr>
                        <w:t>1:</w:t>
                      </w:r>
                      <w:r>
                        <w:rPr>
                          <w:rFonts w:hint="eastAsia" w:ascii="Times New Roman" w:hAnsi="Times New Roman" w:cs="Times New Roman"/>
                          <w:b/>
                          <w:bCs/>
                          <w:sz w:val="28"/>
                          <w:szCs w:val="28"/>
                          <w:lang w:val="en-US" w:eastAsia="zh-CN"/>
                        </w:rPr>
                        <w:t>7000</w:t>
                      </w:r>
                      <w:r>
                        <w:rPr>
                          <w:rFonts w:hint="eastAsia"/>
                          <w:b/>
                          <w:bCs/>
                          <w:sz w:val="28"/>
                          <w:szCs w:val="28"/>
                          <w:lang w:val="en-US" w:eastAsia="zh-CN"/>
                        </w:rPr>
                        <w:t>）</w:t>
                      </w:r>
                    </w:p>
                    <w:p w14:paraId="33AFA382"/>
                  </w:txbxContent>
                </v:textbox>
              </v:shape>
            </w:pict>
          </mc:Fallback>
        </mc:AlternateContent>
      </w:r>
      <w:r>
        <w:rPr>
          <w:sz w:val="21"/>
        </w:rPr>
        <mc:AlternateContent>
          <mc:Choice Requires="wps">
            <w:drawing>
              <wp:anchor distT="0" distB="0" distL="114300" distR="114300" simplePos="0" relativeHeight="251684864" behindDoc="0" locked="0" layoutInCell="1" allowOverlap="1">
                <wp:simplePos x="0" y="0"/>
                <wp:positionH relativeFrom="column">
                  <wp:posOffset>6316980</wp:posOffset>
                </wp:positionH>
                <wp:positionV relativeFrom="paragraph">
                  <wp:posOffset>2197100</wp:posOffset>
                </wp:positionV>
                <wp:extent cx="829310" cy="2921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82931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5C7F36">
                            <w:pPr>
                              <w:rPr>
                                <w:rFonts w:hint="eastAsia" w:eastAsiaTheme="minorEastAsia"/>
                                <w:b/>
                                <w:bCs/>
                                <w:color w:val="93CDDD" w:themeColor="accent5" w:themeTint="99"/>
                                <w:lang w:eastAsia="zh-CN"/>
                                <w14:textFill>
                                  <w14:solidFill>
                                    <w14:schemeClr w14:val="accent5">
                                      <w14:lumMod w14:val="60000"/>
                                      <w14:lumOff w14:val="40000"/>
                                    </w14:schemeClr>
                                  </w14:solidFill>
                                </w14:textFill>
                              </w:rPr>
                            </w:pPr>
                            <w:r>
                              <w:rPr>
                                <w:rFonts w:hint="eastAsia"/>
                                <w:b/>
                                <w:bCs/>
                                <w:color w:val="93CDDD" w:themeColor="accent5" w:themeTint="99"/>
                                <w:lang w:eastAsia="zh-CN"/>
                                <w14:textFill>
                                  <w14:solidFill>
                                    <w14:schemeClr w14:val="accent5">
                                      <w14:lumMod w14:val="60000"/>
                                      <w14:lumOff w14:val="40000"/>
                                    </w14:schemeClr>
                                  </w14:solidFill>
                                </w14:textFill>
                              </w:rPr>
                              <w:t>东夏寒村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7.4pt;margin-top:173pt;height:23pt;width:65.3pt;z-index:251684864;mso-width-relative:page;mso-height-relative:page;" filled="f" stroked="f" coordsize="21600,21600" o:gfxdata="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q7TWLcAAAADAEAAA8AAAAAAAAAAQAgAAAAIgAA&#10;AGRycy9kb3ducmV2LnhtbFBLAQIUABQAAAAIAIdO4kAyWkSNPQIAAGcEAAAOAAAAAAAAAAEAIAAA&#10;ACsBAABkcnMvZTJvRG9jLnhtbFBLBQYAAAAABgAGAFkBAADaBQAAAAA=&#10;">
                <v:fill on="f" focussize="0,0"/>
                <v:stroke on="f" weight="0.5pt"/>
                <v:imagedata o:title=""/>
                <o:lock v:ext="edit" aspectratio="f"/>
                <v:textbox>
                  <w:txbxContent>
                    <w:p w14:paraId="7E5C7F36">
                      <w:pPr>
                        <w:rPr>
                          <w:rFonts w:hint="eastAsia" w:eastAsiaTheme="minorEastAsia"/>
                          <w:b/>
                          <w:bCs/>
                          <w:color w:val="93CDDD" w:themeColor="accent5" w:themeTint="99"/>
                          <w:lang w:eastAsia="zh-CN"/>
                          <w14:textFill>
                            <w14:solidFill>
                              <w14:schemeClr w14:val="accent5">
                                <w14:lumMod w14:val="60000"/>
                                <w14:lumOff w14:val="40000"/>
                              </w14:schemeClr>
                            </w14:solidFill>
                          </w14:textFill>
                        </w:rPr>
                      </w:pPr>
                      <w:r>
                        <w:rPr>
                          <w:rFonts w:hint="eastAsia"/>
                          <w:b/>
                          <w:bCs/>
                          <w:color w:val="93CDDD" w:themeColor="accent5" w:themeTint="99"/>
                          <w:lang w:eastAsia="zh-CN"/>
                          <w14:textFill>
                            <w14:solidFill>
                              <w14:schemeClr w14:val="accent5">
                                <w14:lumMod w14:val="60000"/>
                                <w14:lumOff w14:val="40000"/>
                              </w14:schemeClr>
                            </w14:solidFill>
                          </w14:textFill>
                        </w:rPr>
                        <w:t>东夏寒村</w:t>
                      </w:r>
                    </w:p>
                  </w:txbxContent>
                </v:textbox>
              </v:shape>
            </w:pict>
          </mc:Fallback>
        </mc:AlternateContent>
      </w:r>
      <w:r>
        <w:rPr>
          <w:sz w:val="21"/>
        </w:rPr>
        <mc:AlternateContent>
          <mc:Choice Requires="wps">
            <w:drawing>
              <wp:anchor distT="0" distB="0" distL="114300" distR="114300" simplePos="0" relativeHeight="251683840" behindDoc="0" locked="0" layoutInCell="1" allowOverlap="1">
                <wp:simplePos x="0" y="0"/>
                <wp:positionH relativeFrom="column">
                  <wp:posOffset>3853180</wp:posOffset>
                </wp:positionH>
                <wp:positionV relativeFrom="paragraph">
                  <wp:posOffset>2635250</wp:posOffset>
                </wp:positionV>
                <wp:extent cx="829310" cy="2921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829310" cy="292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7A3B38">
                            <w:pPr>
                              <w:rPr>
                                <w:rFonts w:hint="eastAsia" w:eastAsiaTheme="minorEastAsia"/>
                                <w:b/>
                                <w:bCs/>
                                <w:color w:val="93CDDD" w:themeColor="accent5" w:themeTint="99"/>
                                <w:lang w:eastAsia="zh-CN"/>
                                <w14:textFill>
                                  <w14:solidFill>
                                    <w14:schemeClr w14:val="accent5">
                                      <w14:lumMod w14:val="60000"/>
                                      <w14:lumOff w14:val="40000"/>
                                    </w14:schemeClr>
                                  </w14:solidFill>
                                </w14:textFill>
                              </w:rPr>
                            </w:pPr>
                            <w:r>
                              <w:rPr>
                                <w:rFonts w:hint="eastAsia"/>
                                <w:b/>
                                <w:bCs/>
                                <w:color w:val="93CDDD" w:themeColor="accent5" w:themeTint="99"/>
                                <w:lang w:eastAsia="zh-CN"/>
                                <w14:textFill>
                                  <w14:solidFill>
                                    <w14:schemeClr w14:val="accent5">
                                      <w14:lumMod w14:val="60000"/>
                                      <w14:lumOff w14:val="40000"/>
                                    </w14:schemeClr>
                                  </w14:solidFill>
                                </w14:textFill>
                              </w:rPr>
                              <w:t>西夏寒村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3.4pt;margin-top:207.5pt;height:23pt;width:65.3pt;z-index:251683840;mso-width-relative:page;mso-height-relative:page;" filled="f" stroked="f" coordsize="21600,21600" o:gfxdata="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DQ0cfcAAAACwEAAA8AAAAAAAAAAQAgAAAAIgAA&#10;AGRycy9kb3ducmV2LnhtbFBLAQIUABQAAAAIAIdO4kCd3XBvPQIAAGcEAAAOAAAAAAAAAAEAIAAA&#10;ACsBAABkcnMvZTJvRG9jLnhtbFBLBQYAAAAABgAGAFkBAADaBQAAAAA=&#10;">
                <v:fill on="f" focussize="0,0"/>
                <v:stroke on="f" weight="0.5pt"/>
                <v:imagedata o:title=""/>
                <o:lock v:ext="edit" aspectratio="f"/>
                <v:textbox>
                  <w:txbxContent>
                    <w:p w14:paraId="6B7A3B38">
                      <w:pPr>
                        <w:rPr>
                          <w:rFonts w:hint="eastAsia" w:eastAsiaTheme="minorEastAsia"/>
                          <w:b/>
                          <w:bCs/>
                          <w:color w:val="93CDDD" w:themeColor="accent5" w:themeTint="99"/>
                          <w:lang w:eastAsia="zh-CN"/>
                          <w14:textFill>
                            <w14:solidFill>
                              <w14:schemeClr w14:val="accent5">
                                <w14:lumMod w14:val="60000"/>
                                <w14:lumOff w14:val="40000"/>
                              </w14:schemeClr>
                            </w14:solidFill>
                          </w14:textFill>
                        </w:rPr>
                      </w:pPr>
                      <w:r>
                        <w:rPr>
                          <w:rFonts w:hint="eastAsia"/>
                          <w:b/>
                          <w:bCs/>
                          <w:color w:val="93CDDD" w:themeColor="accent5" w:themeTint="99"/>
                          <w:lang w:eastAsia="zh-CN"/>
                          <w14:textFill>
                            <w14:solidFill>
                              <w14:schemeClr w14:val="accent5">
                                <w14:lumMod w14:val="60000"/>
                                <w14:lumOff w14:val="40000"/>
                              </w14:schemeClr>
                            </w14:solidFill>
                          </w14:textFill>
                        </w:rPr>
                        <w:t>西夏寒村</w:t>
                      </w:r>
                    </w:p>
                  </w:txbxContent>
                </v:textbox>
              </v:shape>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2278380</wp:posOffset>
                </wp:positionH>
                <wp:positionV relativeFrom="paragraph">
                  <wp:posOffset>3371850</wp:posOffset>
                </wp:positionV>
                <wp:extent cx="628015" cy="247650"/>
                <wp:effectExtent l="0" t="0" r="0" b="0"/>
                <wp:wrapNone/>
                <wp:docPr id="20" name="文本框 20"/>
                <wp:cNvGraphicFramePr/>
                <a:graphic xmlns:a="http://schemas.openxmlformats.org/drawingml/2006/main">
                  <a:graphicData uri="http://schemas.microsoft.com/office/word/2010/wordprocessingShape">
                    <wps:wsp>
                      <wps:cNvSpPr txBox="1"/>
                      <wps:spPr>
                        <a:xfrm>
                          <a:off x="3268345" y="4514850"/>
                          <a:ext cx="628015"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4E29CD">
                            <w:pPr>
                              <w:rPr>
                                <w:rFonts w:hint="eastAsia" w:eastAsiaTheme="minorEastAsia"/>
                                <w:b/>
                                <w:bCs/>
                                <w:color w:val="93CDDD" w:themeColor="accent5" w:themeTint="99"/>
                                <w:lang w:eastAsia="zh-CN"/>
                                <w14:textFill>
                                  <w14:solidFill>
                                    <w14:schemeClr w14:val="accent5">
                                      <w14:lumMod w14:val="60000"/>
                                      <w14:lumOff w14:val="40000"/>
                                    </w14:schemeClr>
                                  </w14:solidFill>
                                </w14:textFill>
                              </w:rPr>
                            </w:pPr>
                            <w:r>
                              <w:rPr>
                                <w:rFonts w:hint="eastAsia"/>
                                <w:b/>
                                <w:bCs/>
                                <w:color w:val="93CDDD" w:themeColor="accent5" w:themeTint="99"/>
                                <w:lang w:eastAsia="zh-CN"/>
                                <w14:textFill>
                                  <w14:solidFill>
                                    <w14:schemeClr w14:val="accent5">
                                      <w14:lumMod w14:val="60000"/>
                                      <w14:lumOff w14:val="40000"/>
                                    </w14:schemeClr>
                                  </w14:solidFill>
                                </w14:textFill>
                              </w:rPr>
                              <w:t>武旺村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9.4pt;margin-top:265.5pt;height:19.5pt;width:49.45pt;z-index:251682816;mso-width-relative:page;mso-height-relative:page;" filled="f" stroked="f" coordsize="21600,21600" o:gfxdata="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Geshp7cAAAACwEAAA8AAAAAAAAA&#10;AQAgAAAAIgAAAGRycy9kb3ducmV2LnhtbFBLAQIUABQAAAAIAIdO4kC27bJ3RgIAAHMEAAAOAAAA&#10;AAAAAAEAIAAAACsBAABkcnMvZTJvRG9jLnhtbFBLBQYAAAAABgAGAFkBAADjBQAAAAA=&#10;">
                <v:fill on="f" focussize="0,0"/>
                <v:stroke on="f" weight="0.5pt"/>
                <v:imagedata o:title=""/>
                <o:lock v:ext="edit" aspectratio="f"/>
                <v:textbox>
                  <w:txbxContent>
                    <w:p w14:paraId="624E29CD">
                      <w:pPr>
                        <w:rPr>
                          <w:rFonts w:hint="eastAsia" w:eastAsiaTheme="minorEastAsia"/>
                          <w:b/>
                          <w:bCs/>
                          <w:color w:val="93CDDD" w:themeColor="accent5" w:themeTint="99"/>
                          <w:lang w:eastAsia="zh-CN"/>
                          <w14:textFill>
                            <w14:solidFill>
                              <w14:schemeClr w14:val="accent5">
                                <w14:lumMod w14:val="60000"/>
                                <w14:lumOff w14:val="40000"/>
                              </w14:schemeClr>
                            </w14:solidFill>
                          </w14:textFill>
                        </w:rPr>
                      </w:pPr>
                      <w:r>
                        <w:rPr>
                          <w:rFonts w:hint="eastAsia"/>
                          <w:b/>
                          <w:bCs/>
                          <w:color w:val="93CDDD" w:themeColor="accent5" w:themeTint="99"/>
                          <w:lang w:eastAsia="zh-CN"/>
                          <w14:textFill>
                            <w14:solidFill>
                              <w14:schemeClr w14:val="accent5">
                                <w14:lumMod w14:val="60000"/>
                                <w14:lumOff w14:val="40000"/>
                              </w14:schemeClr>
                            </w14:solidFill>
                          </w14:textFill>
                        </w:rPr>
                        <w:t>武旺村</w:t>
                      </w:r>
                    </w:p>
                  </w:txbxContent>
                </v:textbox>
              </v:shape>
            </w:pict>
          </mc:Fallback>
        </mc:AlternateContent>
      </w:r>
      <w:r>
        <w:drawing>
          <wp:anchor distT="0" distB="0" distL="114300" distR="114300" simplePos="0" relativeHeight="251668480" behindDoc="0" locked="0" layoutInCell="1" allowOverlap="1">
            <wp:simplePos x="0" y="0"/>
            <wp:positionH relativeFrom="column">
              <wp:posOffset>15875</wp:posOffset>
            </wp:positionH>
            <wp:positionV relativeFrom="page">
              <wp:posOffset>1238885</wp:posOffset>
            </wp:positionV>
            <wp:extent cx="8860790" cy="4947285"/>
            <wp:effectExtent l="15875" t="15875" r="19685" b="27940"/>
            <wp:wrapSquare wrapText="bothSides"/>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20"/>
                    <a:stretch>
                      <a:fillRect/>
                    </a:stretch>
                  </pic:blipFill>
                  <pic:spPr>
                    <a:xfrm>
                      <a:off x="0" y="0"/>
                      <a:ext cx="8860790" cy="4947285"/>
                    </a:xfrm>
                    <a:prstGeom prst="rect">
                      <a:avLst/>
                    </a:prstGeom>
                    <a:noFill/>
                    <a:ln w="15875">
                      <a:solidFill>
                        <a:schemeClr val="tx1"/>
                      </a:solidFill>
                    </a:ln>
                  </pic:spPr>
                </pic:pic>
              </a:graphicData>
            </a:graphic>
          </wp:anchor>
        </w:drawing>
      </w:r>
    </w:p>
    <w:p w14:paraId="0A853D14">
      <w:pPr>
        <w:rPr>
          <w:rFonts w:hint="default" w:cs="宋体"/>
          <w:b/>
          <w:bCs w:val="0"/>
          <w:color w:val="auto"/>
          <w:sz w:val="28"/>
          <w:szCs w:val="28"/>
          <w:highlight w:val="none"/>
          <w:lang w:val="en-US" w:eastAsia="zh-CN"/>
        </w:rPr>
        <w:sectPr>
          <w:pgSz w:w="16838" w:h="11906" w:orient="landscape"/>
          <w:pgMar w:top="1800" w:right="1440" w:bottom="1800" w:left="1440" w:header="851" w:footer="992" w:gutter="0"/>
          <w:cols w:space="425" w:num="1"/>
          <w:docGrid w:type="lines" w:linePitch="312" w:charSpace="0"/>
        </w:sectPr>
      </w:pPr>
      <w:r>
        <w:rPr>
          <w:rFonts w:hint="eastAsia" w:eastAsia="宋体"/>
          <w:lang w:eastAsia="zh-CN"/>
        </w:rPr>
        <w:drawing>
          <wp:anchor distT="0" distB="0" distL="114300" distR="114300" simplePos="0" relativeHeight="251710464" behindDoc="0" locked="0" layoutInCell="1" allowOverlap="1">
            <wp:simplePos x="0" y="0"/>
            <wp:positionH relativeFrom="column">
              <wp:posOffset>8358505</wp:posOffset>
            </wp:positionH>
            <wp:positionV relativeFrom="paragraph">
              <wp:posOffset>47625</wp:posOffset>
            </wp:positionV>
            <wp:extent cx="533400" cy="1043940"/>
            <wp:effectExtent l="0" t="0" r="0" b="3810"/>
            <wp:wrapSquare wrapText="bothSides"/>
            <wp:docPr id="53" name="图片 4" descr="16181149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descr="1618114952(1)"/>
                    <pic:cNvPicPr>
                      <a:picLocks noChangeAspect="1"/>
                    </pic:cNvPicPr>
                  </pic:nvPicPr>
                  <pic:blipFill>
                    <a:blip r:embed="rId19"/>
                    <a:stretch>
                      <a:fillRect/>
                    </a:stretch>
                  </pic:blipFill>
                  <pic:spPr>
                    <a:xfrm>
                      <a:off x="0" y="0"/>
                      <a:ext cx="533400" cy="1043940"/>
                    </a:xfrm>
                    <a:prstGeom prst="rect">
                      <a:avLst/>
                    </a:prstGeom>
                    <a:noFill/>
                    <a:ln>
                      <a:noFill/>
                    </a:ln>
                  </pic:spPr>
                </pic:pic>
              </a:graphicData>
            </a:graphic>
          </wp:anchor>
        </w:drawing>
      </w:r>
      <w:r>
        <w:rPr>
          <w:sz w:val="21"/>
        </w:rPr>
        <mc:AlternateContent>
          <mc:Choice Requires="wps">
            <w:drawing>
              <wp:anchor distT="0" distB="0" distL="114300" distR="114300" simplePos="0" relativeHeight="251697152" behindDoc="0" locked="0" layoutInCell="1" allowOverlap="1">
                <wp:simplePos x="0" y="0"/>
                <wp:positionH relativeFrom="column">
                  <wp:posOffset>-2540</wp:posOffset>
                </wp:positionH>
                <wp:positionV relativeFrom="paragraph">
                  <wp:posOffset>5642610</wp:posOffset>
                </wp:positionV>
                <wp:extent cx="8798560" cy="548005"/>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8798560" cy="548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D1297E">
                            <w:pPr>
                              <w:jc w:val="center"/>
                              <w:rPr>
                                <w:rFonts w:hint="default" w:eastAsia="宋体"/>
                                <w:b/>
                                <w:bCs/>
                                <w:sz w:val="28"/>
                                <w:szCs w:val="28"/>
                                <w:lang w:val="en-US" w:eastAsia="zh-CN"/>
                              </w:rPr>
                            </w:pPr>
                            <w:r>
                              <w:rPr>
                                <w:rFonts w:hint="eastAsia" w:ascii="Times New Roman" w:hAnsi="Times New Roman"/>
                                <w:b/>
                                <w:bCs/>
                                <w:sz w:val="28"/>
                                <w:szCs w:val="28"/>
                                <w:lang w:eastAsia="zh-CN"/>
                              </w:rPr>
                              <w:t>续附图</w:t>
                            </w:r>
                            <w:r>
                              <w:rPr>
                                <w:rFonts w:hint="eastAsia" w:ascii="Times New Roman" w:hAnsi="Times New Roman"/>
                                <w:b/>
                                <w:bCs/>
                                <w:sz w:val="28"/>
                                <w:szCs w:val="28"/>
                                <w:lang w:val="en-US" w:eastAsia="zh-CN"/>
                              </w:rPr>
                              <w:t>2</w:t>
                            </w:r>
                            <w:r>
                              <w:rPr>
                                <w:rFonts w:hint="eastAsia"/>
                                <w:b/>
                                <w:bCs/>
                                <w:sz w:val="28"/>
                                <w:szCs w:val="28"/>
                                <w:lang w:val="en-US" w:eastAsia="zh-CN"/>
                              </w:rPr>
                              <w:t xml:space="preserve">  项目周边环境示意图（</w:t>
                            </w:r>
                            <w:r>
                              <w:rPr>
                                <w:rFonts w:hint="default" w:ascii="Times New Roman" w:hAnsi="Times New Roman" w:cs="Times New Roman"/>
                                <w:b/>
                                <w:bCs/>
                                <w:sz w:val="28"/>
                                <w:szCs w:val="28"/>
                                <w:lang w:val="en-US" w:eastAsia="zh-CN"/>
                              </w:rPr>
                              <w:t>1:</w:t>
                            </w:r>
                            <w:r>
                              <w:rPr>
                                <w:rFonts w:hint="eastAsia" w:ascii="Times New Roman" w:hAnsi="Times New Roman" w:cs="Times New Roman"/>
                                <w:b/>
                                <w:bCs/>
                                <w:sz w:val="28"/>
                                <w:szCs w:val="28"/>
                                <w:lang w:val="en-US" w:eastAsia="zh-CN"/>
                              </w:rPr>
                              <w:t>7000</w:t>
                            </w:r>
                            <w:r>
                              <w:rPr>
                                <w:rFonts w:hint="eastAsia"/>
                                <w:b/>
                                <w:bCs/>
                                <w:sz w:val="28"/>
                                <w:szCs w:val="28"/>
                                <w:lang w:val="en-US" w:eastAsia="zh-CN"/>
                              </w:rPr>
                              <w:t>）</w:t>
                            </w:r>
                          </w:p>
                          <w:p w14:paraId="20371231"/>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2pt;margin-top:444.3pt;height:43.15pt;width:692.8pt;z-index:251697152;mso-width-relative:page;mso-height-relative:page;" filled="f" stroked="f" coordsize="21600,21600" o:gfxdata="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8rQ+ftsAAAAKAQAADwAAAAAAAAABACAAAAAiAAAA&#10;ZHJzL2Rvd25yZXYueG1sUEsBAhQAFAAAAAgAh07iQE+wOf89AgAAaAQAAA4AAAAAAAAAAQAgAAAA&#10;KgEAAGRycy9lMm9Eb2MueG1sUEsFBgAAAAAGAAYAWQEAANkFAAAAAA==&#10;">
                <v:fill on="f" focussize="0,0"/>
                <v:stroke on="f" weight="0.5pt"/>
                <v:imagedata o:title=""/>
                <o:lock v:ext="edit" aspectratio="f"/>
                <v:textbox>
                  <w:txbxContent>
                    <w:p w14:paraId="48D1297E">
                      <w:pPr>
                        <w:jc w:val="center"/>
                        <w:rPr>
                          <w:rFonts w:hint="default" w:eastAsia="宋体"/>
                          <w:b/>
                          <w:bCs/>
                          <w:sz w:val="28"/>
                          <w:szCs w:val="28"/>
                          <w:lang w:val="en-US" w:eastAsia="zh-CN"/>
                        </w:rPr>
                      </w:pPr>
                      <w:r>
                        <w:rPr>
                          <w:rFonts w:hint="eastAsia" w:ascii="Times New Roman" w:hAnsi="Times New Roman"/>
                          <w:b/>
                          <w:bCs/>
                          <w:sz w:val="28"/>
                          <w:szCs w:val="28"/>
                          <w:lang w:eastAsia="zh-CN"/>
                        </w:rPr>
                        <w:t>续附图</w:t>
                      </w:r>
                      <w:r>
                        <w:rPr>
                          <w:rFonts w:hint="eastAsia" w:ascii="Times New Roman" w:hAnsi="Times New Roman"/>
                          <w:b/>
                          <w:bCs/>
                          <w:sz w:val="28"/>
                          <w:szCs w:val="28"/>
                          <w:lang w:val="en-US" w:eastAsia="zh-CN"/>
                        </w:rPr>
                        <w:t>2</w:t>
                      </w:r>
                      <w:r>
                        <w:rPr>
                          <w:rFonts w:hint="eastAsia"/>
                          <w:b/>
                          <w:bCs/>
                          <w:sz w:val="28"/>
                          <w:szCs w:val="28"/>
                          <w:lang w:val="en-US" w:eastAsia="zh-CN"/>
                        </w:rPr>
                        <w:t xml:space="preserve">  项目周边环境示意图（</w:t>
                      </w:r>
                      <w:r>
                        <w:rPr>
                          <w:rFonts w:hint="default" w:ascii="Times New Roman" w:hAnsi="Times New Roman" w:cs="Times New Roman"/>
                          <w:b/>
                          <w:bCs/>
                          <w:sz w:val="28"/>
                          <w:szCs w:val="28"/>
                          <w:lang w:val="en-US" w:eastAsia="zh-CN"/>
                        </w:rPr>
                        <w:t>1:</w:t>
                      </w:r>
                      <w:r>
                        <w:rPr>
                          <w:rFonts w:hint="eastAsia" w:ascii="Times New Roman" w:hAnsi="Times New Roman" w:cs="Times New Roman"/>
                          <w:b/>
                          <w:bCs/>
                          <w:sz w:val="28"/>
                          <w:szCs w:val="28"/>
                          <w:lang w:val="en-US" w:eastAsia="zh-CN"/>
                        </w:rPr>
                        <w:t>7000</w:t>
                      </w:r>
                      <w:r>
                        <w:rPr>
                          <w:rFonts w:hint="eastAsia"/>
                          <w:b/>
                          <w:bCs/>
                          <w:sz w:val="28"/>
                          <w:szCs w:val="28"/>
                          <w:lang w:val="en-US" w:eastAsia="zh-CN"/>
                        </w:rPr>
                        <w:t>）</w:t>
                      </w:r>
                    </w:p>
                    <w:p w14:paraId="20371231"/>
                  </w:txbxContent>
                </v:textbox>
              </v:shape>
            </w:pict>
          </mc:Fallback>
        </mc:AlternateContent>
      </w:r>
      <w:r>
        <w:rPr>
          <w:sz w:val="21"/>
        </w:rPr>
        <mc:AlternateContent>
          <mc:Choice Requires="wps">
            <w:drawing>
              <wp:anchor distT="0" distB="0" distL="114300" distR="114300" simplePos="0" relativeHeight="251695104" behindDoc="0" locked="0" layoutInCell="1" allowOverlap="1">
                <wp:simplePos x="0" y="0"/>
                <wp:positionH relativeFrom="column">
                  <wp:posOffset>4225290</wp:posOffset>
                </wp:positionH>
                <wp:positionV relativeFrom="paragraph">
                  <wp:posOffset>1983740</wp:posOffset>
                </wp:positionV>
                <wp:extent cx="747395" cy="274955"/>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74739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90B80B">
                            <w:pPr>
                              <w:rPr>
                                <w:rFonts w:hint="eastAsia" w:eastAsiaTheme="minorEastAsia"/>
                                <w:b/>
                                <w:bCs/>
                                <w:color w:val="93CDDD" w:themeColor="accent5" w:themeTint="99"/>
                                <w:lang w:eastAsia="zh-CN"/>
                                <w14:textFill>
                                  <w14:solidFill>
                                    <w14:schemeClr w14:val="accent5">
                                      <w14:lumMod w14:val="60000"/>
                                      <w14:lumOff w14:val="40000"/>
                                    </w14:schemeClr>
                                  </w14:solidFill>
                                </w14:textFill>
                              </w:rPr>
                            </w:pPr>
                            <w:r>
                              <w:rPr>
                                <w:rFonts w:hint="eastAsia"/>
                                <w:b/>
                                <w:bCs/>
                                <w:color w:val="93CDDD" w:themeColor="accent5" w:themeTint="99"/>
                                <w:lang w:eastAsia="zh-CN"/>
                                <w14:textFill>
                                  <w14:solidFill>
                                    <w14:schemeClr w14:val="accent5">
                                      <w14:lumMod w14:val="60000"/>
                                      <w14:lumOff w14:val="40000"/>
                                    </w14:schemeClr>
                                  </w14:solidFill>
                                </w14:textFill>
                              </w:rPr>
                              <w:t>世纪新城</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2.7pt;margin-top:156.2pt;height:21.65pt;width:58.85pt;z-index:251695104;mso-width-relative:page;mso-height-relative:page;" filled="f" stroked="f" coordsize="21600,21600" o:gfxdata="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ky/4p2wAAAAsBAAAPAAAAAAAAAAEAIAAAACIAAABk&#10;cnMvZG93bnJldi54bWxQSwECFAAUAAAACACHTuJAzFgxojwCAABnBAAADgAAAAAAAAABACAAAAAq&#10;AQAAZHJzL2Uyb0RvYy54bWxQSwUGAAAAAAYABgBZAQAA2AUAAAAA&#10;">
                <v:fill on="f" focussize="0,0"/>
                <v:stroke on="f" weight="0.5pt"/>
                <v:imagedata o:title=""/>
                <o:lock v:ext="edit" aspectratio="f"/>
                <v:textbox>
                  <w:txbxContent>
                    <w:p w14:paraId="3290B80B">
                      <w:pPr>
                        <w:rPr>
                          <w:rFonts w:hint="eastAsia" w:eastAsiaTheme="minorEastAsia"/>
                          <w:b/>
                          <w:bCs/>
                          <w:color w:val="93CDDD" w:themeColor="accent5" w:themeTint="99"/>
                          <w:lang w:eastAsia="zh-CN"/>
                          <w14:textFill>
                            <w14:solidFill>
                              <w14:schemeClr w14:val="accent5">
                                <w14:lumMod w14:val="60000"/>
                                <w14:lumOff w14:val="40000"/>
                              </w14:schemeClr>
                            </w14:solidFill>
                          </w14:textFill>
                        </w:rPr>
                      </w:pPr>
                      <w:r>
                        <w:rPr>
                          <w:rFonts w:hint="eastAsia"/>
                          <w:b/>
                          <w:bCs/>
                          <w:color w:val="93CDDD" w:themeColor="accent5" w:themeTint="99"/>
                          <w:lang w:eastAsia="zh-CN"/>
                          <w14:textFill>
                            <w14:solidFill>
                              <w14:schemeClr w14:val="accent5">
                                <w14:lumMod w14:val="60000"/>
                                <w14:lumOff w14:val="40000"/>
                              </w14:schemeClr>
                            </w14:solidFill>
                          </w14:textFill>
                        </w:rPr>
                        <w:t>世纪新城</w:t>
                      </w:r>
                    </w:p>
                  </w:txbxContent>
                </v:textbox>
              </v:shape>
            </w:pict>
          </mc:Fallback>
        </mc:AlternateContent>
      </w:r>
      <w:r>
        <w:rPr>
          <w:sz w:val="21"/>
        </w:rPr>
        <mc:AlternateContent>
          <mc:Choice Requires="wps">
            <w:drawing>
              <wp:anchor distT="0" distB="0" distL="114300" distR="114300" simplePos="0" relativeHeight="251694080" behindDoc="0" locked="0" layoutInCell="1" allowOverlap="1">
                <wp:simplePos x="0" y="0"/>
                <wp:positionH relativeFrom="column">
                  <wp:posOffset>3935730</wp:posOffset>
                </wp:positionH>
                <wp:positionV relativeFrom="paragraph">
                  <wp:posOffset>3099435</wp:posOffset>
                </wp:positionV>
                <wp:extent cx="747395" cy="274955"/>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74739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FBD91B">
                            <w:pPr>
                              <w:rPr>
                                <w:rFonts w:hint="eastAsia" w:eastAsiaTheme="minorEastAsia"/>
                                <w:b/>
                                <w:bCs/>
                                <w:color w:val="93CDDD" w:themeColor="accent5" w:themeTint="99"/>
                                <w:lang w:eastAsia="zh-CN"/>
                                <w14:textFill>
                                  <w14:solidFill>
                                    <w14:schemeClr w14:val="accent5">
                                      <w14:lumMod w14:val="60000"/>
                                      <w14:lumOff w14:val="40000"/>
                                    </w14:schemeClr>
                                  </w14:solidFill>
                                </w14:textFill>
                              </w:rPr>
                            </w:pPr>
                            <w:r>
                              <w:rPr>
                                <w:rFonts w:hint="eastAsia"/>
                                <w:b/>
                                <w:bCs/>
                                <w:color w:val="93CDDD" w:themeColor="accent5" w:themeTint="99"/>
                                <w:lang w:eastAsia="zh-CN"/>
                                <w14:textFill>
                                  <w14:solidFill>
                                    <w14:schemeClr w14:val="accent5">
                                      <w14:lumMod w14:val="60000"/>
                                      <w14:lumOff w14:val="40000"/>
                                    </w14:schemeClr>
                                  </w14:solidFill>
                                </w14:textFill>
                              </w:rPr>
                              <w:t>新城御景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9.9pt;margin-top:244.05pt;height:21.65pt;width:58.85pt;z-index:251694080;mso-width-relative:page;mso-height-relative:page;" filled="f" stroked="f" coordsize="21600,21600" o:gfxdata="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T/eQbdAAAACwEAAA8AAAAAAAAAAQAgAAAAIgAA&#10;AGRycy9kb3ducmV2LnhtbFBLAQIUABQAAAAIAIdO4kADXKTBPAIAAGcEAAAOAAAAAAAAAAEAIAAA&#10;ACwBAABkcnMvZTJvRG9jLnhtbFBLBQYAAAAABgAGAFkBAADaBQAAAAA=&#10;">
                <v:fill on="f" focussize="0,0"/>
                <v:stroke on="f" weight="0.5pt"/>
                <v:imagedata o:title=""/>
                <o:lock v:ext="edit" aspectratio="f"/>
                <v:textbox>
                  <w:txbxContent>
                    <w:p w14:paraId="30FBD91B">
                      <w:pPr>
                        <w:rPr>
                          <w:rFonts w:hint="eastAsia" w:eastAsiaTheme="minorEastAsia"/>
                          <w:b/>
                          <w:bCs/>
                          <w:color w:val="93CDDD" w:themeColor="accent5" w:themeTint="99"/>
                          <w:lang w:eastAsia="zh-CN"/>
                          <w14:textFill>
                            <w14:solidFill>
                              <w14:schemeClr w14:val="accent5">
                                <w14:lumMod w14:val="60000"/>
                                <w14:lumOff w14:val="40000"/>
                              </w14:schemeClr>
                            </w14:solidFill>
                          </w14:textFill>
                        </w:rPr>
                      </w:pPr>
                      <w:r>
                        <w:rPr>
                          <w:rFonts w:hint="eastAsia"/>
                          <w:b/>
                          <w:bCs/>
                          <w:color w:val="93CDDD" w:themeColor="accent5" w:themeTint="99"/>
                          <w:lang w:eastAsia="zh-CN"/>
                          <w14:textFill>
                            <w14:solidFill>
                              <w14:schemeClr w14:val="accent5">
                                <w14:lumMod w14:val="60000"/>
                                <w14:lumOff w14:val="40000"/>
                              </w14:schemeClr>
                            </w14:solidFill>
                          </w14:textFill>
                        </w:rPr>
                        <w:t>新城御景</w:t>
                      </w:r>
                    </w:p>
                  </w:txbxContent>
                </v:textbox>
              </v:shape>
            </w:pict>
          </mc:Fallback>
        </mc:AlternateContent>
      </w:r>
      <w:r>
        <w:rPr>
          <w:sz w:val="21"/>
        </w:rPr>
        <mc:AlternateContent>
          <mc:Choice Requires="wps">
            <w:drawing>
              <wp:anchor distT="0" distB="0" distL="114300" distR="114300" simplePos="0" relativeHeight="251693056" behindDoc="0" locked="0" layoutInCell="1" allowOverlap="1">
                <wp:simplePos x="0" y="0"/>
                <wp:positionH relativeFrom="column">
                  <wp:posOffset>4765675</wp:posOffset>
                </wp:positionH>
                <wp:positionV relativeFrom="paragraph">
                  <wp:posOffset>4007485</wp:posOffset>
                </wp:positionV>
                <wp:extent cx="747395" cy="274955"/>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74739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0B0D7AB">
                            <w:pPr>
                              <w:rPr>
                                <w:rFonts w:hint="eastAsia" w:eastAsiaTheme="minorEastAsia"/>
                                <w:b/>
                                <w:bCs/>
                                <w:color w:val="93CDDD" w:themeColor="accent5" w:themeTint="99"/>
                                <w:lang w:eastAsia="zh-CN"/>
                                <w14:textFill>
                                  <w14:solidFill>
                                    <w14:schemeClr w14:val="accent5">
                                      <w14:lumMod w14:val="60000"/>
                                      <w14:lumOff w14:val="40000"/>
                                    </w14:schemeClr>
                                  </w14:solidFill>
                                </w14:textFill>
                              </w:rPr>
                            </w:pPr>
                            <w:r>
                              <w:rPr>
                                <w:rFonts w:hint="eastAsia"/>
                                <w:b/>
                                <w:bCs/>
                                <w:color w:val="93CDDD" w:themeColor="accent5" w:themeTint="99"/>
                                <w:lang w:eastAsia="zh-CN"/>
                                <w14:textFill>
                                  <w14:solidFill>
                                    <w14:schemeClr w14:val="accent5">
                                      <w14:lumMod w14:val="60000"/>
                                      <w14:lumOff w14:val="40000"/>
                                    </w14:schemeClr>
                                  </w14:solidFill>
                                </w14:textFill>
                              </w:rPr>
                              <w:t>曲沟村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5.25pt;margin-top:315.55pt;height:21.65pt;width:58.85pt;z-index:251693056;mso-width-relative:page;mso-height-relative:page;" filled="f" stroked="f" coordsize="21600,21600" o:gfxdata="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iHB0fcAAAACwEAAA8AAAAAAAAAAQAgAAAAIgAA&#10;AGRycy9kb3ducmV2LnhtbFBLAQIUABQAAAAIAIdO4kBGKn82PQIAAGcEAAAOAAAAAAAAAAEAIAAA&#10;ACsBAABkcnMvZTJvRG9jLnhtbFBLBQYAAAAABgAGAFkBAADaBQAAAAA=&#10;">
                <v:fill on="f" focussize="0,0"/>
                <v:stroke on="f" weight="0.5pt"/>
                <v:imagedata o:title=""/>
                <o:lock v:ext="edit" aspectratio="f"/>
                <v:textbox>
                  <w:txbxContent>
                    <w:p w14:paraId="60B0D7AB">
                      <w:pPr>
                        <w:rPr>
                          <w:rFonts w:hint="eastAsia" w:eastAsiaTheme="minorEastAsia"/>
                          <w:b/>
                          <w:bCs/>
                          <w:color w:val="93CDDD" w:themeColor="accent5" w:themeTint="99"/>
                          <w:lang w:eastAsia="zh-CN"/>
                          <w14:textFill>
                            <w14:solidFill>
                              <w14:schemeClr w14:val="accent5">
                                <w14:lumMod w14:val="60000"/>
                                <w14:lumOff w14:val="40000"/>
                              </w14:schemeClr>
                            </w14:solidFill>
                          </w14:textFill>
                        </w:rPr>
                      </w:pPr>
                      <w:r>
                        <w:rPr>
                          <w:rFonts w:hint="eastAsia"/>
                          <w:b/>
                          <w:bCs/>
                          <w:color w:val="93CDDD" w:themeColor="accent5" w:themeTint="99"/>
                          <w:lang w:eastAsia="zh-CN"/>
                          <w14:textFill>
                            <w14:solidFill>
                              <w14:schemeClr w14:val="accent5">
                                <w14:lumMod w14:val="60000"/>
                                <w14:lumOff w14:val="40000"/>
                              </w14:schemeClr>
                            </w14:solidFill>
                          </w14:textFill>
                        </w:rPr>
                        <w:t>曲沟村</w:t>
                      </w:r>
                    </w:p>
                  </w:txbxContent>
                </v:textbox>
              </v:shape>
            </w:pict>
          </mc:Fallback>
        </mc:AlternateContent>
      </w:r>
      <w:r>
        <w:rPr>
          <w:sz w:val="21"/>
        </w:rPr>
        <mc:AlternateContent>
          <mc:Choice Requires="wps">
            <w:drawing>
              <wp:anchor distT="0" distB="0" distL="114300" distR="114300" simplePos="0" relativeHeight="251692032" behindDoc="0" locked="0" layoutInCell="1" allowOverlap="1">
                <wp:simplePos x="0" y="0"/>
                <wp:positionH relativeFrom="column">
                  <wp:posOffset>5696585</wp:posOffset>
                </wp:positionH>
                <wp:positionV relativeFrom="paragraph">
                  <wp:posOffset>1390015</wp:posOffset>
                </wp:positionV>
                <wp:extent cx="747395" cy="274955"/>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74739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38EB2B">
                            <w:pPr>
                              <w:rPr>
                                <w:rFonts w:hint="eastAsia" w:eastAsiaTheme="minorEastAsia"/>
                                <w:b/>
                                <w:bCs/>
                                <w:color w:val="93CDDD" w:themeColor="accent5" w:themeTint="99"/>
                                <w:lang w:eastAsia="zh-CN"/>
                                <w14:textFill>
                                  <w14:solidFill>
                                    <w14:schemeClr w14:val="accent5">
                                      <w14:lumMod w14:val="60000"/>
                                      <w14:lumOff w14:val="40000"/>
                                    </w14:schemeClr>
                                  </w14:solidFill>
                                </w14:textFill>
                              </w:rPr>
                            </w:pPr>
                            <w:r>
                              <w:rPr>
                                <w:rFonts w:hint="eastAsia"/>
                                <w:b/>
                                <w:bCs/>
                                <w:color w:val="93CDDD" w:themeColor="accent5" w:themeTint="99"/>
                                <w:lang w:eastAsia="zh-CN"/>
                                <w14:textFill>
                                  <w14:solidFill>
                                    <w14:schemeClr w14:val="accent5">
                                      <w14:lumMod w14:val="60000"/>
                                      <w14:lumOff w14:val="40000"/>
                                    </w14:schemeClr>
                                  </w14:solidFill>
                                </w14:textFill>
                              </w:rPr>
                              <w:t>北曲沟村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8.55pt;margin-top:109.45pt;height:21.65pt;width:58.85pt;z-index:251692032;mso-width-relative:page;mso-height-relative:page;" filled="f" stroked="f" coordsize="21600,21600" o:gfxdata="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PwDq8dwAAAAMAQAADwAAAAAAAAABACAAAAAiAAAA&#10;ZHJzL2Rvd25yZXYueG1sUEsBAhQAFAAAAAgAh07iQCJHjOA8AgAAZwQAAA4AAAAAAAAAAQAgAAAA&#10;KwEAAGRycy9lMm9Eb2MueG1sUEsFBgAAAAAGAAYAWQEAANkFAAAAAA==&#10;">
                <v:fill on="f" focussize="0,0"/>
                <v:stroke on="f" weight="0.5pt"/>
                <v:imagedata o:title=""/>
                <o:lock v:ext="edit" aspectratio="f"/>
                <v:textbox>
                  <w:txbxContent>
                    <w:p w14:paraId="0938EB2B">
                      <w:pPr>
                        <w:rPr>
                          <w:rFonts w:hint="eastAsia" w:eastAsiaTheme="minorEastAsia"/>
                          <w:b/>
                          <w:bCs/>
                          <w:color w:val="93CDDD" w:themeColor="accent5" w:themeTint="99"/>
                          <w:lang w:eastAsia="zh-CN"/>
                          <w14:textFill>
                            <w14:solidFill>
                              <w14:schemeClr w14:val="accent5">
                                <w14:lumMod w14:val="60000"/>
                                <w14:lumOff w14:val="40000"/>
                              </w14:schemeClr>
                            </w14:solidFill>
                          </w14:textFill>
                        </w:rPr>
                      </w:pPr>
                      <w:r>
                        <w:rPr>
                          <w:rFonts w:hint="eastAsia"/>
                          <w:b/>
                          <w:bCs/>
                          <w:color w:val="93CDDD" w:themeColor="accent5" w:themeTint="99"/>
                          <w:lang w:eastAsia="zh-CN"/>
                          <w14:textFill>
                            <w14:solidFill>
                              <w14:schemeClr w14:val="accent5">
                                <w14:lumMod w14:val="60000"/>
                                <w14:lumOff w14:val="40000"/>
                              </w14:schemeClr>
                            </w14:solidFill>
                          </w14:textFill>
                        </w:rPr>
                        <w:t>北曲沟村</w:t>
                      </w:r>
                    </w:p>
                  </w:txbxContent>
                </v:textbox>
              </v:shape>
            </w:pict>
          </mc:Fallback>
        </mc:AlternateContent>
      </w:r>
      <w:r>
        <w:rPr>
          <w:sz w:val="21"/>
        </w:rPr>
        <mc:AlternateContent>
          <mc:Choice Requires="wps">
            <w:drawing>
              <wp:anchor distT="0" distB="0" distL="114300" distR="114300" simplePos="0" relativeHeight="251691008" behindDoc="0" locked="0" layoutInCell="1" allowOverlap="1">
                <wp:simplePos x="0" y="0"/>
                <wp:positionH relativeFrom="column">
                  <wp:posOffset>3025775</wp:posOffset>
                </wp:positionH>
                <wp:positionV relativeFrom="paragraph">
                  <wp:posOffset>1773555</wp:posOffset>
                </wp:positionV>
                <wp:extent cx="747395" cy="274955"/>
                <wp:effectExtent l="0" t="0" r="0" b="0"/>
                <wp:wrapNone/>
                <wp:docPr id="28" name="文本框 28"/>
                <wp:cNvGraphicFramePr/>
                <a:graphic xmlns:a="http://schemas.openxmlformats.org/drawingml/2006/main">
                  <a:graphicData uri="http://schemas.microsoft.com/office/word/2010/wordprocessingShape">
                    <wps:wsp>
                      <wps:cNvSpPr txBox="1"/>
                      <wps:spPr>
                        <a:xfrm>
                          <a:off x="3940175" y="2916555"/>
                          <a:ext cx="747395"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1CB24B">
                            <w:pPr>
                              <w:rPr>
                                <w:rFonts w:hint="eastAsia" w:eastAsiaTheme="minorEastAsia"/>
                                <w:b/>
                                <w:bCs/>
                                <w:color w:val="93CDDD" w:themeColor="accent5" w:themeTint="99"/>
                                <w:lang w:eastAsia="zh-CN"/>
                                <w14:textFill>
                                  <w14:solidFill>
                                    <w14:schemeClr w14:val="accent5">
                                      <w14:lumMod w14:val="60000"/>
                                      <w14:lumOff w14:val="40000"/>
                                    </w14:schemeClr>
                                  </w14:solidFill>
                                </w14:textFill>
                              </w:rPr>
                            </w:pPr>
                            <w:r>
                              <w:rPr>
                                <w:rFonts w:hint="eastAsia"/>
                                <w:b/>
                                <w:bCs/>
                                <w:color w:val="93CDDD" w:themeColor="accent5" w:themeTint="99"/>
                                <w:lang w:eastAsia="zh-CN"/>
                                <w14:textFill>
                                  <w14:solidFill>
                                    <w14:schemeClr w14:val="accent5">
                                      <w14:lumMod w14:val="60000"/>
                                      <w14:lumOff w14:val="40000"/>
                                    </w14:schemeClr>
                                  </w14:solidFill>
                                </w14:textFill>
                              </w:rPr>
                              <w:t>西曲沟村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8.25pt;margin-top:139.65pt;height:21.65pt;width:58.85pt;z-index:251691008;mso-width-relative:page;mso-height-relative:page;" filled="f" stroked="f" coordsize="21600,21600" o:gfxdata="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5bIobdAAAACwEAAA8AAAAA&#10;AAAAAQAgAAAAIgAAAGRycy9kb3ducmV2LnhtbFBLAQIUABQAAAAIAIdO4kAtldGTSAIAAHMEAAAO&#10;AAAAAAAAAAEAIAAAACwBAABkcnMvZTJvRG9jLnhtbFBLBQYAAAAABgAGAFkBAADmBQAAAAA=&#10;">
                <v:fill on="f" focussize="0,0"/>
                <v:stroke on="f" weight="0.5pt"/>
                <v:imagedata o:title=""/>
                <o:lock v:ext="edit" aspectratio="f"/>
                <v:textbox>
                  <w:txbxContent>
                    <w:p w14:paraId="751CB24B">
                      <w:pPr>
                        <w:rPr>
                          <w:rFonts w:hint="eastAsia" w:eastAsiaTheme="minorEastAsia"/>
                          <w:b/>
                          <w:bCs/>
                          <w:color w:val="93CDDD" w:themeColor="accent5" w:themeTint="99"/>
                          <w:lang w:eastAsia="zh-CN"/>
                          <w14:textFill>
                            <w14:solidFill>
                              <w14:schemeClr w14:val="accent5">
                                <w14:lumMod w14:val="60000"/>
                                <w14:lumOff w14:val="40000"/>
                              </w14:schemeClr>
                            </w14:solidFill>
                          </w14:textFill>
                        </w:rPr>
                      </w:pPr>
                      <w:r>
                        <w:rPr>
                          <w:rFonts w:hint="eastAsia"/>
                          <w:b/>
                          <w:bCs/>
                          <w:color w:val="93CDDD" w:themeColor="accent5" w:themeTint="99"/>
                          <w:lang w:eastAsia="zh-CN"/>
                          <w14:textFill>
                            <w14:solidFill>
                              <w14:schemeClr w14:val="accent5">
                                <w14:lumMod w14:val="60000"/>
                                <w14:lumOff w14:val="40000"/>
                              </w14:schemeClr>
                            </w14:solidFill>
                          </w14:textFill>
                        </w:rPr>
                        <w:t>西曲沟村</w:t>
                      </w:r>
                    </w:p>
                  </w:txbxContent>
                </v:textbox>
              </v:shape>
            </w:pict>
          </mc:Fallback>
        </mc:AlternateContent>
      </w:r>
      <w:r>
        <w:rPr>
          <w:sz w:val="21"/>
        </w:rPr>
        <mc:AlternateContent>
          <mc:Choice Requires="wps">
            <w:drawing>
              <wp:anchor distT="0" distB="0" distL="114300" distR="114300" simplePos="0" relativeHeight="251689984" behindDoc="0" locked="0" layoutInCell="1" allowOverlap="1">
                <wp:simplePos x="0" y="0"/>
                <wp:positionH relativeFrom="column">
                  <wp:posOffset>3853180</wp:posOffset>
                </wp:positionH>
                <wp:positionV relativeFrom="paragraph">
                  <wp:posOffset>2611755</wp:posOffset>
                </wp:positionV>
                <wp:extent cx="2595880" cy="2589530"/>
                <wp:effectExtent l="12700" t="12700" r="20320" b="26670"/>
                <wp:wrapNone/>
                <wp:docPr id="27" name="任意多边形 27"/>
                <wp:cNvGraphicFramePr/>
                <a:graphic xmlns:a="http://schemas.openxmlformats.org/drawingml/2006/main">
                  <a:graphicData uri="http://schemas.microsoft.com/office/word/2010/wordprocessingShape">
                    <wps:wsp>
                      <wps:cNvSpPr/>
                      <wps:spPr>
                        <a:xfrm>
                          <a:off x="4767580" y="3754755"/>
                          <a:ext cx="2595880" cy="2589530"/>
                        </a:xfrm>
                        <a:custGeom>
                          <a:avLst/>
                          <a:gdLst>
                            <a:gd name="connisteX0" fmla="*/ 280035 w 2595880"/>
                            <a:gd name="connsiteY0" fmla="*/ 2321560 h 2589530"/>
                            <a:gd name="connisteX1" fmla="*/ 809625 w 2595880"/>
                            <a:gd name="connsiteY1" fmla="*/ 2220595 h 2589530"/>
                            <a:gd name="connisteX2" fmla="*/ 1202690 w 2595880"/>
                            <a:gd name="connsiteY2" fmla="*/ 2386965 h 2589530"/>
                            <a:gd name="connisteX3" fmla="*/ 1369060 w 2595880"/>
                            <a:gd name="connsiteY3" fmla="*/ 2589530 h 2589530"/>
                            <a:gd name="connisteX4" fmla="*/ 1506220 w 2595880"/>
                            <a:gd name="connsiteY4" fmla="*/ 2268220 h 2589530"/>
                            <a:gd name="connisteX5" fmla="*/ 2101850 w 2595880"/>
                            <a:gd name="connsiteY5" fmla="*/ 2524125 h 2589530"/>
                            <a:gd name="connisteX6" fmla="*/ 2178685 w 2595880"/>
                            <a:gd name="connsiteY6" fmla="*/ 1744345 h 2589530"/>
                            <a:gd name="connisteX7" fmla="*/ 2339975 w 2595880"/>
                            <a:gd name="connsiteY7" fmla="*/ 1714500 h 2589530"/>
                            <a:gd name="connisteX8" fmla="*/ 2595880 w 2595880"/>
                            <a:gd name="connsiteY8" fmla="*/ 494030 h 2589530"/>
                            <a:gd name="connisteX9" fmla="*/ 2405380 w 2595880"/>
                            <a:gd name="connsiteY9" fmla="*/ 363220 h 2589530"/>
                            <a:gd name="connisteX10" fmla="*/ 1732280 w 2595880"/>
                            <a:gd name="connsiteY10" fmla="*/ 238125 h 2589530"/>
                            <a:gd name="connisteX11" fmla="*/ 1791970 w 2595880"/>
                            <a:gd name="connsiteY11" fmla="*/ 77470 h 2589530"/>
                            <a:gd name="connisteX12" fmla="*/ 1244600 w 2595880"/>
                            <a:gd name="connsiteY12" fmla="*/ 0 h 2589530"/>
                            <a:gd name="connisteX13" fmla="*/ 1190625 w 2595880"/>
                            <a:gd name="connsiteY13" fmla="*/ 273685 h 2589530"/>
                            <a:gd name="connisteX14" fmla="*/ 1029970 w 2595880"/>
                            <a:gd name="connsiteY14" fmla="*/ 809625 h 2589530"/>
                            <a:gd name="connisteX15" fmla="*/ 738505 w 2595880"/>
                            <a:gd name="connsiteY15" fmla="*/ 821690 h 2589530"/>
                            <a:gd name="connisteX16" fmla="*/ 690880 w 2595880"/>
                            <a:gd name="connsiteY16" fmla="*/ 1089025 h 2589530"/>
                            <a:gd name="connisteX17" fmla="*/ 571500 w 2595880"/>
                            <a:gd name="connsiteY17" fmla="*/ 1101090 h 2589530"/>
                            <a:gd name="connisteX18" fmla="*/ 511810 w 2595880"/>
                            <a:gd name="connsiteY18" fmla="*/ 1250315 h 2589530"/>
                            <a:gd name="connisteX19" fmla="*/ 416560 w 2595880"/>
                            <a:gd name="connsiteY19" fmla="*/ 1250315 h 2589530"/>
                            <a:gd name="connisteX20" fmla="*/ 327660 w 2595880"/>
                            <a:gd name="connsiteY20" fmla="*/ 1446530 h 2589530"/>
                            <a:gd name="connisteX21" fmla="*/ 446405 w 2595880"/>
                            <a:gd name="connsiteY21" fmla="*/ 1565275 h 2589530"/>
                            <a:gd name="connisteX22" fmla="*/ 309880 w 2595880"/>
                            <a:gd name="connsiteY22" fmla="*/ 1917065 h 2589530"/>
                            <a:gd name="connisteX23" fmla="*/ 35560 w 2595880"/>
                            <a:gd name="connsiteY23" fmla="*/ 1910715 h 2589530"/>
                            <a:gd name="connisteX24" fmla="*/ 0 w 2595880"/>
                            <a:gd name="connsiteY24" fmla="*/ 2143125 h 2589530"/>
                            <a:gd name="connisteX25" fmla="*/ 280035 w 2595880"/>
                            <a:gd name="connsiteY25" fmla="*/ 2321560 h 258953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 ang="0">
                              <a:pos x="connisteX23" y="connsiteY23"/>
                            </a:cxn>
                            <a:cxn ang="0">
                              <a:pos x="connisteX24" y="connsiteY24"/>
                            </a:cxn>
                            <a:cxn ang="0">
                              <a:pos x="connisteX25" y="connsiteY25"/>
                            </a:cxn>
                          </a:cxnLst>
                          <a:rect l="l" t="t" r="r" b="b"/>
                          <a:pathLst>
                            <a:path w="2595880" h="2589530">
                              <a:moveTo>
                                <a:pt x="280035" y="2321560"/>
                              </a:moveTo>
                              <a:lnTo>
                                <a:pt x="809625" y="2220595"/>
                              </a:lnTo>
                              <a:lnTo>
                                <a:pt x="1202690" y="2386965"/>
                              </a:lnTo>
                              <a:lnTo>
                                <a:pt x="1369060" y="2589530"/>
                              </a:lnTo>
                              <a:lnTo>
                                <a:pt x="1506220" y="2268220"/>
                              </a:lnTo>
                              <a:lnTo>
                                <a:pt x="2101850" y="2524125"/>
                              </a:lnTo>
                              <a:lnTo>
                                <a:pt x="2178685" y="1744345"/>
                              </a:lnTo>
                              <a:lnTo>
                                <a:pt x="2339975" y="1714500"/>
                              </a:lnTo>
                              <a:lnTo>
                                <a:pt x="2595880" y="494030"/>
                              </a:lnTo>
                              <a:lnTo>
                                <a:pt x="2405380" y="363220"/>
                              </a:lnTo>
                              <a:lnTo>
                                <a:pt x="1732280" y="238125"/>
                              </a:lnTo>
                              <a:lnTo>
                                <a:pt x="1791970" y="77470"/>
                              </a:lnTo>
                              <a:lnTo>
                                <a:pt x="1244600" y="0"/>
                              </a:lnTo>
                              <a:lnTo>
                                <a:pt x="1190625" y="273685"/>
                              </a:lnTo>
                              <a:lnTo>
                                <a:pt x="1029970" y="809625"/>
                              </a:lnTo>
                              <a:lnTo>
                                <a:pt x="738505" y="821690"/>
                              </a:lnTo>
                              <a:lnTo>
                                <a:pt x="690880" y="1089025"/>
                              </a:lnTo>
                              <a:lnTo>
                                <a:pt x="571500" y="1101090"/>
                              </a:lnTo>
                              <a:lnTo>
                                <a:pt x="511810" y="1250315"/>
                              </a:lnTo>
                              <a:lnTo>
                                <a:pt x="416560" y="1250315"/>
                              </a:lnTo>
                              <a:lnTo>
                                <a:pt x="327660" y="1446530"/>
                              </a:lnTo>
                              <a:lnTo>
                                <a:pt x="446405" y="1565275"/>
                              </a:lnTo>
                              <a:lnTo>
                                <a:pt x="309880" y="1917065"/>
                              </a:lnTo>
                              <a:lnTo>
                                <a:pt x="35560" y="1910715"/>
                              </a:lnTo>
                              <a:lnTo>
                                <a:pt x="0" y="2143125"/>
                              </a:lnTo>
                              <a:lnTo>
                                <a:pt x="280035" y="2321560"/>
                              </a:lnTo>
                              <a:close/>
                            </a:path>
                          </a:pathLst>
                        </a:cu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03.4pt;margin-top:205.65pt;height:203.9pt;width:204.4pt;z-index:251689984;mso-width-relative:page;mso-height-relative:page;" filled="f" stroked="t" coordsize="2595880,2589530" o:gfxdata="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" path="m280035,2321560l809625,2220595,1202690,2386965,1369060,2589530,1506220,2268220,2101850,2524125,2178685,1744345,2339975,1714500,2595880,494030,2405380,363220,1732280,238125,1791970,77470,1244600,0,1190625,273685,1029970,809625,738505,821690,690880,1089025,571500,1101090,511810,1250315,416560,1250315,327660,1446530,446405,1565275,309880,1917065,35560,1910715,0,2143125,280035,2321560xe">
                <v:path o:connectlocs="280035,2321560;809625,2220595;1202690,2386965;1369060,2589530;1506220,2268220;2101850,2524125;2178685,1744345;2339975,1714500;2595880,494030;2405380,363220;1732280,238125;1791970,77470;1244600,0;1190625,273685;1029970,809625;738505,821690;690880,1089025;571500,1101090;511810,1250315;416560,1250315;327660,1446530;446405,1565275;309880,1917065;35560,1910715;0,2143125;280035,2321560" o:connectangles="0,0,0,0,0,0,0,0,0,0,0,0,0,0,0,0,0,0,0,0,0,0,0,0,0,0"/>
                <v:fill on="f" focussize="0,0"/>
                <v:stroke weight="2pt" color="#00B0F0 [2404]" joinstyle="round"/>
                <v:imagedata o:title=""/>
                <o:lock v:ext="edit" aspectratio="f"/>
              </v:shape>
            </w:pict>
          </mc:Fallback>
        </mc:AlternateContent>
      </w:r>
      <w:r>
        <w:rPr>
          <w:sz w:val="21"/>
        </w:rPr>
        <mc:AlternateContent>
          <mc:Choice Requires="wps">
            <w:drawing>
              <wp:anchor distT="0" distB="0" distL="114300" distR="114300" simplePos="0" relativeHeight="251688960" behindDoc="0" locked="0" layoutInCell="1" allowOverlap="1">
                <wp:simplePos x="0" y="0"/>
                <wp:positionH relativeFrom="column">
                  <wp:posOffset>4347210</wp:posOffset>
                </wp:positionH>
                <wp:positionV relativeFrom="paragraph">
                  <wp:posOffset>1964055</wp:posOffset>
                </wp:positionV>
                <wp:extent cx="405130" cy="767715"/>
                <wp:effectExtent l="12700" t="12700" r="20320" b="19685"/>
                <wp:wrapNone/>
                <wp:docPr id="26" name="任意多边形 26"/>
                <wp:cNvGraphicFramePr/>
                <a:graphic xmlns:a="http://schemas.openxmlformats.org/drawingml/2006/main">
                  <a:graphicData uri="http://schemas.microsoft.com/office/word/2010/wordprocessingShape">
                    <wps:wsp>
                      <wps:cNvSpPr/>
                      <wps:spPr>
                        <a:xfrm>
                          <a:off x="5261610" y="3107055"/>
                          <a:ext cx="405130" cy="767715"/>
                        </a:xfrm>
                        <a:custGeom>
                          <a:avLst/>
                          <a:gdLst>
                            <a:gd name="connisteX0" fmla="*/ 113030 w 405130"/>
                            <a:gd name="connsiteY0" fmla="*/ 0 h 767715"/>
                            <a:gd name="connisteX1" fmla="*/ 405130 w 405130"/>
                            <a:gd name="connsiteY1" fmla="*/ 41275 h 767715"/>
                            <a:gd name="connisteX2" fmla="*/ 255905 w 405130"/>
                            <a:gd name="connsiteY2" fmla="*/ 767715 h 767715"/>
                            <a:gd name="connisteX3" fmla="*/ 0 w 405130"/>
                            <a:gd name="connsiteY3" fmla="*/ 535305 h 767715"/>
                            <a:gd name="connisteX4" fmla="*/ 113030 w 405130"/>
                            <a:gd name="connsiteY4" fmla="*/ 0 h 76771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405130" h="767715">
                              <a:moveTo>
                                <a:pt x="113030" y="0"/>
                              </a:moveTo>
                              <a:lnTo>
                                <a:pt x="405130" y="41275"/>
                              </a:lnTo>
                              <a:lnTo>
                                <a:pt x="255905" y="767715"/>
                              </a:lnTo>
                              <a:lnTo>
                                <a:pt x="0" y="535305"/>
                              </a:lnTo>
                              <a:lnTo>
                                <a:pt x="113030" y="0"/>
                              </a:lnTo>
                              <a:close/>
                            </a:path>
                          </a:pathLst>
                        </a:cu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42.3pt;margin-top:154.65pt;height:60.45pt;width:31.9pt;z-index:251688960;mso-width-relative:page;mso-height-relative:page;" filled="f" stroked="t" coordsize="405130,767715" o:gfxdata="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" path="m113030,0l405130,41275,255905,767715,0,535305,113030,0xe">
                <v:path o:connectlocs="113030,0;405130,41275;255905,767715;0,535305;113030,0" o:connectangles="0,0,0,0,0"/>
                <v:fill on="f" focussize="0,0"/>
                <v:stroke weight="2pt" color="#00B0F0 [2404]" joinstyle="round"/>
                <v:imagedata o:title=""/>
                <o:lock v:ext="edit" aspectratio="f"/>
              </v:shape>
            </w:pict>
          </mc:Fallback>
        </mc:AlternateContent>
      </w:r>
      <w:r>
        <w:rPr>
          <w:sz w:val="21"/>
        </w:rPr>
        <mc:AlternateContent>
          <mc:Choice Requires="wps">
            <w:drawing>
              <wp:anchor distT="0" distB="0" distL="114300" distR="114300" simplePos="0" relativeHeight="251687936" behindDoc="0" locked="0" layoutInCell="1" allowOverlap="1">
                <wp:simplePos x="0" y="0"/>
                <wp:positionH relativeFrom="column">
                  <wp:posOffset>3918585</wp:posOffset>
                </wp:positionH>
                <wp:positionV relativeFrom="paragraph">
                  <wp:posOffset>2797175</wp:posOffset>
                </wp:positionV>
                <wp:extent cx="636905" cy="1006475"/>
                <wp:effectExtent l="12700" t="12700" r="17145" b="28575"/>
                <wp:wrapNone/>
                <wp:docPr id="25" name="任意多边形 25"/>
                <wp:cNvGraphicFramePr/>
                <a:graphic xmlns:a="http://schemas.openxmlformats.org/drawingml/2006/main">
                  <a:graphicData uri="http://schemas.microsoft.com/office/word/2010/wordprocessingShape">
                    <wps:wsp>
                      <wps:cNvSpPr/>
                      <wps:spPr>
                        <a:xfrm>
                          <a:off x="4832985" y="3940175"/>
                          <a:ext cx="636905" cy="1006475"/>
                        </a:xfrm>
                        <a:custGeom>
                          <a:avLst/>
                          <a:gdLst>
                            <a:gd name="connisteX0" fmla="*/ 255905 w 636905"/>
                            <a:gd name="connsiteY0" fmla="*/ 0 h 1006475"/>
                            <a:gd name="connisteX1" fmla="*/ 636905 w 636905"/>
                            <a:gd name="connsiteY1" fmla="*/ 160655 h 1006475"/>
                            <a:gd name="connisteX2" fmla="*/ 500380 w 636905"/>
                            <a:gd name="connsiteY2" fmla="*/ 601345 h 1006475"/>
                            <a:gd name="connisteX3" fmla="*/ 274320 w 636905"/>
                            <a:gd name="connsiteY3" fmla="*/ 1006475 h 1006475"/>
                            <a:gd name="connisteX4" fmla="*/ 0 w 636905"/>
                            <a:gd name="connsiteY4" fmla="*/ 940435 h 1006475"/>
                            <a:gd name="connisteX5" fmla="*/ 255905 w 636905"/>
                            <a:gd name="connsiteY5" fmla="*/ 0 h 10064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636905" h="1006475">
                              <a:moveTo>
                                <a:pt x="255905" y="0"/>
                              </a:moveTo>
                              <a:lnTo>
                                <a:pt x="636905" y="160655"/>
                              </a:lnTo>
                              <a:lnTo>
                                <a:pt x="500380" y="601345"/>
                              </a:lnTo>
                              <a:lnTo>
                                <a:pt x="274320" y="1006475"/>
                              </a:lnTo>
                              <a:lnTo>
                                <a:pt x="0" y="940435"/>
                              </a:lnTo>
                              <a:lnTo>
                                <a:pt x="255905" y="0"/>
                              </a:lnTo>
                              <a:close/>
                            </a:path>
                          </a:pathLst>
                        </a:cu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08.55pt;margin-top:220.25pt;height:79.25pt;width:50.15pt;z-index:251687936;mso-width-relative:page;mso-height-relative:page;" filled="f" stroked="t" coordsize="636905,1006475" o:gfxdata="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" path="m255905,0l636905,160655,500380,601345,274320,1006475,0,940435,255905,0xe">
                <v:path o:connectlocs="255905,0;636905,160655;500380,601345;274320,1006475;0,940435;255905,0" o:connectangles="0,0,0,0,0,0"/>
                <v:fill on="f" focussize="0,0"/>
                <v:stroke weight="2pt" color="#00B0F0 [2404]" joinstyle="round"/>
                <v:imagedata o:title=""/>
                <o:lock v:ext="edit" aspectratio="f"/>
              </v:shape>
            </w:pict>
          </mc:Fallback>
        </mc:AlternateContent>
      </w:r>
      <w:r>
        <w:rPr>
          <w:sz w:val="21"/>
        </w:rPr>
        <mc:AlternateContent>
          <mc:Choice Requires="wps">
            <w:drawing>
              <wp:anchor distT="0" distB="0" distL="114300" distR="114300" simplePos="0" relativeHeight="251686912" behindDoc="0" locked="0" layoutInCell="1" allowOverlap="1">
                <wp:simplePos x="0" y="0"/>
                <wp:positionH relativeFrom="column">
                  <wp:posOffset>5206365</wp:posOffset>
                </wp:positionH>
                <wp:positionV relativeFrom="paragraph">
                  <wp:posOffset>1083945</wp:posOffset>
                </wp:positionV>
                <wp:extent cx="1825625" cy="1397000"/>
                <wp:effectExtent l="12700" t="12700" r="28575" b="19050"/>
                <wp:wrapNone/>
                <wp:docPr id="35" name="任意多边形 35"/>
                <wp:cNvGraphicFramePr/>
                <a:graphic xmlns:a="http://schemas.openxmlformats.org/drawingml/2006/main">
                  <a:graphicData uri="http://schemas.microsoft.com/office/word/2010/wordprocessingShape">
                    <wps:wsp>
                      <wps:cNvSpPr/>
                      <wps:spPr>
                        <a:xfrm>
                          <a:off x="6120765" y="2226945"/>
                          <a:ext cx="1825625" cy="1397000"/>
                        </a:xfrm>
                        <a:custGeom>
                          <a:avLst/>
                          <a:gdLst>
                            <a:gd name="connisteX0" fmla="*/ 127000 w 1825625"/>
                            <a:gd name="connsiteY0" fmla="*/ 0 h 1397000"/>
                            <a:gd name="connisteX1" fmla="*/ 0 w 1825625"/>
                            <a:gd name="connsiteY1" fmla="*/ 555625 h 1397000"/>
                            <a:gd name="connisteX2" fmla="*/ 87630 w 1825625"/>
                            <a:gd name="connsiteY2" fmla="*/ 975995 h 1397000"/>
                            <a:gd name="connisteX3" fmla="*/ 492125 w 1825625"/>
                            <a:gd name="connsiteY3" fmla="*/ 1182370 h 1397000"/>
                            <a:gd name="connisteX4" fmla="*/ 516255 w 1825625"/>
                            <a:gd name="connsiteY4" fmla="*/ 1349375 h 1397000"/>
                            <a:gd name="connisteX5" fmla="*/ 849630 w 1825625"/>
                            <a:gd name="connsiteY5" fmla="*/ 1397000 h 1397000"/>
                            <a:gd name="connisteX6" fmla="*/ 889000 w 1825625"/>
                            <a:gd name="connsiteY6" fmla="*/ 1134745 h 1397000"/>
                            <a:gd name="connisteX7" fmla="*/ 1428750 w 1825625"/>
                            <a:gd name="connsiteY7" fmla="*/ 1111250 h 1397000"/>
                            <a:gd name="connisteX8" fmla="*/ 1508125 w 1825625"/>
                            <a:gd name="connsiteY8" fmla="*/ 531495 h 1397000"/>
                            <a:gd name="connisteX9" fmla="*/ 1722755 w 1825625"/>
                            <a:gd name="connsiteY9" fmla="*/ 555625 h 1397000"/>
                            <a:gd name="connisteX10" fmla="*/ 1825625 w 1825625"/>
                            <a:gd name="connsiteY10" fmla="*/ 254000 h 1397000"/>
                            <a:gd name="connisteX11" fmla="*/ 127000 w 1825625"/>
                            <a:gd name="connsiteY11" fmla="*/ 0 h 13970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Lst>
                          <a:rect l="l" t="t" r="r" b="b"/>
                          <a:pathLst>
                            <a:path w="1825625" h="1397000">
                              <a:moveTo>
                                <a:pt x="127000" y="0"/>
                              </a:moveTo>
                              <a:lnTo>
                                <a:pt x="0" y="555625"/>
                              </a:lnTo>
                              <a:lnTo>
                                <a:pt x="87630" y="975995"/>
                              </a:lnTo>
                              <a:lnTo>
                                <a:pt x="492125" y="1182370"/>
                              </a:lnTo>
                              <a:lnTo>
                                <a:pt x="516255" y="1349375"/>
                              </a:lnTo>
                              <a:lnTo>
                                <a:pt x="849630" y="1397000"/>
                              </a:lnTo>
                              <a:lnTo>
                                <a:pt x="889000" y="1134745"/>
                              </a:lnTo>
                              <a:lnTo>
                                <a:pt x="1428750" y="1111250"/>
                              </a:lnTo>
                              <a:lnTo>
                                <a:pt x="1508125" y="531495"/>
                              </a:lnTo>
                              <a:lnTo>
                                <a:pt x="1722755" y="555625"/>
                              </a:lnTo>
                              <a:lnTo>
                                <a:pt x="1825625" y="254000"/>
                              </a:lnTo>
                              <a:lnTo>
                                <a:pt x="127000" y="0"/>
                              </a:lnTo>
                              <a:close/>
                            </a:path>
                          </a:pathLst>
                        </a:cu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09.95pt;margin-top:85.35pt;height:110pt;width:143.75pt;z-index:251686912;mso-width-relative:page;mso-height-relative:page;" filled="f" stroked="t" coordsize="1825625,1397000" o:gfxdata="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" path="m127000,0l0,555625,87630,975995,492125,1182370,516255,1349375,849630,1397000,889000,1134745,1428750,1111250,1508125,531495,1722755,555625,1825625,254000,127000,0xe">
                <v:path o:connectlocs="127000,0;0,555625;87630,975995;492125,1182370;516255,1349375;849630,1397000;889000,1134745;1428750,1111250;1508125,531495;1722755,555625;1825625,254000;127000,0" o:connectangles="0,0,0,0,0,0,0,0,0,0,0,0"/>
                <v:fill on="f" focussize="0,0"/>
                <v:stroke weight="2pt" color="#00B0F0 [2404]" joinstyle="round"/>
                <v:imagedata o:title=""/>
                <o:lock v:ext="edit" aspectratio="f"/>
              </v:shape>
            </w:pict>
          </mc:Fallback>
        </mc:AlternateContent>
      </w:r>
      <w:r>
        <w:rPr>
          <w:sz w:val="21"/>
        </w:rPr>
        <mc:AlternateContent>
          <mc:Choice Requires="wps">
            <w:drawing>
              <wp:anchor distT="0" distB="0" distL="114300" distR="114300" simplePos="0" relativeHeight="251685888" behindDoc="0" locked="0" layoutInCell="1" allowOverlap="1">
                <wp:simplePos x="0" y="0"/>
                <wp:positionH relativeFrom="column">
                  <wp:posOffset>2492375</wp:posOffset>
                </wp:positionH>
                <wp:positionV relativeFrom="paragraph">
                  <wp:posOffset>615950</wp:posOffset>
                </wp:positionV>
                <wp:extent cx="1920875" cy="1880870"/>
                <wp:effectExtent l="12700" t="12700" r="28575" b="30480"/>
                <wp:wrapNone/>
                <wp:docPr id="36" name="任意多边形 36"/>
                <wp:cNvGraphicFramePr/>
                <a:graphic xmlns:a="http://schemas.openxmlformats.org/drawingml/2006/main">
                  <a:graphicData uri="http://schemas.microsoft.com/office/word/2010/wordprocessingShape">
                    <wps:wsp>
                      <wps:cNvSpPr/>
                      <wps:spPr>
                        <a:xfrm>
                          <a:off x="3398520" y="1798320"/>
                          <a:ext cx="1920875" cy="1880870"/>
                        </a:xfrm>
                        <a:custGeom>
                          <a:avLst/>
                          <a:gdLst>
                            <a:gd name="connisteX0" fmla="*/ 690245 w 1920875"/>
                            <a:gd name="connsiteY0" fmla="*/ 340995 h 1880870"/>
                            <a:gd name="connisteX1" fmla="*/ 619125 w 1920875"/>
                            <a:gd name="connsiteY1" fmla="*/ 857250 h 1880870"/>
                            <a:gd name="connisteX2" fmla="*/ 245745 w 1920875"/>
                            <a:gd name="connsiteY2" fmla="*/ 801370 h 1880870"/>
                            <a:gd name="connisteX3" fmla="*/ 0 w 1920875"/>
                            <a:gd name="connsiteY3" fmla="*/ 1365250 h 1880870"/>
                            <a:gd name="connisteX4" fmla="*/ 1460500 w 1920875"/>
                            <a:gd name="connsiteY4" fmla="*/ 1880870 h 1880870"/>
                            <a:gd name="connisteX5" fmla="*/ 1579245 w 1920875"/>
                            <a:gd name="connsiteY5" fmla="*/ 1039495 h 1880870"/>
                            <a:gd name="connisteX6" fmla="*/ 1397000 w 1920875"/>
                            <a:gd name="connsiteY6" fmla="*/ 984250 h 1880870"/>
                            <a:gd name="connisteX7" fmla="*/ 1476375 w 1920875"/>
                            <a:gd name="connsiteY7" fmla="*/ 626745 h 1880870"/>
                            <a:gd name="connisteX8" fmla="*/ 1841500 w 1920875"/>
                            <a:gd name="connsiteY8" fmla="*/ 626745 h 1880870"/>
                            <a:gd name="connisteX9" fmla="*/ 1920875 w 1920875"/>
                            <a:gd name="connsiteY9" fmla="*/ 190500 h 1880870"/>
                            <a:gd name="connisteX10" fmla="*/ 682625 w 1920875"/>
                            <a:gd name="connsiteY10" fmla="*/ 0 h 1880870"/>
                            <a:gd name="connisteX11" fmla="*/ 690245 w 1920875"/>
                            <a:gd name="connsiteY11" fmla="*/ 340995 h 188087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Lst>
                          <a:rect l="l" t="t" r="r" b="b"/>
                          <a:pathLst>
                            <a:path w="1920875" h="1880870">
                              <a:moveTo>
                                <a:pt x="690245" y="340995"/>
                              </a:moveTo>
                              <a:lnTo>
                                <a:pt x="619125" y="857250"/>
                              </a:lnTo>
                              <a:lnTo>
                                <a:pt x="245745" y="801370"/>
                              </a:lnTo>
                              <a:lnTo>
                                <a:pt x="0" y="1365250"/>
                              </a:lnTo>
                              <a:lnTo>
                                <a:pt x="1460500" y="1880870"/>
                              </a:lnTo>
                              <a:lnTo>
                                <a:pt x="1579245" y="1039495"/>
                              </a:lnTo>
                              <a:lnTo>
                                <a:pt x="1397000" y="984250"/>
                              </a:lnTo>
                              <a:lnTo>
                                <a:pt x="1476375" y="626745"/>
                              </a:lnTo>
                              <a:lnTo>
                                <a:pt x="1841500" y="626745"/>
                              </a:lnTo>
                              <a:lnTo>
                                <a:pt x="1920875" y="190500"/>
                              </a:lnTo>
                              <a:lnTo>
                                <a:pt x="682625" y="0"/>
                              </a:lnTo>
                              <a:lnTo>
                                <a:pt x="690245" y="340995"/>
                              </a:lnTo>
                              <a:close/>
                            </a:path>
                          </a:pathLst>
                        </a:custGeom>
                        <a:no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96.25pt;margin-top:48.5pt;height:148.1pt;width:151.25pt;z-index:251685888;mso-width-relative:page;mso-height-relative:page;" filled="f" stroked="t" coordsize="1920875,1880870" o:gfxdata="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" path="m690245,340995l619125,857250,245745,801370,0,1365250,1460500,1880870,1579245,1039495,1397000,984250,1476375,626745,1841500,626745,1920875,190500,682625,0,690245,340995xe">
                <v:path o:connectlocs="690245,340995;619125,857250;245745,801370;0,1365250;1460500,1880870;1579245,1039495;1397000,984250;1476375,626745;1841500,626745;1920875,190500;682625,0;690245,340995" o:connectangles="0,0,0,0,0,0,0,0,0,0,0,0"/>
                <v:fill on="f" focussize="0,0"/>
                <v:stroke weight="2pt" color="#00B0F0 [2404]" joinstyle="round"/>
                <v:imagedata o:title=""/>
                <o:lock v:ext="edit" aspectratio="f"/>
              </v:shape>
            </w:pict>
          </mc:Fallback>
        </mc:AlternateContent>
      </w:r>
      <w:r>
        <w:drawing>
          <wp:anchor distT="0" distB="0" distL="114300" distR="114300" simplePos="0" relativeHeight="251667456" behindDoc="0" locked="0" layoutInCell="1" allowOverlap="1">
            <wp:simplePos x="0" y="0"/>
            <wp:positionH relativeFrom="column">
              <wp:posOffset>19050</wp:posOffset>
            </wp:positionH>
            <wp:positionV relativeFrom="page">
              <wp:posOffset>1224915</wp:posOffset>
            </wp:positionV>
            <wp:extent cx="8860155" cy="5571490"/>
            <wp:effectExtent l="19050" t="19050" r="36195" b="29210"/>
            <wp:wrapSquare wrapText="bothSides"/>
            <wp:docPr id="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1"/>
                    </pic:cNvPicPr>
                  </pic:nvPicPr>
                  <pic:blipFill>
                    <a:blip r:embed="rId21"/>
                    <a:stretch>
                      <a:fillRect/>
                    </a:stretch>
                  </pic:blipFill>
                  <pic:spPr>
                    <a:xfrm>
                      <a:off x="0" y="0"/>
                      <a:ext cx="8860155" cy="5571490"/>
                    </a:xfrm>
                    <a:prstGeom prst="rect">
                      <a:avLst/>
                    </a:prstGeom>
                    <a:noFill/>
                    <a:ln w="19050">
                      <a:solidFill>
                        <a:schemeClr val="tx1"/>
                      </a:solidFill>
                    </a:ln>
                  </pic:spPr>
                </pic:pic>
              </a:graphicData>
            </a:graphic>
          </wp:anchor>
        </w:drawing>
      </w:r>
    </w:p>
    <w:p w14:paraId="0CF1A83B">
      <w:pPr>
        <w:rPr>
          <w:rFonts w:hint="default" w:cs="宋体"/>
          <w:b/>
          <w:bCs w:val="0"/>
          <w:color w:val="auto"/>
          <w:sz w:val="28"/>
          <w:szCs w:val="28"/>
          <w:highlight w:val="none"/>
          <w:lang w:val="en-US" w:eastAsia="zh-CN"/>
        </w:rPr>
        <w:sectPr>
          <w:pgSz w:w="16838" w:h="11906" w:orient="landscape"/>
          <w:pgMar w:top="1800" w:right="1440" w:bottom="1800" w:left="1440" w:header="851" w:footer="992" w:gutter="0"/>
          <w:cols w:space="425" w:num="1"/>
          <w:docGrid w:type="lines" w:linePitch="312" w:charSpace="0"/>
        </w:sectPr>
      </w:pPr>
      <w:r>
        <w:rPr>
          <w:rFonts w:hint="eastAsia" w:eastAsia="宋体"/>
          <w:lang w:eastAsia="zh-CN"/>
        </w:rPr>
        <w:drawing>
          <wp:anchor distT="0" distB="0" distL="114300" distR="114300" simplePos="0" relativeHeight="251711488" behindDoc="0" locked="0" layoutInCell="1" allowOverlap="1">
            <wp:simplePos x="0" y="0"/>
            <wp:positionH relativeFrom="column">
              <wp:posOffset>8048625</wp:posOffset>
            </wp:positionH>
            <wp:positionV relativeFrom="paragraph">
              <wp:posOffset>-401320</wp:posOffset>
            </wp:positionV>
            <wp:extent cx="533400" cy="1043940"/>
            <wp:effectExtent l="0" t="0" r="0" b="3810"/>
            <wp:wrapSquare wrapText="bothSides"/>
            <wp:docPr id="54" name="图片 4" descr="16181149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descr="1618114952(1)"/>
                    <pic:cNvPicPr>
                      <a:picLocks noChangeAspect="1"/>
                    </pic:cNvPicPr>
                  </pic:nvPicPr>
                  <pic:blipFill>
                    <a:blip r:embed="rId19"/>
                    <a:stretch>
                      <a:fillRect/>
                    </a:stretch>
                  </pic:blipFill>
                  <pic:spPr>
                    <a:xfrm>
                      <a:off x="0" y="0"/>
                      <a:ext cx="533400" cy="1043940"/>
                    </a:xfrm>
                    <a:prstGeom prst="rect">
                      <a:avLst/>
                    </a:prstGeom>
                    <a:noFill/>
                    <a:ln>
                      <a:noFill/>
                    </a:ln>
                  </pic:spPr>
                </pic:pic>
              </a:graphicData>
            </a:graphic>
          </wp:anchor>
        </w:drawing>
      </w:r>
      <w:r>
        <w:rPr>
          <w:sz w:val="21"/>
        </w:rPr>
        <mc:AlternateContent>
          <mc:Choice Requires="wps">
            <w:drawing>
              <wp:anchor distT="0" distB="0" distL="114300" distR="114300" simplePos="0" relativeHeight="251700224" behindDoc="0" locked="0" layoutInCell="1" allowOverlap="1">
                <wp:simplePos x="0" y="0"/>
                <wp:positionH relativeFrom="column">
                  <wp:posOffset>2045335</wp:posOffset>
                </wp:positionH>
                <wp:positionV relativeFrom="paragraph">
                  <wp:posOffset>-4290695</wp:posOffset>
                </wp:positionV>
                <wp:extent cx="1175385" cy="304800"/>
                <wp:effectExtent l="12700" t="12700" r="450215" b="82550"/>
                <wp:wrapNone/>
                <wp:docPr id="38" name="矩形标注 38"/>
                <wp:cNvGraphicFramePr/>
                <a:graphic xmlns:a="http://schemas.openxmlformats.org/drawingml/2006/main">
                  <a:graphicData uri="http://schemas.microsoft.com/office/word/2010/wordprocessingShape">
                    <wps:wsp>
                      <wps:cNvSpPr/>
                      <wps:spPr>
                        <a:xfrm>
                          <a:off x="3380740" y="2003425"/>
                          <a:ext cx="1175385" cy="304800"/>
                        </a:xfrm>
                        <a:prstGeom prst="wedgeRectCallout">
                          <a:avLst>
                            <a:gd name="adj1" fmla="val 86196"/>
                            <a:gd name="adj2" fmla="val 72500"/>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4C25576">
                            <w:pPr>
                              <w:jc w:val="center"/>
                              <w:rPr>
                                <w:rFonts w:hint="eastAsia" w:eastAsiaTheme="minorEastAsia"/>
                                <w:b/>
                                <w:bCs/>
                                <w:color w:val="FF0000"/>
                                <w:lang w:eastAsia="zh-CN"/>
                              </w:rPr>
                            </w:pPr>
                            <w:r>
                              <w:rPr>
                                <w:rFonts w:hint="eastAsia"/>
                                <w:b/>
                                <w:bCs/>
                                <w:color w:val="FF0000"/>
                                <w:lang w:eastAsia="zh-CN"/>
                              </w:rPr>
                              <w:t>本项目位置区域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61.05pt;margin-top:-337.85pt;height:24pt;width:92.55pt;z-index:251700224;v-text-anchor:middle;mso-width-relative:page;mso-height-relative:page;" filled="f" stroked="t" coordsize="21600,21600" o:gfxdata="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hiHQvtkAAAANAQAADwAAAAAAAAABACAAAAAiAAAAZHJzL2Rvd25y&#10;ZXYueG1sUEsBAhQAFAAAAAgAh07iQE7IVMeoAgAAMAUAAA4AAAAAAAAAAQAgAAAAKAEAAGRycy9l&#10;Mm9Eb2MueG1sUEsFBgAAAAAGAAYAWQEAAEIGAAAAAA==&#10;" adj="29418,26460">
                <v:fill on="f" focussize="0,0"/>
                <v:stroke weight="2pt" color="#FF0000 [2404]" joinstyle="round"/>
                <v:imagedata o:title=""/>
                <o:lock v:ext="edit" aspectratio="f"/>
                <v:textbox>
                  <w:txbxContent>
                    <w:p w14:paraId="54C25576">
                      <w:pPr>
                        <w:jc w:val="center"/>
                        <w:rPr>
                          <w:rFonts w:hint="eastAsia" w:eastAsiaTheme="minorEastAsia"/>
                          <w:b/>
                          <w:bCs/>
                          <w:color w:val="FF0000"/>
                          <w:lang w:eastAsia="zh-CN"/>
                        </w:rPr>
                      </w:pPr>
                      <w:r>
                        <w:rPr>
                          <w:rFonts w:hint="eastAsia"/>
                          <w:b/>
                          <w:bCs/>
                          <w:color w:val="FF0000"/>
                          <w:lang w:eastAsia="zh-CN"/>
                        </w:rPr>
                        <w:t>本项目位置区域</w:t>
                      </w:r>
                    </w:p>
                  </w:txbxContent>
                </v:textbox>
              </v:shape>
            </w:pict>
          </mc:Fallback>
        </mc:AlternateContent>
      </w:r>
      <w:r>
        <w:rPr>
          <w:sz w:val="21"/>
        </w:rPr>
        <mc:AlternateContent>
          <mc:Choice Requires="wps">
            <w:drawing>
              <wp:anchor distT="0" distB="0" distL="114300" distR="114300" simplePos="0" relativeHeight="251699200" behindDoc="0" locked="0" layoutInCell="1" allowOverlap="1">
                <wp:simplePos x="0" y="0"/>
                <wp:positionH relativeFrom="column">
                  <wp:posOffset>3689350</wp:posOffset>
                </wp:positionH>
                <wp:positionV relativeFrom="paragraph">
                  <wp:posOffset>-3982085</wp:posOffset>
                </wp:positionV>
                <wp:extent cx="80010" cy="171450"/>
                <wp:effectExtent l="12700" t="12700" r="21590" b="25400"/>
                <wp:wrapNone/>
                <wp:docPr id="39" name="矩形 39"/>
                <wp:cNvGraphicFramePr/>
                <a:graphic xmlns:a="http://schemas.openxmlformats.org/drawingml/2006/main">
                  <a:graphicData uri="http://schemas.microsoft.com/office/word/2010/wordprocessingShape">
                    <wps:wsp>
                      <wps:cNvSpPr/>
                      <wps:spPr>
                        <a:xfrm>
                          <a:off x="4603750" y="2312035"/>
                          <a:ext cx="80010" cy="17145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0.5pt;margin-top:-313.55pt;height:13.5pt;width:6.3pt;z-index:251699200;v-text-anchor:middle;mso-width-relative:page;mso-height-relative:page;" filled="f" stroked="t" coordsize="21600,21600" o:gfxdata="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W+jHe2wAAAA0BAAAPAAAAAAAAAAEAIAAAACIAAABkcnMvZG93bnJldi54&#10;bWxQSwECFAAUAAAACACHTuJAU+TJ/GkCAADABAAADgAAAAAAAAABACAAAAAqAQAAZHJzL2Uyb0Rv&#10;Yy54bWxQSwUGAAAAAAYABgBZAQAABQYAAAAA&#10;">
                <v:fill on="f" focussize="0,0"/>
                <v:stroke weight="2pt" color="#FF0000 [2404]" joinstyle="round"/>
                <v:imagedata o:title=""/>
                <o:lock v:ext="edit" aspectratio="f"/>
              </v:rect>
            </w:pict>
          </mc:Fallback>
        </mc:AlternateContent>
      </w:r>
      <w:r>
        <w:rPr>
          <w:sz w:val="21"/>
        </w:rPr>
        <mc:AlternateContent>
          <mc:Choice Requires="wps">
            <w:drawing>
              <wp:anchor distT="0" distB="0" distL="114300" distR="114300" simplePos="0" relativeHeight="251676672" behindDoc="0" locked="0" layoutInCell="1" allowOverlap="1">
                <wp:simplePos x="0" y="0"/>
                <wp:positionH relativeFrom="column">
                  <wp:posOffset>-2540</wp:posOffset>
                </wp:positionH>
                <wp:positionV relativeFrom="paragraph">
                  <wp:posOffset>491490</wp:posOffset>
                </wp:positionV>
                <wp:extent cx="8798560" cy="548005"/>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8798560" cy="548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89967E">
                            <w:pPr>
                              <w:jc w:val="center"/>
                              <w:rPr>
                                <w:rFonts w:hint="default" w:eastAsia="宋体"/>
                                <w:b/>
                                <w:bCs/>
                                <w:sz w:val="28"/>
                                <w:szCs w:val="28"/>
                                <w:lang w:val="en-US" w:eastAsia="zh-CN"/>
                              </w:rPr>
                            </w:pPr>
                            <w:r>
                              <w:rPr>
                                <w:rFonts w:hint="eastAsia" w:ascii="Times New Roman" w:hAnsi="Times New Roman"/>
                                <w:b/>
                                <w:bCs/>
                                <w:sz w:val="28"/>
                                <w:szCs w:val="28"/>
                                <w:lang w:eastAsia="zh-CN"/>
                              </w:rPr>
                              <w:t>附图</w:t>
                            </w:r>
                            <w:r>
                              <w:rPr>
                                <w:rFonts w:hint="eastAsia" w:ascii="Times New Roman" w:hAnsi="Times New Roman"/>
                                <w:b/>
                                <w:bCs/>
                                <w:sz w:val="28"/>
                                <w:szCs w:val="28"/>
                                <w:lang w:val="en-US" w:eastAsia="zh-CN"/>
                              </w:rPr>
                              <w:t>3</w:t>
                            </w:r>
                            <w:r>
                              <w:rPr>
                                <w:rFonts w:hint="eastAsia"/>
                                <w:b/>
                                <w:bCs/>
                                <w:sz w:val="28"/>
                                <w:szCs w:val="28"/>
                                <w:lang w:val="en-US" w:eastAsia="zh-CN"/>
                              </w:rPr>
                              <w:t xml:space="preserve">  项目在水利工程图中位置（比例尺</w:t>
                            </w:r>
                            <w:r>
                              <w:rPr>
                                <w:rFonts w:hint="default" w:ascii="Times New Roman" w:hAnsi="Times New Roman" w:cs="Times New Roman"/>
                                <w:b/>
                                <w:bCs/>
                                <w:sz w:val="28"/>
                                <w:szCs w:val="28"/>
                                <w:lang w:val="en-US" w:eastAsia="zh-CN"/>
                              </w:rPr>
                              <w:t>1：40000</w:t>
                            </w:r>
                            <w:r>
                              <w:rPr>
                                <w:rFonts w:hint="eastAsia"/>
                                <w:b/>
                                <w:bCs/>
                                <w:sz w:val="28"/>
                                <w:szCs w:val="28"/>
                                <w:lang w:val="en-US" w:eastAsia="zh-CN"/>
                              </w:rPr>
                              <w:t>）</w:t>
                            </w:r>
                          </w:p>
                          <w:p w14:paraId="5D8EA0D6"/>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2pt;margin-top:38.7pt;height:43.15pt;width:692.8pt;z-index:251676672;mso-width-relative:page;mso-height-relative:page;" filled="f" stroked="f" coordsize="21600,21600" o:gfxdata="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pz4Xe2wAAAAkBAAAPAAAAAAAAAAEAIAAAACIAAABk&#10;cnMvZG93bnJldi54bWxQSwECFAAUAAAACACHTuJASsybizwCAABoBAAADgAAAAAAAAABACAAAAAq&#10;AQAAZHJzL2Uyb0RvYy54bWxQSwUGAAAAAAYABgBZAQAA2AUAAAAA&#10;">
                <v:fill on="f" focussize="0,0"/>
                <v:stroke on="f" weight="0.5pt"/>
                <v:imagedata o:title=""/>
                <o:lock v:ext="edit" aspectratio="f"/>
                <v:textbox>
                  <w:txbxContent>
                    <w:p w14:paraId="4A89967E">
                      <w:pPr>
                        <w:jc w:val="center"/>
                        <w:rPr>
                          <w:rFonts w:hint="default" w:eastAsia="宋体"/>
                          <w:b/>
                          <w:bCs/>
                          <w:sz w:val="28"/>
                          <w:szCs w:val="28"/>
                          <w:lang w:val="en-US" w:eastAsia="zh-CN"/>
                        </w:rPr>
                      </w:pPr>
                      <w:r>
                        <w:rPr>
                          <w:rFonts w:hint="eastAsia" w:ascii="Times New Roman" w:hAnsi="Times New Roman"/>
                          <w:b/>
                          <w:bCs/>
                          <w:sz w:val="28"/>
                          <w:szCs w:val="28"/>
                          <w:lang w:eastAsia="zh-CN"/>
                        </w:rPr>
                        <w:t>附图</w:t>
                      </w:r>
                      <w:r>
                        <w:rPr>
                          <w:rFonts w:hint="eastAsia" w:ascii="Times New Roman" w:hAnsi="Times New Roman"/>
                          <w:b/>
                          <w:bCs/>
                          <w:sz w:val="28"/>
                          <w:szCs w:val="28"/>
                          <w:lang w:val="en-US" w:eastAsia="zh-CN"/>
                        </w:rPr>
                        <w:t>3</w:t>
                      </w:r>
                      <w:r>
                        <w:rPr>
                          <w:rFonts w:hint="eastAsia"/>
                          <w:b/>
                          <w:bCs/>
                          <w:sz w:val="28"/>
                          <w:szCs w:val="28"/>
                          <w:lang w:val="en-US" w:eastAsia="zh-CN"/>
                        </w:rPr>
                        <w:t xml:space="preserve">  项目在水利工程图中位置（比例尺</w:t>
                      </w:r>
                      <w:r>
                        <w:rPr>
                          <w:rFonts w:hint="default" w:ascii="Times New Roman" w:hAnsi="Times New Roman" w:cs="Times New Roman"/>
                          <w:b/>
                          <w:bCs/>
                          <w:sz w:val="28"/>
                          <w:szCs w:val="28"/>
                          <w:lang w:val="en-US" w:eastAsia="zh-CN"/>
                        </w:rPr>
                        <w:t>1：40000</w:t>
                      </w:r>
                      <w:r>
                        <w:rPr>
                          <w:rFonts w:hint="eastAsia"/>
                          <w:b/>
                          <w:bCs/>
                          <w:sz w:val="28"/>
                          <w:szCs w:val="28"/>
                          <w:lang w:val="en-US" w:eastAsia="zh-CN"/>
                        </w:rPr>
                        <w:t>）</w:t>
                      </w:r>
                    </w:p>
                    <w:p w14:paraId="5D8EA0D6"/>
                  </w:txbxContent>
                </v:textbox>
              </v:shape>
            </w:pict>
          </mc:Fallback>
        </mc:AlternateContent>
      </w:r>
      <w:r>
        <w:rPr>
          <w:rFonts w:hint="default" w:cs="宋体"/>
          <w:b/>
          <w:bCs w:val="0"/>
          <w:color w:val="auto"/>
          <w:sz w:val="28"/>
          <w:szCs w:val="28"/>
          <w:highlight w:val="none"/>
          <w:lang w:val="en-US" w:eastAsia="zh-CN"/>
        </w:rPr>
        <w:drawing>
          <wp:anchor distT="0" distB="0" distL="114300" distR="114300" simplePos="0" relativeHeight="251672576" behindDoc="0" locked="0" layoutInCell="1" allowOverlap="1">
            <wp:simplePos x="0" y="0"/>
            <wp:positionH relativeFrom="column">
              <wp:posOffset>298450</wp:posOffset>
            </wp:positionH>
            <wp:positionV relativeFrom="page">
              <wp:posOffset>718820</wp:posOffset>
            </wp:positionV>
            <wp:extent cx="8307070" cy="5795010"/>
            <wp:effectExtent l="19050" t="19050" r="36830" b="34290"/>
            <wp:wrapSquare wrapText="bothSides"/>
            <wp:docPr id="41" name="图片 3" descr="7efbac07155cb694cafeaba021817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descr="7efbac07155cb694cafeaba021817fd"/>
                    <pic:cNvPicPr>
                      <a:picLocks noChangeAspect="1"/>
                    </pic:cNvPicPr>
                  </pic:nvPicPr>
                  <pic:blipFill>
                    <a:blip r:embed="rId22"/>
                    <a:srcRect l="6787" t="3712" r="6473"/>
                    <a:stretch>
                      <a:fillRect/>
                    </a:stretch>
                  </pic:blipFill>
                  <pic:spPr>
                    <a:xfrm>
                      <a:off x="0" y="0"/>
                      <a:ext cx="8307070" cy="5795010"/>
                    </a:xfrm>
                    <a:prstGeom prst="rect">
                      <a:avLst/>
                    </a:prstGeom>
                    <a:noFill/>
                    <a:ln w="19050" cap="flat" cmpd="sng">
                      <a:solidFill>
                        <a:srgbClr val="000000"/>
                      </a:solidFill>
                      <a:prstDash val="solid"/>
                      <a:miter/>
                      <a:headEnd type="none" w="med" len="med"/>
                      <a:tailEnd type="none" w="med" len="med"/>
                    </a:ln>
                  </pic:spPr>
                </pic:pic>
              </a:graphicData>
            </a:graphic>
          </wp:anchor>
        </w:drawing>
      </w:r>
      <w:r>
        <w:rPr>
          <w:sz w:val="28"/>
        </w:rPr>
        <mc:AlternateContent>
          <mc:Choice Requires="wps">
            <w:drawing>
              <wp:anchor distT="0" distB="0" distL="114300" distR="114300" simplePos="0" relativeHeight="251672576" behindDoc="0" locked="0" layoutInCell="1" allowOverlap="1">
                <wp:simplePos x="0" y="0"/>
                <wp:positionH relativeFrom="column">
                  <wp:posOffset>3688080</wp:posOffset>
                </wp:positionH>
                <wp:positionV relativeFrom="paragraph">
                  <wp:posOffset>1574800</wp:posOffset>
                </wp:positionV>
                <wp:extent cx="152400" cy="142875"/>
                <wp:effectExtent l="12700" t="12700" r="25400" b="15875"/>
                <wp:wrapNone/>
                <wp:docPr id="42" name="五角星 42"/>
                <wp:cNvGraphicFramePr/>
                <a:graphic xmlns:a="http://schemas.openxmlformats.org/drawingml/2006/main">
                  <a:graphicData uri="http://schemas.microsoft.com/office/word/2010/wordprocessingShape">
                    <wps:wsp>
                      <wps:cNvSpPr/>
                      <wps:spPr>
                        <a:xfrm>
                          <a:off x="3821430" y="2879725"/>
                          <a:ext cx="152400" cy="142875"/>
                        </a:xfrm>
                        <a:prstGeom prst="star5">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90.4pt;margin-top:124pt;height:11.25pt;width:12pt;z-index:251672576;v-text-anchor:middle;mso-width-relative:page;mso-height-relative:page;" fillcolor="#FF0000" filled="t" stroked="t" coordsize="152400,142875" o:gfxdata="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ek5YYtoAAAALAQAA&#10;DwAAAAAAAAABACAAAAAiAAAAZHJzL2Rvd25yZXYueG1sUEsBAhQAFAAAAAgAh07iQJopMPWJAgAA&#10;EAUAAA4AAAAAAAAAAQAgAAAAKQEAAGRycy9lMm9Eb2MueG1sUEsFBgAAAAAGAAYAWQEAACQGAAAA&#10;AA==&#10;" path="m0,54573l58211,54573,76200,0,94188,54573,152399,54573,105305,88301,123294,142874,76200,109146,29105,142874,47094,88301xe">
                <v:path o:connectlocs="76200,0;0,54573;29105,142874;123294,142874;152399,54573" o:connectangles="247,164,82,82,0"/>
                <v:fill on="t" focussize="0,0"/>
                <v:stroke weight="2pt" color="#376092 [2404]" joinstyle="round"/>
                <v:imagedata o:title=""/>
                <o:lock v:ext="edit" aspectratio="f"/>
              </v:shape>
            </w:pict>
          </mc:Fallback>
        </mc:AlternateContent>
      </w:r>
    </w:p>
    <w:p w14:paraId="07263067">
      <w:pPr>
        <w:sectPr>
          <w:pgSz w:w="16838" w:h="11906"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251716608" behindDoc="0" locked="0" layoutInCell="1" allowOverlap="1">
                <wp:simplePos x="0" y="0"/>
                <wp:positionH relativeFrom="column">
                  <wp:posOffset>-2540</wp:posOffset>
                </wp:positionH>
                <wp:positionV relativeFrom="paragraph">
                  <wp:posOffset>491490</wp:posOffset>
                </wp:positionV>
                <wp:extent cx="8798560" cy="548005"/>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8798560" cy="548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217D0A">
                            <w:pPr>
                              <w:jc w:val="center"/>
                              <w:rPr>
                                <w:rFonts w:hint="default" w:eastAsia="宋体"/>
                                <w:b/>
                                <w:bCs/>
                                <w:sz w:val="28"/>
                                <w:szCs w:val="28"/>
                                <w:lang w:val="en-US" w:eastAsia="zh-CN"/>
                              </w:rPr>
                            </w:pPr>
                            <w:r>
                              <w:rPr>
                                <w:rFonts w:hint="eastAsia" w:ascii="Times New Roman" w:hAnsi="Times New Roman"/>
                                <w:b/>
                                <w:bCs/>
                                <w:sz w:val="28"/>
                                <w:szCs w:val="28"/>
                                <w:lang w:eastAsia="zh-CN"/>
                              </w:rPr>
                              <w:t>附图</w:t>
                            </w:r>
                            <w:r>
                              <w:rPr>
                                <w:rFonts w:hint="eastAsia" w:ascii="Times New Roman" w:hAnsi="Times New Roman"/>
                                <w:b/>
                                <w:bCs/>
                                <w:sz w:val="28"/>
                                <w:szCs w:val="28"/>
                                <w:lang w:val="en-US" w:eastAsia="zh-CN"/>
                              </w:rPr>
                              <w:t>4</w:t>
                            </w:r>
                            <w:r>
                              <w:rPr>
                                <w:rFonts w:hint="eastAsia"/>
                                <w:b/>
                                <w:bCs/>
                                <w:sz w:val="28"/>
                                <w:szCs w:val="28"/>
                                <w:lang w:val="en-US" w:eastAsia="zh-CN"/>
                              </w:rPr>
                              <w:t xml:space="preserve"> 工程线路走向图（比例尺</w:t>
                            </w:r>
                            <w:r>
                              <w:rPr>
                                <w:rFonts w:hint="default" w:ascii="Times New Roman" w:hAnsi="Times New Roman" w:cs="Times New Roman"/>
                                <w:b/>
                                <w:bCs/>
                                <w:sz w:val="28"/>
                                <w:szCs w:val="28"/>
                                <w:lang w:val="en-US" w:eastAsia="zh-CN"/>
                              </w:rPr>
                              <w:t>1：40000</w:t>
                            </w:r>
                            <w:r>
                              <w:rPr>
                                <w:rFonts w:hint="eastAsia"/>
                                <w:b/>
                                <w:bCs/>
                                <w:sz w:val="28"/>
                                <w:szCs w:val="28"/>
                                <w:lang w:val="en-US" w:eastAsia="zh-CN"/>
                              </w:rPr>
                              <w:t>）</w:t>
                            </w:r>
                          </w:p>
                          <w:p w14:paraId="425C987E"/>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2pt;margin-top:38.7pt;height:43.15pt;width:692.8pt;z-index:251716608;mso-width-relative:page;mso-height-relative:page;" filled="f" stroked="f" coordsize="21600,21600" o:gfxdata="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Kc+F3tsAAAAJAQAADwAAAAAAAAABACAAAAAiAAAA&#10;ZHJzL2Rvd25yZXYueG1sUEsBAhQAFAAAAAgAh07iQEFPtgE9AgAAaAQAAA4AAAAAAAAAAQAgAAAA&#10;KgEAAGRycy9lMm9Eb2MueG1sUEsFBgAAAAAGAAYAWQEAANkFAAAAAA==&#10;">
                <v:fill on="f" focussize="0,0"/>
                <v:stroke on="f" weight="0.5pt"/>
                <v:imagedata o:title=""/>
                <o:lock v:ext="edit" aspectratio="f"/>
                <v:textbox>
                  <w:txbxContent>
                    <w:p w14:paraId="23217D0A">
                      <w:pPr>
                        <w:jc w:val="center"/>
                        <w:rPr>
                          <w:rFonts w:hint="default" w:eastAsia="宋体"/>
                          <w:b/>
                          <w:bCs/>
                          <w:sz w:val="28"/>
                          <w:szCs w:val="28"/>
                          <w:lang w:val="en-US" w:eastAsia="zh-CN"/>
                        </w:rPr>
                      </w:pPr>
                      <w:r>
                        <w:rPr>
                          <w:rFonts w:hint="eastAsia" w:ascii="Times New Roman" w:hAnsi="Times New Roman"/>
                          <w:b/>
                          <w:bCs/>
                          <w:sz w:val="28"/>
                          <w:szCs w:val="28"/>
                          <w:lang w:eastAsia="zh-CN"/>
                        </w:rPr>
                        <w:t>附图</w:t>
                      </w:r>
                      <w:r>
                        <w:rPr>
                          <w:rFonts w:hint="eastAsia" w:ascii="Times New Roman" w:hAnsi="Times New Roman"/>
                          <w:b/>
                          <w:bCs/>
                          <w:sz w:val="28"/>
                          <w:szCs w:val="28"/>
                          <w:lang w:val="en-US" w:eastAsia="zh-CN"/>
                        </w:rPr>
                        <w:t>4</w:t>
                      </w:r>
                      <w:r>
                        <w:rPr>
                          <w:rFonts w:hint="eastAsia"/>
                          <w:b/>
                          <w:bCs/>
                          <w:sz w:val="28"/>
                          <w:szCs w:val="28"/>
                          <w:lang w:val="en-US" w:eastAsia="zh-CN"/>
                        </w:rPr>
                        <w:t xml:space="preserve"> 工程线路走向图（比例尺</w:t>
                      </w:r>
                      <w:r>
                        <w:rPr>
                          <w:rFonts w:hint="default" w:ascii="Times New Roman" w:hAnsi="Times New Roman" w:cs="Times New Roman"/>
                          <w:b/>
                          <w:bCs/>
                          <w:sz w:val="28"/>
                          <w:szCs w:val="28"/>
                          <w:lang w:val="en-US" w:eastAsia="zh-CN"/>
                        </w:rPr>
                        <w:t>1：40000</w:t>
                      </w:r>
                      <w:r>
                        <w:rPr>
                          <w:rFonts w:hint="eastAsia"/>
                          <w:b/>
                          <w:bCs/>
                          <w:sz w:val="28"/>
                          <w:szCs w:val="28"/>
                          <w:lang w:val="en-US" w:eastAsia="zh-CN"/>
                        </w:rPr>
                        <w:t>）</w:t>
                      </w:r>
                    </w:p>
                    <w:p w14:paraId="425C987E"/>
                  </w:txbxContent>
                </v:textbox>
              </v:shape>
            </w:pict>
          </mc:Fallback>
        </mc:AlternateContent>
      </w:r>
      <w:r>
        <w:rPr>
          <w:rFonts w:hint="eastAsia" w:eastAsia="宋体"/>
          <w:lang w:eastAsia="zh-CN"/>
        </w:rPr>
        <w:drawing>
          <wp:anchor distT="0" distB="0" distL="114300" distR="114300" simplePos="0" relativeHeight="251712512" behindDoc="0" locked="0" layoutInCell="1" allowOverlap="1">
            <wp:simplePos x="0" y="0"/>
            <wp:positionH relativeFrom="column">
              <wp:posOffset>8180070</wp:posOffset>
            </wp:positionH>
            <wp:positionV relativeFrom="paragraph">
              <wp:posOffset>-20320</wp:posOffset>
            </wp:positionV>
            <wp:extent cx="533400" cy="1043940"/>
            <wp:effectExtent l="0" t="0" r="0" b="3810"/>
            <wp:wrapSquare wrapText="bothSides"/>
            <wp:docPr id="55" name="图片 4" descr="16181149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descr="1618114952(1)"/>
                    <pic:cNvPicPr>
                      <a:picLocks noChangeAspect="1"/>
                    </pic:cNvPicPr>
                  </pic:nvPicPr>
                  <pic:blipFill>
                    <a:blip r:embed="rId19"/>
                    <a:stretch>
                      <a:fillRect/>
                    </a:stretch>
                  </pic:blipFill>
                  <pic:spPr>
                    <a:xfrm>
                      <a:off x="0" y="0"/>
                      <a:ext cx="533400" cy="1043940"/>
                    </a:xfrm>
                    <a:prstGeom prst="rect">
                      <a:avLst/>
                    </a:prstGeom>
                    <a:noFill/>
                    <a:ln>
                      <a:noFill/>
                    </a:ln>
                  </pic:spPr>
                </pic:pic>
              </a:graphicData>
            </a:graphic>
          </wp:anchor>
        </w:drawing>
      </w:r>
      <w:r>
        <w:drawing>
          <wp:anchor distT="0" distB="0" distL="114300" distR="114300" simplePos="0" relativeHeight="251666432" behindDoc="0" locked="0" layoutInCell="1" allowOverlap="1">
            <wp:simplePos x="0" y="0"/>
            <wp:positionH relativeFrom="column">
              <wp:posOffset>212090</wp:posOffset>
            </wp:positionH>
            <wp:positionV relativeFrom="page">
              <wp:posOffset>1176655</wp:posOffset>
            </wp:positionV>
            <wp:extent cx="8461375" cy="5227955"/>
            <wp:effectExtent l="19050" t="19050" r="34925" b="29845"/>
            <wp:wrapSquare wrapText="bothSides"/>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23"/>
                    <a:stretch>
                      <a:fillRect/>
                    </a:stretch>
                  </pic:blipFill>
                  <pic:spPr>
                    <a:xfrm>
                      <a:off x="0" y="0"/>
                      <a:ext cx="8461375" cy="5227955"/>
                    </a:xfrm>
                    <a:prstGeom prst="rect">
                      <a:avLst/>
                    </a:prstGeom>
                    <a:noFill/>
                    <a:ln w="19050">
                      <a:solidFill>
                        <a:schemeClr val="tx1"/>
                      </a:solidFill>
                    </a:ln>
                  </pic:spPr>
                </pic:pic>
              </a:graphicData>
            </a:graphic>
          </wp:anchor>
        </w:drawing>
      </w:r>
      <w:r>
        <w:rPr>
          <w:sz w:val="21"/>
        </w:rPr>
        <mc:AlternateContent>
          <mc:Choice Requires="wps">
            <w:drawing>
              <wp:anchor distT="0" distB="0" distL="114300" distR="114300" simplePos="0" relativeHeight="251677696" behindDoc="0" locked="0" layoutInCell="1" allowOverlap="1">
                <wp:simplePos x="0" y="0"/>
                <wp:positionH relativeFrom="column">
                  <wp:posOffset>-2540</wp:posOffset>
                </wp:positionH>
                <wp:positionV relativeFrom="paragraph">
                  <wp:posOffset>5642610</wp:posOffset>
                </wp:positionV>
                <wp:extent cx="8798560" cy="548005"/>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8798560" cy="548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46480A">
                            <w:pPr>
                              <w:jc w:val="center"/>
                              <w:rPr>
                                <w:rFonts w:hint="default" w:eastAsia="宋体"/>
                                <w:b/>
                                <w:bCs/>
                                <w:sz w:val="28"/>
                                <w:szCs w:val="28"/>
                                <w:lang w:val="en-US" w:eastAsia="zh-CN"/>
                              </w:rPr>
                            </w:pPr>
                            <w:r>
                              <w:rPr>
                                <w:rFonts w:hint="eastAsia" w:ascii="Times New Roman" w:hAnsi="Times New Roman"/>
                                <w:b/>
                                <w:bCs/>
                                <w:sz w:val="28"/>
                                <w:szCs w:val="28"/>
                                <w:lang w:eastAsia="zh-CN"/>
                              </w:rPr>
                              <w:t>附图</w:t>
                            </w:r>
                            <w:r>
                              <w:rPr>
                                <w:rFonts w:hint="eastAsia" w:ascii="Times New Roman" w:hAnsi="Times New Roman"/>
                                <w:b/>
                                <w:bCs/>
                                <w:sz w:val="28"/>
                                <w:szCs w:val="28"/>
                                <w:lang w:val="en-US" w:eastAsia="zh-CN"/>
                              </w:rPr>
                              <w:t>4</w:t>
                            </w:r>
                            <w:r>
                              <w:rPr>
                                <w:rFonts w:hint="eastAsia"/>
                                <w:b/>
                                <w:bCs/>
                                <w:sz w:val="28"/>
                                <w:szCs w:val="28"/>
                                <w:lang w:val="en-US" w:eastAsia="zh-CN"/>
                              </w:rPr>
                              <w:t xml:space="preserve"> 工程位置示意图（比例尺</w:t>
                            </w:r>
                            <w:r>
                              <w:rPr>
                                <w:rFonts w:hint="default" w:ascii="Times New Roman" w:hAnsi="Times New Roman" w:cs="Times New Roman"/>
                                <w:b/>
                                <w:bCs/>
                                <w:sz w:val="28"/>
                                <w:szCs w:val="28"/>
                                <w:lang w:val="en-US" w:eastAsia="zh-CN"/>
                              </w:rPr>
                              <w:t>1：40000</w:t>
                            </w:r>
                            <w:r>
                              <w:rPr>
                                <w:rFonts w:hint="eastAsia"/>
                                <w:b/>
                                <w:bCs/>
                                <w:sz w:val="28"/>
                                <w:szCs w:val="28"/>
                                <w:lang w:val="en-US" w:eastAsia="zh-CN"/>
                              </w:rPr>
                              <w:t>）</w:t>
                            </w:r>
                          </w:p>
                          <w:p w14:paraId="64C247F7"/>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2pt;margin-top:444.3pt;height:43.15pt;width:692.8pt;z-index:251677696;mso-width-relative:page;mso-height-relative:page;" filled="f" stroked="f" coordsize="21600,21600" o:gfxdata="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8rQ+ftsAAAAKAQAADwAAAAAAAAABACAAAAAiAAAA&#10;ZHJzL2Rvd25yZXYueG1sUEsBAhQAFAAAAAgAh07iQN0oUcs9AgAAaAQAAA4AAAAAAAAAAQAgAAAA&#10;KgEAAGRycy9lMm9Eb2MueG1sUEsFBgAAAAAGAAYAWQEAANkFAAAAAA==&#10;">
                <v:fill on="f" focussize="0,0"/>
                <v:stroke on="f" weight="0.5pt"/>
                <v:imagedata o:title=""/>
                <o:lock v:ext="edit" aspectratio="f"/>
                <v:textbox>
                  <w:txbxContent>
                    <w:p w14:paraId="3C46480A">
                      <w:pPr>
                        <w:jc w:val="center"/>
                        <w:rPr>
                          <w:rFonts w:hint="default" w:eastAsia="宋体"/>
                          <w:b/>
                          <w:bCs/>
                          <w:sz w:val="28"/>
                          <w:szCs w:val="28"/>
                          <w:lang w:val="en-US" w:eastAsia="zh-CN"/>
                        </w:rPr>
                      </w:pPr>
                      <w:r>
                        <w:rPr>
                          <w:rFonts w:hint="eastAsia" w:ascii="Times New Roman" w:hAnsi="Times New Roman"/>
                          <w:b/>
                          <w:bCs/>
                          <w:sz w:val="28"/>
                          <w:szCs w:val="28"/>
                          <w:lang w:eastAsia="zh-CN"/>
                        </w:rPr>
                        <w:t>附图</w:t>
                      </w:r>
                      <w:r>
                        <w:rPr>
                          <w:rFonts w:hint="eastAsia" w:ascii="Times New Roman" w:hAnsi="Times New Roman"/>
                          <w:b/>
                          <w:bCs/>
                          <w:sz w:val="28"/>
                          <w:szCs w:val="28"/>
                          <w:lang w:val="en-US" w:eastAsia="zh-CN"/>
                        </w:rPr>
                        <w:t>4</w:t>
                      </w:r>
                      <w:r>
                        <w:rPr>
                          <w:rFonts w:hint="eastAsia"/>
                          <w:b/>
                          <w:bCs/>
                          <w:sz w:val="28"/>
                          <w:szCs w:val="28"/>
                          <w:lang w:val="en-US" w:eastAsia="zh-CN"/>
                        </w:rPr>
                        <w:t xml:space="preserve"> 工程位置示意图（比例尺</w:t>
                      </w:r>
                      <w:r>
                        <w:rPr>
                          <w:rFonts w:hint="default" w:ascii="Times New Roman" w:hAnsi="Times New Roman" w:cs="Times New Roman"/>
                          <w:b/>
                          <w:bCs/>
                          <w:sz w:val="28"/>
                          <w:szCs w:val="28"/>
                          <w:lang w:val="en-US" w:eastAsia="zh-CN"/>
                        </w:rPr>
                        <w:t>1：40000</w:t>
                      </w:r>
                      <w:r>
                        <w:rPr>
                          <w:rFonts w:hint="eastAsia"/>
                          <w:b/>
                          <w:bCs/>
                          <w:sz w:val="28"/>
                          <w:szCs w:val="28"/>
                          <w:lang w:val="en-US" w:eastAsia="zh-CN"/>
                        </w:rPr>
                        <w:t>）</w:t>
                      </w:r>
                    </w:p>
                    <w:p w14:paraId="64C247F7"/>
                  </w:txbxContent>
                </v:textbox>
              </v:shape>
            </w:pict>
          </mc:Fallback>
        </mc:AlternateContent>
      </w:r>
    </w:p>
    <w:p w14:paraId="04CEB842">
      <w:pPr>
        <w:sectPr>
          <w:pgSz w:w="16838" w:h="11906" w:orient="landscape"/>
          <w:pgMar w:top="1800" w:right="1440" w:bottom="1800" w:left="1440" w:header="851" w:footer="992" w:gutter="0"/>
          <w:cols w:space="425" w:num="1"/>
          <w:docGrid w:type="lines" w:linePitch="312" w:charSpace="0"/>
        </w:sectPr>
      </w:pPr>
      <w:r>
        <w:rPr>
          <w:rFonts w:hint="eastAsia" w:eastAsia="宋体"/>
          <w:lang w:eastAsia="zh-CN"/>
        </w:rPr>
        <w:drawing>
          <wp:anchor distT="0" distB="0" distL="114300" distR="114300" simplePos="0" relativeHeight="251714560" behindDoc="0" locked="0" layoutInCell="1" allowOverlap="1">
            <wp:simplePos x="0" y="0"/>
            <wp:positionH relativeFrom="column">
              <wp:posOffset>8347075</wp:posOffset>
            </wp:positionH>
            <wp:positionV relativeFrom="paragraph">
              <wp:posOffset>86360</wp:posOffset>
            </wp:positionV>
            <wp:extent cx="533400" cy="1043940"/>
            <wp:effectExtent l="0" t="0" r="0" b="3810"/>
            <wp:wrapSquare wrapText="bothSides"/>
            <wp:docPr id="57" name="图片 4" descr="16181149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 descr="1618114952(1)"/>
                    <pic:cNvPicPr>
                      <a:picLocks noChangeAspect="1"/>
                    </pic:cNvPicPr>
                  </pic:nvPicPr>
                  <pic:blipFill>
                    <a:blip r:embed="rId19"/>
                    <a:stretch>
                      <a:fillRect/>
                    </a:stretch>
                  </pic:blipFill>
                  <pic:spPr>
                    <a:xfrm>
                      <a:off x="0" y="0"/>
                      <a:ext cx="533400" cy="1043940"/>
                    </a:xfrm>
                    <a:prstGeom prst="rect">
                      <a:avLst/>
                    </a:prstGeom>
                    <a:noFill/>
                    <a:ln>
                      <a:noFill/>
                    </a:ln>
                  </pic:spPr>
                </pic:pic>
              </a:graphicData>
            </a:graphic>
          </wp:anchor>
        </w:drawing>
      </w:r>
      <w:r>
        <w:rPr>
          <w:sz w:val="21"/>
        </w:rPr>
        <mc:AlternateContent>
          <mc:Choice Requires="wps">
            <w:drawing>
              <wp:anchor distT="0" distB="0" distL="114300" distR="114300" simplePos="0" relativeHeight="251678720" behindDoc="0" locked="0" layoutInCell="1" allowOverlap="1">
                <wp:simplePos x="0" y="0"/>
                <wp:positionH relativeFrom="column">
                  <wp:posOffset>-2540</wp:posOffset>
                </wp:positionH>
                <wp:positionV relativeFrom="paragraph">
                  <wp:posOffset>5642610</wp:posOffset>
                </wp:positionV>
                <wp:extent cx="8798560" cy="548005"/>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8798560" cy="548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24C3C2">
                            <w:pPr>
                              <w:jc w:val="center"/>
                              <w:rPr>
                                <w:rFonts w:hint="default" w:eastAsia="宋体"/>
                                <w:b/>
                                <w:bCs/>
                                <w:sz w:val="28"/>
                                <w:szCs w:val="28"/>
                                <w:lang w:val="en-US" w:eastAsia="zh-CN"/>
                              </w:rPr>
                            </w:pPr>
                            <w:r>
                              <w:rPr>
                                <w:rFonts w:hint="eastAsia" w:ascii="Times New Roman" w:hAnsi="Times New Roman"/>
                                <w:b/>
                                <w:bCs/>
                                <w:sz w:val="28"/>
                                <w:szCs w:val="28"/>
                                <w:lang w:eastAsia="zh-CN"/>
                              </w:rPr>
                              <w:t>续附图</w:t>
                            </w:r>
                            <w:r>
                              <w:rPr>
                                <w:rFonts w:hint="eastAsia" w:ascii="Times New Roman" w:hAnsi="Times New Roman"/>
                                <w:b/>
                                <w:bCs/>
                                <w:sz w:val="28"/>
                                <w:szCs w:val="28"/>
                                <w:lang w:val="en-US" w:eastAsia="zh-CN"/>
                              </w:rPr>
                              <w:t>4</w:t>
                            </w:r>
                            <w:r>
                              <w:rPr>
                                <w:rFonts w:hint="eastAsia"/>
                                <w:b/>
                                <w:bCs/>
                                <w:sz w:val="28"/>
                                <w:szCs w:val="28"/>
                                <w:lang w:val="en-US" w:eastAsia="zh-CN"/>
                              </w:rPr>
                              <w:t xml:space="preserve"> 工程线路走向图（比例尺</w:t>
                            </w:r>
                            <w:r>
                              <w:rPr>
                                <w:rFonts w:hint="default" w:ascii="Times New Roman" w:hAnsi="Times New Roman" w:cs="Times New Roman"/>
                                <w:b/>
                                <w:bCs/>
                                <w:sz w:val="28"/>
                                <w:szCs w:val="28"/>
                                <w:lang w:val="en-US" w:eastAsia="zh-CN"/>
                              </w:rPr>
                              <w:t>1：40000</w:t>
                            </w:r>
                            <w:r>
                              <w:rPr>
                                <w:rFonts w:hint="eastAsia"/>
                                <w:b/>
                                <w:bCs/>
                                <w:sz w:val="28"/>
                                <w:szCs w:val="28"/>
                                <w:lang w:val="en-US" w:eastAsia="zh-CN"/>
                              </w:rPr>
                              <w:t>）</w:t>
                            </w:r>
                          </w:p>
                          <w:p w14:paraId="42DCEE5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2pt;margin-top:444.3pt;height:43.15pt;width:692.8pt;z-index:251678720;mso-width-relative:page;mso-height-relative:page;" filled="f" stroked="f" coordsize="21600,21600" o:gfxdata="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K0Pn7bAAAACgEAAA8AAAAAAAAAAQAgAAAAIgAA&#10;AGRycy9kb3ducmV2LnhtbFBLAQIUABQAAAAIAIdO4kBIUwdAPgIAAGgEAAAOAAAAAAAAAAEAIAAA&#10;ACoBAABkcnMvZTJvRG9jLnhtbFBLBQYAAAAABgAGAFkBAADaBQAAAAA=&#10;">
                <v:fill on="f" focussize="0,0"/>
                <v:stroke on="f" weight="0.5pt"/>
                <v:imagedata o:title=""/>
                <o:lock v:ext="edit" aspectratio="f"/>
                <v:textbox>
                  <w:txbxContent>
                    <w:p w14:paraId="4124C3C2">
                      <w:pPr>
                        <w:jc w:val="center"/>
                        <w:rPr>
                          <w:rFonts w:hint="default" w:eastAsia="宋体"/>
                          <w:b/>
                          <w:bCs/>
                          <w:sz w:val="28"/>
                          <w:szCs w:val="28"/>
                          <w:lang w:val="en-US" w:eastAsia="zh-CN"/>
                        </w:rPr>
                      </w:pPr>
                      <w:r>
                        <w:rPr>
                          <w:rFonts w:hint="eastAsia" w:ascii="Times New Roman" w:hAnsi="Times New Roman"/>
                          <w:b/>
                          <w:bCs/>
                          <w:sz w:val="28"/>
                          <w:szCs w:val="28"/>
                          <w:lang w:eastAsia="zh-CN"/>
                        </w:rPr>
                        <w:t>续附图</w:t>
                      </w:r>
                      <w:r>
                        <w:rPr>
                          <w:rFonts w:hint="eastAsia" w:ascii="Times New Roman" w:hAnsi="Times New Roman"/>
                          <w:b/>
                          <w:bCs/>
                          <w:sz w:val="28"/>
                          <w:szCs w:val="28"/>
                          <w:lang w:val="en-US" w:eastAsia="zh-CN"/>
                        </w:rPr>
                        <w:t>4</w:t>
                      </w:r>
                      <w:r>
                        <w:rPr>
                          <w:rFonts w:hint="eastAsia"/>
                          <w:b/>
                          <w:bCs/>
                          <w:sz w:val="28"/>
                          <w:szCs w:val="28"/>
                          <w:lang w:val="en-US" w:eastAsia="zh-CN"/>
                        </w:rPr>
                        <w:t xml:space="preserve"> 工程线路走向图（比例尺</w:t>
                      </w:r>
                      <w:r>
                        <w:rPr>
                          <w:rFonts w:hint="default" w:ascii="Times New Roman" w:hAnsi="Times New Roman" w:cs="Times New Roman"/>
                          <w:b/>
                          <w:bCs/>
                          <w:sz w:val="28"/>
                          <w:szCs w:val="28"/>
                          <w:lang w:val="en-US" w:eastAsia="zh-CN"/>
                        </w:rPr>
                        <w:t>1：40000</w:t>
                      </w:r>
                      <w:r>
                        <w:rPr>
                          <w:rFonts w:hint="eastAsia"/>
                          <w:b/>
                          <w:bCs/>
                          <w:sz w:val="28"/>
                          <w:szCs w:val="28"/>
                          <w:lang w:val="en-US" w:eastAsia="zh-CN"/>
                        </w:rPr>
                        <w:t>）</w:t>
                      </w:r>
                    </w:p>
                    <w:p w14:paraId="42DCEE5A"/>
                  </w:txbxContent>
                </v:textbox>
              </v:shape>
            </w:pict>
          </mc:Fallback>
        </mc:AlternateContent>
      </w:r>
      <w:r>
        <w:drawing>
          <wp:anchor distT="0" distB="0" distL="114300" distR="114300" simplePos="0" relativeHeight="251713536" behindDoc="0" locked="0" layoutInCell="1" allowOverlap="1">
            <wp:simplePos x="0" y="0"/>
            <wp:positionH relativeFrom="column">
              <wp:posOffset>19050</wp:posOffset>
            </wp:positionH>
            <wp:positionV relativeFrom="page">
              <wp:posOffset>1232535</wp:posOffset>
            </wp:positionV>
            <wp:extent cx="8851265" cy="4971415"/>
            <wp:effectExtent l="19050" t="19050" r="26035" b="19685"/>
            <wp:wrapSquare wrapText="bothSides"/>
            <wp:docPr id="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
                    <pic:cNvPicPr>
                      <a:picLocks noChangeAspect="1"/>
                    </pic:cNvPicPr>
                  </pic:nvPicPr>
                  <pic:blipFill>
                    <a:blip r:embed="rId24"/>
                    <a:stretch>
                      <a:fillRect/>
                    </a:stretch>
                  </pic:blipFill>
                  <pic:spPr>
                    <a:xfrm>
                      <a:off x="0" y="0"/>
                      <a:ext cx="8851265" cy="4971415"/>
                    </a:xfrm>
                    <a:prstGeom prst="rect">
                      <a:avLst/>
                    </a:prstGeom>
                    <a:noFill/>
                    <a:ln w="19050" cmpd="sng">
                      <a:solidFill>
                        <a:schemeClr val="tx1"/>
                      </a:solidFill>
                      <a:prstDash val="solid"/>
                    </a:ln>
                  </pic:spPr>
                </pic:pic>
              </a:graphicData>
            </a:graphic>
          </wp:anchor>
        </w:drawing>
      </w:r>
    </w:p>
    <w:p w14:paraId="7E4FFA94">
      <w:pPr>
        <w:sectPr>
          <w:pgSz w:w="16838" w:h="11906" w:orient="landscape"/>
          <w:pgMar w:top="1800" w:right="1440" w:bottom="1800" w:left="1440" w:header="851" w:footer="992" w:gutter="0"/>
          <w:cols w:space="425" w:num="1"/>
          <w:docGrid w:type="lines" w:linePitch="312" w:charSpace="0"/>
        </w:sectPr>
      </w:pPr>
      <w:r>
        <w:rPr>
          <w:rFonts w:hint="eastAsia" w:eastAsia="宋体"/>
          <w:lang w:eastAsia="zh-CN"/>
        </w:rPr>
        <w:drawing>
          <wp:anchor distT="0" distB="0" distL="114300" distR="114300" simplePos="0" relativeHeight="251715584" behindDoc="0" locked="0" layoutInCell="1" allowOverlap="1">
            <wp:simplePos x="0" y="0"/>
            <wp:positionH relativeFrom="column">
              <wp:posOffset>8358505</wp:posOffset>
            </wp:positionH>
            <wp:positionV relativeFrom="paragraph">
              <wp:posOffset>39370</wp:posOffset>
            </wp:positionV>
            <wp:extent cx="533400" cy="1043940"/>
            <wp:effectExtent l="0" t="0" r="0" b="3810"/>
            <wp:wrapSquare wrapText="bothSides"/>
            <wp:docPr id="58" name="图片 4" descr="16181149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 descr="1618114952(1)"/>
                    <pic:cNvPicPr>
                      <a:picLocks noChangeAspect="1"/>
                    </pic:cNvPicPr>
                  </pic:nvPicPr>
                  <pic:blipFill>
                    <a:blip r:embed="rId19"/>
                    <a:stretch>
                      <a:fillRect/>
                    </a:stretch>
                  </pic:blipFill>
                  <pic:spPr>
                    <a:xfrm>
                      <a:off x="0" y="0"/>
                      <a:ext cx="533400" cy="1043940"/>
                    </a:xfrm>
                    <a:prstGeom prst="rect">
                      <a:avLst/>
                    </a:prstGeom>
                    <a:noFill/>
                    <a:ln>
                      <a:noFill/>
                    </a:ln>
                  </pic:spPr>
                </pic:pic>
              </a:graphicData>
            </a:graphic>
          </wp:anchor>
        </w:drawing>
      </w:r>
      <w:r>
        <w:rPr>
          <w:sz w:val="21"/>
        </w:rPr>
        <mc:AlternateContent>
          <mc:Choice Requires="wps">
            <w:drawing>
              <wp:anchor distT="0" distB="0" distL="114300" distR="114300" simplePos="0" relativeHeight="251703296" behindDoc="0" locked="0" layoutInCell="1" allowOverlap="1">
                <wp:simplePos x="0" y="0"/>
                <wp:positionH relativeFrom="column">
                  <wp:posOffset>-2540</wp:posOffset>
                </wp:positionH>
                <wp:positionV relativeFrom="paragraph">
                  <wp:posOffset>5642610</wp:posOffset>
                </wp:positionV>
                <wp:extent cx="8798560" cy="548005"/>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8798560" cy="548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03B8C9">
                            <w:pPr>
                              <w:jc w:val="center"/>
                              <w:rPr>
                                <w:rFonts w:hint="default" w:eastAsia="宋体"/>
                                <w:b/>
                                <w:bCs/>
                                <w:sz w:val="28"/>
                                <w:szCs w:val="28"/>
                                <w:lang w:val="en-US" w:eastAsia="zh-CN"/>
                              </w:rPr>
                            </w:pPr>
                            <w:r>
                              <w:rPr>
                                <w:rFonts w:hint="eastAsia" w:ascii="Times New Roman" w:hAnsi="Times New Roman"/>
                                <w:b/>
                                <w:bCs/>
                                <w:sz w:val="28"/>
                                <w:szCs w:val="28"/>
                                <w:lang w:eastAsia="zh-CN"/>
                              </w:rPr>
                              <w:t>附图</w:t>
                            </w:r>
                            <w:r>
                              <w:rPr>
                                <w:rFonts w:hint="eastAsia" w:ascii="Times New Roman" w:hAnsi="Times New Roman"/>
                                <w:b/>
                                <w:bCs/>
                                <w:sz w:val="28"/>
                                <w:szCs w:val="28"/>
                                <w:lang w:val="en-US" w:eastAsia="zh-CN"/>
                              </w:rPr>
                              <w:t>5</w:t>
                            </w:r>
                            <w:r>
                              <w:rPr>
                                <w:rFonts w:hint="eastAsia"/>
                                <w:b/>
                                <w:bCs/>
                                <w:sz w:val="28"/>
                                <w:szCs w:val="28"/>
                                <w:lang w:val="en-US" w:eastAsia="zh-CN"/>
                              </w:rPr>
                              <w:t xml:space="preserve"> 本项目施工总布置图（1:30000）</w:t>
                            </w:r>
                          </w:p>
                          <w:p w14:paraId="1DB32CA6"/>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2pt;margin-top:444.3pt;height:43.15pt;width:692.8pt;z-index:251703296;mso-width-relative:page;mso-height-relative:page;" filled="f" stroked="f" coordsize="21600,21600" o:gfxdata="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8rQ+ftsAAAAKAQAADwAAAAAAAAABACAAAAAiAAAA&#10;ZHJzL2Rvd25yZXYueG1sUEsBAhQAFAAAAAgAh07iQCOi2o09AgAAaAQAAA4AAAAAAAAAAQAgAAAA&#10;KgEAAGRycy9lMm9Eb2MueG1sUEsFBgAAAAAGAAYAWQEAANkFAAAAAA==&#10;">
                <v:fill on="f" focussize="0,0"/>
                <v:stroke on="f" weight="0.5pt"/>
                <v:imagedata o:title=""/>
                <o:lock v:ext="edit" aspectratio="f"/>
                <v:textbox>
                  <w:txbxContent>
                    <w:p w14:paraId="5C03B8C9">
                      <w:pPr>
                        <w:jc w:val="center"/>
                        <w:rPr>
                          <w:rFonts w:hint="default" w:eastAsia="宋体"/>
                          <w:b/>
                          <w:bCs/>
                          <w:sz w:val="28"/>
                          <w:szCs w:val="28"/>
                          <w:lang w:val="en-US" w:eastAsia="zh-CN"/>
                        </w:rPr>
                      </w:pPr>
                      <w:r>
                        <w:rPr>
                          <w:rFonts w:hint="eastAsia" w:ascii="Times New Roman" w:hAnsi="Times New Roman"/>
                          <w:b/>
                          <w:bCs/>
                          <w:sz w:val="28"/>
                          <w:szCs w:val="28"/>
                          <w:lang w:eastAsia="zh-CN"/>
                        </w:rPr>
                        <w:t>附图</w:t>
                      </w:r>
                      <w:r>
                        <w:rPr>
                          <w:rFonts w:hint="eastAsia" w:ascii="Times New Roman" w:hAnsi="Times New Roman"/>
                          <w:b/>
                          <w:bCs/>
                          <w:sz w:val="28"/>
                          <w:szCs w:val="28"/>
                          <w:lang w:val="en-US" w:eastAsia="zh-CN"/>
                        </w:rPr>
                        <w:t>5</w:t>
                      </w:r>
                      <w:r>
                        <w:rPr>
                          <w:rFonts w:hint="eastAsia"/>
                          <w:b/>
                          <w:bCs/>
                          <w:sz w:val="28"/>
                          <w:szCs w:val="28"/>
                          <w:lang w:val="en-US" w:eastAsia="zh-CN"/>
                        </w:rPr>
                        <w:t xml:space="preserve"> 本项目施工总布置图（1:30000）</w:t>
                      </w:r>
                    </w:p>
                    <w:p w14:paraId="1DB32CA6"/>
                  </w:txbxContent>
                </v:textbox>
              </v:shape>
            </w:pict>
          </mc:Fallback>
        </mc:AlternateContent>
      </w:r>
      <w:r>
        <w:drawing>
          <wp:anchor distT="0" distB="0" distL="114300" distR="114300" simplePos="0" relativeHeight="251665408" behindDoc="0" locked="0" layoutInCell="1" allowOverlap="1">
            <wp:simplePos x="0" y="0"/>
            <wp:positionH relativeFrom="column">
              <wp:posOffset>0</wp:posOffset>
            </wp:positionH>
            <wp:positionV relativeFrom="paragraph">
              <wp:posOffset>70485</wp:posOffset>
            </wp:positionV>
            <wp:extent cx="8860155" cy="5004435"/>
            <wp:effectExtent l="19050" t="19050" r="36195" b="24765"/>
            <wp:wrapSquare wrapText="bothSides"/>
            <wp:docPr id="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
                    <pic:cNvPicPr>
                      <a:picLocks noChangeAspect="1"/>
                    </pic:cNvPicPr>
                  </pic:nvPicPr>
                  <pic:blipFill>
                    <a:blip r:embed="rId25"/>
                    <a:stretch>
                      <a:fillRect/>
                    </a:stretch>
                  </pic:blipFill>
                  <pic:spPr>
                    <a:xfrm>
                      <a:off x="0" y="0"/>
                      <a:ext cx="8860155" cy="5004435"/>
                    </a:xfrm>
                    <a:prstGeom prst="rect">
                      <a:avLst/>
                    </a:prstGeom>
                    <a:noFill/>
                    <a:ln w="19050" cmpd="sng">
                      <a:solidFill>
                        <a:schemeClr val="tx1"/>
                      </a:solidFill>
                      <a:prstDash val="solid"/>
                    </a:ln>
                  </pic:spPr>
                </pic:pic>
              </a:graphicData>
            </a:graphic>
          </wp:anchor>
        </w:drawing>
      </w:r>
    </w:p>
    <w:p w14:paraId="0AD9E2ED">
      <w:pPr>
        <w:sectPr>
          <w:pgSz w:w="16838" w:h="11906" w:orient="landscape"/>
          <w:pgMar w:top="1800" w:right="1440" w:bottom="1800" w:left="1440" w:header="851" w:footer="992" w:gutter="0"/>
          <w:cols w:space="425" w:num="1"/>
          <w:docGrid w:type="lines" w:linePitch="312" w:charSpace="0"/>
        </w:sectPr>
      </w:pPr>
      <w:r>
        <w:rPr>
          <w:sz w:val="21"/>
        </w:rPr>
        <mc:AlternateContent>
          <mc:Choice Requires="wps">
            <w:drawing>
              <wp:anchor distT="0" distB="0" distL="114300" distR="114300" simplePos="0" relativeHeight="251698176" behindDoc="0" locked="0" layoutInCell="1" allowOverlap="1">
                <wp:simplePos x="0" y="0"/>
                <wp:positionH relativeFrom="column">
                  <wp:posOffset>-2540</wp:posOffset>
                </wp:positionH>
                <wp:positionV relativeFrom="paragraph">
                  <wp:posOffset>5642610</wp:posOffset>
                </wp:positionV>
                <wp:extent cx="8798560" cy="548005"/>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8798560" cy="548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26AA53">
                            <w:pPr>
                              <w:jc w:val="center"/>
                              <w:rPr>
                                <w:rFonts w:hint="default" w:eastAsia="宋体"/>
                                <w:b/>
                                <w:bCs/>
                                <w:sz w:val="28"/>
                                <w:szCs w:val="28"/>
                                <w:lang w:val="en-US" w:eastAsia="zh-CN"/>
                              </w:rPr>
                            </w:pPr>
                            <w:r>
                              <w:rPr>
                                <w:rFonts w:hint="eastAsia" w:ascii="Times New Roman" w:hAnsi="Times New Roman"/>
                                <w:b/>
                                <w:bCs/>
                                <w:sz w:val="28"/>
                                <w:szCs w:val="28"/>
                                <w:lang w:eastAsia="zh-CN"/>
                              </w:rPr>
                              <w:t>附图</w:t>
                            </w:r>
                            <w:r>
                              <w:rPr>
                                <w:rFonts w:hint="eastAsia" w:ascii="Times New Roman" w:hAnsi="Times New Roman"/>
                                <w:b/>
                                <w:bCs/>
                                <w:sz w:val="28"/>
                                <w:szCs w:val="28"/>
                                <w:lang w:val="en-US" w:eastAsia="zh-CN"/>
                              </w:rPr>
                              <w:t>6</w:t>
                            </w:r>
                            <w:r>
                              <w:rPr>
                                <w:rFonts w:hint="eastAsia"/>
                                <w:b/>
                                <w:bCs/>
                                <w:sz w:val="28"/>
                                <w:szCs w:val="28"/>
                                <w:lang w:val="en-US" w:eastAsia="zh-CN"/>
                              </w:rPr>
                              <w:t xml:space="preserve"> 生态环境保护措施设计图</w:t>
                            </w:r>
                          </w:p>
                          <w:p w14:paraId="31CC38FF"/>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2pt;margin-top:444.3pt;height:43.15pt;width:692.8pt;z-index:251698176;mso-width-relative:page;mso-height-relative:page;" filled="f" stroked="f" coordsize="21600,21600" o:gfxdata="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8rQ+ftsAAAAKAQAADwAAAAAAAAABACAAAAAiAAAA&#10;ZHJzL2Rvd25yZXYueG1sUEsBAhQAFAAAAAgAh07iQGQFDgo9AgAAaAQAAA4AAAAAAAAAAQAgAAAA&#10;KgEAAGRycy9lMm9Eb2MueG1sUEsFBgAAAAAGAAYAWQEAANkFAAAAAA==&#10;">
                <v:fill on="f" focussize="0,0"/>
                <v:stroke on="f" weight="0.5pt"/>
                <v:imagedata o:title=""/>
                <o:lock v:ext="edit" aspectratio="f"/>
                <v:textbox>
                  <w:txbxContent>
                    <w:p w14:paraId="5326AA53">
                      <w:pPr>
                        <w:jc w:val="center"/>
                        <w:rPr>
                          <w:rFonts w:hint="default" w:eastAsia="宋体"/>
                          <w:b/>
                          <w:bCs/>
                          <w:sz w:val="28"/>
                          <w:szCs w:val="28"/>
                          <w:lang w:val="en-US" w:eastAsia="zh-CN"/>
                        </w:rPr>
                      </w:pPr>
                      <w:r>
                        <w:rPr>
                          <w:rFonts w:hint="eastAsia" w:ascii="Times New Roman" w:hAnsi="Times New Roman"/>
                          <w:b/>
                          <w:bCs/>
                          <w:sz w:val="28"/>
                          <w:szCs w:val="28"/>
                          <w:lang w:eastAsia="zh-CN"/>
                        </w:rPr>
                        <w:t>附图</w:t>
                      </w:r>
                      <w:r>
                        <w:rPr>
                          <w:rFonts w:hint="eastAsia" w:ascii="Times New Roman" w:hAnsi="Times New Roman"/>
                          <w:b/>
                          <w:bCs/>
                          <w:sz w:val="28"/>
                          <w:szCs w:val="28"/>
                          <w:lang w:val="en-US" w:eastAsia="zh-CN"/>
                        </w:rPr>
                        <w:t>6</w:t>
                      </w:r>
                      <w:r>
                        <w:rPr>
                          <w:rFonts w:hint="eastAsia"/>
                          <w:b/>
                          <w:bCs/>
                          <w:sz w:val="28"/>
                          <w:szCs w:val="28"/>
                          <w:lang w:val="en-US" w:eastAsia="zh-CN"/>
                        </w:rPr>
                        <w:t xml:space="preserve"> 生态环境保护措施设计图</w:t>
                      </w:r>
                    </w:p>
                    <w:p w14:paraId="31CC38FF"/>
                  </w:txbxContent>
                </v:textbox>
              </v:shape>
            </w:pict>
          </mc:Fallback>
        </mc:AlternateContent>
      </w:r>
      <w:r>
        <w:rPr>
          <w:rFonts w:hint="eastAsia" w:eastAsia="宋体"/>
          <w:lang w:eastAsia="zh-CN"/>
        </w:rPr>
        <w:drawing>
          <wp:anchor distT="0" distB="0" distL="114300" distR="114300" simplePos="0" relativeHeight="251718656" behindDoc="0" locked="0" layoutInCell="1" allowOverlap="1">
            <wp:simplePos x="0" y="0"/>
            <wp:positionH relativeFrom="column">
              <wp:posOffset>8358505</wp:posOffset>
            </wp:positionH>
            <wp:positionV relativeFrom="paragraph">
              <wp:posOffset>39370</wp:posOffset>
            </wp:positionV>
            <wp:extent cx="533400" cy="1043940"/>
            <wp:effectExtent l="0" t="0" r="0" b="3810"/>
            <wp:wrapSquare wrapText="bothSides"/>
            <wp:docPr id="62" name="图片 4" descr="16181149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 descr="1618114952(1)"/>
                    <pic:cNvPicPr>
                      <a:picLocks noChangeAspect="1"/>
                    </pic:cNvPicPr>
                  </pic:nvPicPr>
                  <pic:blipFill>
                    <a:blip r:embed="rId19"/>
                    <a:stretch>
                      <a:fillRect/>
                    </a:stretch>
                  </pic:blipFill>
                  <pic:spPr>
                    <a:xfrm>
                      <a:off x="0" y="0"/>
                      <a:ext cx="533400" cy="1043940"/>
                    </a:xfrm>
                    <a:prstGeom prst="rect">
                      <a:avLst/>
                    </a:prstGeom>
                    <a:noFill/>
                    <a:ln>
                      <a:noFill/>
                    </a:ln>
                  </pic:spPr>
                </pic:pic>
              </a:graphicData>
            </a:graphic>
          </wp:anchor>
        </w:drawing>
      </w:r>
      <w:r>
        <w:drawing>
          <wp:anchor distT="0" distB="0" distL="114300" distR="114300" simplePos="0" relativeHeight="251717632" behindDoc="0" locked="0" layoutInCell="1" allowOverlap="1">
            <wp:simplePos x="0" y="0"/>
            <wp:positionH relativeFrom="column">
              <wp:posOffset>19050</wp:posOffset>
            </wp:positionH>
            <wp:positionV relativeFrom="page">
              <wp:posOffset>1251585</wp:posOffset>
            </wp:positionV>
            <wp:extent cx="8801100" cy="4933950"/>
            <wp:effectExtent l="19050" t="19050" r="19050" b="19050"/>
            <wp:wrapSquare wrapText="bothSides"/>
            <wp:docPr id="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
                    <pic:cNvPicPr>
                      <a:picLocks noChangeAspect="1"/>
                    </pic:cNvPicPr>
                  </pic:nvPicPr>
                  <pic:blipFill>
                    <a:blip r:embed="rId26"/>
                    <a:stretch>
                      <a:fillRect/>
                    </a:stretch>
                  </pic:blipFill>
                  <pic:spPr>
                    <a:xfrm>
                      <a:off x="0" y="0"/>
                      <a:ext cx="8801100" cy="4933950"/>
                    </a:xfrm>
                    <a:prstGeom prst="rect">
                      <a:avLst/>
                    </a:prstGeom>
                    <a:noFill/>
                    <a:ln w="19050" cmpd="sng">
                      <a:solidFill>
                        <a:schemeClr val="tx1"/>
                      </a:solidFill>
                      <a:prstDash val="solid"/>
                    </a:ln>
                  </pic:spPr>
                </pic:pic>
              </a:graphicData>
            </a:graphic>
          </wp:anchor>
        </w:drawing>
      </w:r>
    </w:p>
    <w:p w14:paraId="1A768537">
      <w:pPr>
        <w:rPr>
          <w:rFonts w:hint="default"/>
          <w:lang w:val="en-US" w:eastAsia="zh-CN"/>
        </w:rPr>
      </w:pPr>
      <w:r>
        <w:rPr>
          <w:sz w:val="21"/>
        </w:rPr>
        <mc:AlternateContent>
          <mc:Choice Requires="wps">
            <w:drawing>
              <wp:anchor distT="0" distB="0" distL="114300" distR="114300" simplePos="0" relativeHeight="251701248" behindDoc="0" locked="0" layoutInCell="1" allowOverlap="1">
                <wp:simplePos x="0" y="0"/>
                <wp:positionH relativeFrom="column">
                  <wp:posOffset>4422775</wp:posOffset>
                </wp:positionH>
                <wp:positionV relativeFrom="paragraph">
                  <wp:posOffset>469265</wp:posOffset>
                </wp:positionV>
                <wp:extent cx="1347470" cy="584835"/>
                <wp:effectExtent l="49530" t="12700" r="12700" b="583565"/>
                <wp:wrapNone/>
                <wp:docPr id="49" name="矩形标注 49"/>
                <wp:cNvGraphicFramePr/>
                <a:graphic xmlns:a="http://schemas.openxmlformats.org/drawingml/2006/main">
                  <a:graphicData uri="http://schemas.microsoft.com/office/word/2010/wordprocessingShape">
                    <wps:wsp>
                      <wps:cNvSpPr/>
                      <wps:spPr>
                        <a:xfrm>
                          <a:off x="5638800" y="2025015"/>
                          <a:ext cx="1347470" cy="584835"/>
                        </a:xfrm>
                        <a:prstGeom prst="wedgeRectCallout">
                          <a:avLst>
                            <a:gd name="adj1" fmla="val -52712"/>
                            <a:gd name="adj2" fmla="val 146199"/>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1B3627E">
                            <w:pPr>
                              <w:jc w:val="center"/>
                              <w:rPr>
                                <w:rFonts w:hint="eastAsia" w:eastAsiaTheme="minorEastAsia"/>
                                <w:b/>
                                <w:bCs/>
                                <w:color w:val="FF0000"/>
                                <w:sz w:val="24"/>
                                <w:szCs w:val="24"/>
                                <w:lang w:eastAsia="zh-CN"/>
                              </w:rPr>
                            </w:pPr>
                            <w:r>
                              <w:rPr>
                                <w:rFonts w:hint="eastAsia"/>
                                <w:b/>
                                <w:bCs/>
                                <w:color w:val="FF0000"/>
                                <w:sz w:val="24"/>
                                <w:szCs w:val="24"/>
                                <w:lang w:eastAsia="zh-CN"/>
                              </w:rPr>
                              <w:t>本项目走线图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8.25pt;margin-top:36.95pt;height:46.05pt;width:106.1pt;z-index:251701248;v-text-anchor:middle;mso-width-relative:page;mso-height-relative:page;" filled="f" stroked="t" coordsize="21600,21600" o:gfxdata="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O6Z68dgAAAAKAQAADwAAAAAAAAABACAAAAAiAAAAZHJzL2Rv&#10;d25yZXYueG1sUEsBAhQAFAAAAAgAh07iQOpIVwysAgAAMgUAAA4AAAAAAAAAAQAgAAAAJwEAAGRy&#10;cy9lMm9Eb2MueG1sUEsFBgAAAAAGAAYAWQEAAEUGAAAAAA==&#10;" adj="-586,42379">
                <v:fill on="f" focussize="0,0"/>
                <v:stroke weight="2pt" color="#FF0000 [2404]" joinstyle="round"/>
                <v:imagedata o:title=""/>
                <o:lock v:ext="edit" aspectratio="f"/>
                <v:textbox>
                  <w:txbxContent>
                    <w:p w14:paraId="71B3627E">
                      <w:pPr>
                        <w:jc w:val="center"/>
                        <w:rPr>
                          <w:rFonts w:hint="eastAsia" w:eastAsiaTheme="minorEastAsia"/>
                          <w:b/>
                          <w:bCs/>
                          <w:color w:val="FF0000"/>
                          <w:sz w:val="24"/>
                          <w:szCs w:val="24"/>
                          <w:lang w:eastAsia="zh-CN"/>
                        </w:rPr>
                      </w:pPr>
                      <w:r>
                        <w:rPr>
                          <w:rFonts w:hint="eastAsia"/>
                          <w:b/>
                          <w:bCs/>
                          <w:color w:val="FF0000"/>
                          <w:sz w:val="24"/>
                          <w:szCs w:val="24"/>
                          <w:lang w:eastAsia="zh-CN"/>
                        </w:rPr>
                        <w:t>本项目走线图</w:t>
                      </w:r>
                    </w:p>
                  </w:txbxContent>
                </v:textbox>
              </v:shape>
            </w:pict>
          </mc:Fallback>
        </mc:AlternateContent>
      </w:r>
      <w:r>
        <w:drawing>
          <wp:inline distT="0" distB="0" distL="114300" distR="114300">
            <wp:extent cx="8932545" cy="4787265"/>
            <wp:effectExtent l="19050" t="19050" r="20955" b="32385"/>
            <wp:docPr id="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
                    <pic:cNvPicPr>
                      <a:picLocks noChangeAspect="1"/>
                    </pic:cNvPicPr>
                  </pic:nvPicPr>
                  <pic:blipFill>
                    <a:blip r:embed="rId27"/>
                    <a:stretch>
                      <a:fillRect/>
                    </a:stretch>
                  </pic:blipFill>
                  <pic:spPr>
                    <a:xfrm>
                      <a:off x="0" y="0"/>
                      <a:ext cx="8932545" cy="4787265"/>
                    </a:xfrm>
                    <a:prstGeom prst="rect">
                      <a:avLst/>
                    </a:prstGeom>
                    <a:noFill/>
                    <a:ln w="19050" cmpd="sng">
                      <a:solidFill>
                        <a:schemeClr val="tx1"/>
                      </a:solidFill>
                      <a:prstDash val="solid"/>
                    </a:ln>
                  </pic:spPr>
                </pic:pic>
              </a:graphicData>
            </a:graphic>
          </wp:inline>
        </w:drawing>
      </w:r>
      <w:r>
        <w:rPr>
          <w:sz w:val="21"/>
        </w:rPr>
        <mc:AlternateContent>
          <mc:Choice Requires="wps">
            <w:drawing>
              <wp:anchor distT="0" distB="0" distL="114300" distR="114300" simplePos="0" relativeHeight="251707392" behindDoc="0" locked="0" layoutInCell="1" allowOverlap="1">
                <wp:simplePos x="0" y="0"/>
                <wp:positionH relativeFrom="column">
                  <wp:posOffset>4394835</wp:posOffset>
                </wp:positionH>
                <wp:positionV relativeFrom="paragraph">
                  <wp:posOffset>2013585</wp:posOffset>
                </wp:positionV>
                <wp:extent cx="22225" cy="6350"/>
                <wp:effectExtent l="0" t="0" r="0" b="0"/>
                <wp:wrapNone/>
                <wp:docPr id="56" name="任意多边形 56"/>
                <wp:cNvGraphicFramePr/>
                <a:graphic xmlns:a="http://schemas.openxmlformats.org/drawingml/2006/main">
                  <a:graphicData uri="http://schemas.microsoft.com/office/word/2010/wordprocessingShape">
                    <wps:wsp>
                      <wps:cNvSpPr/>
                      <wps:spPr>
                        <a:xfrm rot="540000">
                          <a:off x="5309235" y="3156585"/>
                          <a:ext cx="22225" cy="6350"/>
                        </a:xfrm>
                        <a:custGeom>
                          <a:avLst/>
                          <a:gdLst>
                            <a:gd name="connisteX0" fmla="*/ 0 w 22254"/>
                            <a:gd name="connsiteY0" fmla="*/ 6350 h 6350"/>
                            <a:gd name="connisteX1" fmla="*/ 20955 w 22254"/>
                            <a:gd name="connsiteY1" fmla="*/ 3175 h 6350"/>
                            <a:gd name="connisteX2" fmla="*/ 18415 w 22254"/>
                            <a:gd name="connsiteY2" fmla="*/ 0 h 6350"/>
                          </a:gdLst>
                          <a:ahLst/>
                          <a:cxnLst>
                            <a:cxn ang="0">
                              <a:pos x="connisteX0" y="connsiteY0"/>
                            </a:cxn>
                            <a:cxn ang="0">
                              <a:pos x="connisteX1" y="connsiteY1"/>
                            </a:cxn>
                            <a:cxn ang="0">
                              <a:pos x="connisteX2" y="connsiteY2"/>
                            </a:cxn>
                          </a:cxnLst>
                          <a:rect l="l" t="t" r="r" b="b"/>
                          <a:pathLst>
                            <a:path w="22255" h="6350">
                              <a:moveTo>
                                <a:pt x="0" y="6350"/>
                              </a:moveTo>
                              <a:cubicBezTo>
                                <a:pt x="4445" y="5715"/>
                                <a:pt x="17145" y="4445"/>
                                <a:pt x="20955" y="3175"/>
                              </a:cubicBezTo>
                              <a:cubicBezTo>
                                <a:pt x="24765" y="1905"/>
                                <a:pt x="19050" y="635"/>
                                <a:pt x="18415" y="0"/>
                              </a:cubicBezTo>
                            </a:path>
                          </a:pathLst>
                        </a:custGeom>
                        <a:noFill/>
                        <a:ln w="63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46.05pt;margin-top:158.55pt;height:0.5pt;width:1.75pt;rotation:589824f;z-index:251707392;mso-width-relative:page;mso-height-relative:page;" filled="f" stroked="t" coordsize="22255,6350" o:gfxdata="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" path="m0,6350c4445,5715,17145,4445,20955,3175c24765,1905,19050,635,18415,0e">
                <v:path o:connectlocs="0,6350;20927,3175;18391,0" o:connectangles="0,0,0"/>
                <v:fill on="f" focussize="0,0"/>
                <v:stroke weight="0.5pt" color="#FF0000 [2404]" joinstyle="round"/>
                <v:imagedata o:title=""/>
                <o:lock v:ext="edit" aspectratio="f"/>
              </v:shape>
            </w:pict>
          </mc:Fallback>
        </mc:AlternateContent>
      </w:r>
      <w:r>
        <w:rPr>
          <w:sz w:val="21"/>
        </w:rPr>
        <mc:AlternateContent>
          <mc:Choice Requires="wps">
            <w:drawing>
              <wp:anchor distT="0" distB="0" distL="114300" distR="114300" simplePos="0" relativeHeight="251706368" behindDoc="0" locked="0" layoutInCell="1" allowOverlap="1">
                <wp:simplePos x="0" y="0"/>
                <wp:positionH relativeFrom="column">
                  <wp:posOffset>4237355</wp:posOffset>
                </wp:positionH>
                <wp:positionV relativeFrom="paragraph">
                  <wp:posOffset>1757680</wp:posOffset>
                </wp:positionV>
                <wp:extent cx="20320" cy="220345"/>
                <wp:effectExtent l="4445" t="635" r="13335" b="7620"/>
                <wp:wrapNone/>
                <wp:docPr id="63" name="任意多边形 63"/>
                <wp:cNvGraphicFramePr/>
                <a:graphic xmlns:a="http://schemas.openxmlformats.org/drawingml/2006/main">
                  <a:graphicData uri="http://schemas.microsoft.com/office/word/2010/wordprocessingShape">
                    <wps:wsp>
                      <wps:cNvSpPr/>
                      <wps:spPr>
                        <a:xfrm>
                          <a:off x="5151755" y="2900680"/>
                          <a:ext cx="20320" cy="220345"/>
                        </a:xfrm>
                        <a:custGeom>
                          <a:avLst/>
                          <a:gdLst>
                            <a:gd name="connisteX0" fmla="*/ 0 w 20320"/>
                            <a:gd name="connsiteY0" fmla="*/ 220345 h 220345"/>
                            <a:gd name="connisteX1" fmla="*/ 20320 w 20320"/>
                            <a:gd name="connsiteY1" fmla="*/ 0 h 220345"/>
                          </a:gdLst>
                          <a:ahLst/>
                          <a:cxnLst>
                            <a:cxn ang="0">
                              <a:pos x="connisteX0" y="connsiteY0"/>
                            </a:cxn>
                            <a:cxn ang="0">
                              <a:pos x="connisteX1" y="connsiteY1"/>
                            </a:cxn>
                          </a:cxnLst>
                          <a:rect l="l" t="t" r="r" b="b"/>
                          <a:pathLst>
                            <a:path w="20320" h="220345">
                              <a:moveTo>
                                <a:pt x="0" y="220345"/>
                              </a:moveTo>
                              <a:cubicBezTo>
                                <a:pt x="6985" y="146685"/>
                                <a:pt x="13335" y="73660"/>
                                <a:pt x="20320" y="0"/>
                              </a:cubicBezTo>
                            </a:path>
                          </a:pathLst>
                        </a:custGeom>
                        <a:noFill/>
                        <a:ln w="63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33.65pt;margin-top:138.4pt;height:17.35pt;width:1.6pt;z-index:251706368;mso-width-relative:page;mso-height-relative:page;" filled="f" stroked="t" coordsize="20320,220345" o:gfxdata="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E+lXytkAAAALAQAADwAAAAAAAAAB&#10;ACAAAAAiAAAAZHJzL2Rvd25yZXYueG1sUEsBAhQAFAAAAAgAh07iQPZ/eX+6AgAA/wUAAA4AAAAA&#10;AAAAAQAgAAAAKAEAAGRycy9lMm9Eb2MueG1sUEsFBgAAAAAGAAYAWQEAAFQGAAAAAA==&#10;" path="m0,220345c6985,146685,13335,73660,20320,0e">
                <v:path o:connectlocs="0,220345;20320,0" o:connectangles="0,0"/>
                <v:fill on="f" focussize="0,0"/>
                <v:stroke weight="0.5pt" color="#FF0000 [2404]" joinstyle="round"/>
                <v:imagedata o:title=""/>
                <o:lock v:ext="edit" aspectratio="f"/>
              </v:shape>
            </w:pict>
          </mc:Fallback>
        </mc:AlternateContent>
      </w:r>
      <w:r>
        <w:rPr>
          <w:sz w:val="21"/>
        </w:rPr>
        <mc:AlternateContent>
          <mc:Choice Requires="wps">
            <w:drawing>
              <wp:anchor distT="0" distB="0" distL="114300" distR="114300" simplePos="0" relativeHeight="251705344" behindDoc="0" locked="0" layoutInCell="1" allowOverlap="1">
                <wp:simplePos x="0" y="0"/>
                <wp:positionH relativeFrom="column">
                  <wp:posOffset>4078605</wp:posOffset>
                </wp:positionH>
                <wp:positionV relativeFrom="paragraph">
                  <wp:posOffset>2127250</wp:posOffset>
                </wp:positionV>
                <wp:extent cx="290830" cy="7620"/>
                <wp:effectExtent l="0" t="0" r="0" b="0"/>
                <wp:wrapNone/>
                <wp:docPr id="64" name="任意多边形 64"/>
                <wp:cNvGraphicFramePr/>
                <a:graphic xmlns:a="http://schemas.openxmlformats.org/drawingml/2006/main">
                  <a:graphicData uri="http://schemas.microsoft.com/office/word/2010/wordprocessingShape">
                    <wps:wsp>
                      <wps:cNvSpPr/>
                      <wps:spPr>
                        <a:xfrm>
                          <a:off x="4993005" y="3270250"/>
                          <a:ext cx="290830" cy="7620"/>
                        </a:xfrm>
                        <a:custGeom>
                          <a:avLst/>
                          <a:gdLst>
                            <a:gd name="connisteX0" fmla="*/ 0 w 290830"/>
                            <a:gd name="connsiteY0" fmla="*/ 564 h 7549"/>
                            <a:gd name="connisteX1" fmla="*/ 193040 w 290830"/>
                            <a:gd name="connsiteY1" fmla="*/ 564 h 7549"/>
                            <a:gd name="connisteX2" fmla="*/ 290830 w 290830"/>
                            <a:gd name="connsiteY2" fmla="*/ 7549 h 7549"/>
                          </a:gdLst>
                          <a:ahLst/>
                          <a:cxnLst>
                            <a:cxn ang="0">
                              <a:pos x="connisteX0" y="connsiteY0"/>
                            </a:cxn>
                            <a:cxn ang="0">
                              <a:pos x="connisteX1" y="connsiteY1"/>
                            </a:cxn>
                            <a:cxn ang="0">
                              <a:pos x="connisteX2" y="connsiteY2"/>
                            </a:cxn>
                          </a:cxnLst>
                          <a:rect l="l" t="t" r="r" b="b"/>
                          <a:pathLst>
                            <a:path w="290830" h="7549">
                              <a:moveTo>
                                <a:pt x="0" y="564"/>
                              </a:moveTo>
                              <a:cubicBezTo>
                                <a:pt x="36830" y="564"/>
                                <a:pt x="134620" y="-706"/>
                                <a:pt x="193040" y="564"/>
                              </a:cubicBezTo>
                              <a:cubicBezTo>
                                <a:pt x="251460" y="1834"/>
                                <a:pt x="274955" y="6279"/>
                                <a:pt x="290830" y="7549"/>
                              </a:cubicBezTo>
                            </a:path>
                          </a:pathLst>
                        </a:custGeom>
                        <a:noFill/>
                        <a:ln w="63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21.15pt;margin-top:167.5pt;height:0.6pt;width:22.9pt;z-index:251705344;mso-width-relative:page;mso-height-relative:page;" filled="f" stroked="t" coordsize="290830,7549" o:gfxdata="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" path="m0,564c36830,564,134620,-706,193040,564c251460,1834,274955,6279,290830,7549e">
                <v:path o:connectlocs="0,569;193040,569;290830,7620" o:connectangles="0,0,0"/>
                <v:fill on="f" focussize="0,0"/>
                <v:stroke weight="0.5pt" color="#FF0000 [2404]" joinstyle="round"/>
                <v:imagedata o:title=""/>
                <o:lock v:ext="edit" aspectratio="f"/>
              </v:shape>
            </w:pict>
          </mc:Fallback>
        </mc:AlternateContent>
      </w:r>
      <w:r>
        <w:rPr>
          <w:sz w:val="21"/>
        </w:rPr>
        <mc:AlternateContent>
          <mc:Choice Requires="wps">
            <w:drawing>
              <wp:anchor distT="0" distB="0" distL="114300" distR="114300" simplePos="0" relativeHeight="251704320" behindDoc="0" locked="0" layoutInCell="1" allowOverlap="1">
                <wp:simplePos x="0" y="0"/>
                <wp:positionH relativeFrom="column">
                  <wp:posOffset>4183380</wp:posOffset>
                </wp:positionH>
                <wp:positionV relativeFrom="paragraph">
                  <wp:posOffset>2720340</wp:posOffset>
                </wp:positionV>
                <wp:extent cx="405130" cy="184785"/>
                <wp:effectExtent l="1270" t="4445" r="12700" b="20320"/>
                <wp:wrapNone/>
                <wp:docPr id="65" name="任意多边形 65"/>
                <wp:cNvGraphicFramePr/>
                <a:graphic xmlns:a="http://schemas.openxmlformats.org/drawingml/2006/main">
                  <a:graphicData uri="http://schemas.microsoft.com/office/word/2010/wordprocessingShape">
                    <wps:wsp>
                      <wps:cNvSpPr/>
                      <wps:spPr>
                        <a:xfrm>
                          <a:off x="5097780" y="3863340"/>
                          <a:ext cx="405130" cy="184785"/>
                        </a:xfrm>
                        <a:custGeom>
                          <a:avLst/>
                          <a:gdLst>
                            <a:gd name="connisteX0" fmla="*/ 0 w 405131"/>
                            <a:gd name="connsiteY0" fmla="*/ 0 h 184970"/>
                            <a:gd name="connisteX1" fmla="*/ 220980 w 405131"/>
                            <a:gd name="connsiteY1" fmla="*/ 74295 h 184970"/>
                            <a:gd name="connisteX2" fmla="*/ 387985 w 405131"/>
                            <a:gd name="connsiteY2" fmla="*/ 172085 h 184970"/>
                            <a:gd name="connisteX3" fmla="*/ 392430 w 405131"/>
                            <a:gd name="connsiteY3" fmla="*/ 181610 h 184970"/>
                          </a:gdLst>
                          <a:ahLst/>
                          <a:cxnLst>
                            <a:cxn ang="0">
                              <a:pos x="connisteX0" y="connsiteY0"/>
                            </a:cxn>
                            <a:cxn ang="0">
                              <a:pos x="connisteX1" y="connsiteY1"/>
                            </a:cxn>
                            <a:cxn ang="0">
                              <a:pos x="connisteX2" y="connsiteY2"/>
                            </a:cxn>
                            <a:cxn ang="0">
                              <a:pos x="connisteX3" y="connsiteY3"/>
                            </a:cxn>
                          </a:cxnLst>
                          <a:rect l="l" t="t" r="r" b="b"/>
                          <a:pathLst>
                            <a:path w="405131" h="184971">
                              <a:moveTo>
                                <a:pt x="0" y="0"/>
                              </a:moveTo>
                              <a:cubicBezTo>
                                <a:pt x="40640" y="12700"/>
                                <a:pt x="143510" y="40005"/>
                                <a:pt x="220980" y="74295"/>
                              </a:cubicBezTo>
                              <a:cubicBezTo>
                                <a:pt x="298450" y="108585"/>
                                <a:pt x="353695" y="150495"/>
                                <a:pt x="387985" y="172085"/>
                              </a:cubicBezTo>
                              <a:cubicBezTo>
                                <a:pt x="422275" y="193675"/>
                                <a:pt x="394970" y="181610"/>
                                <a:pt x="392430" y="181610"/>
                              </a:cubicBezTo>
                            </a:path>
                          </a:pathLst>
                        </a:custGeom>
                        <a:ln w="6350">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100" style="position:absolute;left:0pt;margin-left:329.4pt;margin-top:214.2pt;height:14.55pt;width:31.9pt;z-index:251704320;mso-width-relative:page;mso-height-relative:page;" filled="f" stroked="t" coordsize="405131,184971" o:gfxdata="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" path="m0,0c40640,12700,143510,40005,220980,74295c298450,108585,353695,150495,387985,172085c422275,193675,394970,181610,392430,181610e">
                <v:path o:connectlocs="0,0;220979,74220;387984,171912;392429,181428" o:connectangles="0,0,0,0"/>
                <v:fill on="f" focussize="0,0"/>
                <v:stroke weight="0.5pt" color="#FF0000 [3204]" joinstyle="round"/>
                <v:imagedata o:title=""/>
                <o:lock v:ext="edit" aspectratio="f"/>
              </v:shape>
            </w:pict>
          </mc:Fallback>
        </mc:AlternateContent>
      </w:r>
      <w:r>
        <w:rPr>
          <w:sz w:val="21"/>
        </w:rPr>
        <mc:AlternateContent>
          <mc:Choice Requires="wps">
            <w:drawing>
              <wp:anchor distT="0" distB="0" distL="114300" distR="114300" simplePos="0" relativeHeight="251702272" behindDoc="0" locked="0" layoutInCell="1" allowOverlap="1">
                <wp:simplePos x="0" y="0"/>
                <wp:positionH relativeFrom="column">
                  <wp:posOffset>-2540</wp:posOffset>
                </wp:positionH>
                <wp:positionV relativeFrom="paragraph">
                  <wp:posOffset>5642610</wp:posOffset>
                </wp:positionV>
                <wp:extent cx="8798560" cy="548005"/>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8798560" cy="548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277100">
                            <w:pPr>
                              <w:jc w:val="center"/>
                              <w:rPr>
                                <w:rFonts w:hint="default" w:eastAsia="宋体"/>
                                <w:b/>
                                <w:bCs/>
                                <w:sz w:val="28"/>
                                <w:szCs w:val="28"/>
                                <w:lang w:val="en-US" w:eastAsia="zh-CN"/>
                              </w:rPr>
                            </w:pPr>
                            <w:r>
                              <w:rPr>
                                <w:rFonts w:hint="eastAsia" w:ascii="Times New Roman" w:hAnsi="Times New Roman"/>
                                <w:b/>
                                <w:bCs/>
                                <w:sz w:val="28"/>
                                <w:szCs w:val="28"/>
                                <w:lang w:eastAsia="zh-CN"/>
                              </w:rPr>
                              <w:t>附图</w:t>
                            </w:r>
                            <w:r>
                              <w:rPr>
                                <w:rFonts w:hint="eastAsia" w:ascii="Times New Roman" w:hAnsi="Times New Roman"/>
                                <w:b/>
                                <w:bCs/>
                                <w:sz w:val="28"/>
                                <w:szCs w:val="28"/>
                                <w:lang w:val="en-US" w:eastAsia="zh-CN"/>
                              </w:rPr>
                              <w:t>7</w:t>
                            </w:r>
                            <w:r>
                              <w:rPr>
                                <w:rFonts w:hint="eastAsia"/>
                                <w:b/>
                                <w:bCs/>
                                <w:sz w:val="28"/>
                                <w:szCs w:val="28"/>
                                <w:lang w:val="en-US" w:eastAsia="zh-CN"/>
                              </w:rPr>
                              <w:t xml:space="preserve"> 项目在“三线一单”环境管控单元位置图</w:t>
                            </w:r>
                          </w:p>
                          <w:p w14:paraId="7B63EA2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2pt;margin-top:444.3pt;height:43.15pt;width:692.8pt;z-index:251702272;mso-width-relative:page;mso-height-relative:page;" filled="f" stroked="f" coordsize="21600,21600" o:gfxdata="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8rQ+ftsAAAAKAQAADwAAAAAAAAABACAAAAAiAAAA&#10;ZHJzL2Rvd25yZXYueG1sUEsBAhQAFAAAAAgAh07iQJe8Idw9AgAAaAQAAA4AAAAAAAAAAQAgAAAA&#10;KgEAAGRycy9lMm9Eb2MueG1sUEsFBgAAAAAGAAYAWQEAANkFAAAAAA==&#10;">
                <v:fill on="f" focussize="0,0"/>
                <v:stroke on="f" weight="0.5pt"/>
                <v:imagedata o:title=""/>
                <o:lock v:ext="edit" aspectratio="f"/>
                <v:textbox>
                  <w:txbxContent>
                    <w:p w14:paraId="29277100">
                      <w:pPr>
                        <w:jc w:val="center"/>
                        <w:rPr>
                          <w:rFonts w:hint="default" w:eastAsia="宋体"/>
                          <w:b/>
                          <w:bCs/>
                          <w:sz w:val="28"/>
                          <w:szCs w:val="28"/>
                          <w:lang w:val="en-US" w:eastAsia="zh-CN"/>
                        </w:rPr>
                      </w:pPr>
                      <w:r>
                        <w:rPr>
                          <w:rFonts w:hint="eastAsia" w:ascii="Times New Roman" w:hAnsi="Times New Roman"/>
                          <w:b/>
                          <w:bCs/>
                          <w:sz w:val="28"/>
                          <w:szCs w:val="28"/>
                          <w:lang w:eastAsia="zh-CN"/>
                        </w:rPr>
                        <w:t>附图</w:t>
                      </w:r>
                      <w:r>
                        <w:rPr>
                          <w:rFonts w:hint="eastAsia" w:ascii="Times New Roman" w:hAnsi="Times New Roman"/>
                          <w:b/>
                          <w:bCs/>
                          <w:sz w:val="28"/>
                          <w:szCs w:val="28"/>
                          <w:lang w:val="en-US" w:eastAsia="zh-CN"/>
                        </w:rPr>
                        <w:t>7</w:t>
                      </w:r>
                      <w:r>
                        <w:rPr>
                          <w:rFonts w:hint="eastAsia"/>
                          <w:b/>
                          <w:bCs/>
                          <w:sz w:val="28"/>
                          <w:szCs w:val="28"/>
                          <w:lang w:val="en-US" w:eastAsia="zh-CN"/>
                        </w:rPr>
                        <w:t xml:space="preserve"> 项目在“三线一单”环境管控单元位置图</w:t>
                      </w:r>
                    </w:p>
                    <w:p w14:paraId="7B63EA2A"/>
                  </w:txbxContent>
                </v:textbox>
              </v:shape>
            </w:pict>
          </mc:Fallback>
        </mc:AlternateContent>
      </w:r>
    </w:p>
    <w:p w14:paraId="58F770A5">
      <w:pPr>
        <w:adjustRightInd w:val="0"/>
        <w:snapToGrid w:val="0"/>
        <w:spacing w:before="192" w:beforeLines="80"/>
        <w:rPr>
          <w:rFonts w:ascii="宋体"/>
          <w:highlight w:val="none"/>
        </w:rPr>
        <w:sectPr>
          <w:pgSz w:w="16838" w:h="11906" w:orient="landscape"/>
          <w:pgMar w:top="1800" w:right="1440" w:bottom="1800" w:left="1440" w:header="851" w:footer="992" w:gutter="0"/>
          <w:cols w:space="425" w:num="1"/>
          <w:docGrid w:type="lines" w:linePitch="312" w:charSpace="0"/>
        </w:sectPr>
      </w:pPr>
    </w:p>
    <w:p w14:paraId="6FF01CEF">
      <w:pPr>
        <w:sectPr>
          <w:pgSz w:w="11906" w:h="16838"/>
          <w:pgMar w:top="720" w:right="720" w:bottom="720" w:left="720" w:header="851" w:footer="992" w:gutter="0"/>
          <w:cols w:space="720" w:num="1"/>
          <w:docGrid w:type="lines" w:linePitch="312" w:charSpace="0"/>
        </w:sectPr>
      </w:pPr>
      <w:r>
        <w:drawing>
          <wp:anchor distT="0" distB="0" distL="114300" distR="114300" simplePos="0" relativeHeight="251719680" behindDoc="0" locked="0" layoutInCell="1" allowOverlap="1">
            <wp:simplePos x="0" y="0"/>
            <wp:positionH relativeFrom="column">
              <wp:posOffset>393065</wp:posOffset>
            </wp:positionH>
            <wp:positionV relativeFrom="paragraph">
              <wp:posOffset>31115</wp:posOffset>
            </wp:positionV>
            <wp:extent cx="5764530" cy="9772650"/>
            <wp:effectExtent l="0" t="0" r="7620" b="0"/>
            <wp:wrapTopAndBottom/>
            <wp:docPr id="8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
                    <pic:cNvPicPr>
                      <a:picLocks noChangeAspect="1"/>
                    </pic:cNvPicPr>
                  </pic:nvPicPr>
                  <pic:blipFill>
                    <a:blip r:embed="rId28"/>
                    <a:stretch>
                      <a:fillRect/>
                    </a:stretch>
                  </pic:blipFill>
                  <pic:spPr>
                    <a:xfrm>
                      <a:off x="0" y="0"/>
                      <a:ext cx="5764530" cy="9772650"/>
                    </a:xfrm>
                    <a:prstGeom prst="rect">
                      <a:avLst/>
                    </a:prstGeom>
                    <a:noFill/>
                    <a:ln>
                      <a:noFill/>
                    </a:ln>
                  </pic:spPr>
                </pic:pic>
              </a:graphicData>
            </a:graphic>
          </wp:anchor>
        </w:drawing>
      </w:r>
      <w:r>
        <w:rPr>
          <w:sz w:val="21"/>
        </w:rPr>
        <mc:AlternateContent>
          <mc:Choice Requires="wps">
            <w:drawing>
              <wp:anchor distT="0" distB="0" distL="114300" distR="114300" simplePos="0" relativeHeight="251720704" behindDoc="0" locked="0" layoutInCell="1" allowOverlap="1">
                <wp:simplePos x="0" y="0"/>
                <wp:positionH relativeFrom="column">
                  <wp:posOffset>35560</wp:posOffset>
                </wp:positionH>
                <wp:positionV relativeFrom="paragraph">
                  <wp:posOffset>52705</wp:posOffset>
                </wp:positionV>
                <wp:extent cx="891540" cy="449580"/>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891540" cy="449580"/>
                        </a:xfrm>
                        <a:prstGeom prst="rect">
                          <a:avLst/>
                        </a:prstGeom>
                        <a:noFill/>
                        <a:ln>
                          <a:noFill/>
                        </a:ln>
                      </wps:spPr>
                      <wps:txbx>
                        <w:txbxContent>
                          <w:p w14:paraId="4DA0C6BF">
                            <w:pPr>
                              <w:rPr>
                                <w:rFonts w:hint="eastAsia" w:eastAsia="宋体"/>
                                <w:b/>
                                <w:bCs/>
                                <w:sz w:val="28"/>
                                <w:szCs w:val="28"/>
                                <w:lang w:eastAsia="zh-CN"/>
                              </w:rPr>
                            </w:pPr>
                            <w:r>
                              <w:rPr>
                                <w:rFonts w:hint="eastAsia"/>
                                <w:b/>
                                <w:bCs/>
                                <w:sz w:val="28"/>
                                <w:szCs w:val="28"/>
                                <w:lang w:eastAsia="zh-CN"/>
                              </w:rPr>
                              <w:t>附件一</w:t>
                            </w:r>
                          </w:p>
                        </w:txbxContent>
                      </wps:txbx>
                      <wps:bodyPr upright="1"/>
                    </wps:wsp>
                  </a:graphicData>
                </a:graphic>
              </wp:anchor>
            </w:drawing>
          </mc:Choice>
          <mc:Fallback>
            <w:pict>
              <v:shape id="_x0000_s1026" o:spid="_x0000_s1026" o:spt="202" type="#_x0000_t202" style="position:absolute;left:0pt;margin-left:2.8pt;margin-top:4.15pt;height:35.4pt;width:70.2pt;z-index:251720704;mso-width-relative:page;mso-height-relative:page;" filled="f" stroked="f" coordsize="21600,21600" o:gfxdata="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i9DbbNQAAAAG&#10;AQAADwAAAAAAAAABACAAAAAiAAAAZHJzL2Rvd25yZXYueG1sUEsBAhQAFAAAAAgAh07iQNNSzJGu&#10;AQAATwMAAA4AAAAAAAAAAQAgAAAAIwEAAGRycy9lMm9Eb2MueG1sUEsFBgAAAAAGAAYAWQEAAEMF&#10;AAAAAA==&#10;">
                <v:fill on="f" focussize="0,0"/>
                <v:stroke on="f"/>
                <v:imagedata o:title=""/>
                <o:lock v:ext="edit" aspectratio="f"/>
                <v:textbox>
                  <w:txbxContent>
                    <w:p w14:paraId="4DA0C6BF">
                      <w:pPr>
                        <w:rPr>
                          <w:rFonts w:hint="eastAsia" w:eastAsia="宋体"/>
                          <w:b/>
                          <w:bCs/>
                          <w:sz w:val="28"/>
                          <w:szCs w:val="28"/>
                          <w:lang w:eastAsia="zh-CN"/>
                        </w:rPr>
                      </w:pPr>
                      <w:r>
                        <w:rPr>
                          <w:rFonts w:hint="eastAsia"/>
                          <w:b/>
                          <w:bCs/>
                          <w:sz w:val="28"/>
                          <w:szCs w:val="28"/>
                          <w:lang w:eastAsia="zh-CN"/>
                        </w:rPr>
                        <w:t>附件一</w:t>
                      </w:r>
                    </w:p>
                  </w:txbxContent>
                </v:textbox>
              </v:shape>
            </w:pict>
          </mc:Fallback>
        </mc:AlternateContent>
      </w:r>
    </w:p>
    <w:p w14:paraId="4DA553E8">
      <w:pPr>
        <w:sectPr>
          <w:pgSz w:w="11906" w:h="16838"/>
          <w:pgMar w:top="720" w:right="720" w:bottom="720" w:left="720" w:header="851" w:footer="992" w:gutter="0"/>
          <w:cols w:space="720" w:num="1"/>
          <w:docGrid w:type="lines" w:linePitch="312" w:charSpace="0"/>
        </w:sectPr>
      </w:pPr>
      <w:r>
        <w:rPr>
          <w:sz w:val="21"/>
        </w:rPr>
        <mc:AlternateContent>
          <mc:Choice Requires="wps">
            <w:drawing>
              <wp:anchor distT="0" distB="0" distL="114300" distR="114300" simplePos="0" relativeHeight="251721728" behindDoc="0" locked="0" layoutInCell="1" allowOverlap="1">
                <wp:simplePos x="0" y="0"/>
                <wp:positionH relativeFrom="column">
                  <wp:posOffset>38100</wp:posOffset>
                </wp:positionH>
                <wp:positionV relativeFrom="paragraph">
                  <wp:posOffset>59690</wp:posOffset>
                </wp:positionV>
                <wp:extent cx="891540" cy="449580"/>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891540" cy="449580"/>
                        </a:xfrm>
                        <a:prstGeom prst="rect">
                          <a:avLst/>
                        </a:prstGeom>
                        <a:noFill/>
                        <a:ln>
                          <a:noFill/>
                        </a:ln>
                      </wps:spPr>
                      <wps:txbx>
                        <w:txbxContent>
                          <w:p w14:paraId="4B0508A0">
                            <w:pPr>
                              <w:rPr>
                                <w:rFonts w:hint="eastAsia" w:eastAsia="宋体"/>
                                <w:b/>
                                <w:bCs/>
                                <w:sz w:val="28"/>
                                <w:szCs w:val="28"/>
                                <w:lang w:val="en-US" w:eastAsia="zh-CN"/>
                              </w:rPr>
                            </w:pPr>
                            <w:r>
                              <w:rPr>
                                <w:rFonts w:hint="eastAsia"/>
                                <w:b/>
                                <w:bCs/>
                                <w:sz w:val="28"/>
                                <w:szCs w:val="28"/>
                                <w:lang w:eastAsia="zh-CN"/>
                              </w:rPr>
                              <w:t>附件二</w:t>
                            </w:r>
                          </w:p>
                        </w:txbxContent>
                      </wps:txbx>
                      <wps:bodyPr upright="1"/>
                    </wps:wsp>
                  </a:graphicData>
                </a:graphic>
              </wp:anchor>
            </w:drawing>
          </mc:Choice>
          <mc:Fallback>
            <w:pict>
              <v:shape id="_x0000_s1026" o:spid="_x0000_s1026" o:spt="202" type="#_x0000_t202" style="position:absolute;left:0pt;margin-left:3pt;margin-top:4.7pt;height:35.4pt;width:70.2pt;z-index:251721728;mso-width-relative:page;mso-height-relative:page;" filled="f" stroked="f" coordsize="21600,21600" o:gfxdata="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NhNE8dMAAAAGAQAA&#10;DwAAAAAAAAABACAAAAAiAAAAZHJzL2Rvd25yZXYueG1sUEsBAhQAFAAAAAgAh07iQOcEdEWsAQAA&#10;TwMAAA4AAAAAAAAAAQAgAAAAIgEAAGRycy9lMm9Eb2MueG1sUEsFBgAAAAAGAAYAWQEAAEAFAAAA&#10;AA==&#10;">
                <v:fill on="f" focussize="0,0"/>
                <v:stroke on="f"/>
                <v:imagedata o:title=""/>
                <o:lock v:ext="edit" aspectratio="f"/>
                <v:textbox>
                  <w:txbxContent>
                    <w:p w14:paraId="4B0508A0">
                      <w:pPr>
                        <w:rPr>
                          <w:rFonts w:hint="eastAsia" w:eastAsia="宋体"/>
                          <w:b/>
                          <w:bCs/>
                          <w:sz w:val="28"/>
                          <w:szCs w:val="28"/>
                          <w:lang w:val="en-US" w:eastAsia="zh-CN"/>
                        </w:rPr>
                      </w:pPr>
                      <w:r>
                        <w:rPr>
                          <w:rFonts w:hint="eastAsia"/>
                          <w:b/>
                          <w:bCs/>
                          <w:sz w:val="28"/>
                          <w:szCs w:val="28"/>
                          <w:lang w:eastAsia="zh-CN"/>
                        </w:rPr>
                        <w:t>附件二</w:t>
                      </w:r>
                    </w:p>
                  </w:txbxContent>
                </v:textbox>
              </v:shape>
            </w:pict>
          </mc:Fallback>
        </mc:AlternateContent>
      </w:r>
      <w:r>
        <w:drawing>
          <wp:inline distT="0" distB="0" distL="114300" distR="114300">
            <wp:extent cx="6645910" cy="9419590"/>
            <wp:effectExtent l="0" t="0" r="2540" b="10160"/>
            <wp:docPr id="8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0"/>
                    <pic:cNvPicPr>
                      <a:picLocks noChangeAspect="1"/>
                    </pic:cNvPicPr>
                  </pic:nvPicPr>
                  <pic:blipFill>
                    <a:blip r:embed="rId29"/>
                    <a:stretch>
                      <a:fillRect/>
                    </a:stretch>
                  </pic:blipFill>
                  <pic:spPr>
                    <a:xfrm>
                      <a:off x="0" y="0"/>
                      <a:ext cx="6645910" cy="9419590"/>
                    </a:xfrm>
                    <a:prstGeom prst="rect">
                      <a:avLst/>
                    </a:prstGeom>
                    <a:noFill/>
                    <a:ln>
                      <a:noFill/>
                    </a:ln>
                  </pic:spPr>
                </pic:pic>
              </a:graphicData>
            </a:graphic>
          </wp:inline>
        </w:drawing>
      </w:r>
    </w:p>
    <w:p w14:paraId="3289C56E">
      <w:pPr>
        <w:sectPr>
          <w:pgSz w:w="11906" w:h="16838"/>
          <w:pgMar w:top="720" w:right="720" w:bottom="720" w:left="720" w:header="851" w:footer="992" w:gutter="0"/>
          <w:cols w:space="720" w:num="1"/>
          <w:docGrid w:type="lines" w:linePitch="312" w:charSpace="0"/>
        </w:sectPr>
      </w:pPr>
      <w:r>
        <w:drawing>
          <wp:inline distT="0" distB="0" distL="114300" distR="114300">
            <wp:extent cx="6645910" cy="9419590"/>
            <wp:effectExtent l="0" t="0" r="2540" b="10160"/>
            <wp:docPr id="8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1"/>
                    <pic:cNvPicPr>
                      <a:picLocks noChangeAspect="1"/>
                    </pic:cNvPicPr>
                  </pic:nvPicPr>
                  <pic:blipFill>
                    <a:blip r:embed="rId30"/>
                    <a:stretch>
                      <a:fillRect/>
                    </a:stretch>
                  </pic:blipFill>
                  <pic:spPr>
                    <a:xfrm>
                      <a:off x="0" y="0"/>
                      <a:ext cx="6645910" cy="9419590"/>
                    </a:xfrm>
                    <a:prstGeom prst="rect">
                      <a:avLst/>
                    </a:prstGeom>
                    <a:noFill/>
                    <a:ln>
                      <a:noFill/>
                    </a:ln>
                  </pic:spPr>
                </pic:pic>
              </a:graphicData>
            </a:graphic>
          </wp:inline>
        </w:drawing>
      </w:r>
    </w:p>
    <w:p w14:paraId="7560A41A">
      <w:pPr>
        <w:sectPr>
          <w:pgSz w:w="11906" w:h="16838"/>
          <w:pgMar w:top="720" w:right="720" w:bottom="720" w:left="720" w:header="851" w:footer="992" w:gutter="0"/>
          <w:cols w:space="720" w:num="1"/>
          <w:docGrid w:type="lines" w:linePitch="312" w:charSpace="0"/>
        </w:sectPr>
      </w:pPr>
      <w:r>
        <w:drawing>
          <wp:inline distT="0" distB="0" distL="114300" distR="114300">
            <wp:extent cx="6645910" cy="9419590"/>
            <wp:effectExtent l="0" t="0" r="2540" b="10160"/>
            <wp:docPr id="8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2"/>
                    <pic:cNvPicPr>
                      <a:picLocks noChangeAspect="1"/>
                    </pic:cNvPicPr>
                  </pic:nvPicPr>
                  <pic:blipFill>
                    <a:blip r:embed="rId31"/>
                    <a:stretch>
                      <a:fillRect/>
                    </a:stretch>
                  </pic:blipFill>
                  <pic:spPr>
                    <a:xfrm>
                      <a:off x="0" y="0"/>
                      <a:ext cx="6645910" cy="9419590"/>
                    </a:xfrm>
                    <a:prstGeom prst="rect">
                      <a:avLst/>
                    </a:prstGeom>
                    <a:noFill/>
                    <a:ln>
                      <a:noFill/>
                    </a:ln>
                  </pic:spPr>
                </pic:pic>
              </a:graphicData>
            </a:graphic>
          </wp:inline>
        </w:drawing>
      </w:r>
    </w:p>
    <w:p w14:paraId="58DF97C7">
      <w:pPr>
        <w:sectPr>
          <w:pgSz w:w="11906" w:h="16838"/>
          <w:pgMar w:top="720" w:right="720" w:bottom="720" w:left="720" w:header="851" w:footer="992" w:gutter="0"/>
          <w:cols w:space="720" w:num="1"/>
          <w:docGrid w:type="lines" w:linePitch="312" w:charSpace="0"/>
        </w:sectPr>
      </w:pPr>
      <w:r>
        <w:drawing>
          <wp:inline distT="0" distB="0" distL="114300" distR="114300">
            <wp:extent cx="6645910" cy="9419590"/>
            <wp:effectExtent l="0" t="0" r="2540" b="10160"/>
            <wp:docPr id="8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3"/>
                    <pic:cNvPicPr>
                      <a:picLocks noChangeAspect="1"/>
                    </pic:cNvPicPr>
                  </pic:nvPicPr>
                  <pic:blipFill>
                    <a:blip r:embed="rId32"/>
                    <a:stretch>
                      <a:fillRect/>
                    </a:stretch>
                  </pic:blipFill>
                  <pic:spPr>
                    <a:xfrm>
                      <a:off x="0" y="0"/>
                      <a:ext cx="6645910" cy="9419590"/>
                    </a:xfrm>
                    <a:prstGeom prst="rect">
                      <a:avLst/>
                    </a:prstGeom>
                    <a:noFill/>
                    <a:ln>
                      <a:noFill/>
                    </a:ln>
                  </pic:spPr>
                </pic:pic>
              </a:graphicData>
            </a:graphic>
          </wp:inline>
        </w:drawing>
      </w:r>
    </w:p>
    <w:p w14:paraId="15A1A11C">
      <w:pPr>
        <w:sectPr>
          <w:pgSz w:w="11906" w:h="16838"/>
          <w:pgMar w:top="720" w:right="720" w:bottom="720" w:left="720" w:header="851" w:footer="992" w:gutter="0"/>
          <w:cols w:space="720" w:num="1"/>
          <w:docGrid w:type="lines" w:linePitch="312" w:charSpace="0"/>
        </w:sectPr>
      </w:pPr>
      <w:r>
        <w:drawing>
          <wp:inline distT="0" distB="0" distL="114300" distR="114300">
            <wp:extent cx="6645910" cy="9419590"/>
            <wp:effectExtent l="0" t="0" r="2540" b="10160"/>
            <wp:docPr id="8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4"/>
                    <pic:cNvPicPr>
                      <a:picLocks noChangeAspect="1"/>
                    </pic:cNvPicPr>
                  </pic:nvPicPr>
                  <pic:blipFill>
                    <a:blip r:embed="rId33"/>
                    <a:stretch>
                      <a:fillRect/>
                    </a:stretch>
                  </pic:blipFill>
                  <pic:spPr>
                    <a:xfrm>
                      <a:off x="0" y="0"/>
                      <a:ext cx="6645910" cy="9419590"/>
                    </a:xfrm>
                    <a:prstGeom prst="rect">
                      <a:avLst/>
                    </a:prstGeom>
                    <a:noFill/>
                    <a:ln>
                      <a:noFill/>
                    </a:ln>
                  </pic:spPr>
                </pic:pic>
              </a:graphicData>
            </a:graphic>
          </wp:inline>
        </w:drawing>
      </w:r>
      <w:r>
        <w:rPr>
          <w:sz w:val="21"/>
        </w:rPr>
        <mc:AlternateContent>
          <mc:Choice Requires="wps">
            <w:drawing>
              <wp:anchor distT="0" distB="0" distL="114300" distR="114300" simplePos="0" relativeHeight="251723776" behindDoc="0" locked="0" layoutInCell="1" allowOverlap="1">
                <wp:simplePos x="0" y="0"/>
                <wp:positionH relativeFrom="column">
                  <wp:posOffset>-33020</wp:posOffset>
                </wp:positionH>
                <wp:positionV relativeFrom="paragraph">
                  <wp:posOffset>1270</wp:posOffset>
                </wp:positionV>
                <wp:extent cx="891540" cy="44958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891540" cy="449580"/>
                        </a:xfrm>
                        <a:prstGeom prst="rect">
                          <a:avLst/>
                        </a:prstGeom>
                        <a:noFill/>
                        <a:ln>
                          <a:noFill/>
                        </a:ln>
                      </wps:spPr>
                      <wps:txbx>
                        <w:txbxContent>
                          <w:p w14:paraId="2C7108EA">
                            <w:pPr>
                              <w:rPr>
                                <w:rFonts w:hint="eastAsia" w:eastAsia="宋体"/>
                                <w:b/>
                                <w:bCs/>
                                <w:sz w:val="28"/>
                                <w:szCs w:val="28"/>
                                <w:lang w:val="en-US" w:eastAsia="zh-CN"/>
                              </w:rPr>
                            </w:pPr>
                            <w:r>
                              <w:rPr>
                                <w:rFonts w:hint="eastAsia"/>
                                <w:b/>
                                <w:bCs/>
                                <w:sz w:val="28"/>
                                <w:szCs w:val="28"/>
                                <w:lang w:eastAsia="zh-CN"/>
                              </w:rPr>
                              <w:t>附件三</w:t>
                            </w:r>
                          </w:p>
                        </w:txbxContent>
                      </wps:txbx>
                      <wps:bodyPr upright="1"/>
                    </wps:wsp>
                  </a:graphicData>
                </a:graphic>
              </wp:anchor>
            </w:drawing>
          </mc:Choice>
          <mc:Fallback>
            <w:pict>
              <v:shape id="_x0000_s1026" o:spid="_x0000_s1026" o:spt="202" type="#_x0000_t202" style="position:absolute;left:0pt;margin-left:-2.6pt;margin-top:0.1pt;height:35.4pt;width:70.2pt;z-index:251723776;mso-width-relative:page;mso-height-relative:page;" filled="f" stroked="f" coordsize="21600,21600" o:gfxdata="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HT4XqLTAAAABgEA&#10;AA8AAAAAAAAAAQAgAAAAIgAAAGRycy9kb3ducmV2LnhtbFBLAQIUABQAAAAIAIdO4kC1UHehrQEA&#10;AE8DAAAOAAAAAAAAAAEAIAAAACIBAABkcnMvZTJvRG9jLnhtbFBLBQYAAAAABgAGAFkBAABBBQAA&#10;AAA=&#10;">
                <v:fill on="f" focussize="0,0"/>
                <v:stroke on="f"/>
                <v:imagedata o:title=""/>
                <o:lock v:ext="edit" aspectratio="f"/>
                <v:textbox>
                  <w:txbxContent>
                    <w:p w14:paraId="2C7108EA">
                      <w:pPr>
                        <w:rPr>
                          <w:rFonts w:hint="eastAsia" w:eastAsia="宋体"/>
                          <w:b/>
                          <w:bCs/>
                          <w:sz w:val="28"/>
                          <w:szCs w:val="28"/>
                          <w:lang w:val="en-US" w:eastAsia="zh-CN"/>
                        </w:rPr>
                      </w:pPr>
                      <w:r>
                        <w:rPr>
                          <w:rFonts w:hint="eastAsia"/>
                          <w:b/>
                          <w:bCs/>
                          <w:sz w:val="28"/>
                          <w:szCs w:val="28"/>
                          <w:lang w:eastAsia="zh-CN"/>
                        </w:rPr>
                        <w:t>附件三</w:t>
                      </w:r>
                    </w:p>
                  </w:txbxContent>
                </v:textbox>
              </v:shape>
            </w:pict>
          </mc:Fallback>
        </mc:AlternateContent>
      </w:r>
    </w:p>
    <w:p w14:paraId="155316A0">
      <w:pPr>
        <w:sectPr>
          <w:pgSz w:w="16838" w:h="11906" w:orient="landscape"/>
          <w:pgMar w:top="720" w:right="720" w:bottom="720" w:left="720" w:header="851" w:footer="992" w:gutter="0"/>
          <w:cols w:space="720" w:num="1"/>
          <w:docGrid w:type="lines" w:linePitch="312" w:charSpace="0"/>
        </w:sectPr>
      </w:pPr>
      <w:r>
        <w:drawing>
          <wp:inline distT="0" distB="0" distL="114300" distR="114300">
            <wp:extent cx="6945630" cy="9748520"/>
            <wp:effectExtent l="0" t="0" r="5080" b="7620"/>
            <wp:docPr id="8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5"/>
                    <pic:cNvPicPr>
                      <a:picLocks noChangeAspect="1"/>
                    </pic:cNvPicPr>
                  </pic:nvPicPr>
                  <pic:blipFill>
                    <a:blip r:embed="rId34"/>
                    <a:stretch>
                      <a:fillRect/>
                    </a:stretch>
                  </pic:blipFill>
                  <pic:spPr>
                    <a:xfrm rot="-5400000">
                      <a:off x="0" y="0"/>
                      <a:ext cx="6945630" cy="9748520"/>
                    </a:xfrm>
                    <a:prstGeom prst="rect">
                      <a:avLst/>
                    </a:prstGeom>
                    <a:noFill/>
                    <a:ln>
                      <a:noFill/>
                    </a:ln>
                  </pic:spPr>
                </pic:pic>
              </a:graphicData>
            </a:graphic>
          </wp:inline>
        </w:drawing>
      </w:r>
      <w:r>
        <w:rPr>
          <w:sz w:val="21"/>
        </w:rPr>
        <mc:AlternateContent>
          <mc:Choice Requires="wps">
            <w:drawing>
              <wp:anchor distT="0" distB="0" distL="114300" distR="114300" simplePos="0" relativeHeight="251724800" behindDoc="0" locked="0" layoutInCell="1" allowOverlap="1">
                <wp:simplePos x="0" y="0"/>
                <wp:positionH relativeFrom="column">
                  <wp:posOffset>36195</wp:posOffset>
                </wp:positionH>
                <wp:positionV relativeFrom="paragraph">
                  <wp:posOffset>-36195</wp:posOffset>
                </wp:positionV>
                <wp:extent cx="891540" cy="449580"/>
                <wp:effectExtent l="0" t="0" r="0" b="0"/>
                <wp:wrapNone/>
                <wp:docPr id="90" name="文本框 90"/>
                <wp:cNvGraphicFramePr/>
                <a:graphic xmlns:a="http://schemas.openxmlformats.org/drawingml/2006/main">
                  <a:graphicData uri="http://schemas.microsoft.com/office/word/2010/wordprocessingShape">
                    <wps:wsp>
                      <wps:cNvSpPr txBox="1"/>
                      <wps:spPr>
                        <a:xfrm>
                          <a:off x="0" y="0"/>
                          <a:ext cx="891540" cy="449580"/>
                        </a:xfrm>
                        <a:prstGeom prst="rect">
                          <a:avLst/>
                        </a:prstGeom>
                        <a:noFill/>
                        <a:ln>
                          <a:noFill/>
                        </a:ln>
                      </wps:spPr>
                      <wps:txbx>
                        <w:txbxContent>
                          <w:p w14:paraId="3CA42F05">
                            <w:pPr>
                              <w:rPr>
                                <w:rFonts w:hint="eastAsia" w:eastAsia="宋体"/>
                                <w:b/>
                                <w:bCs/>
                                <w:sz w:val="28"/>
                                <w:szCs w:val="28"/>
                                <w:lang w:val="en-US" w:eastAsia="zh-CN"/>
                              </w:rPr>
                            </w:pPr>
                            <w:r>
                              <w:rPr>
                                <w:rFonts w:hint="eastAsia"/>
                                <w:b/>
                                <w:bCs/>
                                <w:sz w:val="28"/>
                                <w:szCs w:val="28"/>
                                <w:lang w:eastAsia="zh-CN"/>
                              </w:rPr>
                              <w:t>附件四</w:t>
                            </w:r>
                          </w:p>
                        </w:txbxContent>
                      </wps:txbx>
                      <wps:bodyPr upright="1"/>
                    </wps:wsp>
                  </a:graphicData>
                </a:graphic>
              </wp:anchor>
            </w:drawing>
          </mc:Choice>
          <mc:Fallback>
            <w:pict>
              <v:shape id="_x0000_s1026" o:spid="_x0000_s1026" o:spt="202" type="#_x0000_t202" style="position:absolute;left:0pt;margin-left:2.85pt;margin-top:-2.85pt;height:35.4pt;width:70.2pt;z-index:251724800;mso-width-relative:page;mso-height-relative:page;" filled="f" stroked="f" coordsize="21600,21600" o:gfxdata="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AJeALM1AAAAAcB&#10;AAAPAAAAAAAAAAEAIAAAACIAAABkcnMvZG93bnJldi54bWxQSwECFAAUAAAACACHTuJAtqF8uK0B&#10;AABPAwAADgAAAAAAAAABACAAAAAjAQAAZHJzL2Uyb0RvYy54bWxQSwUGAAAAAAYABgBZAQAAQgUA&#10;AAAA&#10;">
                <v:fill on="f" focussize="0,0"/>
                <v:stroke on="f"/>
                <v:imagedata o:title=""/>
                <o:lock v:ext="edit" aspectratio="f"/>
                <v:textbox>
                  <w:txbxContent>
                    <w:p w14:paraId="3CA42F05">
                      <w:pPr>
                        <w:rPr>
                          <w:rFonts w:hint="eastAsia" w:eastAsia="宋体"/>
                          <w:b/>
                          <w:bCs/>
                          <w:sz w:val="28"/>
                          <w:szCs w:val="28"/>
                          <w:lang w:val="en-US" w:eastAsia="zh-CN"/>
                        </w:rPr>
                      </w:pPr>
                      <w:r>
                        <w:rPr>
                          <w:rFonts w:hint="eastAsia"/>
                          <w:b/>
                          <w:bCs/>
                          <w:sz w:val="28"/>
                          <w:szCs w:val="28"/>
                          <w:lang w:eastAsia="zh-CN"/>
                        </w:rPr>
                        <w:t>附件四</w:t>
                      </w:r>
                    </w:p>
                  </w:txbxContent>
                </v:textbox>
              </v:shape>
            </w:pict>
          </mc:Fallback>
        </mc:AlternateContent>
      </w:r>
    </w:p>
    <w:p w14:paraId="44648C00">
      <w:pPr>
        <w:rPr>
          <w:rFonts w:hint="eastAsia"/>
          <w:lang w:eastAsia="zh-CN"/>
        </w:rPr>
      </w:pPr>
      <w:r>
        <w:rPr>
          <w:sz w:val="21"/>
        </w:rPr>
        <mc:AlternateContent>
          <mc:Choice Requires="wps">
            <w:drawing>
              <wp:anchor distT="0" distB="0" distL="114300" distR="114300" simplePos="0" relativeHeight="251722752" behindDoc="0" locked="0" layoutInCell="1" allowOverlap="1">
                <wp:simplePos x="0" y="0"/>
                <wp:positionH relativeFrom="column">
                  <wp:posOffset>80645</wp:posOffset>
                </wp:positionH>
                <wp:positionV relativeFrom="paragraph">
                  <wp:posOffset>78105</wp:posOffset>
                </wp:positionV>
                <wp:extent cx="891540" cy="449580"/>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891540" cy="449580"/>
                        </a:xfrm>
                        <a:prstGeom prst="rect">
                          <a:avLst/>
                        </a:prstGeom>
                        <a:noFill/>
                        <a:ln>
                          <a:noFill/>
                        </a:ln>
                      </wps:spPr>
                      <wps:txbx>
                        <w:txbxContent>
                          <w:p w14:paraId="6CCC05E4">
                            <w:pPr>
                              <w:rPr>
                                <w:rFonts w:hint="eastAsia" w:eastAsia="宋体"/>
                                <w:b/>
                                <w:bCs/>
                                <w:sz w:val="28"/>
                                <w:szCs w:val="28"/>
                                <w:lang w:eastAsia="zh-CN"/>
                              </w:rPr>
                            </w:pPr>
                            <w:r>
                              <w:rPr>
                                <w:rFonts w:hint="eastAsia"/>
                                <w:b/>
                                <w:bCs/>
                                <w:sz w:val="28"/>
                                <w:szCs w:val="28"/>
                                <w:lang w:eastAsia="zh-CN"/>
                              </w:rPr>
                              <w:t>附件五</w:t>
                            </w:r>
                          </w:p>
                        </w:txbxContent>
                      </wps:txbx>
                      <wps:bodyPr upright="1"/>
                    </wps:wsp>
                  </a:graphicData>
                </a:graphic>
              </wp:anchor>
            </w:drawing>
          </mc:Choice>
          <mc:Fallback>
            <w:pict>
              <v:shape id="_x0000_s1026" o:spid="_x0000_s1026" o:spt="202" type="#_x0000_t202" style="position:absolute;left:0pt;margin-left:6.35pt;margin-top:6.15pt;height:35.4pt;width:70.2pt;z-index:251722752;mso-width-relative:page;mso-height-relative:page;" filled="f" stroked="f" coordsize="21600,21600" o:gfxdata="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ILlhltQAAAAI&#10;AQAADwAAAAAAAAABACAAAAAiAAAAZHJzL2Rvd25yZXYueG1sUEsBAhQAFAAAAAgAh07iQKyKINKu&#10;AQAATwMAAA4AAAAAAAAAAQAgAAAAIwEAAGRycy9lMm9Eb2MueG1sUEsFBgAAAAAGAAYAWQEAAEMF&#10;AAAAAA==&#10;">
                <v:fill on="f" focussize="0,0"/>
                <v:stroke on="f"/>
                <v:imagedata o:title=""/>
                <o:lock v:ext="edit" aspectratio="f"/>
                <v:textbox>
                  <w:txbxContent>
                    <w:p w14:paraId="6CCC05E4">
                      <w:pPr>
                        <w:rPr>
                          <w:rFonts w:hint="eastAsia" w:eastAsia="宋体"/>
                          <w:b/>
                          <w:bCs/>
                          <w:sz w:val="28"/>
                          <w:szCs w:val="28"/>
                          <w:lang w:eastAsia="zh-CN"/>
                        </w:rPr>
                      </w:pPr>
                      <w:r>
                        <w:rPr>
                          <w:rFonts w:hint="eastAsia"/>
                          <w:b/>
                          <w:bCs/>
                          <w:sz w:val="28"/>
                          <w:szCs w:val="28"/>
                          <w:lang w:eastAsia="zh-CN"/>
                        </w:rPr>
                        <w:t>附件五</w:t>
                      </w:r>
                    </w:p>
                  </w:txbxContent>
                </v:textbox>
              </v:shape>
            </w:pict>
          </mc:Fallback>
        </mc:AlternateContent>
      </w:r>
      <w:r>
        <w:drawing>
          <wp:inline distT="0" distB="0" distL="114300" distR="114300">
            <wp:extent cx="6645275" cy="9399270"/>
            <wp:effectExtent l="0" t="0" r="3175" b="11430"/>
            <wp:docPr id="9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6"/>
                    <pic:cNvPicPr>
                      <a:picLocks noChangeAspect="1"/>
                    </pic:cNvPicPr>
                  </pic:nvPicPr>
                  <pic:blipFill>
                    <a:blip r:embed="rId35"/>
                    <a:stretch>
                      <a:fillRect/>
                    </a:stretch>
                  </pic:blipFill>
                  <pic:spPr>
                    <a:xfrm>
                      <a:off x="0" y="0"/>
                      <a:ext cx="6645275" cy="9399270"/>
                    </a:xfrm>
                    <a:prstGeom prst="rect">
                      <a:avLst/>
                    </a:prstGeom>
                    <a:noFill/>
                    <a:ln>
                      <a:noFill/>
                    </a:ln>
                  </pic:spPr>
                </pic:pic>
              </a:graphicData>
            </a:graphic>
          </wp:inline>
        </w:drawing>
      </w:r>
      <w:bookmarkStart w:id="21" w:name="_GoBack"/>
      <w:bookmarkEnd w:id="21"/>
    </w:p>
    <w:sectPr>
      <w:pgSz w:w="11906" w:h="16838"/>
      <w:pgMar w:top="720" w:right="720" w:bottom="720" w:left="72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方正小标宋_GBK">
    <w:panose1 w:val="02000000000000000000"/>
    <w:charset w:val="86"/>
    <w:family w:val="script"/>
    <w:pitch w:val="default"/>
    <w:sig w:usb0="A00002BF" w:usb1="38CF7CFA" w:usb2="00082016" w:usb3="00000000" w:csb0="00040001"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TimesNewRomanPSMT">
    <w:altName w:val="Times New Roman"/>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207D2F">
    <w:pPr>
      <w:pStyle w:val="12"/>
      <w:tabs>
        <w:tab w:val="clear" w:pos="4153"/>
      </w:tabs>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E6A892">
    <w:pPr>
      <w:pStyle w:val="12"/>
      <w:framePr w:wrap="around" w:vAnchor="text" w:hAnchor="margin" w:xAlign="outside" w:y="1"/>
      <w:rPr>
        <w:rStyle w:val="21"/>
      </w:rPr>
    </w:pPr>
    <w:r>
      <w:rPr>
        <w:rStyle w:val="21"/>
      </w:rPr>
      <w:fldChar w:fldCharType="begin"/>
    </w:r>
    <w:r>
      <w:rPr>
        <w:rStyle w:val="21"/>
      </w:rPr>
      <w:instrText xml:space="preserve">PAGE  </w:instrText>
    </w:r>
    <w:r>
      <w:rPr>
        <w:rStyle w:val="21"/>
      </w:rPr>
      <w:fldChar w:fldCharType="end"/>
    </w:r>
  </w:p>
  <w:p w14:paraId="4780C122">
    <w:pPr>
      <w:pStyle w:val="12"/>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F19D01">
    <w:pPr>
      <w:pStyle w:val="12"/>
      <w:tabs>
        <w:tab w:val="clear" w:pos="4153"/>
      </w:tabs>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27AB04">
    <w:pPr>
      <w:pStyle w:val="12"/>
      <w:tabs>
        <w:tab w:val="clear" w:pos="4153"/>
      </w:tabs>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9955EC">
                          <w:pPr>
                            <w:pStyle w:val="12"/>
                          </w:pPr>
                          <w:r>
                            <w:t xml:space="preserve">— </w:t>
                          </w:r>
                          <w:r>
                            <w:fldChar w:fldCharType="begin"/>
                          </w:r>
                          <w:r>
                            <w:instrText xml:space="preserve"> PAGE  \* MERGEFORMAT </w:instrText>
                          </w:r>
                          <w:r>
                            <w:fldChar w:fldCharType="separate"/>
                          </w:r>
                          <w:r>
                            <w:t>1</w:t>
                          </w:r>
                          <w:r>
                            <w:fldChar w:fldCharType="end"/>
                          </w:r>
                          <w:r>
                            <w:t xml:space="preserve"> —</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6B9955EC">
                    <w:pPr>
                      <w:pStyle w:val="12"/>
                    </w:pPr>
                    <w:r>
                      <w:t xml:space="preserve">— </w:t>
                    </w:r>
                    <w:r>
                      <w:fldChar w:fldCharType="begin"/>
                    </w:r>
                    <w:r>
                      <w:instrText xml:space="preserve"> PAGE  \* MERGEFORMAT </w:instrText>
                    </w:r>
                    <w:r>
                      <w:fldChar w:fldCharType="separate"/>
                    </w:r>
                    <w:r>
                      <w:t>1</w:t>
                    </w:r>
                    <w:r>
                      <w:fldChar w:fldCharType="end"/>
                    </w:r>
                    <w:r>
                      <w:t xml:space="preserve"> —</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1090E62"/>
    <w:multiLevelType w:val="singleLevel"/>
    <w:tmpl w:val="41090E62"/>
    <w:lvl w:ilvl="0" w:tentative="0">
      <w:start w:val="7"/>
      <w:numFmt w:val="chineseCounting"/>
      <w:suff w:val="space"/>
      <w:lvlText w:val="第%1章"/>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3MmIxZDQ5MWRhN2Q4NTYwMDZhM2VjNDhiODYzN2IifQ=="/>
  </w:docVars>
  <w:rsids>
    <w:rsidRoot w:val="00A14947"/>
    <w:rsid w:val="00001CED"/>
    <w:rsid w:val="00001E67"/>
    <w:rsid w:val="00003CD8"/>
    <w:rsid w:val="00014965"/>
    <w:rsid w:val="0001523A"/>
    <w:rsid w:val="00016ECB"/>
    <w:rsid w:val="000269F6"/>
    <w:rsid w:val="00031939"/>
    <w:rsid w:val="00032D25"/>
    <w:rsid w:val="0005219D"/>
    <w:rsid w:val="0005568F"/>
    <w:rsid w:val="0006153D"/>
    <w:rsid w:val="00061B1F"/>
    <w:rsid w:val="000664DB"/>
    <w:rsid w:val="0007127D"/>
    <w:rsid w:val="00071AE5"/>
    <w:rsid w:val="00074783"/>
    <w:rsid w:val="000801E0"/>
    <w:rsid w:val="00082A29"/>
    <w:rsid w:val="0008331D"/>
    <w:rsid w:val="00083C18"/>
    <w:rsid w:val="00092899"/>
    <w:rsid w:val="000A178E"/>
    <w:rsid w:val="000A557E"/>
    <w:rsid w:val="000B058F"/>
    <w:rsid w:val="000B693F"/>
    <w:rsid w:val="000C09AC"/>
    <w:rsid w:val="000C0A63"/>
    <w:rsid w:val="000C437E"/>
    <w:rsid w:val="000E5F16"/>
    <w:rsid w:val="000F4452"/>
    <w:rsid w:val="000F6DA1"/>
    <w:rsid w:val="000F701B"/>
    <w:rsid w:val="001056A0"/>
    <w:rsid w:val="00115279"/>
    <w:rsid w:val="00117459"/>
    <w:rsid w:val="0011749A"/>
    <w:rsid w:val="00127A68"/>
    <w:rsid w:val="00140B13"/>
    <w:rsid w:val="00141B68"/>
    <w:rsid w:val="001466DA"/>
    <w:rsid w:val="00154DE1"/>
    <w:rsid w:val="00155B40"/>
    <w:rsid w:val="00157435"/>
    <w:rsid w:val="00163EEA"/>
    <w:rsid w:val="00167A07"/>
    <w:rsid w:val="0017046A"/>
    <w:rsid w:val="001704A3"/>
    <w:rsid w:val="0017504D"/>
    <w:rsid w:val="00177422"/>
    <w:rsid w:val="00184F10"/>
    <w:rsid w:val="00185546"/>
    <w:rsid w:val="0019146B"/>
    <w:rsid w:val="00194398"/>
    <w:rsid w:val="001A7D2A"/>
    <w:rsid w:val="001B574C"/>
    <w:rsid w:val="001C0AF9"/>
    <w:rsid w:val="001C155A"/>
    <w:rsid w:val="001C48C0"/>
    <w:rsid w:val="001D6726"/>
    <w:rsid w:val="001F3347"/>
    <w:rsid w:val="001F4440"/>
    <w:rsid w:val="001F69E4"/>
    <w:rsid w:val="00206A65"/>
    <w:rsid w:val="00212D31"/>
    <w:rsid w:val="002130C7"/>
    <w:rsid w:val="002218A8"/>
    <w:rsid w:val="0022306D"/>
    <w:rsid w:val="00226574"/>
    <w:rsid w:val="002278EC"/>
    <w:rsid w:val="002357C7"/>
    <w:rsid w:val="002367C4"/>
    <w:rsid w:val="0025679E"/>
    <w:rsid w:val="00260C68"/>
    <w:rsid w:val="002648B0"/>
    <w:rsid w:val="00275271"/>
    <w:rsid w:val="0027535E"/>
    <w:rsid w:val="00275AA6"/>
    <w:rsid w:val="002807D5"/>
    <w:rsid w:val="00282CCD"/>
    <w:rsid w:val="002A168C"/>
    <w:rsid w:val="002A2C48"/>
    <w:rsid w:val="002A3EED"/>
    <w:rsid w:val="002A4A39"/>
    <w:rsid w:val="002A5A17"/>
    <w:rsid w:val="002A6425"/>
    <w:rsid w:val="002B49E2"/>
    <w:rsid w:val="002B7B00"/>
    <w:rsid w:val="002B7C44"/>
    <w:rsid w:val="002C1388"/>
    <w:rsid w:val="002C3C6A"/>
    <w:rsid w:val="002D42DB"/>
    <w:rsid w:val="002E1F3A"/>
    <w:rsid w:val="002E298A"/>
    <w:rsid w:val="002F02A4"/>
    <w:rsid w:val="002F272B"/>
    <w:rsid w:val="002F7C6D"/>
    <w:rsid w:val="003027E4"/>
    <w:rsid w:val="0030332C"/>
    <w:rsid w:val="00312296"/>
    <w:rsid w:val="0031340E"/>
    <w:rsid w:val="00316464"/>
    <w:rsid w:val="0032073A"/>
    <w:rsid w:val="00321D8E"/>
    <w:rsid w:val="00334996"/>
    <w:rsid w:val="00336969"/>
    <w:rsid w:val="00336C52"/>
    <w:rsid w:val="00341B3E"/>
    <w:rsid w:val="00341B42"/>
    <w:rsid w:val="00345154"/>
    <w:rsid w:val="0034560E"/>
    <w:rsid w:val="00350523"/>
    <w:rsid w:val="00352975"/>
    <w:rsid w:val="00356868"/>
    <w:rsid w:val="0036485B"/>
    <w:rsid w:val="00373B0D"/>
    <w:rsid w:val="00376988"/>
    <w:rsid w:val="00381A72"/>
    <w:rsid w:val="003A1948"/>
    <w:rsid w:val="003B152A"/>
    <w:rsid w:val="003B545B"/>
    <w:rsid w:val="003D3EE9"/>
    <w:rsid w:val="003E7681"/>
    <w:rsid w:val="003F0809"/>
    <w:rsid w:val="003F611C"/>
    <w:rsid w:val="003F755C"/>
    <w:rsid w:val="00406F01"/>
    <w:rsid w:val="00411B36"/>
    <w:rsid w:val="004121D7"/>
    <w:rsid w:val="00416D50"/>
    <w:rsid w:val="00417772"/>
    <w:rsid w:val="00420E6A"/>
    <w:rsid w:val="00433CA9"/>
    <w:rsid w:val="0043521D"/>
    <w:rsid w:val="00442024"/>
    <w:rsid w:val="0044254C"/>
    <w:rsid w:val="00443F6A"/>
    <w:rsid w:val="00450A17"/>
    <w:rsid w:val="00466321"/>
    <w:rsid w:val="004672AF"/>
    <w:rsid w:val="004727B0"/>
    <w:rsid w:val="00480247"/>
    <w:rsid w:val="0048081D"/>
    <w:rsid w:val="0048117E"/>
    <w:rsid w:val="004855F6"/>
    <w:rsid w:val="00486F0C"/>
    <w:rsid w:val="00494670"/>
    <w:rsid w:val="004A0EB4"/>
    <w:rsid w:val="004A3823"/>
    <w:rsid w:val="004A59BB"/>
    <w:rsid w:val="004B2B21"/>
    <w:rsid w:val="004B43A3"/>
    <w:rsid w:val="004B4C49"/>
    <w:rsid w:val="004B58A5"/>
    <w:rsid w:val="004B63D9"/>
    <w:rsid w:val="004C0882"/>
    <w:rsid w:val="004C55BE"/>
    <w:rsid w:val="004E5B30"/>
    <w:rsid w:val="004F0779"/>
    <w:rsid w:val="004F1230"/>
    <w:rsid w:val="004F173F"/>
    <w:rsid w:val="004F177C"/>
    <w:rsid w:val="004F2DCE"/>
    <w:rsid w:val="005039CB"/>
    <w:rsid w:val="0050558F"/>
    <w:rsid w:val="005057E0"/>
    <w:rsid w:val="00506286"/>
    <w:rsid w:val="00510813"/>
    <w:rsid w:val="00511DE0"/>
    <w:rsid w:val="00517F02"/>
    <w:rsid w:val="00524547"/>
    <w:rsid w:val="005258A2"/>
    <w:rsid w:val="00530F7C"/>
    <w:rsid w:val="00534567"/>
    <w:rsid w:val="00534F43"/>
    <w:rsid w:val="00535A84"/>
    <w:rsid w:val="00536889"/>
    <w:rsid w:val="00542E07"/>
    <w:rsid w:val="00554A7B"/>
    <w:rsid w:val="0055572C"/>
    <w:rsid w:val="0056064F"/>
    <w:rsid w:val="00561B84"/>
    <w:rsid w:val="00571D98"/>
    <w:rsid w:val="005720AE"/>
    <w:rsid w:val="0058030D"/>
    <w:rsid w:val="00582045"/>
    <w:rsid w:val="00590AE3"/>
    <w:rsid w:val="005918F1"/>
    <w:rsid w:val="005A06B7"/>
    <w:rsid w:val="005A1759"/>
    <w:rsid w:val="005D0369"/>
    <w:rsid w:val="005D53FE"/>
    <w:rsid w:val="005D7A0F"/>
    <w:rsid w:val="005E0438"/>
    <w:rsid w:val="005E1791"/>
    <w:rsid w:val="005E2CE6"/>
    <w:rsid w:val="005E6324"/>
    <w:rsid w:val="005F228B"/>
    <w:rsid w:val="005F29CD"/>
    <w:rsid w:val="005F4DFB"/>
    <w:rsid w:val="005F6CC0"/>
    <w:rsid w:val="00603E5B"/>
    <w:rsid w:val="00604BC8"/>
    <w:rsid w:val="00615B4C"/>
    <w:rsid w:val="00615B5D"/>
    <w:rsid w:val="0062146F"/>
    <w:rsid w:val="006343AF"/>
    <w:rsid w:val="0063634A"/>
    <w:rsid w:val="0064250D"/>
    <w:rsid w:val="006535EB"/>
    <w:rsid w:val="00663016"/>
    <w:rsid w:val="00674605"/>
    <w:rsid w:val="006748B8"/>
    <w:rsid w:val="0068535B"/>
    <w:rsid w:val="0068736E"/>
    <w:rsid w:val="0069290A"/>
    <w:rsid w:val="00697032"/>
    <w:rsid w:val="006975AC"/>
    <w:rsid w:val="006A15FB"/>
    <w:rsid w:val="006A72BF"/>
    <w:rsid w:val="006B332A"/>
    <w:rsid w:val="006B33BD"/>
    <w:rsid w:val="006C3F75"/>
    <w:rsid w:val="006D170E"/>
    <w:rsid w:val="006E06AF"/>
    <w:rsid w:val="006F1789"/>
    <w:rsid w:val="00706C5D"/>
    <w:rsid w:val="007118E6"/>
    <w:rsid w:val="007225C9"/>
    <w:rsid w:val="00735CD7"/>
    <w:rsid w:val="00754034"/>
    <w:rsid w:val="00754BF1"/>
    <w:rsid w:val="00755A30"/>
    <w:rsid w:val="00755E1C"/>
    <w:rsid w:val="00756556"/>
    <w:rsid w:val="0076132B"/>
    <w:rsid w:val="007623AE"/>
    <w:rsid w:val="00770B19"/>
    <w:rsid w:val="00774FA0"/>
    <w:rsid w:val="00776620"/>
    <w:rsid w:val="00777B6D"/>
    <w:rsid w:val="00784855"/>
    <w:rsid w:val="00784F39"/>
    <w:rsid w:val="0078545C"/>
    <w:rsid w:val="007906C4"/>
    <w:rsid w:val="007940EA"/>
    <w:rsid w:val="007967E8"/>
    <w:rsid w:val="007A63F2"/>
    <w:rsid w:val="007B68DE"/>
    <w:rsid w:val="007C1857"/>
    <w:rsid w:val="007C514F"/>
    <w:rsid w:val="007D0F95"/>
    <w:rsid w:val="007D7ECB"/>
    <w:rsid w:val="007E25A1"/>
    <w:rsid w:val="007E4BD2"/>
    <w:rsid w:val="007E7145"/>
    <w:rsid w:val="007F3916"/>
    <w:rsid w:val="00801179"/>
    <w:rsid w:val="00802479"/>
    <w:rsid w:val="00805372"/>
    <w:rsid w:val="00805B7B"/>
    <w:rsid w:val="0081293E"/>
    <w:rsid w:val="00814FFB"/>
    <w:rsid w:val="00820568"/>
    <w:rsid w:val="00831A80"/>
    <w:rsid w:val="008332C8"/>
    <w:rsid w:val="00833743"/>
    <w:rsid w:val="008340A4"/>
    <w:rsid w:val="00836799"/>
    <w:rsid w:val="00837028"/>
    <w:rsid w:val="00837131"/>
    <w:rsid w:val="00845F57"/>
    <w:rsid w:val="008521E0"/>
    <w:rsid w:val="008525B0"/>
    <w:rsid w:val="00867CBC"/>
    <w:rsid w:val="00876C30"/>
    <w:rsid w:val="00877017"/>
    <w:rsid w:val="008773C0"/>
    <w:rsid w:val="00880364"/>
    <w:rsid w:val="00886C4C"/>
    <w:rsid w:val="0088711C"/>
    <w:rsid w:val="00892ECF"/>
    <w:rsid w:val="00892F06"/>
    <w:rsid w:val="00894285"/>
    <w:rsid w:val="008A40AE"/>
    <w:rsid w:val="008A4E19"/>
    <w:rsid w:val="008A67C5"/>
    <w:rsid w:val="008B22E1"/>
    <w:rsid w:val="008B3C78"/>
    <w:rsid w:val="008B4AE9"/>
    <w:rsid w:val="008C30AD"/>
    <w:rsid w:val="008D068E"/>
    <w:rsid w:val="008D0F7A"/>
    <w:rsid w:val="008D63BE"/>
    <w:rsid w:val="008E0CFF"/>
    <w:rsid w:val="008E5D6B"/>
    <w:rsid w:val="008E689B"/>
    <w:rsid w:val="008E76F0"/>
    <w:rsid w:val="008F15FE"/>
    <w:rsid w:val="008F2A94"/>
    <w:rsid w:val="008F5187"/>
    <w:rsid w:val="008F709C"/>
    <w:rsid w:val="0090312B"/>
    <w:rsid w:val="00904961"/>
    <w:rsid w:val="0091736D"/>
    <w:rsid w:val="00931001"/>
    <w:rsid w:val="00931863"/>
    <w:rsid w:val="00933524"/>
    <w:rsid w:val="0094278D"/>
    <w:rsid w:val="0095308A"/>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A0F3B"/>
    <w:rsid w:val="009A72C7"/>
    <w:rsid w:val="009B0897"/>
    <w:rsid w:val="009D0852"/>
    <w:rsid w:val="009D1FBF"/>
    <w:rsid w:val="009E399C"/>
    <w:rsid w:val="009E43C1"/>
    <w:rsid w:val="009E7E95"/>
    <w:rsid w:val="009F116F"/>
    <w:rsid w:val="009F329E"/>
    <w:rsid w:val="009F7ED3"/>
    <w:rsid w:val="00A03607"/>
    <w:rsid w:val="00A047FF"/>
    <w:rsid w:val="00A04FEF"/>
    <w:rsid w:val="00A122CD"/>
    <w:rsid w:val="00A12A32"/>
    <w:rsid w:val="00A14248"/>
    <w:rsid w:val="00A14947"/>
    <w:rsid w:val="00A23DC5"/>
    <w:rsid w:val="00A34028"/>
    <w:rsid w:val="00A35568"/>
    <w:rsid w:val="00A37056"/>
    <w:rsid w:val="00A4358F"/>
    <w:rsid w:val="00A46F67"/>
    <w:rsid w:val="00A54AA1"/>
    <w:rsid w:val="00A568FF"/>
    <w:rsid w:val="00A61496"/>
    <w:rsid w:val="00A61833"/>
    <w:rsid w:val="00A624C6"/>
    <w:rsid w:val="00A63CEC"/>
    <w:rsid w:val="00A7031E"/>
    <w:rsid w:val="00A728B1"/>
    <w:rsid w:val="00A763DE"/>
    <w:rsid w:val="00A803D6"/>
    <w:rsid w:val="00A81282"/>
    <w:rsid w:val="00A8713F"/>
    <w:rsid w:val="00A91167"/>
    <w:rsid w:val="00A9171C"/>
    <w:rsid w:val="00A92FFD"/>
    <w:rsid w:val="00A95975"/>
    <w:rsid w:val="00A9708D"/>
    <w:rsid w:val="00AA2C17"/>
    <w:rsid w:val="00AA4172"/>
    <w:rsid w:val="00AB1914"/>
    <w:rsid w:val="00AB5330"/>
    <w:rsid w:val="00AB7747"/>
    <w:rsid w:val="00AC2532"/>
    <w:rsid w:val="00AD1507"/>
    <w:rsid w:val="00AD5A70"/>
    <w:rsid w:val="00AD738B"/>
    <w:rsid w:val="00AE1BF4"/>
    <w:rsid w:val="00AE5D97"/>
    <w:rsid w:val="00AE6794"/>
    <w:rsid w:val="00B01110"/>
    <w:rsid w:val="00B02262"/>
    <w:rsid w:val="00B03CEC"/>
    <w:rsid w:val="00B1209F"/>
    <w:rsid w:val="00B12AD0"/>
    <w:rsid w:val="00B24F30"/>
    <w:rsid w:val="00B31ABF"/>
    <w:rsid w:val="00B335AE"/>
    <w:rsid w:val="00B37CE1"/>
    <w:rsid w:val="00B40ACF"/>
    <w:rsid w:val="00B46BAA"/>
    <w:rsid w:val="00B50B5F"/>
    <w:rsid w:val="00B54128"/>
    <w:rsid w:val="00B55826"/>
    <w:rsid w:val="00B60426"/>
    <w:rsid w:val="00B622DD"/>
    <w:rsid w:val="00B63522"/>
    <w:rsid w:val="00B76F1D"/>
    <w:rsid w:val="00B92A19"/>
    <w:rsid w:val="00B9544C"/>
    <w:rsid w:val="00BA29E9"/>
    <w:rsid w:val="00BB3618"/>
    <w:rsid w:val="00BC0C9E"/>
    <w:rsid w:val="00BC32DC"/>
    <w:rsid w:val="00BD1B51"/>
    <w:rsid w:val="00BD47F6"/>
    <w:rsid w:val="00BE312D"/>
    <w:rsid w:val="00BE3FCA"/>
    <w:rsid w:val="00C05719"/>
    <w:rsid w:val="00C10578"/>
    <w:rsid w:val="00C17D62"/>
    <w:rsid w:val="00C21FDC"/>
    <w:rsid w:val="00C24EE7"/>
    <w:rsid w:val="00C2596A"/>
    <w:rsid w:val="00C271BE"/>
    <w:rsid w:val="00C27425"/>
    <w:rsid w:val="00C328FE"/>
    <w:rsid w:val="00C33A05"/>
    <w:rsid w:val="00C42500"/>
    <w:rsid w:val="00C4409D"/>
    <w:rsid w:val="00C455BE"/>
    <w:rsid w:val="00C51E5F"/>
    <w:rsid w:val="00C61E4B"/>
    <w:rsid w:val="00C62E3A"/>
    <w:rsid w:val="00C64503"/>
    <w:rsid w:val="00C64A1F"/>
    <w:rsid w:val="00C64BFF"/>
    <w:rsid w:val="00C763C9"/>
    <w:rsid w:val="00C80057"/>
    <w:rsid w:val="00C82C79"/>
    <w:rsid w:val="00C84753"/>
    <w:rsid w:val="00C91611"/>
    <w:rsid w:val="00CA3585"/>
    <w:rsid w:val="00CA3D5A"/>
    <w:rsid w:val="00CA4C7C"/>
    <w:rsid w:val="00CB0183"/>
    <w:rsid w:val="00CB1EA3"/>
    <w:rsid w:val="00CB552C"/>
    <w:rsid w:val="00CB6A9E"/>
    <w:rsid w:val="00CC6181"/>
    <w:rsid w:val="00CD2BCD"/>
    <w:rsid w:val="00CD36AA"/>
    <w:rsid w:val="00CD3791"/>
    <w:rsid w:val="00CD65B0"/>
    <w:rsid w:val="00CE02CD"/>
    <w:rsid w:val="00CE10E9"/>
    <w:rsid w:val="00D0072E"/>
    <w:rsid w:val="00D15727"/>
    <w:rsid w:val="00D16332"/>
    <w:rsid w:val="00D24972"/>
    <w:rsid w:val="00D2515E"/>
    <w:rsid w:val="00D308ED"/>
    <w:rsid w:val="00D55D4C"/>
    <w:rsid w:val="00D56178"/>
    <w:rsid w:val="00D56CF0"/>
    <w:rsid w:val="00D56F5C"/>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F1930"/>
    <w:rsid w:val="00DF514A"/>
    <w:rsid w:val="00E0358D"/>
    <w:rsid w:val="00E06327"/>
    <w:rsid w:val="00E2064B"/>
    <w:rsid w:val="00E25239"/>
    <w:rsid w:val="00E265B1"/>
    <w:rsid w:val="00E275B0"/>
    <w:rsid w:val="00E412D0"/>
    <w:rsid w:val="00E47CDB"/>
    <w:rsid w:val="00E566BC"/>
    <w:rsid w:val="00E60982"/>
    <w:rsid w:val="00E60C8D"/>
    <w:rsid w:val="00E6162F"/>
    <w:rsid w:val="00E6311B"/>
    <w:rsid w:val="00E65D97"/>
    <w:rsid w:val="00E67EFD"/>
    <w:rsid w:val="00E702DC"/>
    <w:rsid w:val="00E71FFB"/>
    <w:rsid w:val="00E76D1D"/>
    <w:rsid w:val="00E806F8"/>
    <w:rsid w:val="00E87752"/>
    <w:rsid w:val="00E8793B"/>
    <w:rsid w:val="00E90F81"/>
    <w:rsid w:val="00E91A6D"/>
    <w:rsid w:val="00E9242D"/>
    <w:rsid w:val="00EB041C"/>
    <w:rsid w:val="00EC5874"/>
    <w:rsid w:val="00ED192D"/>
    <w:rsid w:val="00ED30B4"/>
    <w:rsid w:val="00ED31F5"/>
    <w:rsid w:val="00EF2759"/>
    <w:rsid w:val="00EF45EB"/>
    <w:rsid w:val="00EF5099"/>
    <w:rsid w:val="00EF5E33"/>
    <w:rsid w:val="00F00075"/>
    <w:rsid w:val="00F07822"/>
    <w:rsid w:val="00F15C95"/>
    <w:rsid w:val="00F22985"/>
    <w:rsid w:val="00F241AB"/>
    <w:rsid w:val="00F31382"/>
    <w:rsid w:val="00F35829"/>
    <w:rsid w:val="00F42868"/>
    <w:rsid w:val="00F465A7"/>
    <w:rsid w:val="00F50B7C"/>
    <w:rsid w:val="00F5202D"/>
    <w:rsid w:val="00F52CF6"/>
    <w:rsid w:val="00F54496"/>
    <w:rsid w:val="00F61097"/>
    <w:rsid w:val="00F74345"/>
    <w:rsid w:val="00F74441"/>
    <w:rsid w:val="00F77F30"/>
    <w:rsid w:val="00F82589"/>
    <w:rsid w:val="00F82B19"/>
    <w:rsid w:val="00F90AA7"/>
    <w:rsid w:val="00F9212D"/>
    <w:rsid w:val="00FA301A"/>
    <w:rsid w:val="00FA406A"/>
    <w:rsid w:val="00FA5CB6"/>
    <w:rsid w:val="00FC66AC"/>
    <w:rsid w:val="00FD18F4"/>
    <w:rsid w:val="00FD74B4"/>
    <w:rsid w:val="00FF6FCE"/>
    <w:rsid w:val="00FF7518"/>
    <w:rsid w:val="00FF7FD8"/>
    <w:rsid w:val="01316291"/>
    <w:rsid w:val="02820350"/>
    <w:rsid w:val="02A10E7B"/>
    <w:rsid w:val="02CE2C87"/>
    <w:rsid w:val="02D2650C"/>
    <w:rsid w:val="031221D8"/>
    <w:rsid w:val="040D666A"/>
    <w:rsid w:val="04A66578"/>
    <w:rsid w:val="051668EE"/>
    <w:rsid w:val="05461EE4"/>
    <w:rsid w:val="05742AC8"/>
    <w:rsid w:val="058A5E9A"/>
    <w:rsid w:val="06352F05"/>
    <w:rsid w:val="063E7D85"/>
    <w:rsid w:val="069B1F8D"/>
    <w:rsid w:val="06B00162"/>
    <w:rsid w:val="06DF5D71"/>
    <w:rsid w:val="06EB14C3"/>
    <w:rsid w:val="070875E0"/>
    <w:rsid w:val="07293586"/>
    <w:rsid w:val="07295285"/>
    <w:rsid w:val="07770C56"/>
    <w:rsid w:val="077E2D74"/>
    <w:rsid w:val="08F8607B"/>
    <w:rsid w:val="092217DD"/>
    <w:rsid w:val="092403B3"/>
    <w:rsid w:val="093A7294"/>
    <w:rsid w:val="0A063AD2"/>
    <w:rsid w:val="0AAF25A9"/>
    <w:rsid w:val="0AB749FD"/>
    <w:rsid w:val="0BD00D61"/>
    <w:rsid w:val="0BD27BF6"/>
    <w:rsid w:val="0D057370"/>
    <w:rsid w:val="0D505C1B"/>
    <w:rsid w:val="0DEF06EF"/>
    <w:rsid w:val="0E110D06"/>
    <w:rsid w:val="0F13775A"/>
    <w:rsid w:val="0F9A112B"/>
    <w:rsid w:val="100C0B03"/>
    <w:rsid w:val="10343BF8"/>
    <w:rsid w:val="1055743D"/>
    <w:rsid w:val="106D2F64"/>
    <w:rsid w:val="10823CE0"/>
    <w:rsid w:val="10B63710"/>
    <w:rsid w:val="111C2F7A"/>
    <w:rsid w:val="113013DE"/>
    <w:rsid w:val="117C5193"/>
    <w:rsid w:val="122B06C2"/>
    <w:rsid w:val="13951726"/>
    <w:rsid w:val="13C00B23"/>
    <w:rsid w:val="13C60645"/>
    <w:rsid w:val="14396509"/>
    <w:rsid w:val="143E6213"/>
    <w:rsid w:val="1447165C"/>
    <w:rsid w:val="144C2B09"/>
    <w:rsid w:val="149467FA"/>
    <w:rsid w:val="14A303BE"/>
    <w:rsid w:val="14AB0819"/>
    <w:rsid w:val="15377F11"/>
    <w:rsid w:val="155D7592"/>
    <w:rsid w:val="15B451B5"/>
    <w:rsid w:val="15D65000"/>
    <w:rsid w:val="165D6CB3"/>
    <w:rsid w:val="172F3FDF"/>
    <w:rsid w:val="17622EA4"/>
    <w:rsid w:val="17735226"/>
    <w:rsid w:val="17B55299"/>
    <w:rsid w:val="17CA3EE7"/>
    <w:rsid w:val="1926209E"/>
    <w:rsid w:val="19E91D7C"/>
    <w:rsid w:val="1A1C66C0"/>
    <w:rsid w:val="1A42393B"/>
    <w:rsid w:val="1B046F80"/>
    <w:rsid w:val="1B2B61D5"/>
    <w:rsid w:val="1B3267B5"/>
    <w:rsid w:val="1BC25DC8"/>
    <w:rsid w:val="1BEE7590"/>
    <w:rsid w:val="1C5E7925"/>
    <w:rsid w:val="1C887FC8"/>
    <w:rsid w:val="1D5F6196"/>
    <w:rsid w:val="1D6132A5"/>
    <w:rsid w:val="1D8E56D5"/>
    <w:rsid w:val="1DC13FCB"/>
    <w:rsid w:val="1DEC1541"/>
    <w:rsid w:val="1E0E5220"/>
    <w:rsid w:val="1E5D07AF"/>
    <w:rsid w:val="1E7A43DA"/>
    <w:rsid w:val="1EB277FE"/>
    <w:rsid w:val="1F24762E"/>
    <w:rsid w:val="1F3C52D7"/>
    <w:rsid w:val="1FE7539E"/>
    <w:rsid w:val="202F7912"/>
    <w:rsid w:val="20631B57"/>
    <w:rsid w:val="20963CB8"/>
    <w:rsid w:val="20B07FB6"/>
    <w:rsid w:val="20CC4464"/>
    <w:rsid w:val="20F848F5"/>
    <w:rsid w:val="213B74B1"/>
    <w:rsid w:val="215A2310"/>
    <w:rsid w:val="21701F90"/>
    <w:rsid w:val="21C9072C"/>
    <w:rsid w:val="21DE318A"/>
    <w:rsid w:val="21EF5B80"/>
    <w:rsid w:val="22576990"/>
    <w:rsid w:val="229C4EAB"/>
    <w:rsid w:val="22F675A8"/>
    <w:rsid w:val="23BB775C"/>
    <w:rsid w:val="23C164F1"/>
    <w:rsid w:val="250B7FE3"/>
    <w:rsid w:val="252D53FE"/>
    <w:rsid w:val="25415A37"/>
    <w:rsid w:val="25490048"/>
    <w:rsid w:val="25EC2D81"/>
    <w:rsid w:val="26227E68"/>
    <w:rsid w:val="264528BD"/>
    <w:rsid w:val="267D5C70"/>
    <w:rsid w:val="26AA65BE"/>
    <w:rsid w:val="27D15DD1"/>
    <w:rsid w:val="28A76295"/>
    <w:rsid w:val="28BC26E9"/>
    <w:rsid w:val="29206EB8"/>
    <w:rsid w:val="29AF6E16"/>
    <w:rsid w:val="29E325E0"/>
    <w:rsid w:val="29E64CE9"/>
    <w:rsid w:val="2A2D41CD"/>
    <w:rsid w:val="2A351FC9"/>
    <w:rsid w:val="2A452503"/>
    <w:rsid w:val="2AD4052A"/>
    <w:rsid w:val="2BA936A8"/>
    <w:rsid w:val="2C20104C"/>
    <w:rsid w:val="2C315A5A"/>
    <w:rsid w:val="2C7147BB"/>
    <w:rsid w:val="2D305552"/>
    <w:rsid w:val="2D9E56F5"/>
    <w:rsid w:val="2E480D58"/>
    <w:rsid w:val="2E667F96"/>
    <w:rsid w:val="2E8226AB"/>
    <w:rsid w:val="2EF9007F"/>
    <w:rsid w:val="2F154177"/>
    <w:rsid w:val="2F832C79"/>
    <w:rsid w:val="2F973D06"/>
    <w:rsid w:val="2FEF2D58"/>
    <w:rsid w:val="30580BC9"/>
    <w:rsid w:val="30E00E21"/>
    <w:rsid w:val="30F229C1"/>
    <w:rsid w:val="311E2ED7"/>
    <w:rsid w:val="315C449C"/>
    <w:rsid w:val="319C70E8"/>
    <w:rsid w:val="31B82709"/>
    <w:rsid w:val="31CB5C83"/>
    <w:rsid w:val="32400B34"/>
    <w:rsid w:val="329E6876"/>
    <w:rsid w:val="333448FC"/>
    <w:rsid w:val="33B761E8"/>
    <w:rsid w:val="33D934D4"/>
    <w:rsid w:val="33FE2F6A"/>
    <w:rsid w:val="350A7798"/>
    <w:rsid w:val="356044B0"/>
    <w:rsid w:val="35C661CB"/>
    <w:rsid w:val="36074A7F"/>
    <w:rsid w:val="3662158F"/>
    <w:rsid w:val="36923549"/>
    <w:rsid w:val="36B75FBF"/>
    <w:rsid w:val="36FB4891"/>
    <w:rsid w:val="37251F9C"/>
    <w:rsid w:val="37EF3597"/>
    <w:rsid w:val="37FE1C4C"/>
    <w:rsid w:val="38B96945"/>
    <w:rsid w:val="38D45EB7"/>
    <w:rsid w:val="38F12CD3"/>
    <w:rsid w:val="38F94775"/>
    <w:rsid w:val="392971ED"/>
    <w:rsid w:val="39961E46"/>
    <w:rsid w:val="39E32B8B"/>
    <w:rsid w:val="3A31268C"/>
    <w:rsid w:val="3A8F4598"/>
    <w:rsid w:val="3ABC194A"/>
    <w:rsid w:val="3B3748D6"/>
    <w:rsid w:val="3B3763D1"/>
    <w:rsid w:val="3CCD5072"/>
    <w:rsid w:val="3CDA245A"/>
    <w:rsid w:val="3CEE0A37"/>
    <w:rsid w:val="3D981AB7"/>
    <w:rsid w:val="3E0944D6"/>
    <w:rsid w:val="3F2521B4"/>
    <w:rsid w:val="3F3F61A5"/>
    <w:rsid w:val="3F660E74"/>
    <w:rsid w:val="3F6B2091"/>
    <w:rsid w:val="3FC83B0F"/>
    <w:rsid w:val="3FD95475"/>
    <w:rsid w:val="406805AA"/>
    <w:rsid w:val="407A6407"/>
    <w:rsid w:val="408B2A3C"/>
    <w:rsid w:val="41B37E67"/>
    <w:rsid w:val="423A3BCC"/>
    <w:rsid w:val="425D6E1B"/>
    <w:rsid w:val="42806506"/>
    <w:rsid w:val="42C06D15"/>
    <w:rsid w:val="433A6FE6"/>
    <w:rsid w:val="4350713C"/>
    <w:rsid w:val="436653E0"/>
    <w:rsid w:val="43996573"/>
    <w:rsid w:val="43F02873"/>
    <w:rsid w:val="44CD14E0"/>
    <w:rsid w:val="44E26A90"/>
    <w:rsid w:val="458946E9"/>
    <w:rsid w:val="459A618F"/>
    <w:rsid w:val="466E61EE"/>
    <w:rsid w:val="469C1DB0"/>
    <w:rsid w:val="46BF32E8"/>
    <w:rsid w:val="46D36999"/>
    <w:rsid w:val="46D955A7"/>
    <w:rsid w:val="46FA472B"/>
    <w:rsid w:val="47133957"/>
    <w:rsid w:val="4779329E"/>
    <w:rsid w:val="47A07E0C"/>
    <w:rsid w:val="47C013E9"/>
    <w:rsid w:val="4870272E"/>
    <w:rsid w:val="48B33A4E"/>
    <w:rsid w:val="49A5461D"/>
    <w:rsid w:val="49DC7715"/>
    <w:rsid w:val="4A023139"/>
    <w:rsid w:val="4A7B576F"/>
    <w:rsid w:val="4AAA17BF"/>
    <w:rsid w:val="4AD16E91"/>
    <w:rsid w:val="4ADA4E44"/>
    <w:rsid w:val="4B514B7E"/>
    <w:rsid w:val="4C4A0649"/>
    <w:rsid w:val="4C7B081E"/>
    <w:rsid w:val="4CA02D60"/>
    <w:rsid w:val="4CB900CE"/>
    <w:rsid w:val="4CE470D3"/>
    <w:rsid w:val="4D826A23"/>
    <w:rsid w:val="4D8D40B1"/>
    <w:rsid w:val="4DEC4FB0"/>
    <w:rsid w:val="4E075D8A"/>
    <w:rsid w:val="4F084A00"/>
    <w:rsid w:val="4F171F31"/>
    <w:rsid w:val="4FC62A8C"/>
    <w:rsid w:val="4FE20F0D"/>
    <w:rsid w:val="50074618"/>
    <w:rsid w:val="502E59B7"/>
    <w:rsid w:val="50504C4B"/>
    <w:rsid w:val="509C6E7C"/>
    <w:rsid w:val="50EC48E0"/>
    <w:rsid w:val="5162104E"/>
    <w:rsid w:val="51EA20C4"/>
    <w:rsid w:val="52301ACD"/>
    <w:rsid w:val="52760D12"/>
    <w:rsid w:val="53135EC7"/>
    <w:rsid w:val="537D3F15"/>
    <w:rsid w:val="53A039CC"/>
    <w:rsid w:val="53A1505A"/>
    <w:rsid w:val="53D9072B"/>
    <w:rsid w:val="53F21314"/>
    <w:rsid w:val="54063E08"/>
    <w:rsid w:val="543437E8"/>
    <w:rsid w:val="549E12E2"/>
    <w:rsid w:val="55872282"/>
    <w:rsid w:val="559B174B"/>
    <w:rsid w:val="55CE0CF4"/>
    <w:rsid w:val="565D622C"/>
    <w:rsid w:val="56915C3D"/>
    <w:rsid w:val="56B22A9C"/>
    <w:rsid w:val="570A3D11"/>
    <w:rsid w:val="57B72A76"/>
    <w:rsid w:val="584C5E02"/>
    <w:rsid w:val="585124C2"/>
    <w:rsid w:val="58BD4DB3"/>
    <w:rsid w:val="590E5432"/>
    <w:rsid w:val="5A3C747D"/>
    <w:rsid w:val="5A5B3BE7"/>
    <w:rsid w:val="5ABE2233"/>
    <w:rsid w:val="5ADE5069"/>
    <w:rsid w:val="5B276D18"/>
    <w:rsid w:val="5BDF5D95"/>
    <w:rsid w:val="5C693288"/>
    <w:rsid w:val="5D807FA6"/>
    <w:rsid w:val="5DF87A0F"/>
    <w:rsid w:val="5E0077CB"/>
    <w:rsid w:val="5E710E9C"/>
    <w:rsid w:val="5EFD03CC"/>
    <w:rsid w:val="5F1A2B43"/>
    <w:rsid w:val="5FB837BB"/>
    <w:rsid w:val="61C471B3"/>
    <w:rsid w:val="62364782"/>
    <w:rsid w:val="631B3D1A"/>
    <w:rsid w:val="637F6E90"/>
    <w:rsid w:val="63D40BE9"/>
    <w:rsid w:val="63E0211F"/>
    <w:rsid w:val="641A649B"/>
    <w:rsid w:val="643E324C"/>
    <w:rsid w:val="64680B80"/>
    <w:rsid w:val="646E3AF4"/>
    <w:rsid w:val="65373578"/>
    <w:rsid w:val="653A1C66"/>
    <w:rsid w:val="65C94186"/>
    <w:rsid w:val="662F7DD3"/>
    <w:rsid w:val="667C71C4"/>
    <w:rsid w:val="6692787F"/>
    <w:rsid w:val="669A2AA8"/>
    <w:rsid w:val="66E431B0"/>
    <w:rsid w:val="67166C98"/>
    <w:rsid w:val="673F2C7A"/>
    <w:rsid w:val="675A3143"/>
    <w:rsid w:val="681F6961"/>
    <w:rsid w:val="68207B62"/>
    <w:rsid w:val="68610A2F"/>
    <w:rsid w:val="68805514"/>
    <w:rsid w:val="68F56648"/>
    <w:rsid w:val="690459FC"/>
    <w:rsid w:val="692E7D33"/>
    <w:rsid w:val="694E2071"/>
    <w:rsid w:val="697A3B33"/>
    <w:rsid w:val="699E2456"/>
    <w:rsid w:val="6A402023"/>
    <w:rsid w:val="6B0E000C"/>
    <w:rsid w:val="6B322639"/>
    <w:rsid w:val="6B4355EC"/>
    <w:rsid w:val="6B827672"/>
    <w:rsid w:val="6C636C38"/>
    <w:rsid w:val="6CB247D7"/>
    <w:rsid w:val="6CF95833"/>
    <w:rsid w:val="6DB34098"/>
    <w:rsid w:val="6DB545B6"/>
    <w:rsid w:val="6E4375A0"/>
    <w:rsid w:val="6E514CED"/>
    <w:rsid w:val="6E79491A"/>
    <w:rsid w:val="6EA723B0"/>
    <w:rsid w:val="6EB563D5"/>
    <w:rsid w:val="6F225983"/>
    <w:rsid w:val="6FE712AF"/>
    <w:rsid w:val="6FFC5590"/>
    <w:rsid w:val="6FFD4164"/>
    <w:rsid w:val="700545EA"/>
    <w:rsid w:val="70301DA3"/>
    <w:rsid w:val="706D1DD0"/>
    <w:rsid w:val="70856B87"/>
    <w:rsid w:val="70BD4F96"/>
    <w:rsid w:val="70D527EE"/>
    <w:rsid w:val="715B5300"/>
    <w:rsid w:val="715F4BD7"/>
    <w:rsid w:val="71B71577"/>
    <w:rsid w:val="71D27F8A"/>
    <w:rsid w:val="71E35433"/>
    <w:rsid w:val="71F744C6"/>
    <w:rsid w:val="71F960CF"/>
    <w:rsid w:val="72EB459F"/>
    <w:rsid w:val="72F85B63"/>
    <w:rsid w:val="731F5D5E"/>
    <w:rsid w:val="732A329E"/>
    <w:rsid w:val="741E793C"/>
    <w:rsid w:val="758D75E2"/>
    <w:rsid w:val="75CF2BD1"/>
    <w:rsid w:val="75FE56B4"/>
    <w:rsid w:val="77762421"/>
    <w:rsid w:val="780F09F4"/>
    <w:rsid w:val="789C4F47"/>
    <w:rsid w:val="78A90480"/>
    <w:rsid w:val="79811327"/>
    <w:rsid w:val="798E2CBF"/>
    <w:rsid w:val="7A2D05AC"/>
    <w:rsid w:val="7A364017"/>
    <w:rsid w:val="7A8265E1"/>
    <w:rsid w:val="7ABB5824"/>
    <w:rsid w:val="7B455112"/>
    <w:rsid w:val="7B686D42"/>
    <w:rsid w:val="7B785F34"/>
    <w:rsid w:val="7B841746"/>
    <w:rsid w:val="7C594C70"/>
    <w:rsid w:val="7C80044E"/>
    <w:rsid w:val="7D0239FF"/>
    <w:rsid w:val="7D1D0BAE"/>
    <w:rsid w:val="7D5E40CD"/>
    <w:rsid w:val="7D693BED"/>
    <w:rsid w:val="7F0D0412"/>
    <w:rsid w:val="7F1B620C"/>
    <w:rsid w:val="7F363C5D"/>
    <w:rsid w:val="7F5259A6"/>
    <w:rsid w:val="7FAA07F0"/>
    <w:rsid w:val="7FD52338"/>
    <w:rsid w:val="7FE47E5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unhideWhenUsed="0" w:uiPriority="0" w:semiHidden="0" w:name="heading 2" w:locked="1"/>
    <w:lsdException w:unhideWhenUsed="0" w:uiPriority="0" w:semiHidden="0" w:name="heading 3" w:locked="1"/>
    <w:lsdException w:unhideWhenUsed="0" w:uiPriority="0" w:semiHidden="0" w:name="heading 4" w:locked="1"/>
    <w:lsdException w:unhideWhenUsed="0" w:uiPriority="0" w:semiHidden="0" w:name="heading 5" w:locked="1"/>
    <w:lsdException w:unhideWhenUsed="0" w:uiPriority="0" w:semiHidden="0" w:name="heading 6" w:locked="1"/>
    <w:lsdException w:unhideWhenUsed="0" w:uiPriority="0" w:semiHidden="0" w:name="heading 7" w:locked="1"/>
    <w:lsdException w:unhideWhenUsed="0" w:uiPriority="0" w:semiHidden="0" w:name="heading 8" w:locked="1"/>
    <w:lsdException w:unhideWhenUsed="0" w:uiPriority="0" w:semiHidden="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unhideWhenUsed="0" w:uiPriority="0" w:semiHidden="0" w:name="caption" w:locked="1"/>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ocked="1"/>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ocked="1"/>
    <w:lsdException w:unhideWhenUsed="0" w:uiPriority="0" w:semiHidden="0" w:name="Salutation"/>
    <w:lsdException w:qFormat="1" w:unhideWhenUsed="0" w:uiPriority="0" w:semiHidden="0" w:name="Date"/>
    <w:lsdException w:unhideWhenUsed="0" w:uiPriority="0" w:semiHidden="0" w:name="Body Text First Indent"/>
    <w:lsdException w:qFormat="1"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unhideWhenUsed="0" w:uiPriority="0" w:semiHidden="0" w:name="Strong" w:locked="1"/>
    <w:lsdException w:unhideWhenUsed="0" w:uiPriority="0" w:semiHidden="0" w:name="Emphasis" w:locked="1"/>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autoRedefine/>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character" w:default="1" w:styleId="20">
    <w:name w:val="Default Paragraph Font"/>
    <w:autoRedefine/>
    <w:semiHidden/>
    <w:qFormat/>
    <w:uiPriority w:val="0"/>
  </w:style>
  <w:style w:type="table" w:default="1" w:styleId="18">
    <w:name w:val="Normal Table"/>
    <w:autoRedefine/>
    <w:semiHidden/>
    <w:qFormat/>
    <w:uiPriority w:val="0"/>
    <w:tblPr>
      <w:tblCellMar>
        <w:top w:w="0" w:type="dxa"/>
        <w:left w:w="108" w:type="dxa"/>
        <w:bottom w:w="0" w:type="dxa"/>
        <w:right w:w="108" w:type="dxa"/>
      </w:tblCellMar>
    </w:tblPr>
  </w:style>
  <w:style w:type="paragraph" w:styleId="3">
    <w:name w:val="Note Heading"/>
    <w:basedOn w:val="1"/>
    <w:next w:val="1"/>
    <w:autoRedefine/>
    <w:qFormat/>
    <w:uiPriority w:val="0"/>
    <w:pPr>
      <w:jc w:val="center"/>
    </w:pPr>
  </w:style>
  <w:style w:type="paragraph" w:styleId="4">
    <w:name w:val="Normal Indent"/>
    <w:basedOn w:val="1"/>
    <w:next w:val="1"/>
    <w:qFormat/>
    <w:uiPriority w:val="0"/>
    <w:pPr>
      <w:ind w:firstLine="200"/>
    </w:pPr>
    <w:rPr>
      <w:rFonts w:eastAsia="仿宋_GB2312"/>
      <w:sz w:val="28"/>
    </w:rPr>
  </w:style>
  <w:style w:type="paragraph" w:styleId="5">
    <w:name w:val="annotation text"/>
    <w:basedOn w:val="1"/>
    <w:link w:val="36"/>
    <w:autoRedefine/>
    <w:semiHidden/>
    <w:qFormat/>
    <w:uiPriority w:val="0"/>
    <w:pPr>
      <w:jc w:val="left"/>
    </w:pPr>
    <w:rPr>
      <w:kern w:val="0"/>
      <w:sz w:val="20"/>
    </w:rPr>
  </w:style>
  <w:style w:type="paragraph" w:styleId="6">
    <w:name w:val="Body Text"/>
    <w:basedOn w:val="1"/>
    <w:link w:val="27"/>
    <w:autoRedefine/>
    <w:qFormat/>
    <w:uiPriority w:val="0"/>
    <w:pPr>
      <w:widowControl/>
      <w:snapToGrid w:val="0"/>
      <w:spacing w:before="60" w:after="160" w:line="259" w:lineRule="auto"/>
      <w:ind w:right="113"/>
    </w:pPr>
    <w:rPr>
      <w:kern w:val="0"/>
      <w:sz w:val="18"/>
      <w:szCs w:val="18"/>
    </w:rPr>
  </w:style>
  <w:style w:type="paragraph" w:styleId="7">
    <w:name w:val="Body Text Indent"/>
    <w:basedOn w:val="1"/>
    <w:link w:val="38"/>
    <w:autoRedefine/>
    <w:semiHidden/>
    <w:qFormat/>
    <w:uiPriority w:val="0"/>
    <w:pPr>
      <w:spacing w:after="120"/>
      <w:ind w:left="420" w:leftChars="200"/>
    </w:pPr>
  </w:style>
  <w:style w:type="paragraph" w:styleId="8">
    <w:name w:val="Block Text"/>
    <w:basedOn w:val="1"/>
    <w:autoRedefine/>
    <w:qFormat/>
    <w:uiPriority w:val="0"/>
    <w:pPr>
      <w:ind w:left="-108" w:right="-108"/>
      <w:jc w:val="center"/>
    </w:pPr>
    <w:rPr>
      <w:rFonts w:eastAsia="楷体_GB2312"/>
      <w:sz w:val="28"/>
    </w:rPr>
  </w:style>
  <w:style w:type="paragraph" w:styleId="9">
    <w:name w:val="Plain Text"/>
    <w:basedOn w:val="1"/>
    <w:next w:val="1"/>
    <w:autoRedefine/>
    <w:qFormat/>
    <w:uiPriority w:val="0"/>
    <w:rPr>
      <w:rFonts w:ascii="仿宋_GB2312" w:hAnsi="仿宋_GB2312"/>
    </w:rPr>
  </w:style>
  <w:style w:type="paragraph" w:styleId="10">
    <w:name w:val="Date"/>
    <w:basedOn w:val="1"/>
    <w:next w:val="1"/>
    <w:link w:val="29"/>
    <w:autoRedefine/>
    <w:qFormat/>
    <w:uiPriority w:val="0"/>
    <w:pPr>
      <w:ind w:left="100" w:leftChars="2500"/>
    </w:pPr>
    <w:rPr>
      <w:kern w:val="0"/>
      <w:sz w:val="20"/>
    </w:rPr>
  </w:style>
  <w:style w:type="paragraph" w:styleId="11">
    <w:name w:val="Balloon Text"/>
    <w:basedOn w:val="1"/>
    <w:link w:val="35"/>
    <w:autoRedefine/>
    <w:semiHidden/>
    <w:qFormat/>
    <w:uiPriority w:val="0"/>
    <w:rPr>
      <w:sz w:val="18"/>
      <w:szCs w:val="18"/>
    </w:rPr>
  </w:style>
  <w:style w:type="paragraph" w:styleId="12">
    <w:name w:val="footer"/>
    <w:basedOn w:val="1"/>
    <w:link w:val="26"/>
    <w:autoRedefine/>
    <w:qFormat/>
    <w:uiPriority w:val="0"/>
    <w:pPr>
      <w:tabs>
        <w:tab w:val="center" w:pos="4153"/>
        <w:tab w:val="right" w:pos="8306"/>
      </w:tabs>
      <w:snapToGrid w:val="0"/>
      <w:jc w:val="left"/>
    </w:pPr>
    <w:rPr>
      <w:sz w:val="18"/>
      <w:szCs w:val="18"/>
    </w:rPr>
  </w:style>
  <w:style w:type="paragraph" w:styleId="13">
    <w:name w:val="header"/>
    <w:basedOn w:val="1"/>
    <w:link w:val="25"/>
    <w:autoRedefine/>
    <w:qFormat/>
    <w:uiPriority w:val="0"/>
    <w:pPr>
      <w:pBdr>
        <w:bottom w:val="single" w:color="auto" w:sz="6" w:space="1"/>
      </w:pBdr>
      <w:tabs>
        <w:tab w:val="center" w:pos="4153"/>
        <w:tab w:val="right" w:pos="8306"/>
      </w:tabs>
      <w:snapToGrid w:val="0"/>
      <w:jc w:val="center"/>
    </w:pPr>
    <w:rPr>
      <w:sz w:val="18"/>
      <w:szCs w:val="18"/>
    </w:rPr>
  </w:style>
  <w:style w:type="paragraph" w:styleId="14">
    <w:name w:val="toc 2"/>
    <w:basedOn w:val="1"/>
    <w:next w:val="1"/>
    <w:qFormat/>
    <w:locked/>
    <w:uiPriority w:val="0"/>
    <w:pPr>
      <w:ind w:left="420" w:leftChars="200"/>
    </w:pPr>
  </w:style>
  <w:style w:type="paragraph" w:styleId="15">
    <w:name w:val="Normal (Web)"/>
    <w:basedOn w:val="1"/>
    <w:link w:val="28"/>
    <w:autoRedefine/>
    <w:qFormat/>
    <w:uiPriority w:val="0"/>
    <w:pPr>
      <w:widowControl/>
      <w:spacing w:before="100" w:beforeAutospacing="1" w:after="100" w:afterAutospacing="1"/>
      <w:jc w:val="left"/>
    </w:pPr>
    <w:rPr>
      <w:rFonts w:ascii="宋体" w:hAnsi="宋体"/>
      <w:kern w:val="0"/>
      <w:sz w:val="24"/>
    </w:rPr>
  </w:style>
  <w:style w:type="paragraph" w:styleId="16">
    <w:name w:val="annotation subject"/>
    <w:basedOn w:val="5"/>
    <w:next w:val="5"/>
    <w:link w:val="39"/>
    <w:autoRedefine/>
    <w:semiHidden/>
    <w:qFormat/>
    <w:uiPriority w:val="0"/>
    <w:rPr>
      <w:b/>
      <w:bCs/>
    </w:rPr>
  </w:style>
  <w:style w:type="paragraph" w:styleId="17">
    <w:name w:val="Body Text First Indent 2"/>
    <w:basedOn w:val="7"/>
    <w:next w:val="1"/>
    <w:autoRedefine/>
    <w:unhideWhenUsed/>
    <w:qFormat/>
    <w:uiPriority w:val="0"/>
    <w:pPr>
      <w:ind w:left="0" w:leftChars="0" w:firstLine="0"/>
    </w:pPr>
    <w:rPr>
      <w:rFonts w:ascii="Times New Roman" w:hAnsi="Times New Roman" w:eastAsia="宋体"/>
    </w:rPr>
  </w:style>
  <w:style w:type="table" w:styleId="19">
    <w:name w:val="Table Grid"/>
    <w:basedOn w:val="18"/>
    <w:autoRedefine/>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page number"/>
    <w:basedOn w:val="20"/>
    <w:autoRedefine/>
    <w:qFormat/>
    <w:uiPriority w:val="0"/>
  </w:style>
  <w:style w:type="character" w:styleId="22">
    <w:name w:val="annotation reference"/>
    <w:basedOn w:val="20"/>
    <w:autoRedefine/>
    <w:semiHidden/>
    <w:qFormat/>
    <w:uiPriority w:val="0"/>
    <w:rPr>
      <w:sz w:val="21"/>
    </w:rPr>
  </w:style>
  <w:style w:type="paragraph" w:customStyle="1" w:styleId="23">
    <w:name w:val="Default"/>
    <w:basedOn w:val="24"/>
    <w:autoRedefine/>
    <w:unhideWhenUsed/>
    <w:qFormat/>
    <w:uiPriority w:val="0"/>
    <w:pPr>
      <w:widowControl w:val="0"/>
      <w:autoSpaceDE w:val="0"/>
      <w:autoSpaceDN w:val="0"/>
      <w:adjustRightInd w:val="0"/>
    </w:pPr>
    <w:rPr>
      <w:rFonts w:ascii="宋体" w:hAnsi="宋体" w:eastAsia="宋体" w:cs="Times New Roman"/>
      <w:color w:val="000000"/>
      <w:sz w:val="24"/>
      <w:lang w:val="en-US" w:eastAsia="zh-CN" w:bidi="ar-SA"/>
    </w:rPr>
  </w:style>
  <w:style w:type="paragraph" w:customStyle="1" w:styleId="24">
    <w:name w:val="标题 段落4级"/>
    <w:autoRedefine/>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character" w:customStyle="1" w:styleId="25">
    <w:name w:val="Header Char"/>
    <w:basedOn w:val="20"/>
    <w:link w:val="13"/>
    <w:autoRedefine/>
    <w:qFormat/>
    <w:locked/>
    <w:uiPriority w:val="0"/>
    <w:rPr>
      <w:rFonts w:cs="Times New Roman"/>
      <w:sz w:val="18"/>
      <w:szCs w:val="18"/>
    </w:rPr>
  </w:style>
  <w:style w:type="character" w:customStyle="1" w:styleId="26">
    <w:name w:val="Footer Char"/>
    <w:basedOn w:val="20"/>
    <w:link w:val="12"/>
    <w:autoRedefine/>
    <w:qFormat/>
    <w:locked/>
    <w:uiPriority w:val="0"/>
    <w:rPr>
      <w:rFonts w:cs="Times New Roman"/>
      <w:sz w:val="18"/>
      <w:szCs w:val="18"/>
    </w:rPr>
  </w:style>
  <w:style w:type="character" w:customStyle="1" w:styleId="27">
    <w:name w:val="Body Text Char"/>
    <w:link w:val="6"/>
    <w:autoRedefine/>
    <w:qFormat/>
    <w:locked/>
    <w:uiPriority w:val="0"/>
    <w:rPr>
      <w:sz w:val="18"/>
    </w:rPr>
  </w:style>
  <w:style w:type="character" w:customStyle="1" w:styleId="28">
    <w:name w:val="Normal (Web) Char"/>
    <w:link w:val="15"/>
    <w:autoRedefine/>
    <w:qFormat/>
    <w:locked/>
    <w:uiPriority w:val="0"/>
    <w:rPr>
      <w:rFonts w:ascii="宋体" w:hAnsi="宋体" w:eastAsia="宋体"/>
      <w:sz w:val="24"/>
    </w:rPr>
  </w:style>
  <w:style w:type="character" w:customStyle="1" w:styleId="29">
    <w:name w:val="Date Char"/>
    <w:link w:val="10"/>
    <w:autoRedefine/>
    <w:qFormat/>
    <w:locked/>
    <w:uiPriority w:val="0"/>
    <w:rPr>
      <w:rFonts w:ascii="Times New Roman" w:hAnsi="Times New Roman" w:eastAsia="宋体"/>
      <w:sz w:val="24"/>
    </w:rPr>
  </w:style>
  <w:style w:type="character" w:customStyle="1" w:styleId="30">
    <w:name w:val="日期 字符"/>
    <w:basedOn w:val="20"/>
    <w:autoRedefine/>
    <w:semiHidden/>
    <w:qFormat/>
    <w:uiPriority w:val="0"/>
    <w:rPr>
      <w:rFonts w:ascii="Times New Roman" w:hAnsi="Times New Roman" w:eastAsia="宋体" w:cs="Times New Roman"/>
      <w:sz w:val="24"/>
      <w:szCs w:val="24"/>
    </w:rPr>
  </w:style>
  <w:style w:type="character" w:customStyle="1" w:styleId="31">
    <w:name w:val="正文文本 字符1"/>
    <w:basedOn w:val="20"/>
    <w:autoRedefine/>
    <w:semiHidden/>
    <w:qFormat/>
    <w:uiPriority w:val="0"/>
    <w:rPr>
      <w:rFonts w:ascii="Times New Roman" w:hAnsi="Times New Roman" w:eastAsia="宋体" w:cs="Times New Roman"/>
      <w:sz w:val="24"/>
      <w:szCs w:val="24"/>
    </w:rPr>
  </w:style>
  <w:style w:type="paragraph" w:customStyle="1" w:styleId="32">
    <w:name w:val="普通(网站)2"/>
    <w:basedOn w:val="1"/>
    <w:autoRedefine/>
    <w:qFormat/>
    <w:uiPriority w:val="0"/>
    <w:pPr>
      <w:widowControl/>
      <w:spacing w:before="100" w:beforeAutospacing="1" w:after="100" w:afterAutospacing="1"/>
      <w:jc w:val="left"/>
    </w:pPr>
    <w:rPr>
      <w:rFonts w:ascii="宋体" w:hAnsi="宋体"/>
      <w:sz w:val="24"/>
      <w:szCs w:val="20"/>
    </w:rPr>
  </w:style>
  <w:style w:type="character" w:customStyle="1" w:styleId="33">
    <w:name w:val="表格 Char"/>
    <w:link w:val="34"/>
    <w:autoRedefine/>
    <w:qFormat/>
    <w:locked/>
    <w:uiPriority w:val="0"/>
    <w:rPr>
      <w:rFonts w:ascii="宋体"/>
      <w:sz w:val="21"/>
    </w:rPr>
  </w:style>
  <w:style w:type="paragraph" w:customStyle="1" w:styleId="34">
    <w:name w:val="表格"/>
    <w:basedOn w:val="4"/>
    <w:next w:val="1"/>
    <w:link w:val="33"/>
    <w:autoRedefine/>
    <w:qFormat/>
    <w:uiPriority w:val="0"/>
    <w:pPr>
      <w:adjustRightInd w:val="0"/>
      <w:snapToGrid w:val="0"/>
      <w:spacing w:beforeLines="10" w:afterLines="10" w:line="259" w:lineRule="auto"/>
      <w:jc w:val="center"/>
    </w:pPr>
    <w:rPr>
      <w:rFonts w:ascii="宋体"/>
      <w:kern w:val="0"/>
      <w:sz w:val="20"/>
      <w:szCs w:val="21"/>
    </w:rPr>
  </w:style>
  <w:style w:type="character" w:customStyle="1" w:styleId="35">
    <w:name w:val="Balloon Text Char"/>
    <w:basedOn w:val="20"/>
    <w:link w:val="11"/>
    <w:autoRedefine/>
    <w:semiHidden/>
    <w:qFormat/>
    <w:locked/>
    <w:uiPriority w:val="0"/>
    <w:rPr>
      <w:rFonts w:ascii="Times New Roman" w:hAnsi="Times New Roman" w:eastAsia="宋体" w:cs="Times New Roman"/>
      <w:sz w:val="18"/>
      <w:szCs w:val="18"/>
    </w:rPr>
  </w:style>
  <w:style w:type="character" w:customStyle="1" w:styleId="36">
    <w:name w:val="Comment Text Char"/>
    <w:link w:val="5"/>
    <w:autoRedefine/>
    <w:qFormat/>
    <w:locked/>
    <w:uiPriority w:val="0"/>
    <w:rPr>
      <w:rFonts w:ascii="Times New Roman" w:hAnsi="Times New Roman" w:eastAsia="宋体"/>
      <w:sz w:val="24"/>
    </w:rPr>
  </w:style>
  <w:style w:type="character" w:customStyle="1" w:styleId="37">
    <w:name w:val="批注文字 字符1"/>
    <w:basedOn w:val="20"/>
    <w:autoRedefine/>
    <w:semiHidden/>
    <w:qFormat/>
    <w:uiPriority w:val="0"/>
    <w:rPr>
      <w:rFonts w:ascii="Times New Roman" w:hAnsi="Times New Roman" w:eastAsia="宋体" w:cs="Times New Roman"/>
      <w:sz w:val="24"/>
      <w:szCs w:val="24"/>
    </w:rPr>
  </w:style>
  <w:style w:type="character" w:customStyle="1" w:styleId="38">
    <w:name w:val="Body Text Indent Char"/>
    <w:basedOn w:val="20"/>
    <w:link w:val="7"/>
    <w:autoRedefine/>
    <w:semiHidden/>
    <w:qFormat/>
    <w:locked/>
    <w:uiPriority w:val="0"/>
    <w:rPr>
      <w:rFonts w:ascii="Times New Roman" w:hAnsi="Times New Roman" w:eastAsia="宋体" w:cs="Times New Roman"/>
      <w:sz w:val="24"/>
      <w:szCs w:val="24"/>
    </w:rPr>
  </w:style>
  <w:style w:type="character" w:customStyle="1" w:styleId="39">
    <w:name w:val="Comment Subject Char"/>
    <w:basedOn w:val="36"/>
    <w:link w:val="16"/>
    <w:autoRedefine/>
    <w:semiHidden/>
    <w:qFormat/>
    <w:locked/>
    <w:uiPriority w:val="0"/>
    <w:rPr>
      <w:rFonts w:cs="Times New Roman"/>
      <w:b/>
      <w:bCs/>
      <w:kern w:val="2"/>
      <w:szCs w:val="24"/>
    </w:rPr>
  </w:style>
  <w:style w:type="character" w:customStyle="1" w:styleId="40">
    <w:name w:val="普通(网站) Char"/>
    <w:autoRedefine/>
    <w:qFormat/>
    <w:locked/>
    <w:uiPriority w:val="0"/>
    <w:rPr>
      <w:rFonts w:ascii="宋体" w:hAnsi="宋体" w:eastAsia="宋体"/>
      <w:sz w:val="24"/>
    </w:rPr>
  </w:style>
  <w:style w:type="paragraph" w:customStyle="1" w:styleId="41">
    <w:name w:val="Table Text"/>
    <w:basedOn w:val="1"/>
    <w:autoRedefine/>
    <w:semiHidden/>
    <w:qFormat/>
    <w:uiPriority w:val="0"/>
    <w:rPr>
      <w:rFonts w:ascii="宋体" w:hAnsi="宋体" w:eastAsia="宋体" w:cs="宋体"/>
      <w:sz w:val="21"/>
      <w:szCs w:val="21"/>
      <w:lang w:val="en-US" w:eastAsia="en-US" w:bidi="ar-SA"/>
    </w:rPr>
  </w:style>
  <w:style w:type="table" w:customStyle="1" w:styleId="42">
    <w:name w:val="Table Normal"/>
    <w:autoRedefine/>
    <w:semiHidden/>
    <w:unhideWhenUsed/>
    <w:qFormat/>
    <w:uiPriority w:val="0"/>
    <w:tblPr>
      <w:tblCellMar>
        <w:top w:w="0" w:type="dxa"/>
        <w:left w:w="0" w:type="dxa"/>
        <w:bottom w:w="0" w:type="dxa"/>
        <w:right w:w="0" w:type="dxa"/>
      </w:tblCellMar>
    </w:tblPr>
  </w:style>
  <w:style w:type="paragraph" w:customStyle="1" w:styleId="43">
    <w:name w:val="66666666666666666666666666666666666666666666666"/>
    <w:basedOn w:val="3"/>
    <w:autoRedefine/>
    <w:qFormat/>
    <w:uiPriority w:val="0"/>
    <w:pPr>
      <w:adjustRightInd w:val="0"/>
      <w:snapToGrid w:val="0"/>
      <w:spacing w:line="360" w:lineRule="auto"/>
      <w:ind w:firstLine="720" w:firstLineChars="200"/>
      <w:jc w:val="left"/>
    </w:pPr>
    <w:rPr>
      <w:rFonts w:ascii="Times New Roman" w:hAnsi="Times New Roman" w:eastAsia="宋体" w:cs="宋体"/>
      <w:bCs/>
      <w:szCs w:val="21"/>
    </w:rPr>
  </w:style>
  <w:style w:type="paragraph" w:customStyle="1" w:styleId="44">
    <w:name w:val="WPSOffice手动目录 1"/>
    <w:autoRedefine/>
    <w:qFormat/>
    <w:uiPriority w:val="0"/>
    <w:pPr>
      <w:ind w:leftChars="0"/>
    </w:pPr>
    <w:rPr>
      <w:rFonts w:ascii="Times New Roman" w:hAnsi="Times New Roman" w:eastAsia="宋体" w:cs="Times New Roman"/>
      <w:sz w:val="20"/>
      <w:szCs w:val="20"/>
    </w:rPr>
  </w:style>
  <w:style w:type="paragraph" w:customStyle="1" w:styleId="45">
    <w:name w:val="表头"/>
    <w:basedOn w:val="46"/>
    <w:next w:val="34"/>
    <w:qFormat/>
    <w:uiPriority w:val="0"/>
    <w:rPr>
      <w:b/>
    </w:rPr>
  </w:style>
  <w:style w:type="paragraph" w:customStyle="1" w:styleId="46">
    <w:name w:val="表内"/>
    <w:basedOn w:val="14"/>
    <w:qFormat/>
    <w:uiPriority w:val="0"/>
    <w:pPr>
      <w:spacing w:line="240" w:lineRule="auto"/>
      <w:ind w:left="0" w:leftChars="0" w:firstLine="0" w:firstLineChars="0"/>
      <w:jc w:val="center"/>
    </w:pPr>
    <w:rPr>
      <w:rFonts w:ascii="Times New Roman" w:hAnsi="Times New Roman" w:eastAsia="宋体"/>
      <w:sz w:val="21"/>
      <w:szCs w:val="21"/>
    </w:rPr>
  </w:style>
  <w:style w:type="paragraph" w:customStyle="1" w:styleId="47">
    <w:name w:val="1-表内"/>
    <w:basedOn w:val="1"/>
    <w:qFormat/>
    <w:uiPriority w:val="0"/>
    <w:pPr>
      <w:tabs>
        <w:tab w:val="left" w:pos="3960"/>
      </w:tabs>
      <w:spacing w:line="240" w:lineRule="auto"/>
      <w:ind w:firstLine="0" w:firstLineChars="0"/>
      <w:jc w:val="center"/>
    </w:pPr>
    <w:rPr>
      <w:rFonts w:ascii="Times New Roman" w:hAnsi="Times New Roman"/>
      <w:sz w:val="21"/>
      <w:szCs w:val="21"/>
    </w:rPr>
  </w:style>
  <w:style w:type="paragraph" w:customStyle="1" w:styleId="48">
    <w:name w:val="小楠-表头"/>
    <w:basedOn w:val="1"/>
    <w:qFormat/>
    <w:uiPriority w:val="0"/>
    <w:pPr>
      <w:tabs>
        <w:tab w:val="left" w:pos="625"/>
        <w:tab w:val="left" w:pos="903"/>
        <w:tab w:val="left" w:pos="1728"/>
        <w:tab w:val="left" w:pos="1774"/>
      </w:tabs>
      <w:spacing w:before="50" w:beforeLines="50" w:line="240" w:lineRule="auto"/>
      <w:ind w:left="0" w:firstLine="0" w:firstLineChars="0"/>
      <w:jc w:val="center"/>
    </w:pPr>
    <w:rPr>
      <w:rFonts w:hint="eastAsia" w:ascii="Times New Roman" w:hAnsi="Times New Roman" w:eastAsia="宋体"/>
      <w:b/>
      <w:sz w:val="21"/>
    </w:rPr>
  </w:style>
  <w:style w:type="paragraph" w:customStyle="1" w:styleId="49">
    <w:name w:val="Table Paragraph"/>
    <w:basedOn w:val="1"/>
    <w:qFormat/>
    <w:uiPriority w:val="0"/>
    <w:pPr>
      <w:keepNext w:val="0"/>
      <w:keepLines w:val="0"/>
      <w:widowControl w:val="0"/>
      <w:suppressLineNumbers w:val="0"/>
      <w:spacing w:before="0" w:beforeAutospacing="0" w:after="0" w:afterAutospacing="0"/>
      <w:ind w:left="0" w:right="0"/>
      <w:jc w:val="left"/>
    </w:pPr>
    <w:rPr>
      <w:rFonts w:hint="default" w:ascii="Calibri" w:hAnsi="Calibri" w:eastAsia="宋体" w:cs="Times New Roman"/>
      <w:kern w:val="0"/>
      <w:sz w:val="22"/>
      <w:szCs w:val="22"/>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4.xml"/><Relationship Id="rId5" Type="http://schemas.openxmlformats.org/officeDocument/2006/relationships/footer" Target="footer3.xml"/><Relationship Id="rId4" Type="http://schemas.openxmlformats.org/officeDocument/2006/relationships/footer" Target="footer2.xml"/><Relationship Id="rId38" Type="http://schemas.openxmlformats.org/officeDocument/2006/relationships/fontTable" Target="fontTable.xml"/><Relationship Id="rId37" Type="http://schemas.openxmlformats.org/officeDocument/2006/relationships/numbering" Target="numbering.xml"/><Relationship Id="rId36" Type="http://schemas.openxmlformats.org/officeDocument/2006/relationships/customXml" Target="../customXml/item1.xml"/><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jpe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wmf"/><Relationship Id="rId16" Type="http://schemas.openxmlformats.org/officeDocument/2006/relationships/oleObject" Target="embeddings/oleObject2.bin"/><Relationship Id="rId15" Type="http://schemas.openxmlformats.org/officeDocument/2006/relationships/image" Target="media/image7.wmf"/><Relationship Id="rId14" Type="http://schemas.openxmlformats.org/officeDocument/2006/relationships/oleObject" Target="embeddings/oleObject1.bin"/><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Template>
  <Company>微软中国</Company>
  <Pages>85</Pages>
  <Words>3031</Words>
  <Characters>3383</Characters>
  <Lines>9</Lines>
  <Paragraphs>2</Paragraphs>
  <TotalTime>1</TotalTime>
  <ScaleCrop>false</ScaleCrop>
  <LinksUpToDate>false</LinksUpToDate>
  <CharactersWithSpaces>3444</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2020-12-24T01:42:00Z</dcterms:created>
  <dc:creator>lhj</dc:creator>
  <cp:lastModifiedBy>8190620563</cp:lastModifiedBy>
  <cp:lastPrinted>2020-12-24T01:50:00Z</cp:lastPrinted>
  <dcterms:modified xsi:type="dcterms:W3CDTF">2024-12-06T03:24:54Z</dcterms:modified>
  <cp:revision>46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B291CEBEE97B4307B32021696643498C_13</vt:lpwstr>
  </property>
</Properties>
</file>