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关于《国家碳达峰试点（信阳）实施方案》（2</w:t>
      </w:r>
      <w:r>
        <w:rPr>
          <w:rFonts w:hint="eastAsia" w:ascii="方正小标宋简体" w:hAnsi="方正小标宋简体" w:eastAsia="方正小标宋简体" w:cs="方正小标宋简体"/>
          <w:b w:val="0"/>
          <w:bCs w:val="0"/>
          <w:sz w:val="44"/>
          <w:szCs w:val="44"/>
          <w:lang w:val="en-US" w:eastAsia="zh-CN"/>
        </w:rPr>
        <w:t>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lang w:val="en-US" w:eastAsia="zh-CN"/>
        </w:rPr>
        <w:t>-2030</w:t>
      </w:r>
      <w:r>
        <w:rPr>
          <w:rFonts w:hint="eastAsia" w:ascii="方正小标宋简体" w:hAnsi="方正小标宋简体" w:eastAsia="方正小标宋简体" w:cs="方正小标宋简体"/>
          <w:b w:val="0"/>
          <w:bCs w:val="0"/>
          <w:sz w:val="44"/>
          <w:szCs w:val="44"/>
          <w:lang w:val="en-US" w:eastAsia="zh-CN"/>
        </w:rPr>
        <w:t>年）的起草说明</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黑体" w:cs="Times New Roman"/>
          <w:b w:val="0"/>
          <w:bCs w:val="0"/>
          <w:sz w:val="32"/>
          <w:szCs w:val="32"/>
          <w:highlight w:val="none"/>
          <w:lang w:eastAsia="zh-CN"/>
        </w:rPr>
      </w:pPr>
      <w:r>
        <w:rPr>
          <w:rFonts w:hint="eastAsia" w:ascii="Times New Roman" w:hAnsi="Times New Roman" w:eastAsia="黑体" w:cs="Times New Roman"/>
          <w:b w:val="0"/>
          <w:bCs w:val="0"/>
          <w:sz w:val="32"/>
          <w:szCs w:val="32"/>
          <w:highlight w:val="none"/>
          <w:lang w:eastAsia="zh-CN"/>
        </w:rPr>
        <w:t>一、方案起草背景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为落实国务院《2030年前碳达峰行动方案》（国发〔2021〕23号）有关部署，主要依据《国家碳达峰试点建设方案》（发改环资〔2023〕1409号）和《国家发展改革委办公厅关于印发首批碳达峰试点名单的通知》（发改办环资〔2023〕942号）等文件要求进行编制。</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黑体" w:cs="Times New Roman"/>
          <w:b w:val="0"/>
          <w:bCs w:val="0"/>
          <w:sz w:val="32"/>
          <w:szCs w:val="32"/>
          <w:highlight w:val="none"/>
          <w:lang w:eastAsia="zh-CN"/>
        </w:rPr>
      </w:pPr>
      <w:r>
        <w:rPr>
          <w:rFonts w:hint="eastAsia" w:ascii="Times New Roman" w:hAnsi="Times New Roman" w:eastAsia="黑体" w:cs="Times New Roman"/>
          <w:b w:val="0"/>
          <w:bCs w:val="0"/>
          <w:sz w:val="32"/>
          <w:szCs w:val="32"/>
          <w:highlight w:val="none"/>
          <w:lang w:eastAsia="zh-CN"/>
        </w:rPr>
        <w:t>二、起草过程</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在《实施方案》起草期间，先后多次组织召开专题会和专家研讨会，深入信阳市各职能部门和碳达峰项目进行现场调研，通过内部反复研究和多次集中修改，正式形成《实施方案》初稿。《实施方案》初稿书面征求了市碳达峰碳中和领导小组成员单位、各县区发改部门和相关企业意见，形成《国家碳达峰试点（信阳）实施方案》（2024-2030年）最终稿，提请市人民政府审定。</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黑体" w:cs="Times New Roman"/>
          <w:b w:val="0"/>
          <w:bCs w:val="0"/>
          <w:sz w:val="32"/>
          <w:szCs w:val="32"/>
          <w:highlight w:val="none"/>
          <w:lang w:eastAsia="zh-CN"/>
        </w:rPr>
      </w:pPr>
      <w:r>
        <w:rPr>
          <w:rFonts w:hint="eastAsia" w:ascii="Times New Roman" w:hAnsi="Times New Roman" w:eastAsia="黑体" w:cs="Times New Roman"/>
          <w:b w:val="0"/>
          <w:bCs w:val="0"/>
          <w:sz w:val="32"/>
          <w:szCs w:val="32"/>
          <w:highlight w:val="none"/>
          <w:lang w:eastAsia="zh-CN"/>
        </w:rPr>
        <w:t>三、总体考虑和主要内容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Chars="0"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实施方案》以习近平新时代中国特色社会主义思想为指导，全面贯彻落实党的二十大和历次全会精神，深入学习贯彻习近平总书记视察河南深入信阳革命老区重要讲话精神，科学把握新发展阶段，完整准确全面贯彻新发展理念，主动服务和融入新发展格局，全面落实国家碳达峰、碳中和要求，充分利用信阳区位、技术等优势，协同推进国家级碳达峰重点城市建设，突出低碳循环的绿色标准，为全面低碳提供典型经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Chars="0"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《实施方案》以2021年为基准年，实施期限为2024</w:t>
      </w:r>
      <w:r>
        <w:rPr>
          <w:rFonts w:hint="default" w:ascii="Times New Roman" w:hAnsi="Times New Roman" w:eastAsia="仿宋_GB2312" w:cs="Times New Roman"/>
          <w:b w:val="0"/>
          <w:bCs w:val="0"/>
          <w:sz w:val="32"/>
          <w:szCs w:val="32"/>
          <w:lang w:val="en-US" w:eastAsia="zh-CN"/>
        </w:rPr>
        <w:t>-2030</w:t>
      </w:r>
      <w:r>
        <w:rPr>
          <w:rFonts w:hint="eastAsia" w:ascii="Times New Roman" w:hAnsi="Times New Roman" w:eastAsia="仿宋_GB2312" w:cs="Times New Roman"/>
          <w:b w:val="0"/>
          <w:bCs w:val="0"/>
          <w:sz w:val="32"/>
          <w:szCs w:val="32"/>
          <w:lang w:val="en-US" w:eastAsia="zh-CN"/>
        </w:rPr>
        <w:t>年，共七章。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第一章为</w:t>
      </w:r>
      <w:r>
        <w:rPr>
          <w:rFonts w:hint="eastAsia" w:ascii="Times New Roman" w:hAnsi="Times New Roman" w:eastAsia="仿宋_GB2312" w:cs="Times New Roman"/>
          <w:b w:val="0"/>
          <w:bCs w:val="0"/>
          <w:sz w:val="32"/>
          <w:szCs w:val="32"/>
          <w:lang w:val="en-US" w:eastAsia="zh-CN"/>
        </w:rPr>
        <w:t>总体要求</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明确目标，到2030年，非化石能源消费比重达到35%以上，力争提前实现信阳市碳达峰目标，为实现2060年前碳中和目标打下坚实基础。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第</w:t>
      </w:r>
      <w:r>
        <w:rPr>
          <w:rFonts w:hint="eastAsia" w:ascii="Times New Roman" w:hAnsi="Times New Roman" w:eastAsia="仿宋_GB2312" w:cs="Times New Roman"/>
          <w:b w:val="0"/>
          <w:bCs w:val="0"/>
          <w:sz w:val="32"/>
          <w:szCs w:val="32"/>
          <w:lang w:val="en-US" w:eastAsia="zh-CN"/>
        </w:rPr>
        <w:t>二</w:t>
      </w:r>
      <w:r>
        <w:rPr>
          <w:rFonts w:hint="default" w:ascii="Times New Roman" w:hAnsi="Times New Roman" w:eastAsia="仿宋_GB2312" w:cs="Times New Roman"/>
          <w:b w:val="0"/>
          <w:bCs w:val="0"/>
          <w:sz w:val="32"/>
          <w:szCs w:val="32"/>
          <w:lang w:val="en-US" w:eastAsia="zh-CN"/>
        </w:rPr>
        <w:t>章为重点任务。综合考虑信阳市功能定位、区位特点、经济发展水平、资源禀赋等，合理部署碳达峰试点建设任务，具体包括推动能源绿色低碳转型、提升能源资源利用效率、推动重点行业碳达峰、加快城乡建设低碳转型、促进交通运输绿色低碳发展、开展“近零碳”试点建设等6部分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第</w:t>
      </w:r>
      <w:r>
        <w:rPr>
          <w:rFonts w:hint="eastAsia" w:ascii="Times New Roman" w:hAnsi="Times New Roman" w:eastAsia="仿宋_GB2312" w:cs="Times New Roman"/>
          <w:b w:val="0"/>
          <w:bCs w:val="0"/>
          <w:sz w:val="32"/>
          <w:szCs w:val="32"/>
          <w:lang w:val="en-US" w:eastAsia="zh-CN"/>
        </w:rPr>
        <w:t>三</w:t>
      </w:r>
      <w:r>
        <w:rPr>
          <w:rFonts w:hint="default" w:ascii="Times New Roman" w:hAnsi="Times New Roman" w:eastAsia="仿宋_GB2312" w:cs="Times New Roman"/>
          <w:b w:val="0"/>
          <w:bCs w:val="0"/>
          <w:sz w:val="32"/>
          <w:szCs w:val="32"/>
          <w:lang w:val="en-US" w:eastAsia="zh-CN"/>
        </w:rPr>
        <w:t>章为科技创新。聚焦信阳市绿色低碳科技需求，加大绿色低碳技术研发，构建绿色低碳技术推广机制，开展绿色低碳技术产业化示范。支持信阳市内高校建设“双碳”相关学科专业，加强绿色低碳专业人才培养。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第</w:t>
      </w:r>
      <w:r>
        <w:rPr>
          <w:rFonts w:hint="eastAsia" w:ascii="Times New Roman" w:hAnsi="Times New Roman" w:eastAsia="仿宋_GB2312" w:cs="Times New Roman"/>
          <w:b w:val="0"/>
          <w:bCs w:val="0"/>
          <w:sz w:val="32"/>
          <w:szCs w:val="32"/>
          <w:lang w:val="en-US" w:eastAsia="zh-CN"/>
        </w:rPr>
        <w:t>四</w:t>
      </w:r>
      <w:r>
        <w:rPr>
          <w:rFonts w:hint="default" w:ascii="Times New Roman" w:hAnsi="Times New Roman" w:eastAsia="仿宋_GB2312" w:cs="Times New Roman"/>
          <w:b w:val="0"/>
          <w:bCs w:val="0"/>
          <w:sz w:val="32"/>
          <w:szCs w:val="32"/>
          <w:lang w:val="en-US" w:eastAsia="zh-CN"/>
        </w:rPr>
        <w:t>章为重点工程。针对信阳市工业、能源结构、建筑、人居、交通等领域碳排放情况，结合最新发展规划，梳理碳减排潜力，围绕绿色低碳技术示范、能源基础设施、环境基础设施、循环经济发展、生态保护修复、节能降碳改造等等6大领域，整理出碳达峰重点支撑工程，涉及1</w:t>
      </w:r>
      <w:r>
        <w:rPr>
          <w:rFonts w:hint="eastAsia" w:ascii="Times New Roman" w:hAnsi="Times New Roman" w:eastAsia="仿宋_GB2312" w:cs="Times New Roman"/>
          <w:b w:val="0"/>
          <w:bCs w:val="0"/>
          <w:sz w:val="32"/>
          <w:szCs w:val="32"/>
          <w:lang w:val="en-US" w:eastAsia="zh-CN"/>
        </w:rPr>
        <w:t>17</w:t>
      </w:r>
      <w:r>
        <w:rPr>
          <w:rFonts w:hint="default" w:ascii="Times New Roman" w:hAnsi="Times New Roman" w:eastAsia="仿宋_GB2312" w:cs="Times New Roman"/>
          <w:b w:val="0"/>
          <w:bCs w:val="0"/>
          <w:sz w:val="32"/>
          <w:szCs w:val="32"/>
          <w:lang w:val="en-US" w:eastAsia="zh-CN"/>
        </w:rPr>
        <w:t>个重点支撑项目，总投资864.32亿元，全力保障碳达峰工作目标任务的达成。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第</w:t>
      </w:r>
      <w:r>
        <w:rPr>
          <w:rFonts w:hint="eastAsia" w:ascii="Times New Roman" w:hAnsi="Times New Roman" w:eastAsia="仿宋_GB2312" w:cs="Times New Roman"/>
          <w:b w:val="0"/>
          <w:bCs w:val="0"/>
          <w:sz w:val="32"/>
          <w:szCs w:val="32"/>
          <w:lang w:val="en-US" w:eastAsia="zh-CN"/>
        </w:rPr>
        <w:t>五</w:t>
      </w:r>
      <w:r>
        <w:rPr>
          <w:rFonts w:hint="default" w:ascii="Times New Roman" w:hAnsi="Times New Roman" w:eastAsia="仿宋_GB2312" w:cs="Times New Roman"/>
          <w:b w:val="0"/>
          <w:bCs w:val="0"/>
          <w:sz w:val="32"/>
          <w:szCs w:val="32"/>
          <w:lang w:val="en-US" w:eastAsia="zh-CN"/>
        </w:rPr>
        <w:t>章为政策创新。一是统筹绿色低碳财政价格政策。二是完善绿色金融投资政策。三是构建“双碳”服务支撑体系。四是发挥绿色低碳试点示范作用。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第</w:t>
      </w:r>
      <w:r>
        <w:rPr>
          <w:rFonts w:hint="eastAsia" w:ascii="Times New Roman" w:hAnsi="Times New Roman" w:eastAsia="仿宋_GB2312" w:cs="Times New Roman"/>
          <w:b w:val="0"/>
          <w:bCs w:val="0"/>
          <w:sz w:val="32"/>
          <w:szCs w:val="32"/>
          <w:lang w:val="en-US" w:eastAsia="zh-CN"/>
        </w:rPr>
        <w:t>六</w:t>
      </w:r>
      <w:r>
        <w:rPr>
          <w:rFonts w:hint="default" w:ascii="Times New Roman" w:hAnsi="Times New Roman" w:eastAsia="仿宋_GB2312" w:cs="Times New Roman"/>
          <w:b w:val="0"/>
          <w:bCs w:val="0"/>
          <w:sz w:val="32"/>
          <w:szCs w:val="32"/>
          <w:lang w:val="en-US" w:eastAsia="zh-CN"/>
        </w:rPr>
        <w:t>章为全民行动。发挥领导干部引领作用，加强绿色低碳宣传教育，推进绿色生活创建行动，引导企业履行社会责任等主要任务。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第</w:t>
      </w:r>
      <w:r>
        <w:rPr>
          <w:rFonts w:hint="eastAsia" w:ascii="Times New Roman" w:hAnsi="Times New Roman" w:eastAsia="仿宋_GB2312" w:cs="Times New Roman"/>
          <w:b w:val="0"/>
          <w:bCs w:val="0"/>
          <w:sz w:val="32"/>
          <w:szCs w:val="32"/>
          <w:lang w:val="en-US" w:eastAsia="zh-CN"/>
        </w:rPr>
        <w:t>七</w:t>
      </w:r>
      <w:r>
        <w:rPr>
          <w:rFonts w:hint="default" w:ascii="Times New Roman" w:hAnsi="Times New Roman" w:eastAsia="仿宋_GB2312" w:cs="Times New Roman"/>
          <w:b w:val="0"/>
          <w:bCs w:val="0"/>
          <w:sz w:val="32"/>
          <w:szCs w:val="32"/>
          <w:lang w:val="en-US" w:eastAsia="zh-CN"/>
        </w:rPr>
        <w:t>章为保障措施，包括强化组织领导，强化政策支持，发挥市场作用，加大监督考评和积极广泛宣传等5方面，保障信阳市碳达峰试点城市工作顺利推进。</w:t>
      </w:r>
    </w:p>
    <w:p>
      <w:pPr>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黑体" w:cs="Times New Roman"/>
          <w:b w:val="0"/>
          <w:bCs w:val="0"/>
          <w:sz w:val="32"/>
          <w:szCs w:val="32"/>
          <w:highlight w:val="none"/>
          <w:lang w:eastAsia="zh-CN"/>
        </w:rPr>
      </w:pPr>
      <w:r>
        <w:rPr>
          <w:rFonts w:hint="eastAsia" w:ascii="Times New Roman" w:hAnsi="Times New Roman" w:eastAsia="黑体" w:cs="Times New Roman"/>
          <w:b w:val="0"/>
          <w:bCs w:val="0"/>
          <w:sz w:val="32"/>
          <w:szCs w:val="32"/>
          <w:highlight w:val="none"/>
          <w:lang w:eastAsia="zh-CN"/>
        </w:rPr>
        <w:t>四、需要说明事项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Chars="0"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数据来源：《实施方案》中的指标数据主要来源于《河南省“十四五”循环经济发展规划》、《信阳市“十四五”生态环境保护规划》《信阳市“十四五”生态经济发展规划》等规划文本，以及市发改委、财政局、商务局和统计局等职能部门提供的材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Chars="0"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2、实施目标：根据信阳市的现实基础、各规范文本、职能部门访谈记录以及专家科学预测确定到2030年。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3、拟发单位：信阳市人民政府。</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976717"/>
      <w:docPartObj>
        <w:docPartGallery w:val="autotext"/>
      </w:docPartObj>
    </w:sdtPr>
    <w:sdtContent>
      <w:p>
        <w:pPr>
          <w:pStyle w:val="7"/>
          <w:ind w:firstLine="360"/>
          <w:jc w:val="center"/>
        </w:pPr>
        <w:r>
          <w:fldChar w:fldCharType="begin"/>
        </w:r>
        <w:r>
          <w:instrText xml:space="preserve">PAGE   \* MERGEFORMAT</w:instrText>
        </w:r>
        <w:r>
          <w:fldChar w:fldCharType="separate"/>
        </w:r>
        <w:r>
          <w:rPr>
            <w:lang w:val="zh-CN"/>
          </w:rPr>
          <w:t>2</w:t>
        </w:r>
        <w:r>
          <w:fldChar w:fldCharType="end"/>
        </w:r>
      </w:p>
    </w:sdtContent>
  </w:sdt>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82"/>
    <w:rsid w:val="000B3830"/>
    <w:rsid w:val="0012600C"/>
    <w:rsid w:val="001346DB"/>
    <w:rsid w:val="00185D86"/>
    <w:rsid w:val="001C3630"/>
    <w:rsid w:val="002006D0"/>
    <w:rsid w:val="002367E6"/>
    <w:rsid w:val="002837B2"/>
    <w:rsid w:val="002C1482"/>
    <w:rsid w:val="00413742"/>
    <w:rsid w:val="00482549"/>
    <w:rsid w:val="00486D50"/>
    <w:rsid w:val="0050429E"/>
    <w:rsid w:val="00526090"/>
    <w:rsid w:val="00534FB8"/>
    <w:rsid w:val="007B7C4C"/>
    <w:rsid w:val="007C0B6B"/>
    <w:rsid w:val="00910E5E"/>
    <w:rsid w:val="009119F4"/>
    <w:rsid w:val="00AD10BA"/>
    <w:rsid w:val="00C15671"/>
    <w:rsid w:val="00C41E70"/>
    <w:rsid w:val="00CB29DC"/>
    <w:rsid w:val="00D45A71"/>
    <w:rsid w:val="00DC4DC4"/>
    <w:rsid w:val="00E01B5D"/>
    <w:rsid w:val="00F0611E"/>
    <w:rsid w:val="00F132B1"/>
    <w:rsid w:val="00FF60CA"/>
    <w:rsid w:val="39AAC1C5"/>
    <w:rsid w:val="57F71F28"/>
    <w:rsid w:val="7E1D587C"/>
    <w:rsid w:val="7F63701A"/>
    <w:rsid w:val="98D7ABEF"/>
    <w:rsid w:val="DE7D72E5"/>
    <w:rsid w:val="FC3D01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2" w:semiHidden="0" w:name="heading 2"/>
    <w:lsdException w:qFormat="1" w:unhideWhenUsed="0" w:uiPriority="3" w:semiHidden="0" w:name="heading 3"/>
    <w:lsdException w:qFormat="1" w:unhideWhenUsed="0" w:uiPriority="4" w:semiHidden="0" w:name="heading 4"/>
    <w:lsdException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jc w:val="both"/>
    </w:pPr>
    <w:rPr>
      <w:rFonts w:ascii="Times New Roman" w:hAnsi="Times New Roman" w:eastAsia="仿宋_GB2312" w:cstheme="minorBidi"/>
      <w:kern w:val="2"/>
      <w:sz w:val="32"/>
      <w:szCs w:val="24"/>
      <w:lang w:val="en-US" w:eastAsia="zh-CN" w:bidi="ar-SA"/>
    </w:rPr>
  </w:style>
  <w:style w:type="paragraph" w:styleId="3">
    <w:name w:val="heading 1"/>
    <w:basedOn w:val="1"/>
    <w:next w:val="1"/>
    <w:link w:val="13"/>
    <w:qFormat/>
    <w:uiPriority w:val="1"/>
    <w:pPr>
      <w:keepNext/>
      <w:keepLines/>
      <w:spacing w:before="156" w:beforeLines="50" w:after="156" w:afterLines="50"/>
      <w:jc w:val="left"/>
      <w:outlineLvl w:val="0"/>
    </w:pPr>
    <w:rPr>
      <w:rFonts w:eastAsia="黑体"/>
      <w:b/>
      <w:bCs/>
      <w:kern w:val="44"/>
      <w:szCs w:val="44"/>
    </w:rPr>
  </w:style>
  <w:style w:type="paragraph" w:styleId="4">
    <w:name w:val="heading 2"/>
    <w:basedOn w:val="1"/>
    <w:next w:val="1"/>
    <w:link w:val="14"/>
    <w:qFormat/>
    <w:uiPriority w:val="2"/>
    <w:pPr>
      <w:keepNext/>
      <w:keepLines/>
      <w:spacing w:before="156" w:beforeLines="50" w:after="156" w:afterLines="50"/>
      <w:outlineLvl w:val="1"/>
    </w:pPr>
    <w:rPr>
      <w:rFonts w:eastAsia="黑体" w:cstheme="majorBidi"/>
      <w:b/>
      <w:bCs/>
      <w:szCs w:val="32"/>
    </w:rPr>
  </w:style>
  <w:style w:type="paragraph" w:styleId="5">
    <w:name w:val="heading 3"/>
    <w:basedOn w:val="1"/>
    <w:next w:val="1"/>
    <w:link w:val="15"/>
    <w:qFormat/>
    <w:uiPriority w:val="3"/>
    <w:pPr>
      <w:keepNext/>
      <w:keepLines/>
      <w:spacing w:before="50" w:beforeLines="50" w:after="50" w:afterLines="50"/>
      <w:outlineLvl w:val="2"/>
    </w:pPr>
    <w:rPr>
      <w:rFonts w:eastAsia="黑体"/>
      <w:bCs/>
      <w:szCs w:val="32"/>
    </w:rPr>
  </w:style>
  <w:style w:type="paragraph" w:styleId="6">
    <w:name w:val="heading 4"/>
    <w:basedOn w:val="1"/>
    <w:next w:val="1"/>
    <w:link w:val="16"/>
    <w:qFormat/>
    <w:uiPriority w:val="4"/>
    <w:pPr>
      <w:keepNext/>
      <w:keepLines/>
      <w:spacing w:before="50" w:beforeLines="50" w:after="50" w:afterLines="50"/>
      <w:outlineLvl w:val="3"/>
    </w:pPr>
    <w:rPr>
      <w:rFonts w:cstheme="majorBidi"/>
      <w:bCs/>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unhideWhenUsed/>
    <w:qFormat/>
    <w:uiPriority w:val="39"/>
  </w:style>
  <w:style w:type="paragraph" w:styleId="7">
    <w:name w:val="footer"/>
    <w:basedOn w:val="1"/>
    <w:link w:val="27"/>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26"/>
    <w:unhideWhenUsed/>
    <w:qFormat/>
    <w:uiPriority w:val="99"/>
    <w:pPr>
      <w:tabs>
        <w:tab w:val="center" w:pos="4153"/>
        <w:tab w:val="right" w:pos="8306"/>
      </w:tabs>
      <w:snapToGrid w:val="0"/>
      <w:spacing w:line="240" w:lineRule="auto"/>
      <w:jc w:val="center"/>
    </w:pPr>
    <w:rPr>
      <w:sz w:val="18"/>
      <w:szCs w:val="18"/>
    </w:rPr>
  </w:style>
  <w:style w:type="paragraph" w:styleId="9">
    <w:name w:val="Title"/>
    <w:basedOn w:val="1"/>
    <w:next w:val="1"/>
    <w:link w:val="25"/>
    <w:qFormat/>
    <w:uiPriority w:val="10"/>
    <w:pPr>
      <w:spacing w:before="240" w:after="60"/>
      <w:jc w:val="center"/>
      <w:outlineLvl w:val="0"/>
    </w:pPr>
    <w:rPr>
      <w:rFonts w:eastAsia="黑体" w:cstheme="majorBidi"/>
      <w:b/>
      <w:bCs/>
      <w:sz w:val="44"/>
      <w:szCs w:val="3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1 字符"/>
    <w:basedOn w:val="12"/>
    <w:link w:val="3"/>
    <w:qFormat/>
    <w:uiPriority w:val="1"/>
    <w:rPr>
      <w:rFonts w:ascii="Times New Roman" w:hAnsi="Times New Roman" w:eastAsia="黑体"/>
      <w:b/>
      <w:bCs/>
      <w:kern w:val="44"/>
      <w:sz w:val="32"/>
      <w:szCs w:val="44"/>
    </w:rPr>
  </w:style>
  <w:style w:type="character" w:customStyle="1" w:styleId="14">
    <w:name w:val="标题 2 字符"/>
    <w:basedOn w:val="12"/>
    <w:link w:val="4"/>
    <w:qFormat/>
    <w:uiPriority w:val="2"/>
    <w:rPr>
      <w:rFonts w:ascii="Times New Roman" w:hAnsi="Times New Roman" w:eastAsia="黑体" w:cstheme="majorBidi"/>
      <w:b/>
      <w:bCs/>
      <w:szCs w:val="32"/>
    </w:rPr>
  </w:style>
  <w:style w:type="character" w:customStyle="1" w:styleId="15">
    <w:name w:val="标题 3 字符"/>
    <w:basedOn w:val="12"/>
    <w:link w:val="5"/>
    <w:qFormat/>
    <w:uiPriority w:val="3"/>
    <w:rPr>
      <w:rFonts w:ascii="Times New Roman" w:hAnsi="Times New Roman" w:eastAsia="黑体"/>
      <w:bCs/>
      <w:szCs w:val="32"/>
    </w:rPr>
  </w:style>
  <w:style w:type="character" w:customStyle="1" w:styleId="16">
    <w:name w:val="标题 4 字符"/>
    <w:basedOn w:val="12"/>
    <w:link w:val="6"/>
    <w:qFormat/>
    <w:uiPriority w:val="4"/>
    <w:rPr>
      <w:rFonts w:ascii="Times New Roman" w:hAnsi="Times New Roman" w:eastAsia="宋体" w:cstheme="majorBidi"/>
      <w:bCs/>
      <w:szCs w:val="28"/>
    </w:rPr>
  </w:style>
  <w:style w:type="paragraph" w:customStyle="1" w:styleId="17">
    <w:name w:val="表头"/>
    <w:basedOn w:val="1"/>
    <w:next w:val="1"/>
    <w:link w:val="18"/>
    <w:qFormat/>
    <w:uiPriority w:val="5"/>
    <w:pPr>
      <w:jc w:val="center"/>
    </w:pPr>
    <w:rPr>
      <w:b/>
      <w:sz w:val="21"/>
    </w:rPr>
  </w:style>
  <w:style w:type="character" w:customStyle="1" w:styleId="18">
    <w:name w:val="表头 字符"/>
    <w:basedOn w:val="12"/>
    <w:link w:val="17"/>
    <w:qFormat/>
    <w:uiPriority w:val="5"/>
    <w:rPr>
      <w:rFonts w:ascii="Times New Roman" w:hAnsi="Times New Roman" w:eastAsia="宋体"/>
      <w:b/>
      <w:sz w:val="21"/>
    </w:rPr>
  </w:style>
  <w:style w:type="paragraph" w:customStyle="1" w:styleId="19">
    <w:name w:val="图"/>
    <w:basedOn w:val="1"/>
    <w:next w:val="1"/>
    <w:link w:val="20"/>
    <w:qFormat/>
    <w:uiPriority w:val="6"/>
    <w:pPr>
      <w:jc w:val="center"/>
    </w:pPr>
  </w:style>
  <w:style w:type="character" w:customStyle="1" w:styleId="20">
    <w:name w:val="图 字符"/>
    <w:basedOn w:val="12"/>
    <w:link w:val="19"/>
    <w:qFormat/>
    <w:uiPriority w:val="6"/>
    <w:rPr>
      <w:rFonts w:ascii="Times New Roman" w:hAnsi="Times New Roman" w:eastAsia="宋体"/>
    </w:rPr>
  </w:style>
  <w:style w:type="paragraph" w:customStyle="1" w:styleId="21">
    <w:name w:val="注释"/>
    <w:basedOn w:val="1"/>
    <w:next w:val="1"/>
    <w:link w:val="22"/>
    <w:qFormat/>
    <w:uiPriority w:val="7"/>
    <w:rPr>
      <w:sz w:val="18"/>
    </w:rPr>
  </w:style>
  <w:style w:type="character" w:customStyle="1" w:styleId="22">
    <w:name w:val="注释 字符"/>
    <w:basedOn w:val="12"/>
    <w:link w:val="21"/>
    <w:qFormat/>
    <w:uiPriority w:val="7"/>
    <w:rPr>
      <w:rFonts w:ascii="Times New Roman" w:hAnsi="Times New Roman" w:eastAsia="宋体"/>
      <w:sz w:val="18"/>
    </w:rPr>
  </w:style>
  <w:style w:type="table" w:customStyle="1" w:styleId="23">
    <w:name w:val="表内容"/>
    <w:basedOn w:val="10"/>
    <w:qFormat/>
    <w:uiPriority w:val="99"/>
    <w:pPr>
      <w:spacing w:line="360" w:lineRule="auto"/>
      <w:jc w:val="both"/>
    </w:pPr>
    <w:rPr>
      <w:rFonts w:ascii="Times New Roman" w:hAnsi="Times New Roman" w:eastAsia="宋体"/>
    </w:rPr>
    <w:tblPr>
      <w:tblBorders>
        <w:top w:val="single" w:color="auto" w:sz="12" w:space="0"/>
        <w:bottom w:val="single" w:color="auto" w:sz="12" w:space="0"/>
      </w:tblBorders>
    </w:tblPr>
    <w:tcPr>
      <w:vAlign w:val="center"/>
    </w:tcPr>
    <w:tblStylePr w:type="firstRow">
      <w:pPr>
        <w:jc w:val="both"/>
      </w:pPr>
      <w:rPr>
        <w:rFonts w:ascii="Times New Roman" w:hAnsi="Times New Roman" w:eastAsia="宋体"/>
        <w:sz w:val="21"/>
      </w:rPr>
      <w:tcPr>
        <w:tcBorders>
          <w:top w:val="single" w:color="auto" w:sz="12" w:space="0"/>
          <w:left w:val="nil"/>
          <w:bottom w:val="single" w:color="auto" w:sz="8" w:space="0"/>
          <w:right w:val="nil"/>
          <w:insideH w:val="nil"/>
          <w:insideV w:val="nil"/>
          <w:tl2br w:val="nil"/>
          <w:tr2bl w:val="nil"/>
        </w:tcBorders>
        <w:vAlign w:val="center"/>
      </w:tcPr>
    </w:tblStylePr>
  </w:style>
  <w:style w:type="table" w:customStyle="1" w:styleId="24">
    <w:name w:val="三线表"/>
    <w:basedOn w:val="10"/>
    <w:qFormat/>
    <w:uiPriority w:val="99"/>
    <w:rPr>
      <w:rFonts w:ascii="Times New Roman" w:hAnsi="Times New Roman" w:eastAsia="宋体"/>
      <w:sz w:val="21"/>
    </w:rPr>
    <w:tblPr>
      <w:tblBorders>
        <w:top w:val="single" w:color="auto" w:sz="12" w:space="0"/>
        <w:bottom w:val="single" w:color="auto" w:sz="12" w:space="0"/>
      </w:tblBorders>
    </w:tblPr>
    <w:tblStylePr w:type="firstRow">
      <w:pPr>
        <w:wordWrap/>
        <w:spacing w:line="360" w:lineRule="auto"/>
        <w:jc w:val="center"/>
      </w:pPr>
      <w:tcPr>
        <w:tcBorders>
          <w:top w:val="single" w:color="auto" w:sz="12" w:space="0"/>
          <w:left w:val="nil"/>
          <w:bottom w:val="single" w:color="auto" w:sz="6" w:space="0"/>
          <w:right w:val="nil"/>
          <w:insideH w:val="nil"/>
          <w:insideV w:val="nil"/>
          <w:tl2br w:val="nil"/>
          <w:tr2bl w:val="nil"/>
        </w:tcBorders>
      </w:tcPr>
    </w:tblStylePr>
  </w:style>
  <w:style w:type="character" w:customStyle="1" w:styleId="25">
    <w:name w:val="标题 字符"/>
    <w:basedOn w:val="12"/>
    <w:link w:val="9"/>
    <w:qFormat/>
    <w:uiPriority w:val="10"/>
    <w:rPr>
      <w:rFonts w:ascii="Times New Roman" w:hAnsi="Times New Roman" w:eastAsia="黑体" w:cstheme="majorBidi"/>
      <w:b/>
      <w:bCs/>
      <w:sz w:val="44"/>
      <w:szCs w:val="32"/>
    </w:rPr>
  </w:style>
  <w:style w:type="character" w:customStyle="1" w:styleId="26">
    <w:name w:val="页眉 字符"/>
    <w:basedOn w:val="12"/>
    <w:link w:val="8"/>
    <w:qFormat/>
    <w:uiPriority w:val="99"/>
    <w:rPr>
      <w:rFonts w:ascii="Times New Roman" w:hAnsi="Times New Roman" w:eastAsia="仿宋_GB2312"/>
      <w:sz w:val="18"/>
      <w:szCs w:val="18"/>
    </w:rPr>
  </w:style>
  <w:style w:type="character" w:customStyle="1" w:styleId="27">
    <w:name w:val="页脚 字符"/>
    <w:basedOn w:val="12"/>
    <w:link w:val="7"/>
    <w:qFormat/>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366</Words>
  <Characters>2091</Characters>
  <Lines>17</Lines>
  <Paragraphs>4</Paragraphs>
  <TotalTime>3</TotalTime>
  <ScaleCrop>false</ScaleCrop>
  <LinksUpToDate>false</LinksUpToDate>
  <CharactersWithSpaces>2453</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2024-01-23T22:33:00Z</dcterms:created>
  <dc:creator>烽华 谭</dc:creator>
  <cp:lastModifiedBy>guest</cp:lastModifiedBy>
  <dcterms:modified xsi:type="dcterms:W3CDTF">2025-01-06T16:14:16Z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