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color w:val="auto"/>
          <w:spacing w:val="40"/>
          <w:sz w:val="32"/>
          <w:szCs w:val="32"/>
          <w:lang w:val="en-US" w:eastAsia="zh-CN"/>
        </w:rPr>
      </w:pPr>
      <w:r>
        <w:rPr>
          <w:rFonts w:hint="eastAsia" w:ascii="黑体" w:hAnsi="黑体" w:eastAsia="黑体" w:cs="黑体"/>
          <w:color w:val="auto"/>
          <w:spacing w:val="40"/>
          <w:sz w:val="32"/>
          <w:szCs w:val="32"/>
          <w:lang w:val="en-US" w:eastAsia="zh-CN"/>
        </w:rPr>
        <w:t>潢川县十五届人大</w:t>
      </w:r>
    </w:p>
    <w:p>
      <w:pPr>
        <w:pStyle w:val="2"/>
        <w:rPr>
          <w:rFonts w:hint="eastAsia" w:ascii="黑体" w:hAnsi="黑体" w:eastAsia="黑体" w:cs="黑体"/>
          <w:sz w:val="32"/>
          <w:szCs w:val="32"/>
          <w:lang w:val="en-US" w:eastAsia="zh-CN"/>
        </w:rPr>
      </w:pPr>
      <w:r>
        <w:rPr>
          <w:rFonts w:hint="eastAsia" w:ascii="黑体" w:hAnsi="黑体" w:eastAsia="黑体" w:cs="黑体"/>
          <w:color w:val="auto"/>
          <w:sz w:val="32"/>
          <w:szCs w:val="32"/>
          <w:lang w:val="en-US" w:eastAsia="zh-CN"/>
        </w:rPr>
        <w:t>四次会议文件之二十一</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关于潢川县2023年预算执行情况和</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2024年预算草案的报告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楷体" w:hAnsi="楷体" w:eastAsia="楷体" w:cs="楷体"/>
          <w:color w:val="auto"/>
          <w:spacing w:val="-17"/>
          <w:sz w:val="32"/>
          <w:szCs w:val="32"/>
          <w:lang w:val="en-US" w:eastAsia="zh-CN"/>
        </w:rPr>
      </w:pPr>
      <w:r>
        <w:rPr>
          <w:rFonts w:hint="eastAsia" w:ascii="楷体" w:hAnsi="楷体" w:eastAsia="楷体" w:cs="楷体"/>
          <w:color w:val="auto"/>
          <w:spacing w:val="-17"/>
          <w:sz w:val="32"/>
          <w:szCs w:val="32"/>
          <w:lang w:val="en-US" w:eastAsia="zh-CN"/>
        </w:rPr>
        <w:t>——2024年2月28日在潢川县第十五届人民代表大会第四次会议上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仿宋_GB2312"/>
          <w:color w:val="auto"/>
          <w:sz w:val="32"/>
          <w:szCs w:val="32"/>
          <w:lang w:val="en-US" w:eastAsia="zh-CN"/>
        </w:rPr>
      </w:pPr>
      <w:r>
        <w:rPr>
          <w:rFonts w:hint="default" w:ascii="Times New Roman" w:hAnsi="Times New Roman" w:eastAsia="仿宋_GB2312" w:cs="仿宋_GB2312"/>
          <w:color w:val="auto"/>
          <w:sz w:val="32"/>
          <w:szCs w:val="32"/>
          <w:lang w:val="en-US" w:eastAsia="zh-CN"/>
        </w:rPr>
        <w:t>潢川县财政局</w:t>
      </w:r>
      <w:r>
        <w:rPr>
          <w:rFonts w:hint="eastAsia" w:ascii="Times New Roman" w:hAnsi="Times New Roman" w:eastAsia="仿宋_GB2312" w:cs="仿宋_GB2312"/>
          <w:color w:val="auto"/>
          <w:sz w:val="32"/>
          <w:szCs w:val="32"/>
          <w:lang w:val="en-US" w:eastAsia="zh-CN"/>
        </w:rPr>
        <w:t>局长  谷振亚</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各位代表：</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受</w:t>
      </w:r>
      <w:r>
        <w:rPr>
          <w:rFonts w:hint="eastAsia" w:ascii="Times New Roman" w:hAnsi="Times New Roman" w:eastAsia="仿宋_GB2312" w:cs="仿宋_GB2312"/>
          <w:b w:val="0"/>
          <w:bCs w:val="0"/>
          <w:color w:val="auto"/>
          <w:sz w:val="32"/>
          <w:szCs w:val="32"/>
          <w:lang w:val="en-US" w:eastAsia="zh-CN"/>
        </w:rPr>
        <w:t>县政府委托，现将2023年预算执行情况和2024年预算草案提请县十五届人</w:t>
      </w:r>
      <w:r>
        <w:rPr>
          <w:rFonts w:hint="eastAsia" w:ascii="Times New Roman" w:hAnsi="Times New Roman" w:eastAsia="仿宋_GB2312" w:cs="仿宋_GB2312"/>
          <w:color w:val="auto"/>
          <w:sz w:val="32"/>
          <w:szCs w:val="32"/>
          <w:lang w:val="en-US" w:eastAsia="zh-CN"/>
        </w:rPr>
        <w:t>大第四次会议审议，并请各位政协委员和其他列席人士提出意见。</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一、</w:t>
      </w:r>
      <w:r>
        <w:rPr>
          <w:rFonts w:hint="eastAsia" w:ascii="Times New Roman" w:hAnsi="Times New Roman" w:eastAsia="黑体" w:cs="黑体"/>
          <w:b/>
          <w:bCs/>
          <w:color w:val="auto"/>
          <w:sz w:val="32"/>
          <w:szCs w:val="32"/>
          <w:lang w:val="en-US" w:eastAsia="zh-CN"/>
        </w:rPr>
        <w:t>2023</w:t>
      </w:r>
      <w:r>
        <w:rPr>
          <w:rFonts w:hint="eastAsia" w:ascii="Times New Roman" w:hAnsi="Times New Roman" w:eastAsia="黑体" w:cs="黑体"/>
          <w:color w:val="auto"/>
          <w:sz w:val="32"/>
          <w:szCs w:val="32"/>
          <w:lang w:val="en-US" w:eastAsia="zh-CN"/>
        </w:rPr>
        <w:t>年预算执行情况</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2023年，面对严峻的困难挑战和复杂多变的内外部形势，在县委、县政府的坚强领导下，在县人大、政协的监督指导下，财政部门坚持以习近平新时代中国特色社会主义思想为指导，全面学习贯彻党的二十大精神，着眼服务县域经济社会发展，坚守为民理财初心，立足拓财源、控支出、推改革、强管理、防风险，积极作为，开拓创新，实现全县经济社会健康平稳运行，全年预算执行情况良好。</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楷体" w:cs="楷体"/>
          <w:b/>
          <w:bCs/>
          <w:color w:val="auto"/>
          <w:sz w:val="32"/>
          <w:szCs w:val="32"/>
          <w:lang w:val="en-US" w:eastAsia="zh-CN"/>
        </w:rPr>
      </w:pPr>
      <w:r>
        <w:rPr>
          <w:rFonts w:hint="eastAsia" w:ascii="Times New Roman" w:hAnsi="Times New Roman" w:eastAsia="楷体" w:cs="楷体"/>
          <w:b/>
          <w:bCs/>
          <w:color w:val="auto"/>
          <w:sz w:val="32"/>
          <w:szCs w:val="32"/>
          <w:lang w:val="en-US" w:eastAsia="zh-CN"/>
        </w:rPr>
        <w:t>（一）2023年预算收支情况</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default"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1.一般公共预算执行情况</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2023年，一般公共预算收入完成107996万元，为预算的100.8%，同比增长7.9%，其中：税收收入完成75622万元；非税收入完成32374万元，税占比70%。上级返还性收入8611万元，一般性转移支付收入427985万元，专项转移支付22547万元，从政府性基金调入8000万元，新增一般债券5079万元，上年结余33020万元，动用预算稳定调节基金2600万元。全县总财力615838万元。</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一般公共预算支出完成540589万元，扣除上解上级支出23602万元，债务还本支出281万元，年终结余51366万元。</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default"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2.政府性基金预算执行情况</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政府性基金收入完成127820万元，上级补助3803万元，上年结转结余162578万元，地方政府专项债券收入94200万元，政府性基金预算总财力为388401万元。</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政府性基金支出完成207638万元，上解支出137万元，调出资金8000万元，地方政府专项债务还本支出378万元，结转结余172248万元。</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default"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3.社会保险基金预算执行情况</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社会保险基金（城乡居民基本养老保险）收入完成27144万元，上年结余84264万元。</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社会保险基金（城乡居民基本养老保险）支出完成21323万元，滚存结余90085万元。</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default"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4.国有资本经营预算执行情况</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国有资本经营预算收入完成1000万元，支出完成1000万元，全部用于支持国资国企改革发展。</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楷体" w:cs="楷体"/>
          <w:b/>
          <w:bCs/>
          <w:color w:val="auto"/>
          <w:sz w:val="32"/>
          <w:szCs w:val="32"/>
          <w:lang w:val="en-US" w:eastAsia="zh-CN"/>
        </w:rPr>
      </w:pPr>
      <w:r>
        <w:rPr>
          <w:rFonts w:hint="eastAsia" w:ascii="Times New Roman" w:hAnsi="Times New Roman" w:eastAsia="楷体" w:cs="楷体"/>
          <w:b/>
          <w:bCs/>
          <w:color w:val="auto"/>
          <w:sz w:val="32"/>
          <w:szCs w:val="32"/>
          <w:lang w:val="en-US" w:eastAsia="zh-CN"/>
        </w:rPr>
        <w:t>（二）2023年政府债务情况</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2023年，省财政厅核定下达我县政府债务限额79.62亿元，其中：一般债务限额13.67亿元，专项债务限额65.95亿元。2023年我县实际政府债务余额77.53亿元，其中：一般债务12.75亿元，专项债务64.78亿元，政府债务余额低于省财政厅核定限额。</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lang w:val="en-US" w:eastAsia="zh-CN"/>
        </w:rPr>
      </w:pPr>
      <w:r>
        <w:rPr>
          <w:rFonts w:hint="eastAsia" w:ascii="Times New Roman" w:hAnsi="Times New Roman" w:eastAsia="仿宋_GB2312" w:cs="仿宋_GB2312"/>
          <w:color w:val="auto"/>
          <w:sz w:val="32"/>
          <w:szCs w:val="32"/>
          <w:lang w:val="en-US" w:eastAsia="zh-CN"/>
        </w:rPr>
        <w:t>2023年，我县发行地方政府债券9.93亿元，其中：新增专项债券9.42亿元，新增一般债券0.51亿元。发行再融资债券2.92亿元，其中：发行再融资专项债券2.02亿元，再融资一般债券0.9亿元。</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二、落实县人大决议及主要工作开展情况</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 w:cs="楷体"/>
          <w:b/>
          <w:bCs/>
          <w:color w:val="auto"/>
          <w:sz w:val="32"/>
          <w:szCs w:val="32"/>
          <w:lang w:val="en-US" w:eastAsia="zh-CN"/>
        </w:rPr>
        <w:t>（一）积极落实财政政策，政策效能不断提升。</w:t>
      </w:r>
      <w:r>
        <w:rPr>
          <w:rFonts w:hint="eastAsia" w:ascii="Times New Roman" w:hAnsi="Times New Roman" w:eastAsia="仿宋_GB2312" w:cs="仿宋_GB2312"/>
          <w:color w:val="auto"/>
          <w:sz w:val="32"/>
          <w:szCs w:val="32"/>
          <w:lang w:val="en-US" w:eastAsia="zh-CN"/>
        </w:rPr>
        <w:t>始终坚持质效并重，充分发挥财政政策导向作用，保障各项财税支持政策的落地见效，促进经济稳中向好。</w:t>
      </w:r>
      <w:r>
        <w:rPr>
          <w:rFonts w:hint="eastAsia" w:ascii="Times New Roman" w:hAnsi="Times New Roman" w:eastAsia="仿宋_GB2312" w:cs="仿宋_GB2312"/>
          <w:b/>
          <w:bCs/>
          <w:color w:val="auto"/>
          <w:sz w:val="32"/>
          <w:szCs w:val="32"/>
          <w:lang w:val="en-US" w:eastAsia="zh-CN"/>
        </w:rPr>
        <w:t>一是落实减税降费政策。</w:t>
      </w:r>
      <w:r>
        <w:rPr>
          <w:rFonts w:hint="eastAsia" w:ascii="Times New Roman" w:hAnsi="Times New Roman" w:eastAsia="仿宋_GB2312" w:cs="仿宋_GB2312"/>
          <w:color w:val="auto"/>
          <w:sz w:val="32"/>
          <w:szCs w:val="32"/>
          <w:lang w:val="en-US" w:eastAsia="zh-CN"/>
        </w:rPr>
        <w:t>认真贯彻落实增值税留抵退税、“六税两费”等各类减税降费惠企优惠政策，支持民营企业、中小微企业和个体工商户发展，切实减轻市场主体负担。全年减免各类涉企税费16090万元，实施留抵退税1673万元，惠及企业11.5万户次。</w:t>
      </w:r>
      <w:r>
        <w:rPr>
          <w:rFonts w:hint="eastAsia" w:ascii="Times New Roman" w:hAnsi="Times New Roman" w:eastAsia="仿宋_GB2312" w:cs="仿宋_GB2312"/>
          <w:b/>
          <w:bCs/>
          <w:color w:val="auto"/>
          <w:sz w:val="32"/>
          <w:szCs w:val="32"/>
          <w:lang w:val="en-US" w:eastAsia="zh-CN"/>
        </w:rPr>
        <w:t>二是扩大内需提振消费活力。</w:t>
      </w:r>
      <w:r>
        <w:rPr>
          <w:rFonts w:hint="eastAsia" w:ascii="Times New Roman" w:hAnsi="Times New Roman" w:eastAsia="仿宋_GB2312" w:cs="仿宋_GB2312"/>
          <w:b w:val="0"/>
          <w:bCs w:val="0"/>
          <w:color w:val="auto"/>
          <w:sz w:val="32"/>
          <w:szCs w:val="32"/>
          <w:lang w:val="en-US" w:eastAsia="zh-CN"/>
        </w:rPr>
        <w:t>筹措资金</w:t>
      </w:r>
      <w:r>
        <w:rPr>
          <w:rFonts w:hint="eastAsia" w:ascii="Times New Roman" w:hAnsi="Times New Roman" w:eastAsia="仿宋_GB2312" w:cs="仿宋_GB2312"/>
          <w:color w:val="auto"/>
          <w:sz w:val="32"/>
          <w:szCs w:val="32"/>
          <w:lang w:val="en-US" w:eastAsia="zh-CN"/>
        </w:rPr>
        <w:t>1299万元为城乡低保对象、特困人员发放每人300元“爱心消费券”合计43334张，进一步拉动内需、繁荣市场、刺激消费。支持加快培育和发展体育休闲、文化旅游等消费增长点，更大力度促进消费持续恢复。</w:t>
      </w:r>
      <w:r>
        <w:rPr>
          <w:rFonts w:hint="eastAsia" w:ascii="Times New Roman" w:hAnsi="Times New Roman" w:eastAsia="仿宋_GB2312" w:cs="仿宋_GB2312"/>
          <w:b/>
          <w:bCs/>
          <w:color w:val="auto"/>
          <w:sz w:val="32"/>
          <w:szCs w:val="32"/>
          <w:lang w:val="en-US" w:eastAsia="zh-CN"/>
        </w:rPr>
        <w:t>三是发挥政府采购助企作用。</w:t>
      </w:r>
      <w:r>
        <w:rPr>
          <w:rFonts w:hint="eastAsia" w:ascii="Times New Roman" w:hAnsi="Times New Roman" w:eastAsia="仿宋_GB2312" w:cs="仿宋_GB2312"/>
          <w:b w:val="0"/>
          <w:bCs w:val="0"/>
          <w:color w:val="auto"/>
          <w:sz w:val="32"/>
          <w:szCs w:val="32"/>
          <w:lang w:val="en-US" w:eastAsia="zh-CN"/>
        </w:rPr>
        <w:t>积极开展</w:t>
      </w:r>
      <w:r>
        <w:rPr>
          <w:rFonts w:hint="eastAsia" w:ascii="Times New Roman" w:hAnsi="Times New Roman" w:eastAsia="仿宋_GB2312" w:cs="仿宋_GB2312"/>
          <w:color w:val="auto"/>
          <w:sz w:val="32"/>
          <w:szCs w:val="32"/>
          <w:lang w:val="en-US" w:eastAsia="zh-CN"/>
        </w:rPr>
        <w:t>“政采贷”融资工作，财政搭台，银企共赢，累计为12家企业提供贷款1995万元，缓解企业融资难问题。落实政府采购支持中小微企业政策，全年面向中小微企业采购金额41014万元，占全县政府采购总额的99.1%，绿色采购占比100%。</w:t>
      </w:r>
    </w:p>
    <w:p>
      <w:pPr>
        <w:keepNext w:val="0"/>
        <w:keepLines w:val="0"/>
        <w:pageBreakBefore w:val="0"/>
        <w:widowControl w:val="0"/>
        <w:kinsoku/>
        <w:wordWrap/>
        <w:overflowPunct/>
        <w:topLinePunct/>
        <w:autoSpaceDE/>
        <w:autoSpaceDN/>
        <w:bidi w:val="0"/>
        <w:adjustRightInd/>
        <w:snapToGrid/>
        <w:spacing w:line="579" w:lineRule="exact"/>
        <w:ind w:firstLine="643"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楷体" w:cs="楷体"/>
          <w:b/>
          <w:bCs/>
          <w:color w:val="auto"/>
          <w:sz w:val="32"/>
          <w:szCs w:val="32"/>
          <w:lang w:val="en-US" w:eastAsia="zh-CN"/>
        </w:rPr>
        <w:t>（二）扎实开展财源建设，收入盘子不断扩大。</w:t>
      </w:r>
      <w:r>
        <w:rPr>
          <w:rFonts w:hint="eastAsia" w:ascii="Times New Roman" w:hAnsi="Times New Roman" w:eastAsia="仿宋_GB2312" w:cs="仿宋_GB2312"/>
          <w:b/>
          <w:bCs/>
          <w:color w:val="auto"/>
          <w:sz w:val="32"/>
          <w:szCs w:val="32"/>
          <w:lang w:val="en-US" w:eastAsia="zh-CN"/>
        </w:rPr>
        <w:t>一是深入挖掘增收潜力。</w:t>
      </w:r>
      <w:r>
        <w:rPr>
          <w:rFonts w:hint="eastAsia" w:ascii="Times New Roman" w:hAnsi="Times New Roman" w:eastAsia="仿宋_GB2312" w:cs="仿宋_GB2312"/>
          <w:color w:val="auto"/>
          <w:sz w:val="32"/>
          <w:szCs w:val="32"/>
          <w:lang w:val="en-US" w:eastAsia="zh-CN"/>
        </w:rPr>
        <w:t>坚持把财源建设作为财政部门的主责主业，以财政之进促经济之稳，紧盯重点行业、重点企业税收变化，加强财政收入趋势的分析研判，定时调度，把握组织收入的关键环节，铆足干劲兴产业、推项目、抓招商、扶企业、促消费，培育涵养优质税源，做大经济“总盘子”，夯实财政收入增收基础。</w:t>
      </w:r>
      <w:r>
        <w:rPr>
          <w:rFonts w:hint="eastAsia" w:ascii="Times New Roman" w:hAnsi="Times New Roman" w:eastAsia="仿宋_GB2312" w:cs="仿宋_GB2312"/>
          <w:b/>
          <w:bCs/>
          <w:color w:val="auto"/>
          <w:sz w:val="32"/>
          <w:szCs w:val="32"/>
          <w:lang w:val="en-US" w:eastAsia="zh-CN"/>
        </w:rPr>
        <w:t>二是向上争取财力支持。</w:t>
      </w:r>
      <w:r>
        <w:rPr>
          <w:rFonts w:hint="eastAsia" w:ascii="Times New Roman" w:hAnsi="Times New Roman" w:eastAsia="仿宋_GB2312" w:cs="仿宋_GB2312"/>
          <w:b w:val="0"/>
          <w:bCs w:val="0"/>
          <w:color w:val="auto"/>
          <w:sz w:val="32"/>
          <w:szCs w:val="32"/>
          <w:lang w:val="en-US" w:eastAsia="zh-CN"/>
        </w:rPr>
        <w:t>出台了《潢川县2023年争资跑项目标任务和考核办法（试行）》，鼓励各单位</w:t>
      </w:r>
      <w:r>
        <w:rPr>
          <w:rFonts w:hint="eastAsia" w:ascii="Times New Roman" w:hAnsi="Times New Roman" w:eastAsia="仿宋_GB2312" w:cs="仿宋_GB2312"/>
          <w:color w:val="auto"/>
          <w:sz w:val="32"/>
          <w:szCs w:val="32"/>
          <w:lang w:val="en-US" w:eastAsia="zh-CN"/>
        </w:rPr>
        <w:t>紧盯中央、省政策落脚点，加大跑部进厅工作力度，积极向上争取各类财力补助和转移支付，全年累计争取上级转移支付资金45.9亿元，财力性转移支付实现正增长。</w:t>
      </w:r>
      <w:r>
        <w:rPr>
          <w:rFonts w:hint="eastAsia" w:ascii="Times New Roman" w:hAnsi="Times New Roman" w:eastAsia="仿宋_GB2312" w:cs="仿宋_GB2312"/>
          <w:b/>
          <w:bCs/>
          <w:color w:val="auto"/>
          <w:sz w:val="32"/>
          <w:szCs w:val="32"/>
          <w:lang w:val="en-US" w:eastAsia="zh-CN"/>
        </w:rPr>
        <w:t>三是全力争取债券资金。</w:t>
      </w:r>
      <w:r>
        <w:rPr>
          <w:rFonts w:hint="eastAsia" w:ascii="Times New Roman" w:hAnsi="Times New Roman" w:eastAsia="仿宋_GB2312" w:cs="仿宋_GB2312"/>
          <w:color w:val="auto"/>
          <w:sz w:val="32"/>
          <w:szCs w:val="32"/>
          <w:lang w:val="en-US" w:eastAsia="zh-CN"/>
        </w:rPr>
        <w:t>2023年新增专项债券资金9.42亿元，</w:t>
      </w:r>
      <w:r>
        <w:rPr>
          <w:rFonts w:hint="eastAsia" w:ascii="Times New Roman" w:hAnsi="Times New Roman" w:eastAsia="仿宋_GB2312" w:cs="仿宋_GB2312"/>
          <w:b w:val="0"/>
          <w:bCs w:val="0"/>
          <w:color w:val="auto"/>
          <w:sz w:val="32"/>
          <w:szCs w:val="32"/>
          <w:lang w:val="en-US" w:eastAsia="zh-CN"/>
        </w:rPr>
        <w:t>发行总量居全市前列，为我县新型基础设施、产业园区发展、棚户区改造、医疗卫生提</w:t>
      </w:r>
      <w:r>
        <w:rPr>
          <w:rFonts w:hint="eastAsia" w:ascii="Times New Roman" w:hAnsi="Times New Roman" w:eastAsia="仿宋_GB2312" w:cs="仿宋_GB2312"/>
          <w:color w:val="auto"/>
          <w:sz w:val="32"/>
          <w:szCs w:val="32"/>
          <w:lang w:val="en-US" w:eastAsia="zh-CN"/>
        </w:rPr>
        <w:t>质等</w:t>
      </w:r>
      <w:r>
        <w:rPr>
          <w:rFonts w:hint="eastAsia" w:ascii="Times New Roman" w:hAnsi="Times New Roman" w:eastAsia="仿宋_GB2312" w:cs="仿宋_GB2312"/>
          <w:color w:val="auto"/>
          <w:sz w:val="32"/>
          <w:szCs w:val="32"/>
          <w:highlight w:val="none"/>
          <w:lang w:val="en-US" w:eastAsia="zh-CN"/>
        </w:rPr>
        <w:t>32</w:t>
      </w:r>
      <w:r>
        <w:rPr>
          <w:rFonts w:hint="eastAsia" w:ascii="Times New Roman" w:hAnsi="Times New Roman" w:eastAsia="仿宋_GB2312" w:cs="仿宋_GB2312"/>
          <w:color w:val="auto"/>
          <w:sz w:val="32"/>
          <w:szCs w:val="32"/>
          <w:lang w:val="en-US" w:eastAsia="zh-CN"/>
        </w:rPr>
        <w:t>个重大项目建设提供资金保障，有力地支持了全县基础设施改善和公共事业发展。</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 w:cs="楷体"/>
          <w:b/>
          <w:bCs/>
          <w:color w:val="auto"/>
          <w:sz w:val="32"/>
          <w:szCs w:val="32"/>
          <w:lang w:val="en-US" w:eastAsia="zh-CN"/>
        </w:rPr>
        <w:t>（三）坚持兜牢民生底线，社会事业不断进步。</w:t>
      </w:r>
      <w:r>
        <w:rPr>
          <w:rFonts w:hint="eastAsia" w:ascii="Times New Roman" w:hAnsi="Times New Roman" w:eastAsia="仿宋_GB2312" w:cs="仿宋_GB2312"/>
          <w:b w:val="0"/>
          <w:bCs w:val="0"/>
          <w:color w:val="auto"/>
          <w:sz w:val="32"/>
          <w:szCs w:val="32"/>
          <w:lang w:val="en-US" w:eastAsia="zh-CN"/>
        </w:rPr>
        <w:t>坚</w:t>
      </w:r>
      <w:r>
        <w:rPr>
          <w:rFonts w:hint="eastAsia" w:ascii="Times New Roman" w:hAnsi="Times New Roman" w:eastAsia="仿宋_GB2312" w:cs="仿宋_GB2312"/>
          <w:color w:val="auto"/>
          <w:sz w:val="32"/>
          <w:szCs w:val="32"/>
          <w:lang w:val="en-US" w:eastAsia="zh-CN"/>
        </w:rPr>
        <w:t>持量力而行、尽力而为，加大财政对民生支出投入，确保民生保障水平可持续提升。全年累计完成民生支出365225万元，占一般公共预算支出的67.6%，支出结构良好。</w:t>
      </w:r>
      <w:r>
        <w:rPr>
          <w:rFonts w:hint="eastAsia" w:ascii="Times New Roman" w:hAnsi="Times New Roman" w:eastAsia="仿宋_GB2312" w:cs="仿宋_GB2312"/>
          <w:b/>
          <w:bCs/>
          <w:color w:val="auto"/>
          <w:sz w:val="32"/>
          <w:szCs w:val="32"/>
          <w:lang w:val="en-US" w:eastAsia="zh-CN"/>
        </w:rPr>
        <w:t>一是稳住就业基本盘。</w:t>
      </w:r>
      <w:r>
        <w:rPr>
          <w:rFonts w:hint="eastAsia" w:ascii="Times New Roman" w:hAnsi="Times New Roman" w:eastAsia="仿宋_GB2312" w:cs="仿宋_GB2312"/>
          <w:b w:val="0"/>
          <w:bCs w:val="0"/>
          <w:color w:val="auto"/>
          <w:sz w:val="32"/>
          <w:szCs w:val="32"/>
          <w:lang w:val="en-US" w:eastAsia="zh-CN"/>
        </w:rPr>
        <w:t>安排</w:t>
      </w:r>
      <w:r>
        <w:rPr>
          <w:rFonts w:hint="eastAsia" w:ascii="Times New Roman" w:hAnsi="Times New Roman" w:eastAsia="仿宋_GB2312" w:cs="仿宋_GB2312"/>
          <w:color w:val="auto"/>
          <w:sz w:val="32"/>
          <w:szCs w:val="32"/>
          <w:lang w:val="en-US" w:eastAsia="zh-CN"/>
        </w:rPr>
        <w:t>就业补助资金2423万元，支持建立完善的就业服务体系，帮助高校毕业生、退役军人、农民工和城镇困难人员等重点群体就业。支持高水平推进“人人持证、技能河南”，提高劳动者从业技能和水平，缓解结构性就业矛盾。支持推进豫商豫才回归返乡创业，以创业提质带动就业扩容。</w:t>
      </w:r>
      <w:r>
        <w:rPr>
          <w:rFonts w:hint="eastAsia" w:ascii="Times New Roman" w:hAnsi="Times New Roman" w:eastAsia="仿宋_GB2312" w:cs="仿宋_GB2312"/>
          <w:b/>
          <w:bCs/>
          <w:color w:val="auto"/>
          <w:sz w:val="32"/>
          <w:szCs w:val="32"/>
          <w:lang w:val="en-US" w:eastAsia="zh-CN"/>
        </w:rPr>
        <w:t>二是支持社会保障事业发展。</w:t>
      </w:r>
      <w:r>
        <w:rPr>
          <w:rFonts w:hint="eastAsia" w:ascii="Times New Roman" w:hAnsi="Times New Roman" w:eastAsia="仿宋_GB2312" w:cs="仿宋_GB2312"/>
          <w:color w:val="auto"/>
          <w:sz w:val="32"/>
          <w:szCs w:val="32"/>
          <w:lang w:val="en-US" w:eastAsia="zh-CN"/>
        </w:rPr>
        <w:t>安排社会保障和就业支出69161万元，支持建设更公平更可持续的社会保障体系。安排困难群众基本生活救助等社会救助资金17534万元，兜牢兜实基本生活保障。安排卫生健康支出36407万元（支出下降主要原因是疫情防控支出较上年减少1.4亿元），支持公共卫生事业发展。安排城乡医疗救助资金5146万元，切实减轻困难群众医疗负担。医疗保险参保人员基本实现全覆盖，城乡居民医疗保险财政补助标准由人均610元提高到630元。</w:t>
      </w:r>
      <w:r>
        <w:rPr>
          <w:rFonts w:hint="eastAsia" w:ascii="Times New Roman" w:hAnsi="Times New Roman" w:eastAsia="仿宋_GB2312" w:cs="仿宋_GB2312"/>
          <w:b/>
          <w:bCs/>
          <w:color w:val="auto"/>
          <w:sz w:val="32"/>
          <w:szCs w:val="32"/>
          <w:lang w:val="en-US" w:eastAsia="zh-CN"/>
        </w:rPr>
        <w:t>三是支持教育优先发展。</w:t>
      </w:r>
      <w:r>
        <w:rPr>
          <w:rFonts w:hint="eastAsia" w:ascii="Times New Roman" w:hAnsi="Times New Roman" w:eastAsia="仿宋_GB2312" w:cs="仿宋_GB2312"/>
          <w:color w:val="auto"/>
          <w:sz w:val="32"/>
          <w:szCs w:val="32"/>
          <w:lang w:val="en-US" w:eastAsia="zh-CN"/>
        </w:rPr>
        <w:t>全县安排教育支出97677万元（由于政策调整，教育系统的社保缴费、住房公积金1.93亿元由原教育支出科目调整到社会保障和住房公积金科目,同比口径实际增长5.8%）。安排资金12988万元，落实义务教育资金保障机制，推动义务教育均衡。安排资金1497万元，支持学前教育普惠发展。安排资金3123万元，落实困难学生资助政策，保障农村困难儿童和中小学生生活费、保教费补助，按照核定标准发放普通高中助学金，免除困难学生学费、住宿费，保证每一个适龄儿童受教育的权利。</w:t>
      </w:r>
      <w:r>
        <w:rPr>
          <w:rFonts w:hint="eastAsia" w:ascii="Times New Roman" w:hAnsi="Times New Roman" w:eastAsia="仿宋_GB2312" w:cs="仿宋_GB2312"/>
          <w:b/>
          <w:bCs/>
          <w:color w:val="auto"/>
          <w:sz w:val="32"/>
          <w:szCs w:val="32"/>
          <w:lang w:val="en-US" w:eastAsia="zh-CN"/>
        </w:rPr>
        <w:t>四是推进保障性安居住房。</w:t>
      </w:r>
      <w:r>
        <w:rPr>
          <w:rFonts w:hint="eastAsia" w:ascii="Times New Roman" w:hAnsi="Times New Roman" w:eastAsia="仿宋_GB2312" w:cs="仿宋_GB2312"/>
          <w:color w:val="auto"/>
          <w:sz w:val="32"/>
          <w:szCs w:val="32"/>
          <w:lang w:val="en-US" w:eastAsia="zh-CN"/>
        </w:rPr>
        <w:t>全县住房保障支出15301万元，努力实现群众住有所居、居有所安。安排老旧小区改造项目建设资金6312万元，推动实施老旧小区改造项目17个，改善群众居住条件。安排保障性租赁住房项目建设资金1033万元，加快解决城镇困难群众住房难题。安排棚户区改造项目资金3988万元，有序推进城市更新。</w:t>
      </w:r>
    </w:p>
    <w:p>
      <w:pPr>
        <w:keepNext w:val="0"/>
        <w:keepLines w:val="0"/>
        <w:pageBreakBefore w:val="0"/>
        <w:widowControl w:val="0"/>
        <w:kinsoku/>
        <w:wordWrap/>
        <w:overflowPunct/>
        <w:topLinePunct/>
        <w:autoSpaceDE/>
        <w:autoSpaceDN/>
        <w:bidi w:val="0"/>
        <w:adjustRightInd/>
        <w:snapToGrid/>
        <w:spacing w:line="579" w:lineRule="exact"/>
        <w:ind w:firstLine="643"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楷体" w:cs="楷体"/>
          <w:b/>
          <w:bCs/>
          <w:color w:val="auto"/>
          <w:sz w:val="32"/>
          <w:szCs w:val="32"/>
          <w:lang w:val="en-US" w:eastAsia="zh-CN"/>
        </w:rPr>
        <w:t>（四）聚焦重大战略部署，财政保障不断提升。</w:t>
      </w:r>
      <w:r>
        <w:rPr>
          <w:rFonts w:hint="eastAsia" w:ascii="Times New Roman" w:hAnsi="Times New Roman" w:eastAsia="仿宋_GB2312" w:cs="仿宋_GB2312"/>
          <w:b/>
          <w:bCs/>
          <w:color w:val="auto"/>
          <w:sz w:val="32"/>
          <w:szCs w:val="32"/>
          <w:lang w:val="en-US" w:eastAsia="zh-CN"/>
        </w:rPr>
        <w:t>一是支持乡村振兴。</w:t>
      </w:r>
      <w:r>
        <w:rPr>
          <w:rFonts w:hint="eastAsia" w:ascii="Times New Roman" w:hAnsi="Times New Roman" w:eastAsia="仿宋_GB2312" w:cs="仿宋_GB2312"/>
          <w:b w:val="0"/>
          <w:bCs w:val="0"/>
          <w:color w:val="auto"/>
          <w:sz w:val="32"/>
          <w:szCs w:val="32"/>
          <w:lang w:val="en-US" w:eastAsia="zh-CN"/>
        </w:rPr>
        <w:t>安排农林水支出91364万元（受政策性因素影响，专项转移支付减少2.56亿元，其中：高标准农田资金减少2.1亿元，产粮大县奖励性资金减少0.46亿元）。</w:t>
      </w:r>
      <w:r>
        <w:rPr>
          <w:rFonts w:hint="eastAsia" w:ascii="Times New Roman" w:hAnsi="Times New Roman" w:eastAsia="仿宋_GB2312" w:cs="仿宋_GB2312"/>
          <w:color w:val="auto"/>
          <w:sz w:val="32"/>
          <w:szCs w:val="32"/>
          <w:lang w:val="en-US" w:eastAsia="zh-CN"/>
        </w:rPr>
        <w:t>按照“四个不摘”政策要求，始终保持支持脱贫攻坚政策不变、力度不减，统筹整合使用财政涉农资金，加快补齐我县农村基础设施短板、扶持乡村产业发展。全年统筹整合财政涉农资金44438万元，涉及3类160个项目，坚持在现金调度上优先保障，确保项目有序推进，为巩固脱贫攻坚成果与乡村振兴有效衔接提供有力支撑。</w:t>
      </w:r>
      <w:r>
        <w:rPr>
          <w:rFonts w:hint="eastAsia" w:ascii="Times New Roman" w:hAnsi="Times New Roman" w:eastAsia="仿宋_GB2312" w:cs="仿宋_GB2312"/>
          <w:b/>
          <w:bCs/>
          <w:color w:val="auto"/>
          <w:sz w:val="32"/>
          <w:szCs w:val="32"/>
          <w:lang w:val="en-US" w:eastAsia="zh-CN"/>
        </w:rPr>
        <w:t>二是落实生态环境治理。</w:t>
      </w:r>
      <w:r>
        <w:rPr>
          <w:rFonts w:hint="eastAsia" w:ascii="Times New Roman" w:hAnsi="Times New Roman" w:eastAsia="仿宋_GB2312" w:cs="仿宋_GB2312"/>
          <w:color w:val="auto"/>
          <w:sz w:val="32"/>
          <w:szCs w:val="32"/>
          <w:lang w:val="en-US" w:eastAsia="zh-CN"/>
        </w:rPr>
        <w:t>安排节能环保资金3904万元，支持打好蓝天、碧水、净土保卫战。治气方面，支持</w:t>
      </w:r>
      <w:r>
        <w:rPr>
          <w:rFonts w:hint="eastAsia" w:ascii="Times New Roman" w:hAnsi="Times New Roman" w:eastAsia="仿宋_GB2312" w:cs="仿宋_GB2312"/>
          <w:b w:val="0"/>
          <w:bCs w:val="0"/>
          <w:color w:val="auto"/>
          <w:sz w:val="32"/>
          <w:szCs w:val="32"/>
          <w:lang w:val="en-US" w:eastAsia="zh-CN"/>
        </w:rPr>
        <w:t>秋冬攻坚战、秸秆禁烧等大气污染防治工作开展。治水方面，</w:t>
      </w:r>
      <w:r>
        <w:rPr>
          <w:rFonts w:hint="eastAsia" w:ascii="Times New Roman" w:hAnsi="Times New Roman" w:eastAsia="仿宋_GB2312" w:cs="仿宋_GB2312"/>
          <w:color w:val="auto"/>
          <w:sz w:val="32"/>
          <w:szCs w:val="32"/>
          <w:lang w:val="en-US" w:eastAsia="zh-CN"/>
        </w:rPr>
        <w:t>支持重点流域、重要区域水污染防治。治土方面，支持历史污染源整治、农用地污染治理修复等生态环境综合整治工作，防控土壤环境风险。</w:t>
      </w:r>
      <w:r>
        <w:rPr>
          <w:rFonts w:hint="eastAsia" w:ascii="Times New Roman" w:hAnsi="Times New Roman" w:eastAsia="仿宋_GB2312" w:cs="仿宋_GB2312"/>
          <w:b/>
          <w:bCs/>
          <w:color w:val="auto"/>
          <w:sz w:val="32"/>
          <w:szCs w:val="32"/>
          <w:lang w:val="en-US" w:eastAsia="zh-CN"/>
        </w:rPr>
        <w:t>三是扛稳粮食安全重任。</w:t>
      </w:r>
      <w:r>
        <w:rPr>
          <w:rFonts w:hint="eastAsia" w:ascii="Times New Roman" w:hAnsi="Times New Roman" w:eastAsia="仿宋_GB2312" w:cs="仿宋_GB2312"/>
          <w:color w:val="auto"/>
          <w:sz w:val="32"/>
          <w:szCs w:val="32"/>
          <w:lang w:val="en-US" w:eastAsia="zh-CN"/>
        </w:rPr>
        <w:t>落实“藏粮于地、藏粮于技”战略，统筹资金3000万元，新建高标准农田2万亩，兑现农机购置补贴1589.5万元，耕地地力保护补贴13042万元，稻谷生产补贴4907万元，提升粮食生产综合能力和种粮积极性。用好农业保险政策工具，安排保费资金462.27万元，承保小麦22.77万亩，承保水稻86.81万亩，巩固提升粮食种植业风险抵御能力。争取生猪调出奖励资金420万元，保障农产品供应链安全。</w:t>
      </w:r>
      <w:r>
        <w:rPr>
          <w:rFonts w:hint="eastAsia" w:ascii="Times New Roman" w:hAnsi="Times New Roman" w:eastAsia="仿宋_GB2312" w:cs="仿宋_GB2312"/>
          <w:b/>
          <w:bCs/>
          <w:color w:val="auto"/>
          <w:sz w:val="32"/>
          <w:szCs w:val="32"/>
          <w:lang w:val="en-US" w:eastAsia="zh-CN"/>
        </w:rPr>
        <w:t>四是坚持创新驱动发展战略。</w:t>
      </w:r>
      <w:r>
        <w:rPr>
          <w:rFonts w:hint="eastAsia" w:ascii="Times New Roman" w:hAnsi="Times New Roman" w:eastAsia="仿宋_GB2312" w:cs="仿宋_GB2312"/>
          <w:b w:val="0"/>
          <w:bCs w:val="0"/>
          <w:color w:val="auto"/>
          <w:sz w:val="32"/>
          <w:szCs w:val="32"/>
          <w:lang w:val="en-US" w:eastAsia="zh-CN"/>
        </w:rPr>
        <w:t>持续加大科技创新投入，</w:t>
      </w:r>
      <w:r>
        <w:rPr>
          <w:rFonts w:hint="eastAsia" w:ascii="Times New Roman" w:hAnsi="Times New Roman" w:eastAsia="仿宋_GB2312" w:cs="仿宋_GB2312"/>
          <w:color w:val="auto"/>
          <w:sz w:val="32"/>
          <w:szCs w:val="32"/>
          <w:lang w:val="en-US" w:eastAsia="zh-CN"/>
        </w:rPr>
        <w:t>全县科技支出22193万元，同比增长30%，顺利完成年度高质量发展目标。着力支持创新主体打造，加快筑牢科技创新发展“硬支撑”，支持企业实施高端化、智能化、绿色化改造提升。支持培育新增高新技术企业4家，新增省级工程技术研究中心3家。</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 w:cs="楷体"/>
          <w:b/>
          <w:bCs/>
          <w:color w:val="auto"/>
          <w:sz w:val="32"/>
          <w:szCs w:val="32"/>
          <w:lang w:val="en-US" w:eastAsia="zh-CN"/>
        </w:rPr>
        <w:t>（五）着力深化财政改革，理财能力不断提升。</w:t>
      </w:r>
      <w:r>
        <w:rPr>
          <w:rFonts w:hint="eastAsia" w:ascii="Times New Roman" w:hAnsi="Times New Roman" w:eastAsia="仿宋_GB2312" w:cs="仿宋_GB2312"/>
          <w:b/>
          <w:bCs/>
          <w:color w:val="auto"/>
          <w:sz w:val="32"/>
          <w:szCs w:val="32"/>
          <w:lang w:val="en-US" w:eastAsia="zh-CN"/>
        </w:rPr>
        <w:t>一是强化预算执行管理。</w:t>
      </w:r>
      <w:r>
        <w:rPr>
          <w:rFonts w:hint="eastAsia" w:ascii="Times New Roman" w:hAnsi="Times New Roman" w:eastAsia="仿宋_GB2312" w:cs="仿宋_GB2312"/>
          <w:color w:val="auto"/>
          <w:sz w:val="32"/>
          <w:szCs w:val="32"/>
          <w:lang w:val="en-US" w:eastAsia="zh-CN"/>
        </w:rPr>
        <w:t>严格部门预算管理，坚持预算法定原则，先有预算后有支出，严禁超预算、无预算安排支出，年度预算经县人大批准后原则上不予追加、调整。要求各部门牢固树立过紧日子思想，按照轻重缓急优先保障“三保”支出，重点保障县委县政府中心工作和重大项目。</w:t>
      </w:r>
      <w:r>
        <w:rPr>
          <w:rFonts w:hint="eastAsia" w:ascii="Times New Roman" w:hAnsi="Times New Roman" w:eastAsia="仿宋_GB2312" w:cs="仿宋_GB2312"/>
          <w:b/>
          <w:bCs/>
          <w:color w:val="auto"/>
          <w:sz w:val="32"/>
          <w:szCs w:val="32"/>
          <w:lang w:val="en-US" w:eastAsia="zh-CN"/>
        </w:rPr>
        <w:t>二是提升绩效管理水平。</w:t>
      </w:r>
      <w:r>
        <w:rPr>
          <w:rFonts w:hint="eastAsia" w:ascii="Times New Roman" w:hAnsi="Times New Roman" w:eastAsia="仿宋_GB2312" w:cs="仿宋_GB2312"/>
          <w:color w:val="auto"/>
          <w:sz w:val="32"/>
          <w:szCs w:val="32"/>
          <w:lang w:val="en-US" w:eastAsia="zh-CN"/>
        </w:rPr>
        <w:t>合理设置绩效指标，持续完善全方位、全过程、全覆盖的预算绩效管理体系。加强绩效监控，建立重大政策、项目绩效跟踪机制，发现问题及时纠正，确保绩效目标如期保质保量实现</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仿宋_GB2312"/>
          <w:b/>
          <w:bCs/>
          <w:color w:val="auto"/>
          <w:sz w:val="32"/>
          <w:szCs w:val="32"/>
          <w:lang w:val="en-US" w:eastAsia="zh-CN"/>
        </w:rPr>
        <w:t>三是深入推进“一卡通”。</w:t>
      </w:r>
      <w:r>
        <w:rPr>
          <w:rFonts w:hint="eastAsia" w:ascii="Times New Roman" w:hAnsi="Times New Roman" w:eastAsia="仿宋_GB2312" w:cs="仿宋_GB2312"/>
          <w:color w:val="auto"/>
          <w:sz w:val="32"/>
          <w:szCs w:val="32"/>
          <w:lang w:val="en-US" w:eastAsia="zh-CN"/>
        </w:rPr>
        <w:t>紧盯群众急难愁盼问题，聚焦惠民惠农政策效果，围绕重点改革任务，顺利实现“六个一”工作目标，有效整治和防范截留、挪用、冒领、侵占惠民惠农资金等问题。全年累计通过“一卡通”系统发放补贴项目68个，发放补贴批次400次、补贴资金57472万元、惠及群众158万人次。</w:t>
      </w:r>
      <w:r>
        <w:rPr>
          <w:rFonts w:hint="eastAsia" w:ascii="Times New Roman" w:hAnsi="Times New Roman" w:eastAsia="仿宋_GB2312" w:cs="仿宋_GB2312"/>
          <w:b/>
          <w:bCs/>
          <w:color w:val="auto"/>
          <w:sz w:val="32"/>
          <w:szCs w:val="32"/>
          <w:lang w:val="en-US" w:eastAsia="zh-CN"/>
        </w:rPr>
        <w:t>四是强化财政投资评审。</w:t>
      </w:r>
      <w:r>
        <w:rPr>
          <w:rFonts w:hint="eastAsia" w:ascii="Times New Roman" w:hAnsi="Times New Roman" w:eastAsia="仿宋_GB2312" w:cs="仿宋_GB2312"/>
          <w:color w:val="auto"/>
          <w:sz w:val="32"/>
          <w:szCs w:val="32"/>
          <w:lang w:val="en-US" w:eastAsia="zh-CN"/>
        </w:rPr>
        <w:t>拧紧政府投资项目“阀门”，严格评审质量，拓宽评审领域，加大重点项目投资评审力度，提高政府投资项目资金使用效益。全年累计评审项目199个，送审金额32.3亿元，审定金额25亿元，审减金额7.3亿元，综合审减率22.7%。</w:t>
      </w:r>
      <w:r>
        <w:rPr>
          <w:rFonts w:hint="eastAsia" w:ascii="Times New Roman" w:hAnsi="Times New Roman" w:eastAsia="仿宋_GB2312" w:cs="仿宋_GB2312"/>
          <w:b/>
          <w:bCs/>
          <w:color w:val="auto"/>
          <w:sz w:val="32"/>
          <w:szCs w:val="32"/>
          <w:lang w:val="en-US" w:eastAsia="zh-CN"/>
        </w:rPr>
        <w:t>五是调整县乡财政体制。</w:t>
      </w:r>
      <w:r>
        <w:rPr>
          <w:rFonts w:hint="eastAsia" w:ascii="Times New Roman" w:hAnsi="Times New Roman" w:eastAsia="仿宋_GB2312" w:cs="仿宋_GB2312"/>
          <w:color w:val="auto"/>
          <w:sz w:val="32"/>
          <w:szCs w:val="32"/>
          <w:lang w:val="en-US" w:eastAsia="zh-CN"/>
        </w:rPr>
        <w:t>在县级财力紧张情况下，加大财力向基层倾斜力度，全年乡镇财力达到2.8亿，同比增长21.8%。同时，统筹整合乡镇事务服务人员经费4380万元，制定乡村振兴及人居环境整治补助资金统筹使用、结余留用意见，逐步推进乡镇财权与事权相匹配。</w:t>
      </w:r>
      <w:r>
        <w:rPr>
          <w:rFonts w:hint="eastAsia" w:ascii="Times New Roman" w:hAnsi="Times New Roman" w:eastAsia="仿宋_GB2312" w:cs="仿宋_GB2312"/>
          <w:b/>
          <w:bCs/>
          <w:color w:val="auto"/>
          <w:sz w:val="32"/>
          <w:szCs w:val="32"/>
          <w:lang w:val="en-US" w:eastAsia="zh-CN"/>
        </w:rPr>
        <w:t>六是深化国资国企改革。</w:t>
      </w:r>
      <w:r>
        <w:rPr>
          <w:rFonts w:hint="eastAsia" w:ascii="Times New Roman" w:hAnsi="Times New Roman" w:eastAsia="仿宋_GB2312" w:cs="仿宋_GB2312"/>
          <w:color w:val="auto"/>
          <w:sz w:val="32"/>
          <w:szCs w:val="32"/>
          <w:lang w:val="en-US" w:eastAsia="zh-CN"/>
        </w:rPr>
        <w:t>进一步优化国资国企布局，新组建光州资产、光州教育投资等国资公司，充分发挥国有资本在债务化解、金融融资、产业提质中的积极作用。扎实推进清廉国企建设，推动国有企业全面从严治党向纵深发展，为企业发展营造规范廉洁、风清气正的工作环境。</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总体来看，2023年财政各项工作稳步推进，取得了来之不易的成绩。这些成绩的取得，是深入贯彻习近平新时代中国特色社会主义思想的结果，是县委、县政府科学领导的结果，是县人大、县政协及代表委员们监督指导、大力支持的结果，是各级各部门，全县人民齐心协力、艰苦奋斗的结果。</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同时，我们也清醒地认识到，当前经济形势仍未发生根本性好转，财政运行面临增收困难、压支有限、重点支出刚性增长、收支矛盾异常突出困境，预算绩效管理和预算执行刚性仍需进一步提升。这些困难和问题我们将在今后的工作中予以高度重视，积极采取措施加以解决。</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三、</w:t>
      </w:r>
      <w:r>
        <w:rPr>
          <w:rFonts w:hint="eastAsia" w:ascii="Times New Roman" w:hAnsi="Times New Roman" w:eastAsia="黑体" w:cs="黑体"/>
          <w:b w:val="0"/>
          <w:bCs w:val="0"/>
          <w:color w:val="auto"/>
          <w:sz w:val="32"/>
          <w:szCs w:val="32"/>
          <w:lang w:val="en-US" w:eastAsia="zh-CN"/>
        </w:rPr>
        <w:t>2024</w:t>
      </w:r>
      <w:r>
        <w:rPr>
          <w:rFonts w:hint="eastAsia" w:ascii="Times New Roman" w:hAnsi="Times New Roman" w:eastAsia="黑体" w:cs="黑体"/>
          <w:color w:val="auto"/>
          <w:sz w:val="32"/>
          <w:szCs w:val="32"/>
          <w:lang w:val="en-US" w:eastAsia="zh-CN"/>
        </w:rPr>
        <w:t>年预算草案情况</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2024年全县财政工作的指导思想是：以习近平新时代中国特色社会主义思想为指导，全面贯彻党的二十大和二十届二中全会及经济工作会议精神，坚持稳中求进工作总基调，完整、准确、全面贯彻新发展理念，围绕“1335”工作思路，推进“12345”工作布局，落实积极财政政策要适度加力、提质增效，大力培植财源税源，加强财政资源统筹，调整优化支出结构，优先保障“三保”、债务付息和县委县政府重大决策需求。坚持严的基调，党政机关习惯过“紧日子”，强化预算约束和绩效管理，严控新增财政支出政策，严格财政运行监督，严防政府债务风险，集中财力办大事，为推动潢川更高质量发展提供有力支撑。</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2024年财政经济形势有利因素和不利因素并存，机遇与挑战并存。</w:t>
      </w:r>
      <w:r>
        <w:rPr>
          <w:rFonts w:hint="eastAsia" w:ascii="Times New Roman" w:hAnsi="Times New Roman" w:eastAsia="仿宋_GB2312" w:cs="仿宋_GB2312"/>
          <w:b/>
          <w:bCs/>
          <w:color w:val="auto"/>
          <w:sz w:val="32"/>
          <w:szCs w:val="32"/>
          <w:lang w:val="en-US" w:eastAsia="zh-CN"/>
        </w:rPr>
        <w:t>有利因素是：</w:t>
      </w:r>
      <w:r>
        <w:rPr>
          <w:rFonts w:hint="eastAsia" w:ascii="Times New Roman" w:hAnsi="Times New Roman" w:eastAsia="仿宋_GB2312" w:cs="仿宋_GB2312"/>
          <w:color w:val="auto"/>
          <w:sz w:val="32"/>
          <w:szCs w:val="32"/>
          <w:lang w:val="en-US" w:eastAsia="zh-CN"/>
        </w:rPr>
        <w:t>随着我国经济运行企稳回升，经济结构持续优化，经济发展的质量和效益显著提升，特别是国家发行1万亿元特别国债、省级政府投资基金设立等适度加力的政策红利持续释放，为财政收入增长奠定了坚实基础。坚持“项目为王”，持续开展“万人助万企”，后发优势逐步显现。</w:t>
      </w:r>
      <w:r>
        <w:rPr>
          <w:rFonts w:hint="eastAsia" w:ascii="Times New Roman" w:hAnsi="Times New Roman" w:eastAsia="仿宋_GB2312" w:cs="仿宋_GB2312"/>
          <w:b/>
          <w:bCs/>
          <w:color w:val="auto"/>
          <w:sz w:val="32"/>
          <w:szCs w:val="32"/>
          <w:lang w:val="en-US" w:eastAsia="zh-CN"/>
        </w:rPr>
        <w:t>不利因素是：</w:t>
      </w:r>
      <w:r>
        <w:rPr>
          <w:rFonts w:hint="eastAsia" w:ascii="Times New Roman" w:hAnsi="Times New Roman" w:eastAsia="仿宋_GB2312" w:cs="仿宋_GB2312"/>
          <w:color w:val="auto"/>
          <w:sz w:val="32"/>
          <w:szCs w:val="32"/>
          <w:lang w:val="en-US" w:eastAsia="zh-CN"/>
        </w:rPr>
        <w:t>经济基础薄弱，主体税源不强，新兴财源尚在培育，增收压力大。财政底子薄，还本付息进入高峰期，历史欠账多。2024年支出需求很多，收支矛盾突出的现状仍难以根本扭转，预算收支将依然保持紧平衡状态。</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楷体" w:cs="楷体"/>
          <w:b/>
          <w:bCs/>
          <w:color w:val="auto"/>
          <w:sz w:val="32"/>
          <w:szCs w:val="32"/>
          <w:lang w:val="en-US" w:eastAsia="zh-CN"/>
        </w:rPr>
      </w:pPr>
      <w:r>
        <w:rPr>
          <w:rFonts w:hint="eastAsia" w:ascii="Times New Roman" w:hAnsi="Times New Roman" w:eastAsia="楷体" w:cs="楷体"/>
          <w:b/>
          <w:bCs/>
          <w:color w:val="auto"/>
          <w:sz w:val="32"/>
          <w:szCs w:val="32"/>
          <w:lang w:val="en-US" w:eastAsia="zh-CN"/>
        </w:rPr>
        <w:t>（一）一般公共预算安排情况</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1.一般公共预算</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2024年一般公共预算收入安排113396万元、较上年收入完成数107996万元增长5%，其中：税收收入安排80386万元，非税收入安排33010万元。税收返还8611万元，上级转移支付240939万元，上年结转51366万元，从政府性基金调入110000万元，减去专项结算上解22572万元，全县总财力501740万元。</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2024年一般公共预算支出安排500166万元，结余1574万元，年度收支总体平衡。</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default"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2.政府性基金预算</w:t>
      </w:r>
      <w:bookmarkStart w:id="0" w:name="_GoBack"/>
      <w:bookmarkEnd w:id="0"/>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2024年政府性基金收入安排</w:t>
      </w:r>
      <w:r>
        <w:rPr>
          <w:rFonts w:hint="eastAsia" w:ascii="Times New Roman" w:hAnsi="Times New Roman" w:eastAsia="仿宋_GB2312" w:cs="仿宋_GB2312"/>
          <w:color w:val="auto"/>
          <w:sz w:val="32"/>
          <w:szCs w:val="32"/>
          <w:highlight w:val="none"/>
          <w:lang w:val="en-US" w:eastAsia="zh-CN"/>
        </w:rPr>
        <w:t>157717</w:t>
      </w:r>
      <w:r>
        <w:rPr>
          <w:rFonts w:hint="eastAsia" w:ascii="Times New Roman" w:hAnsi="Times New Roman" w:eastAsia="仿宋_GB2312" w:cs="仿宋_GB2312"/>
          <w:color w:val="auto"/>
          <w:sz w:val="32"/>
          <w:szCs w:val="32"/>
          <w:lang w:val="en-US" w:eastAsia="zh-CN"/>
        </w:rPr>
        <w:t>万元，上年结余</w:t>
      </w:r>
      <w:r>
        <w:rPr>
          <w:rFonts w:hint="eastAsia" w:ascii="Times New Roman" w:hAnsi="Times New Roman" w:eastAsia="仿宋_GB2312" w:cs="仿宋_GB2312"/>
          <w:color w:val="auto"/>
          <w:sz w:val="32"/>
          <w:szCs w:val="32"/>
          <w:highlight w:val="none"/>
          <w:lang w:val="en-US" w:eastAsia="zh-CN"/>
        </w:rPr>
        <w:t>172248</w:t>
      </w:r>
      <w:r>
        <w:rPr>
          <w:rFonts w:hint="eastAsia" w:ascii="Times New Roman" w:hAnsi="Times New Roman" w:eastAsia="仿宋_GB2312" w:cs="仿宋_GB2312"/>
          <w:color w:val="auto"/>
          <w:sz w:val="32"/>
          <w:szCs w:val="32"/>
          <w:lang w:val="en-US" w:eastAsia="zh-CN"/>
        </w:rPr>
        <w:t>万元，政府性基金预算支出安排</w:t>
      </w:r>
      <w:r>
        <w:rPr>
          <w:rFonts w:hint="eastAsia" w:ascii="Times New Roman" w:hAnsi="Times New Roman" w:eastAsia="仿宋_GB2312" w:cs="仿宋_GB2312"/>
          <w:color w:val="auto"/>
          <w:sz w:val="32"/>
          <w:szCs w:val="32"/>
          <w:highlight w:val="none"/>
          <w:lang w:val="en-US" w:eastAsia="zh-CN"/>
        </w:rPr>
        <w:t>217717</w:t>
      </w:r>
      <w:r>
        <w:rPr>
          <w:rFonts w:hint="eastAsia" w:ascii="Times New Roman" w:hAnsi="Times New Roman" w:eastAsia="仿宋_GB2312" w:cs="仿宋_GB2312"/>
          <w:color w:val="auto"/>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3.社会保险基金预算</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2024年全县社会保险基金（城乡居民基本养老保险基金）预算收入安排32218万元，全县社会保险基金预算支出安排23421万元。</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val="en-US" w:eastAsia="zh-CN"/>
        </w:rPr>
        <w:t>4.国有资本经营预算</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2024年国有资本经营预算收入安排1000万元，支出安排1000万元，全部用于支持国资国企改革发展。</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楷体" w:cs="楷体"/>
          <w:b/>
          <w:bCs/>
          <w:color w:val="auto"/>
          <w:sz w:val="32"/>
          <w:szCs w:val="32"/>
          <w:lang w:val="en-US" w:eastAsia="zh-CN"/>
        </w:rPr>
      </w:pPr>
      <w:r>
        <w:rPr>
          <w:rFonts w:hint="eastAsia" w:ascii="Times New Roman" w:hAnsi="Times New Roman" w:eastAsia="楷体" w:cs="楷体"/>
          <w:b/>
          <w:bCs/>
          <w:color w:val="auto"/>
          <w:sz w:val="32"/>
          <w:szCs w:val="32"/>
          <w:lang w:val="en-US" w:eastAsia="zh-CN"/>
        </w:rPr>
        <w:t>（二）2024年重点财政支出政策</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2024年，在安排重点财政支出政策时，我们坚持集中财力办大事、精准可持续发展、坚持政府带头过“紧日子”、兜牢兜实民生底线的原则，力促财政收支更稳健、资金使用更高效，更好地推动我县经济高质量发展和民生改善。</w:t>
      </w:r>
    </w:p>
    <w:p>
      <w:pPr>
        <w:keepNext w:val="0"/>
        <w:keepLines w:val="0"/>
        <w:pageBreakBefore w:val="0"/>
        <w:widowControl w:val="0"/>
        <w:numPr>
          <w:ilvl w:val="0"/>
          <w:numId w:val="0"/>
        </w:numPr>
        <w:kinsoku/>
        <w:wordWrap/>
        <w:overflowPunct/>
        <w:topLinePunct/>
        <w:autoSpaceDE/>
        <w:autoSpaceDN/>
        <w:bidi w:val="0"/>
        <w:adjustRightInd/>
        <w:snapToGrid/>
        <w:spacing w:line="579" w:lineRule="exact"/>
        <w:ind w:firstLine="643" w:firstLineChars="200"/>
        <w:jc w:val="both"/>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1.坚持兜牢“三保”，保障财政平稳运行。一是全力以赴保“三保”，</w:t>
      </w:r>
      <w:r>
        <w:rPr>
          <w:rFonts w:hint="eastAsia" w:ascii="Times New Roman" w:hAnsi="Times New Roman" w:eastAsia="仿宋_GB2312" w:cs="仿宋_GB2312"/>
          <w:color w:val="auto"/>
          <w:sz w:val="32"/>
          <w:szCs w:val="32"/>
          <w:lang w:val="en-US" w:eastAsia="zh-CN"/>
        </w:rPr>
        <w:t>以“时时放不下心”的政治责任感，将“三保”支出作为财政工作的重中之重，在“三保”预算编制上不留缺口，坚持“三保”支出在预算安排和财政支出中的优先顺序，确保“三保”不出问题。</w:t>
      </w:r>
      <w:r>
        <w:rPr>
          <w:rFonts w:hint="eastAsia" w:ascii="Times New Roman" w:hAnsi="Times New Roman" w:eastAsia="仿宋_GB2312" w:cs="仿宋_GB2312"/>
          <w:b/>
          <w:bCs/>
          <w:color w:val="auto"/>
          <w:sz w:val="32"/>
          <w:szCs w:val="32"/>
          <w:lang w:val="en-US" w:eastAsia="zh-CN"/>
        </w:rPr>
        <w:t>二是坚决落实过“紧日子”思想，</w:t>
      </w:r>
      <w:r>
        <w:rPr>
          <w:rFonts w:hint="eastAsia" w:ascii="Times New Roman" w:hAnsi="Times New Roman" w:eastAsia="仿宋_GB2312" w:cs="仿宋_GB2312"/>
          <w:color w:val="auto"/>
          <w:sz w:val="32"/>
          <w:szCs w:val="32"/>
          <w:lang w:val="en-US" w:eastAsia="zh-CN"/>
        </w:rPr>
        <w:t>把勤俭办一切事业作为长期坚持的基本方针，树牢过紧日子思想，不该开支、不必要开支的一律不开支，必要支出从紧安排。</w:t>
      </w:r>
      <w:r>
        <w:rPr>
          <w:rFonts w:hint="eastAsia" w:ascii="Times New Roman" w:hAnsi="Times New Roman" w:eastAsia="仿宋_GB2312" w:cs="仿宋_GB2312"/>
          <w:b/>
          <w:bCs/>
          <w:color w:val="auto"/>
          <w:sz w:val="32"/>
          <w:szCs w:val="32"/>
          <w:lang w:val="en-US" w:eastAsia="zh-CN"/>
        </w:rPr>
        <w:t>三是强化预算执行刚性。</w:t>
      </w:r>
      <w:r>
        <w:rPr>
          <w:rFonts w:hint="eastAsia" w:ascii="Times New Roman" w:hAnsi="Times New Roman" w:eastAsia="仿宋_GB2312" w:cs="仿宋_GB2312"/>
          <w:color w:val="auto"/>
          <w:sz w:val="32"/>
          <w:szCs w:val="32"/>
          <w:lang w:val="en-US" w:eastAsia="zh-CN"/>
        </w:rPr>
        <w:t xml:space="preserve">坚持“紧日子保基本、调结构保重点”，认真执行先有预算后有支出，减少追加支出，严禁无预算、超预算列支，腾出财力保“三保”、守底线、防爆雷。 </w:t>
      </w:r>
    </w:p>
    <w:p>
      <w:pPr>
        <w:keepNext w:val="0"/>
        <w:keepLines w:val="0"/>
        <w:pageBreakBefore w:val="0"/>
        <w:widowControl w:val="0"/>
        <w:numPr>
          <w:ilvl w:val="0"/>
          <w:numId w:val="0"/>
        </w:numPr>
        <w:kinsoku/>
        <w:wordWrap/>
        <w:overflowPunct/>
        <w:topLinePunct/>
        <w:autoSpaceDE/>
        <w:autoSpaceDN/>
        <w:bidi w:val="0"/>
        <w:adjustRightInd/>
        <w:snapToGrid/>
        <w:spacing w:line="579" w:lineRule="exact"/>
        <w:ind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val="en-US" w:eastAsia="zh-CN"/>
        </w:rPr>
        <w:t>2.坚持综合施策，促进经济稳中有进。一是优化产业结构。</w:t>
      </w:r>
      <w:r>
        <w:rPr>
          <w:rFonts w:hint="eastAsia" w:ascii="Times New Roman" w:hAnsi="Times New Roman" w:eastAsia="仿宋_GB2312" w:cs="仿宋_GB2312"/>
          <w:color w:val="auto"/>
          <w:sz w:val="32"/>
          <w:szCs w:val="32"/>
          <w:lang w:val="en-US" w:eastAsia="zh-CN"/>
        </w:rPr>
        <w:t>加强财税、金融政策协同发力，用好高新技术奖补，“专精特新”企业奖补等资金，支持企业提升创新能力。支持绿色食品、纺织服装等传统行业提质改造，依托龙头、大户企业延长产业发展链条，推动产业集聚集群发展。注重培育新兴产业，在产业发展上主动与高新区融合、互动，重点支持新能源、新材料、电子信息等新兴产业发展。</w:t>
      </w:r>
      <w:r>
        <w:rPr>
          <w:rFonts w:hint="eastAsia" w:ascii="Times New Roman" w:hAnsi="Times New Roman" w:eastAsia="仿宋_GB2312" w:cs="仿宋_GB2312"/>
          <w:b/>
          <w:bCs/>
          <w:color w:val="auto"/>
          <w:sz w:val="32"/>
          <w:szCs w:val="32"/>
          <w:lang w:val="en-US" w:eastAsia="zh-CN"/>
        </w:rPr>
        <w:t>二是发展特色产业。</w:t>
      </w:r>
      <w:r>
        <w:rPr>
          <w:rFonts w:hint="eastAsia" w:ascii="Times New Roman" w:hAnsi="Times New Roman" w:eastAsia="仿宋_GB2312" w:cs="仿宋_GB2312"/>
          <w:b w:val="0"/>
          <w:bCs w:val="0"/>
          <w:color w:val="auto"/>
          <w:sz w:val="32"/>
          <w:szCs w:val="32"/>
          <w:lang w:val="en-US" w:eastAsia="zh-CN"/>
        </w:rPr>
        <w:t>支持</w:t>
      </w:r>
      <w:r>
        <w:rPr>
          <w:rFonts w:hint="eastAsia" w:ascii="Times New Roman" w:hAnsi="Times New Roman" w:eastAsia="仿宋_GB2312" w:cs="仿宋_GB2312"/>
          <w:color w:val="auto"/>
          <w:sz w:val="32"/>
          <w:szCs w:val="32"/>
          <w:lang w:val="en-US" w:eastAsia="zh-CN"/>
        </w:rPr>
        <w:t>推动“优质稻米强链、水产养殖补链、名优花木育链、名优特新产业引链、樱桃谷鸭扩链”五大工程，支持打造豫东南生态食品产业园、黄国粮业糯米粉加工产业园、大别山现代林业花卉产业园、华英工业园等“园中园”。结合资源禀赋和优势特色产业，配合主管部门加强与省级政府投资基金对接，争取支持助推特色产业发展。</w:t>
      </w:r>
      <w:r>
        <w:rPr>
          <w:rFonts w:hint="eastAsia" w:ascii="Times New Roman" w:hAnsi="Times New Roman" w:eastAsia="仿宋_GB2312" w:cs="仿宋_GB2312"/>
          <w:b/>
          <w:bCs/>
          <w:color w:val="auto"/>
          <w:sz w:val="32"/>
          <w:szCs w:val="32"/>
          <w:lang w:val="en-US" w:eastAsia="zh-CN"/>
        </w:rPr>
        <w:t>三是激发消费潜能。</w:t>
      </w:r>
      <w:r>
        <w:rPr>
          <w:rFonts w:hint="eastAsia" w:ascii="Times New Roman" w:hAnsi="Times New Roman" w:eastAsia="仿宋_GB2312" w:cs="仿宋_GB2312"/>
          <w:color w:val="auto"/>
          <w:sz w:val="32"/>
          <w:szCs w:val="32"/>
          <w:lang w:val="en-US" w:eastAsia="zh-CN"/>
        </w:rPr>
        <w:t>发挥财政资金引导作用，支持提振传统消费、升级文旅消费、挖掘新型消费、提质消费载体，进一步促进消费提质扩容。支持开展促消费活动，加大对汽车、家电、住房、旅游等消费奖补力度，拉动内需、刺激经济发展。</w:t>
      </w:r>
    </w:p>
    <w:p>
      <w:pPr>
        <w:keepNext w:val="0"/>
        <w:keepLines w:val="0"/>
        <w:pageBreakBefore w:val="0"/>
        <w:widowControl w:val="0"/>
        <w:numPr>
          <w:ilvl w:val="0"/>
          <w:numId w:val="0"/>
        </w:numPr>
        <w:kinsoku/>
        <w:wordWrap/>
        <w:overflowPunct/>
        <w:topLinePunct/>
        <w:autoSpaceDE/>
        <w:autoSpaceDN/>
        <w:bidi w:val="0"/>
        <w:adjustRightInd/>
        <w:snapToGrid/>
        <w:spacing w:line="579" w:lineRule="exact"/>
        <w:ind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val="en-US" w:eastAsia="zh-CN"/>
        </w:rPr>
        <w:t>3.坚持高质发展，推动城市品质提升。一是优化交通路网。</w:t>
      </w:r>
      <w:r>
        <w:rPr>
          <w:rFonts w:hint="eastAsia" w:ascii="Times New Roman" w:hAnsi="Times New Roman" w:eastAsia="仿宋_GB2312" w:cs="仿宋_GB2312"/>
          <w:color w:val="auto"/>
          <w:sz w:val="32"/>
          <w:szCs w:val="32"/>
          <w:lang w:val="en-US" w:eastAsia="zh-CN"/>
        </w:rPr>
        <w:t>安排交通运输支出8834万元，支持交通领域基础设施建设。稳步推进宁西北路、跃进东路等9条断头路全面贯通，潢踅路等旧路提质改造。支持“环城、城区”双重循环体系建设，优化交通路网布局。</w:t>
      </w:r>
      <w:r>
        <w:rPr>
          <w:rFonts w:hint="eastAsia" w:ascii="Times New Roman" w:hAnsi="Times New Roman" w:eastAsia="仿宋_GB2312" w:cs="仿宋_GB2312"/>
          <w:b/>
          <w:bCs/>
          <w:color w:val="auto"/>
          <w:sz w:val="32"/>
          <w:szCs w:val="32"/>
          <w:lang w:val="en-US" w:eastAsia="zh-CN"/>
        </w:rPr>
        <w:t>二是构建花园城市。</w:t>
      </w:r>
      <w:r>
        <w:rPr>
          <w:rFonts w:hint="eastAsia" w:ascii="Times New Roman" w:hAnsi="Times New Roman" w:eastAsia="仿宋_GB2312" w:cs="仿宋_GB2312"/>
          <w:color w:val="auto"/>
          <w:sz w:val="32"/>
          <w:szCs w:val="32"/>
          <w:lang w:val="en-US" w:eastAsia="zh-CN"/>
        </w:rPr>
        <w:t>统筹各类资金，支持花园城市建造，点亮城市生态底色。支持完善“一轴两翼四大园”，支持实施老龙埂水库泄洪渠治理工程等公园绿化项目修复提升，推动园林绿化增量提质。</w:t>
      </w:r>
      <w:r>
        <w:rPr>
          <w:rFonts w:hint="eastAsia" w:ascii="Times New Roman" w:hAnsi="Times New Roman" w:eastAsia="仿宋_GB2312" w:cs="仿宋_GB2312"/>
          <w:b/>
          <w:bCs/>
          <w:color w:val="auto"/>
          <w:sz w:val="32"/>
          <w:szCs w:val="32"/>
          <w:lang w:val="en-US" w:eastAsia="zh-CN"/>
        </w:rPr>
        <w:t>三是赋能城市更新。</w:t>
      </w:r>
      <w:r>
        <w:rPr>
          <w:rFonts w:hint="eastAsia" w:ascii="Times New Roman" w:hAnsi="Times New Roman" w:eastAsia="仿宋_GB2312" w:cs="仿宋_GB2312"/>
          <w:color w:val="auto"/>
          <w:sz w:val="32"/>
          <w:szCs w:val="32"/>
          <w:lang w:val="en-US" w:eastAsia="zh-CN"/>
        </w:rPr>
        <w:t>安排住房保障支出16787万元。支持棚户区改造、老旧小区综合改造、中州水务城区供水改造、输电线全线可视化等项目建设，补强城市基础设施短板，推进城市风貌塑造，提高环卫机械化作业水平，刷新城市颜值，为区域发展注入新活力。</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val="en-US" w:eastAsia="zh-CN"/>
        </w:rPr>
        <w:t>4.坚持兜牢底线，增进民生福祉改善。一是办好人民满意教育。</w:t>
      </w:r>
      <w:r>
        <w:rPr>
          <w:rFonts w:hint="eastAsia" w:ascii="Times New Roman" w:hAnsi="Times New Roman" w:eastAsia="仿宋_GB2312" w:cs="仿宋_GB2312"/>
          <w:color w:val="auto"/>
          <w:sz w:val="32"/>
          <w:szCs w:val="32"/>
          <w:lang w:val="en-US" w:eastAsia="zh-CN"/>
        </w:rPr>
        <w:t>安排教育支出111206万元。确保学前教育、义务教育、高中教育、职业教育等各项配套政策和各类教育惠民政策得到全面落实，支持教育提质工程和乡镇幼儿园建设，为民办实事项目顺利推进，推动全县教育事业优质均衡发展。</w:t>
      </w:r>
      <w:r>
        <w:rPr>
          <w:rFonts w:hint="eastAsia" w:ascii="Times New Roman" w:hAnsi="Times New Roman" w:eastAsia="仿宋_GB2312" w:cs="仿宋_GB2312"/>
          <w:b/>
          <w:bCs/>
          <w:color w:val="auto"/>
          <w:sz w:val="32"/>
          <w:szCs w:val="32"/>
          <w:lang w:val="en-US" w:eastAsia="zh-CN"/>
        </w:rPr>
        <w:t>二是加大社会保障力度。</w:t>
      </w:r>
      <w:r>
        <w:rPr>
          <w:rFonts w:hint="eastAsia" w:ascii="Times New Roman" w:hAnsi="Times New Roman" w:eastAsia="仿宋_GB2312" w:cs="仿宋_GB2312"/>
          <w:color w:val="auto"/>
          <w:sz w:val="32"/>
          <w:szCs w:val="32"/>
          <w:lang w:val="en-US" w:eastAsia="zh-CN"/>
        </w:rPr>
        <w:t>安排社会保障和就业支出72103万元。保障城乡低保、孤儿、特困供养、残疾人生活补贴、优抚等各类民生惠农政策补助资金及时发放。支持完善就业服务体系，帮助高校毕业生、退役军人、农民工和城镇困难人员等重点群体就业。支持开展多层次职业技能培训，增强劳动者就业创业能力。</w:t>
      </w:r>
      <w:r>
        <w:rPr>
          <w:rFonts w:hint="eastAsia" w:ascii="Times New Roman" w:hAnsi="Times New Roman" w:eastAsia="仿宋_GB2312" w:cs="仿宋_GB2312"/>
          <w:b/>
          <w:bCs/>
          <w:color w:val="auto"/>
          <w:sz w:val="32"/>
          <w:szCs w:val="32"/>
          <w:lang w:val="en-US" w:eastAsia="zh-CN"/>
        </w:rPr>
        <w:t>三是加快医疗卫生提质。</w:t>
      </w:r>
      <w:r>
        <w:rPr>
          <w:rFonts w:hint="eastAsia" w:ascii="Times New Roman" w:hAnsi="Times New Roman" w:eastAsia="仿宋_GB2312" w:cs="仿宋_GB2312"/>
          <w:color w:val="auto"/>
          <w:sz w:val="32"/>
          <w:szCs w:val="32"/>
          <w:lang w:val="en-US" w:eastAsia="zh-CN"/>
        </w:rPr>
        <w:t>安排卫生健康支出68426万元，全力支持医疗卫生事业发展，加强公共卫生体系建设。加快推动县人民医院新院区、县中医院工程进度。加快全面推进紧密型县域医共体改革工作，加强医疗服务与保障能力建设，支持卫生健康人才培养，推动中医药传承创新与发展，促进医疗资源提质扩容。提高城乡居民医疗保险和基本公共卫生服务财政补助标准，着力减轻群众看病就医负担。</w:t>
      </w:r>
      <w:r>
        <w:rPr>
          <w:rFonts w:hint="eastAsia" w:ascii="Times New Roman" w:hAnsi="Times New Roman" w:eastAsia="仿宋_GB2312" w:cs="仿宋_GB2312"/>
          <w:b/>
          <w:bCs/>
          <w:color w:val="auto"/>
          <w:sz w:val="32"/>
          <w:szCs w:val="32"/>
          <w:lang w:val="en-US" w:eastAsia="zh-CN"/>
        </w:rPr>
        <w:t>四是支持文旅事业繁荣。</w:t>
      </w:r>
      <w:r>
        <w:rPr>
          <w:rFonts w:hint="eastAsia" w:ascii="Times New Roman" w:hAnsi="Times New Roman" w:eastAsia="仿宋_GB2312" w:cs="仿宋_GB2312"/>
          <w:color w:val="auto"/>
          <w:sz w:val="32"/>
          <w:szCs w:val="32"/>
          <w:lang w:val="en-US" w:eastAsia="zh-CN"/>
        </w:rPr>
        <w:t>安排文化旅游体育与传媒支出3020万元，提升公共文化服务效能。加快建设覆盖城乡、便捷高效的现代公共文化服务体系。支持冯新宇故居及周边整治、非遗馆建设、“五七干校”等历史文化遗址保护建设和旅游开发。支持文旅文化产业发展，加快打造“文化潢川”品牌。</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四、切实做好2024年财政预算管理工作</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 w:cs="楷体"/>
          <w:b/>
          <w:bCs/>
          <w:color w:val="auto"/>
          <w:sz w:val="32"/>
          <w:szCs w:val="32"/>
          <w:lang w:val="en-US" w:eastAsia="zh-CN"/>
        </w:rPr>
        <w:t>（一）千方百计凝聚财力。</w:t>
      </w:r>
      <w:r>
        <w:rPr>
          <w:rFonts w:hint="eastAsia" w:ascii="Times New Roman" w:hAnsi="Times New Roman" w:eastAsia="仿宋_GB2312" w:cs="仿宋_GB2312"/>
          <w:b/>
          <w:bCs/>
          <w:color w:val="auto"/>
          <w:sz w:val="32"/>
          <w:szCs w:val="32"/>
          <w:lang w:val="en-US" w:eastAsia="zh-CN"/>
        </w:rPr>
        <w:t>一是</w:t>
      </w:r>
      <w:r>
        <w:rPr>
          <w:rFonts w:hint="eastAsia" w:ascii="仿宋_GB2312" w:hAnsi="仿宋_GB2312" w:eastAsia="仿宋_GB2312" w:cs="仿宋_GB2312"/>
          <w:b w:val="0"/>
          <w:bCs w:val="0"/>
          <w:sz w:val="32"/>
          <w:szCs w:val="32"/>
          <w:lang w:val="en-US" w:eastAsia="zh-CN"/>
        </w:rPr>
        <w:t>强化综合治税，加强财政运行分析，会同税务部门加强对重点行业、企业、项目税收监测，全面掌握地区重点税源及新增税收的增长点，强化小税种的征管，堵塞漏洞，确保主要税源稳定增长，做到应收尽收。</w:t>
      </w:r>
      <w:r>
        <w:rPr>
          <w:rFonts w:hint="eastAsia" w:ascii="仿宋_GB2312" w:hAnsi="仿宋_GB2312" w:eastAsia="仿宋_GB2312" w:cs="仿宋_GB2312"/>
          <w:b/>
          <w:bCs/>
          <w:sz w:val="32"/>
          <w:szCs w:val="32"/>
          <w:lang w:val="en-US" w:eastAsia="zh-CN"/>
        </w:rPr>
        <w:t>二是</w:t>
      </w:r>
      <w:r>
        <w:rPr>
          <w:rFonts w:hint="eastAsia" w:ascii="仿宋" w:hAnsi="仿宋" w:eastAsia="仿宋" w:cs="仿宋"/>
          <w:b w:val="0"/>
          <w:bCs w:val="0"/>
          <w:sz w:val="32"/>
          <w:szCs w:val="32"/>
        </w:rPr>
        <w:t>加强非税收入征管</w:t>
      </w:r>
      <w:r>
        <w:rPr>
          <w:rFonts w:hint="eastAsia" w:ascii="仿宋" w:hAnsi="仿宋" w:eastAsia="仿宋" w:cs="仿宋"/>
          <w:b w:val="0"/>
          <w:bCs w:val="0"/>
          <w:sz w:val="32"/>
          <w:szCs w:val="32"/>
          <w:lang w:eastAsia="zh-CN"/>
        </w:rPr>
        <w:t>，全面推进非税收入精细化、规范化和科学化管理，着重突出依法征收、源头控收，全面提升非税收入执收效率和水平。</w:t>
      </w:r>
      <w:r>
        <w:rPr>
          <w:rFonts w:hint="eastAsia" w:ascii="Times New Roman" w:hAnsi="Times New Roman" w:eastAsia="仿宋_GB2312" w:cs="仿宋_GB2312"/>
          <w:b/>
          <w:bCs/>
          <w:color w:val="auto"/>
          <w:sz w:val="32"/>
          <w:szCs w:val="32"/>
          <w:lang w:val="en-US" w:eastAsia="zh-CN"/>
        </w:rPr>
        <w:t>三是</w:t>
      </w:r>
      <w:r>
        <w:rPr>
          <w:rFonts w:hint="eastAsia" w:ascii="Times New Roman" w:hAnsi="Times New Roman" w:eastAsia="仿宋_GB2312" w:cs="仿宋_GB2312"/>
          <w:color w:val="auto"/>
          <w:sz w:val="32"/>
          <w:szCs w:val="32"/>
          <w:lang w:val="en-US" w:eastAsia="zh-CN"/>
        </w:rPr>
        <w:t>做大土地收入，提高收储土地出让率及土地增减挂钩节余指标成交率，加大闲散土地开发利用率，变资源为财源。</w:t>
      </w:r>
      <w:r>
        <w:rPr>
          <w:rFonts w:hint="eastAsia" w:ascii="Times New Roman" w:hAnsi="Times New Roman" w:eastAsia="仿宋_GB2312" w:cs="仿宋_GB2312"/>
          <w:b/>
          <w:bCs/>
          <w:color w:val="auto"/>
          <w:sz w:val="32"/>
          <w:szCs w:val="32"/>
          <w:lang w:val="en-US" w:eastAsia="zh-CN"/>
        </w:rPr>
        <w:t>四是</w:t>
      </w:r>
      <w:r>
        <w:rPr>
          <w:rFonts w:hint="eastAsia" w:ascii="Times New Roman" w:hAnsi="Times New Roman" w:eastAsia="仿宋_GB2312" w:cs="仿宋_GB2312"/>
          <w:color w:val="auto"/>
          <w:sz w:val="32"/>
          <w:szCs w:val="32"/>
          <w:lang w:val="en-US" w:eastAsia="zh-CN"/>
        </w:rPr>
        <w:t>全面摸清存量资产底数，分块盘活，市场化经营，提升政府、企业经营性收入。</w:t>
      </w:r>
      <w:r>
        <w:rPr>
          <w:rFonts w:hint="eastAsia" w:ascii="Times New Roman" w:hAnsi="Times New Roman" w:eastAsia="仿宋_GB2312" w:cs="仿宋_GB2312"/>
          <w:b/>
          <w:bCs/>
          <w:color w:val="auto"/>
          <w:sz w:val="32"/>
          <w:szCs w:val="32"/>
          <w:lang w:val="en-US" w:eastAsia="zh-CN"/>
        </w:rPr>
        <w:t>五是</w:t>
      </w:r>
      <w:r>
        <w:rPr>
          <w:rFonts w:hint="eastAsia" w:ascii="Times New Roman" w:hAnsi="Times New Roman" w:eastAsia="仿宋_GB2312" w:cs="仿宋_GB2312"/>
          <w:color w:val="auto"/>
          <w:sz w:val="32"/>
          <w:szCs w:val="32"/>
          <w:lang w:val="en-US" w:eastAsia="zh-CN"/>
        </w:rPr>
        <w:t>大力争资跑项，紧盯国家产业政策、投资导向和支持方向，加大中央、省转移支付资金、均衡性转移支付、特别国债项目、债券资金争取力度，做实做细项目谋划论证和前期准备工作，夯实项目申报基础，争取更多项目列入国家和省市盘子，获得更多项目资金支持。</w:t>
      </w:r>
      <w:r>
        <w:rPr>
          <w:rFonts w:hint="eastAsia" w:ascii="Times New Roman" w:hAnsi="Times New Roman" w:eastAsia="仿宋_GB2312" w:cs="仿宋_GB2312"/>
          <w:b/>
          <w:bCs/>
          <w:color w:val="auto"/>
          <w:sz w:val="32"/>
          <w:szCs w:val="32"/>
          <w:lang w:val="en-US" w:eastAsia="zh-CN"/>
        </w:rPr>
        <w:t>六是</w:t>
      </w:r>
      <w:r>
        <w:rPr>
          <w:rFonts w:hint="eastAsia" w:ascii="Times New Roman" w:hAnsi="Times New Roman" w:eastAsia="仿宋_GB2312" w:cs="仿宋_GB2312"/>
          <w:color w:val="auto"/>
          <w:sz w:val="32"/>
          <w:szCs w:val="32"/>
          <w:lang w:val="en-US" w:eastAsia="zh-CN"/>
        </w:rPr>
        <w:t>激活投融资。利用好国家金融化债政策，统筹政、银、企多方作用，打好组合牌，健全银行贷款、债券资金、财政资金、社会资金多元投融资模式，强化政府资金统筹调度能力，做到财政投入精准有效。</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 w:cs="楷体"/>
          <w:b/>
          <w:bCs/>
          <w:color w:val="auto"/>
          <w:sz w:val="32"/>
          <w:szCs w:val="32"/>
          <w:lang w:val="en-US" w:eastAsia="zh-CN"/>
        </w:rPr>
        <w:t>（二）稳妥化解财政风险。一</w:t>
      </w:r>
      <w:r>
        <w:rPr>
          <w:rFonts w:hint="eastAsia" w:ascii="Times New Roman" w:hAnsi="Times New Roman" w:eastAsia="仿宋_GB2312" w:cs="仿宋_GB2312"/>
          <w:b/>
          <w:bCs/>
          <w:color w:val="auto"/>
          <w:sz w:val="32"/>
          <w:szCs w:val="32"/>
          <w:lang w:val="en-US" w:eastAsia="zh-CN"/>
        </w:rPr>
        <w:t>是</w:t>
      </w:r>
      <w:r>
        <w:rPr>
          <w:rFonts w:hint="eastAsia" w:ascii="Times New Roman" w:hAnsi="Times New Roman" w:eastAsia="仿宋_GB2312" w:cs="仿宋_GB2312"/>
          <w:color w:val="auto"/>
          <w:sz w:val="32"/>
          <w:szCs w:val="32"/>
          <w:lang w:val="en-US" w:eastAsia="zh-CN"/>
        </w:rPr>
        <w:t>严防资金监管风险。围绕财政资金使用、预算执行情况等重点领域，扎实开展财会监督检查，切实严肃财经纪律。</w:t>
      </w:r>
      <w:r>
        <w:rPr>
          <w:rFonts w:hint="eastAsia" w:ascii="Times New Roman" w:hAnsi="Times New Roman"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严防政府债务风险。将政府债务还本付息纳入预算管理，按时还本付息，确保政府信用。严格落实限额管理，将政府债务余额牢牢控制在省财政厅核定的政府债务限额内，确保债务风险整体可控。</w:t>
      </w:r>
    </w:p>
    <w:p>
      <w:pPr>
        <w:keepNext w:val="0"/>
        <w:keepLines w:val="0"/>
        <w:pageBreakBefore w:val="0"/>
        <w:widowControl w:val="0"/>
        <w:kinsoku/>
        <w:wordWrap/>
        <w:overflowPunct/>
        <w:topLinePunct/>
        <w:autoSpaceDE/>
        <w:autoSpaceDN/>
        <w:bidi w:val="0"/>
        <w:adjustRightInd/>
        <w:snapToGrid/>
        <w:spacing w:line="579" w:lineRule="exact"/>
        <w:ind w:leftChars="0"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楷体" w:cs="楷体"/>
          <w:b/>
          <w:bCs/>
          <w:color w:val="auto"/>
          <w:sz w:val="32"/>
          <w:szCs w:val="32"/>
          <w:lang w:val="en-US" w:eastAsia="zh-CN"/>
        </w:rPr>
        <w:t>（三）深入实施绩效管理。</w:t>
      </w:r>
      <w:r>
        <w:rPr>
          <w:rFonts w:hint="eastAsia" w:ascii="Times New Roman" w:hAnsi="Times New Roman" w:eastAsia="仿宋_GB2312" w:cs="仿宋_GB2312"/>
          <w:b/>
          <w:bCs/>
          <w:color w:val="auto"/>
          <w:sz w:val="32"/>
          <w:szCs w:val="32"/>
          <w:lang w:val="en-US" w:eastAsia="zh-CN"/>
        </w:rPr>
        <w:t>一是</w:t>
      </w:r>
      <w:r>
        <w:rPr>
          <w:rFonts w:hint="eastAsia" w:ascii="Times New Roman" w:hAnsi="Times New Roman" w:eastAsia="仿宋_GB2312" w:cs="仿宋_GB2312"/>
          <w:color w:val="auto"/>
          <w:sz w:val="32"/>
          <w:szCs w:val="32"/>
          <w:lang w:val="en-US" w:eastAsia="zh-CN"/>
        </w:rPr>
        <w:t>深化事前绩效评估。把好预算资金总关口，紧紧围绕立项必要性、投入经济性、实施方案可行性、筹资合规性等开展事前绩效评估，对未通过绩效评估的项目一律不支持、不上马。</w:t>
      </w:r>
      <w:r>
        <w:rPr>
          <w:rFonts w:hint="eastAsia" w:ascii="Times New Roman" w:hAnsi="Times New Roman" w:eastAsia="仿宋_GB2312" w:cs="仿宋_GB2312"/>
          <w:b/>
          <w:bCs/>
          <w:color w:val="auto"/>
          <w:sz w:val="32"/>
          <w:szCs w:val="32"/>
          <w:lang w:val="en-US" w:eastAsia="zh-CN"/>
        </w:rPr>
        <w:t>二是</w:t>
      </w:r>
      <w:r>
        <w:rPr>
          <w:rFonts w:hint="eastAsia" w:ascii="Times New Roman" w:hAnsi="Times New Roman" w:eastAsia="仿宋_GB2312" w:cs="仿宋_GB2312"/>
          <w:color w:val="auto"/>
          <w:sz w:val="32"/>
          <w:szCs w:val="32"/>
          <w:lang w:val="en-US" w:eastAsia="zh-CN"/>
        </w:rPr>
        <w:t>开展事中绩效监控。加强预算绩效过程管理，依托预算管理一体化系统，对预算单位绩效目标执行及调整情况、财务管理情况及资金执行进度等内容进行监管，督促项目进度，提高资金使用效益。</w:t>
      </w:r>
      <w:r>
        <w:rPr>
          <w:rFonts w:hint="eastAsia" w:ascii="Times New Roman" w:hAnsi="Times New Roman" w:eastAsia="仿宋_GB2312" w:cs="仿宋_GB2312"/>
          <w:b/>
          <w:bCs/>
          <w:color w:val="auto"/>
          <w:sz w:val="32"/>
          <w:szCs w:val="32"/>
          <w:lang w:val="en-US" w:eastAsia="zh-CN"/>
        </w:rPr>
        <w:t>三是</w:t>
      </w:r>
      <w:r>
        <w:rPr>
          <w:rFonts w:hint="eastAsia" w:ascii="Times New Roman" w:hAnsi="Times New Roman" w:eastAsia="仿宋_GB2312" w:cs="仿宋_GB2312"/>
          <w:color w:val="auto"/>
          <w:sz w:val="32"/>
          <w:szCs w:val="32"/>
          <w:lang w:val="en-US" w:eastAsia="zh-CN"/>
        </w:rPr>
        <w:t>做实事后绩效评价。将重大项目绩效评价结果与预算安排、项目调整有机衔接，牢固树立“花钱必问效、无效必问责”的绩效理念。</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各位代表，面对诸多矛盾相互交织的风险挑战，2024年的财政工作任务十分繁重，我们将在县委县政府的正确领导下，自觉接受县人大、政协的监督，虚心听取意见和建议，认真落实人大决议，以奋发进取的精神、求真务实的作风、扎实有力的举措圆满完成目标任务，为全县经济社会稳定发展贡献财政力量。</w:t>
      </w:r>
    </w:p>
    <w:p>
      <w:pPr>
        <w:keepNext w:val="0"/>
        <w:keepLines w:val="0"/>
        <w:pageBreakBefore w:val="0"/>
        <w:widowControl w:val="0"/>
        <w:kinsoku/>
        <w:wordWrap/>
        <w:overflowPunct/>
        <w:topLinePunct/>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79" w:lineRule="exact"/>
        <w:ind w:firstLine="632"/>
        <w:textAlignment w:val="auto"/>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附表：1.潢川县202</w:t>
      </w:r>
      <w:r>
        <w:rPr>
          <w:rFonts w:hint="eastAsia" w:ascii="Times New Roman" w:hAnsi="Times New Roman" w:cs="仿宋_GB2312"/>
          <w:color w:val="auto"/>
          <w:spacing w:val="0"/>
          <w:sz w:val="32"/>
          <w:szCs w:val="32"/>
          <w:lang w:val="en-US" w:eastAsia="zh-CN"/>
        </w:rPr>
        <w:t>3</w:t>
      </w:r>
      <w:r>
        <w:rPr>
          <w:rFonts w:hint="eastAsia" w:ascii="Times New Roman" w:hAnsi="Times New Roman" w:eastAsia="仿宋_GB2312" w:cs="仿宋_GB2312"/>
          <w:color w:val="auto"/>
          <w:spacing w:val="0"/>
          <w:sz w:val="32"/>
          <w:szCs w:val="32"/>
        </w:rPr>
        <w:t>年一般公共预算收支执行情况表</w:t>
      </w:r>
    </w:p>
    <w:p>
      <w:pPr>
        <w:pStyle w:val="3"/>
        <w:keepNext w:val="0"/>
        <w:keepLines w:val="0"/>
        <w:pageBreakBefore w:val="0"/>
        <w:widowControl w:val="0"/>
        <w:kinsoku/>
        <w:wordWrap/>
        <w:overflowPunct/>
        <w:topLinePunct w:val="0"/>
        <w:autoSpaceDE/>
        <w:autoSpaceDN/>
        <w:bidi w:val="0"/>
        <w:adjustRightInd/>
        <w:snapToGrid/>
        <w:spacing w:line="579" w:lineRule="exact"/>
        <w:ind w:firstLine="632"/>
        <w:textAlignment w:val="auto"/>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 xml:space="preserve">      2.潢川县202</w:t>
      </w:r>
      <w:r>
        <w:rPr>
          <w:rFonts w:hint="eastAsia" w:ascii="Times New Roman" w:hAnsi="Times New Roman" w:cs="仿宋_GB2312"/>
          <w:color w:val="auto"/>
          <w:spacing w:val="0"/>
          <w:sz w:val="32"/>
          <w:szCs w:val="32"/>
          <w:lang w:val="en-US" w:eastAsia="zh-CN"/>
        </w:rPr>
        <w:t>3</w:t>
      </w:r>
      <w:r>
        <w:rPr>
          <w:rFonts w:hint="eastAsia" w:ascii="Times New Roman" w:hAnsi="Times New Roman" w:eastAsia="仿宋_GB2312" w:cs="仿宋_GB2312"/>
          <w:color w:val="auto"/>
          <w:spacing w:val="0"/>
          <w:sz w:val="32"/>
          <w:szCs w:val="32"/>
        </w:rPr>
        <w:t>年政府性基金预算收支执行情况表</w:t>
      </w:r>
    </w:p>
    <w:p>
      <w:pPr>
        <w:pStyle w:val="3"/>
        <w:keepNext w:val="0"/>
        <w:keepLines w:val="0"/>
        <w:pageBreakBefore w:val="0"/>
        <w:widowControl w:val="0"/>
        <w:kinsoku/>
        <w:wordWrap/>
        <w:overflowPunct/>
        <w:topLinePunct w:val="0"/>
        <w:autoSpaceDE/>
        <w:autoSpaceDN/>
        <w:bidi w:val="0"/>
        <w:adjustRightInd/>
        <w:snapToGrid/>
        <w:spacing w:line="579" w:lineRule="exact"/>
        <w:ind w:firstLine="632"/>
        <w:textAlignment w:val="auto"/>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 xml:space="preserve">      3.潢川县202</w:t>
      </w:r>
      <w:r>
        <w:rPr>
          <w:rFonts w:hint="eastAsia" w:ascii="Times New Roman" w:hAnsi="Times New Roman" w:cs="仿宋_GB2312"/>
          <w:color w:val="auto"/>
          <w:spacing w:val="0"/>
          <w:sz w:val="32"/>
          <w:szCs w:val="32"/>
          <w:lang w:val="en-US" w:eastAsia="zh-CN"/>
        </w:rPr>
        <w:t>3</w:t>
      </w:r>
      <w:r>
        <w:rPr>
          <w:rFonts w:hint="eastAsia" w:ascii="Times New Roman" w:hAnsi="Times New Roman" w:eastAsia="仿宋_GB2312" w:cs="仿宋_GB2312"/>
          <w:color w:val="auto"/>
          <w:spacing w:val="0"/>
          <w:sz w:val="32"/>
          <w:szCs w:val="32"/>
        </w:rPr>
        <w:t>年社会保险基金预算收支执行情况表</w:t>
      </w:r>
    </w:p>
    <w:p>
      <w:pPr>
        <w:pStyle w:val="3"/>
        <w:keepNext w:val="0"/>
        <w:keepLines w:val="0"/>
        <w:pageBreakBefore w:val="0"/>
        <w:widowControl w:val="0"/>
        <w:kinsoku/>
        <w:wordWrap/>
        <w:overflowPunct/>
        <w:topLinePunct w:val="0"/>
        <w:autoSpaceDE/>
        <w:autoSpaceDN/>
        <w:bidi w:val="0"/>
        <w:adjustRightInd/>
        <w:snapToGrid/>
        <w:spacing w:line="579" w:lineRule="exact"/>
        <w:ind w:firstLine="632"/>
        <w:textAlignment w:val="auto"/>
        <w:rPr>
          <w:rFonts w:hint="default" w:ascii="Times New Roman" w:hAnsi="Times New Roman" w:eastAsia="仿宋_GB2312" w:cs="仿宋_GB2312"/>
          <w:color w:val="auto"/>
          <w:spacing w:val="0"/>
          <w:sz w:val="32"/>
          <w:szCs w:val="32"/>
          <w:lang w:val="en-US" w:eastAsia="zh-CN"/>
        </w:rPr>
      </w:pPr>
      <w:r>
        <w:rPr>
          <w:rFonts w:hint="eastAsia" w:ascii="Times New Roman" w:hAnsi="Times New Roman" w:cs="仿宋_GB2312"/>
          <w:color w:val="auto"/>
          <w:spacing w:val="0"/>
          <w:sz w:val="32"/>
          <w:szCs w:val="32"/>
          <w:lang w:val="en-US" w:eastAsia="zh-CN"/>
        </w:rPr>
        <w:t xml:space="preserve">      4.潢</w:t>
      </w:r>
      <w:r>
        <w:rPr>
          <w:rFonts w:hint="eastAsia" w:ascii="Times New Roman" w:hAnsi="Times New Roman" w:eastAsia="仿宋_GB2312" w:cs="仿宋_GB2312"/>
          <w:color w:val="auto"/>
          <w:spacing w:val="0"/>
          <w:sz w:val="32"/>
          <w:szCs w:val="32"/>
        </w:rPr>
        <w:t>川县202</w:t>
      </w:r>
      <w:r>
        <w:rPr>
          <w:rFonts w:hint="eastAsia" w:ascii="Times New Roman" w:hAnsi="Times New Roman" w:cs="仿宋_GB2312"/>
          <w:color w:val="auto"/>
          <w:spacing w:val="0"/>
          <w:sz w:val="32"/>
          <w:szCs w:val="32"/>
          <w:lang w:val="en-US" w:eastAsia="zh-CN"/>
        </w:rPr>
        <w:t>3</w:t>
      </w:r>
      <w:r>
        <w:rPr>
          <w:rFonts w:hint="eastAsia" w:ascii="Times New Roman" w:hAnsi="Times New Roman" w:eastAsia="仿宋_GB2312" w:cs="仿宋_GB2312"/>
          <w:color w:val="auto"/>
          <w:spacing w:val="0"/>
          <w:sz w:val="32"/>
          <w:szCs w:val="32"/>
        </w:rPr>
        <w:t>年国有资本经营预算收支执行情况表</w:t>
      </w:r>
    </w:p>
    <w:p>
      <w:pPr>
        <w:pStyle w:val="3"/>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Times New Roman" w:hAnsi="Times New Roman" w:eastAsia="仿宋_GB2312" w:cs="仿宋_GB2312"/>
          <w:color w:val="auto"/>
          <w:spacing w:val="0"/>
          <w:sz w:val="32"/>
          <w:szCs w:val="32"/>
        </w:rPr>
      </w:pPr>
      <w:r>
        <w:rPr>
          <w:rFonts w:hint="eastAsia" w:ascii="Times New Roman" w:hAnsi="Times New Roman" w:cs="仿宋_GB2312"/>
          <w:color w:val="auto"/>
          <w:spacing w:val="0"/>
          <w:sz w:val="32"/>
          <w:szCs w:val="32"/>
          <w:lang w:val="en-US" w:eastAsia="zh-CN"/>
        </w:rPr>
        <w:t>5</w:t>
      </w:r>
      <w:r>
        <w:rPr>
          <w:rFonts w:hint="eastAsia" w:ascii="Times New Roman" w:hAnsi="Times New Roman" w:eastAsia="仿宋_GB2312" w:cs="仿宋_GB2312"/>
          <w:color w:val="auto"/>
          <w:spacing w:val="0"/>
          <w:sz w:val="32"/>
          <w:szCs w:val="32"/>
        </w:rPr>
        <w:t>.潢川县202</w:t>
      </w:r>
      <w:r>
        <w:rPr>
          <w:rFonts w:hint="eastAsia" w:ascii="Times New Roman" w:hAnsi="Times New Roman" w:cs="仿宋_GB2312"/>
          <w:color w:val="auto"/>
          <w:spacing w:val="0"/>
          <w:sz w:val="32"/>
          <w:szCs w:val="32"/>
          <w:lang w:val="en-US" w:eastAsia="zh-CN"/>
        </w:rPr>
        <w:t>4</w:t>
      </w:r>
      <w:r>
        <w:rPr>
          <w:rFonts w:hint="eastAsia" w:ascii="Times New Roman" w:hAnsi="Times New Roman" w:eastAsia="仿宋_GB2312" w:cs="仿宋_GB2312"/>
          <w:color w:val="auto"/>
          <w:spacing w:val="0"/>
          <w:sz w:val="32"/>
          <w:szCs w:val="32"/>
        </w:rPr>
        <w:t>年一般公共预算收支预算表（草案）</w:t>
      </w:r>
    </w:p>
    <w:p>
      <w:pPr>
        <w:pStyle w:val="3"/>
        <w:keepNext w:val="0"/>
        <w:keepLines w:val="0"/>
        <w:pageBreakBefore w:val="0"/>
        <w:widowControl w:val="0"/>
        <w:kinsoku/>
        <w:wordWrap/>
        <w:overflowPunct/>
        <w:topLinePunct w:val="0"/>
        <w:autoSpaceDE/>
        <w:autoSpaceDN/>
        <w:bidi w:val="0"/>
        <w:adjustRightInd/>
        <w:snapToGrid/>
        <w:spacing w:line="579" w:lineRule="exact"/>
        <w:ind w:firstLine="632"/>
        <w:textAlignment w:val="auto"/>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 xml:space="preserve">    </w:t>
      </w:r>
      <w:r>
        <w:rPr>
          <w:rFonts w:hint="eastAsia" w:ascii="Times New Roman" w:hAnsi="Times New Roman" w:cs="仿宋_GB2312"/>
          <w:color w:val="auto"/>
          <w:spacing w:val="0"/>
          <w:sz w:val="32"/>
          <w:szCs w:val="32"/>
          <w:lang w:val="en-US" w:eastAsia="zh-CN"/>
        </w:rPr>
        <w:t xml:space="preserve">  6</w:t>
      </w:r>
      <w:r>
        <w:rPr>
          <w:rFonts w:hint="eastAsia" w:ascii="Times New Roman" w:hAnsi="Times New Roman" w:eastAsia="仿宋_GB2312" w:cs="仿宋_GB2312"/>
          <w:color w:val="auto"/>
          <w:spacing w:val="0"/>
          <w:sz w:val="32"/>
          <w:szCs w:val="32"/>
        </w:rPr>
        <w:t>.潢川县202</w:t>
      </w:r>
      <w:r>
        <w:rPr>
          <w:rFonts w:hint="eastAsia" w:ascii="Times New Roman" w:hAnsi="Times New Roman" w:cs="仿宋_GB2312"/>
          <w:color w:val="auto"/>
          <w:spacing w:val="0"/>
          <w:sz w:val="32"/>
          <w:szCs w:val="32"/>
          <w:lang w:val="en-US" w:eastAsia="zh-CN"/>
        </w:rPr>
        <w:t>4</w:t>
      </w:r>
      <w:r>
        <w:rPr>
          <w:rFonts w:hint="eastAsia" w:ascii="Times New Roman" w:hAnsi="Times New Roman" w:eastAsia="仿宋_GB2312" w:cs="仿宋_GB2312"/>
          <w:color w:val="auto"/>
          <w:spacing w:val="0"/>
          <w:sz w:val="32"/>
          <w:szCs w:val="32"/>
        </w:rPr>
        <w:t>年政府性基金预算收支预算表（草案）</w:t>
      </w:r>
    </w:p>
    <w:p>
      <w:pPr>
        <w:pStyle w:val="3"/>
        <w:keepNext w:val="0"/>
        <w:keepLines w:val="0"/>
        <w:pageBreakBefore w:val="0"/>
        <w:widowControl w:val="0"/>
        <w:kinsoku/>
        <w:wordWrap/>
        <w:overflowPunct/>
        <w:topLinePunct w:val="0"/>
        <w:autoSpaceDE/>
        <w:autoSpaceDN/>
        <w:bidi w:val="0"/>
        <w:adjustRightInd/>
        <w:snapToGrid/>
        <w:spacing w:line="579" w:lineRule="exact"/>
        <w:ind w:firstLine="632"/>
        <w:textAlignment w:val="auto"/>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 xml:space="preserve">      </w:t>
      </w:r>
      <w:r>
        <w:rPr>
          <w:rFonts w:hint="eastAsia" w:ascii="Times New Roman" w:hAnsi="Times New Roman" w:cs="仿宋_GB2312"/>
          <w:color w:val="auto"/>
          <w:spacing w:val="0"/>
          <w:sz w:val="32"/>
          <w:szCs w:val="32"/>
          <w:lang w:val="en-US" w:eastAsia="zh-CN"/>
        </w:rPr>
        <w:t>7</w:t>
      </w:r>
      <w:r>
        <w:rPr>
          <w:rFonts w:hint="eastAsia" w:ascii="Times New Roman" w:hAnsi="Times New Roman" w:eastAsia="仿宋_GB2312" w:cs="仿宋_GB2312"/>
          <w:color w:val="auto"/>
          <w:spacing w:val="0"/>
          <w:sz w:val="32"/>
          <w:szCs w:val="32"/>
        </w:rPr>
        <w:t>.潢川县202</w:t>
      </w:r>
      <w:r>
        <w:rPr>
          <w:rFonts w:hint="eastAsia" w:ascii="Times New Roman" w:hAnsi="Times New Roman" w:cs="仿宋_GB2312"/>
          <w:color w:val="auto"/>
          <w:spacing w:val="0"/>
          <w:sz w:val="32"/>
          <w:szCs w:val="32"/>
          <w:lang w:val="en-US" w:eastAsia="zh-CN"/>
        </w:rPr>
        <w:t>4</w:t>
      </w:r>
      <w:r>
        <w:rPr>
          <w:rFonts w:hint="eastAsia" w:ascii="Times New Roman" w:hAnsi="Times New Roman" w:eastAsia="仿宋_GB2312" w:cs="仿宋_GB2312"/>
          <w:color w:val="auto"/>
          <w:spacing w:val="0"/>
          <w:sz w:val="32"/>
          <w:szCs w:val="32"/>
        </w:rPr>
        <w:t>年社</w:t>
      </w:r>
      <w:r>
        <w:rPr>
          <w:rFonts w:hint="eastAsia" w:ascii="Times New Roman" w:hAnsi="Times New Roman" w:eastAsia="仿宋_GB2312" w:cs="仿宋_GB2312"/>
          <w:color w:val="auto"/>
          <w:spacing w:val="-17"/>
          <w:sz w:val="32"/>
          <w:szCs w:val="32"/>
        </w:rPr>
        <w:t>会保险基金预算收支预算表（草案）</w:t>
      </w:r>
    </w:p>
    <w:p>
      <w:pPr>
        <w:pStyle w:val="3"/>
        <w:keepNext w:val="0"/>
        <w:keepLines w:val="0"/>
        <w:pageBreakBefore w:val="0"/>
        <w:widowControl w:val="0"/>
        <w:kinsoku/>
        <w:wordWrap/>
        <w:overflowPunct/>
        <w:topLinePunct w:val="0"/>
        <w:autoSpaceDE/>
        <w:autoSpaceDN/>
        <w:bidi w:val="0"/>
        <w:adjustRightInd/>
        <w:snapToGrid/>
        <w:spacing w:line="579" w:lineRule="exact"/>
        <w:ind w:firstLine="608"/>
        <w:textAlignment w:val="auto"/>
        <w:rPr>
          <w:rFonts w:hint="eastAsia" w:ascii="Times New Roman" w:hAnsi="Times New Roman" w:cs="仿宋_GB2312"/>
          <w:color w:val="auto"/>
          <w:spacing w:val="0"/>
          <w:sz w:val="32"/>
          <w:szCs w:val="32"/>
          <w:lang w:eastAsia="zh-CN"/>
        </w:rPr>
      </w:pPr>
      <w:r>
        <w:rPr>
          <w:rFonts w:hint="eastAsia" w:ascii="Times New Roman" w:hAnsi="Times New Roman" w:eastAsia="仿宋_GB2312" w:cs="仿宋_GB2312"/>
          <w:color w:val="auto"/>
          <w:spacing w:val="0"/>
          <w:sz w:val="32"/>
          <w:szCs w:val="32"/>
        </w:rPr>
        <w:t xml:space="preserve">      </w:t>
      </w:r>
      <w:r>
        <w:rPr>
          <w:rFonts w:hint="eastAsia" w:ascii="Times New Roman" w:hAnsi="Times New Roman" w:cs="仿宋_GB2312"/>
          <w:color w:val="auto"/>
          <w:spacing w:val="0"/>
          <w:sz w:val="32"/>
          <w:szCs w:val="32"/>
          <w:lang w:val="en-US" w:eastAsia="zh-CN"/>
        </w:rPr>
        <w:t>8</w:t>
      </w:r>
      <w:r>
        <w:rPr>
          <w:rFonts w:hint="eastAsia" w:ascii="Times New Roman" w:hAnsi="Times New Roman" w:eastAsia="仿宋_GB2312" w:cs="仿宋_GB2312"/>
          <w:color w:val="auto"/>
          <w:spacing w:val="0"/>
          <w:sz w:val="32"/>
          <w:szCs w:val="32"/>
        </w:rPr>
        <w:t>.潢川县202</w:t>
      </w:r>
      <w:r>
        <w:rPr>
          <w:rFonts w:hint="eastAsia" w:ascii="Times New Roman" w:hAnsi="Times New Roman" w:cs="仿宋_GB2312"/>
          <w:color w:val="auto"/>
          <w:spacing w:val="0"/>
          <w:sz w:val="32"/>
          <w:szCs w:val="32"/>
          <w:lang w:val="en-US" w:eastAsia="zh-CN"/>
        </w:rPr>
        <w:t>4</w:t>
      </w:r>
      <w:r>
        <w:rPr>
          <w:rFonts w:hint="eastAsia" w:ascii="Times New Roman" w:hAnsi="Times New Roman" w:eastAsia="仿宋_GB2312" w:cs="仿宋_GB2312"/>
          <w:color w:val="auto"/>
          <w:spacing w:val="0"/>
          <w:sz w:val="32"/>
          <w:szCs w:val="32"/>
        </w:rPr>
        <w:t>年国</w:t>
      </w:r>
      <w:r>
        <w:rPr>
          <w:rFonts w:hint="eastAsia" w:ascii="Times New Roman" w:hAnsi="Times New Roman" w:eastAsia="仿宋_GB2312" w:cs="仿宋_GB2312"/>
          <w:color w:val="auto"/>
          <w:spacing w:val="-17"/>
          <w:sz w:val="32"/>
          <w:szCs w:val="32"/>
        </w:rPr>
        <w:t>有资本经营预算收支预算表（草案</w:t>
      </w:r>
      <w:r>
        <w:rPr>
          <w:rFonts w:hint="eastAsia" w:ascii="Times New Roman" w:hAnsi="Times New Roman" w:cs="仿宋_GB2312"/>
          <w:color w:val="auto"/>
          <w:spacing w:val="-17"/>
          <w:sz w:val="32"/>
          <w:szCs w:val="32"/>
          <w:lang w:eastAsia="zh-CN"/>
        </w:rPr>
        <w:t>）</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tbl>
      <w:tblPr>
        <w:tblStyle w:val="9"/>
        <w:tblW w:w="15626"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6" w:type="dxa"/>
          <w:bottom w:w="0" w:type="dxa"/>
          <w:right w:w="6" w:type="dxa"/>
        </w:tblCellMar>
      </w:tblPr>
      <w:tblGrid>
        <w:gridCol w:w="98"/>
        <w:gridCol w:w="563"/>
        <w:gridCol w:w="117"/>
        <w:gridCol w:w="36"/>
        <w:gridCol w:w="2914"/>
        <w:gridCol w:w="792"/>
        <w:gridCol w:w="484"/>
        <w:gridCol w:w="812"/>
        <w:gridCol w:w="491"/>
        <w:gridCol w:w="559"/>
        <w:gridCol w:w="232"/>
        <w:gridCol w:w="436"/>
        <w:gridCol w:w="626"/>
        <w:gridCol w:w="193"/>
        <w:gridCol w:w="508"/>
        <w:gridCol w:w="2533"/>
        <w:gridCol w:w="217"/>
        <w:gridCol w:w="365"/>
        <w:gridCol w:w="473"/>
        <w:gridCol w:w="417"/>
        <w:gridCol w:w="298"/>
        <w:gridCol w:w="280"/>
        <w:gridCol w:w="665"/>
        <w:gridCol w:w="243"/>
        <w:gridCol w:w="136"/>
        <w:gridCol w:w="1027"/>
        <w:gridCol w:w="51"/>
        <w:gridCol w:w="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trHeight w:val="586" w:hRule="exact"/>
        </w:trPr>
        <w:tc>
          <w:tcPr>
            <w:tcW w:w="3728"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楷体_GB2312" w:hAnsi="宋体" w:eastAsia="楷体_GB2312" w:cs="楷体_GB2312"/>
                <w:i w:val="0"/>
                <w:iCs w:val="0"/>
                <w:color w:val="000000"/>
                <w:sz w:val="24"/>
                <w:szCs w:val="24"/>
                <w:u w:val="none"/>
              </w:rPr>
            </w:pPr>
            <w:r>
              <w:rPr>
                <w:rFonts w:hint="eastAsia" w:ascii="黑体" w:hAnsi="黑体" w:eastAsia="黑体" w:cs="黑体"/>
                <w:i w:val="0"/>
                <w:iCs w:val="0"/>
                <w:color w:val="000000"/>
                <w:kern w:val="0"/>
                <w:sz w:val="28"/>
                <w:szCs w:val="28"/>
                <w:u w:val="none"/>
                <w:lang w:val="en-US" w:eastAsia="zh-CN" w:bidi="ar"/>
              </w:rPr>
              <w:t>附表1：</w:t>
            </w:r>
          </w:p>
        </w:tc>
        <w:tc>
          <w:tcPr>
            <w:tcW w:w="1276" w:type="dxa"/>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303" w:type="dxa"/>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227"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327"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53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55"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995"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044"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138"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452" w:hRule="exact"/>
        </w:trPr>
        <w:tc>
          <w:tcPr>
            <w:tcW w:w="15626" w:type="dxa"/>
            <w:gridSpan w:val="28"/>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潢川县2023年一般公共预算收支执行情况表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nil"/>
              <w:left w:val="nil"/>
              <w:bottom w:val="nil"/>
              <w:right w:val="nil"/>
            </w:tcBorders>
            <w:shd w:val="clear" w:color="auto" w:fill="auto"/>
            <w:noWrap/>
            <w:vAlign w:val="bottom"/>
          </w:tcPr>
          <w:p>
            <w:pPr>
              <w:rPr>
                <w:rFonts w:hint="eastAsia" w:ascii="楷体_GB2312" w:hAnsi="宋体" w:eastAsia="楷体_GB2312" w:cs="楷体_GB2312"/>
                <w:i w:val="0"/>
                <w:iCs w:val="0"/>
                <w:color w:val="000000"/>
                <w:sz w:val="24"/>
                <w:szCs w:val="24"/>
                <w:u w:val="none"/>
              </w:rPr>
            </w:pPr>
          </w:p>
        </w:tc>
        <w:tc>
          <w:tcPr>
            <w:tcW w:w="2914" w:type="dxa"/>
            <w:tcBorders>
              <w:top w:val="nil"/>
              <w:left w:val="nil"/>
              <w:bottom w:val="nil"/>
              <w:right w:val="nil"/>
            </w:tcBorders>
            <w:shd w:val="clear" w:color="auto" w:fill="FFFFFF"/>
            <w:noWrap/>
            <w:vAlign w:val="bottom"/>
          </w:tcPr>
          <w:p>
            <w:pPr>
              <w:rPr>
                <w:rFonts w:hint="eastAsia" w:ascii="楷体_GB2312" w:hAnsi="宋体" w:eastAsia="楷体_GB2312" w:cs="楷体_GB2312"/>
                <w:i w:val="0"/>
                <w:iCs w:val="0"/>
                <w:color w:val="000000"/>
                <w:sz w:val="20"/>
                <w:szCs w:val="20"/>
                <w:u w:val="none"/>
              </w:rPr>
            </w:pPr>
          </w:p>
        </w:tc>
        <w:tc>
          <w:tcPr>
            <w:tcW w:w="1276" w:type="dxa"/>
            <w:gridSpan w:val="2"/>
            <w:tcBorders>
              <w:top w:val="nil"/>
              <w:left w:val="nil"/>
              <w:bottom w:val="nil"/>
              <w:right w:val="nil"/>
            </w:tcBorders>
            <w:shd w:val="clear" w:color="auto" w:fill="FFFFFF"/>
            <w:noWrap/>
            <w:vAlign w:val="bottom"/>
          </w:tcPr>
          <w:p>
            <w:pPr>
              <w:jc w:val="center"/>
              <w:rPr>
                <w:rFonts w:hint="eastAsia" w:ascii="楷体_GB2312" w:hAnsi="宋体" w:eastAsia="楷体_GB2312" w:cs="楷体_GB2312"/>
                <w:i w:val="0"/>
                <w:iCs w:val="0"/>
                <w:color w:val="000000"/>
                <w:sz w:val="20"/>
                <w:szCs w:val="20"/>
                <w:u w:val="none"/>
              </w:rPr>
            </w:pPr>
          </w:p>
        </w:tc>
        <w:tc>
          <w:tcPr>
            <w:tcW w:w="1303" w:type="dxa"/>
            <w:gridSpan w:val="2"/>
            <w:tcBorders>
              <w:top w:val="nil"/>
              <w:left w:val="nil"/>
              <w:bottom w:val="nil"/>
              <w:right w:val="nil"/>
            </w:tcBorders>
            <w:shd w:val="clear" w:color="auto" w:fill="FFFFFF"/>
            <w:noWrap/>
            <w:vAlign w:val="bottom"/>
          </w:tcPr>
          <w:p>
            <w:pPr>
              <w:jc w:val="center"/>
              <w:rPr>
                <w:rFonts w:hint="eastAsia" w:ascii="楷体_GB2312" w:hAnsi="宋体" w:eastAsia="楷体_GB2312" w:cs="楷体_GB2312"/>
                <w:i w:val="0"/>
                <w:iCs w:val="0"/>
                <w:color w:val="000000"/>
                <w:sz w:val="20"/>
                <w:szCs w:val="20"/>
                <w:u w:val="none"/>
              </w:rPr>
            </w:pPr>
          </w:p>
        </w:tc>
        <w:tc>
          <w:tcPr>
            <w:tcW w:w="1227" w:type="dxa"/>
            <w:gridSpan w:val="3"/>
            <w:tcBorders>
              <w:top w:val="nil"/>
              <w:left w:val="nil"/>
              <w:bottom w:val="nil"/>
              <w:right w:val="nil"/>
            </w:tcBorders>
            <w:shd w:val="clear" w:color="auto" w:fill="FFFFFF"/>
            <w:noWrap/>
            <w:vAlign w:val="bottom"/>
          </w:tcPr>
          <w:p>
            <w:pPr>
              <w:jc w:val="center"/>
              <w:rPr>
                <w:rFonts w:hint="eastAsia" w:ascii="楷体_GB2312" w:hAnsi="宋体" w:eastAsia="楷体_GB2312" w:cs="楷体_GB2312"/>
                <w:i w:val="0"/>
                <w:iCs w:val="0"/>
                <w:color w:val="000000"/>
                <w:sz w:val="20"/>
                <w:szCs w:val="20"/>
                <w:u w:val="none"/>
              </w:rPr>
            </w:pPr>
          </w:p>
        </w:tc>
        <w:tc>
          <w:tcPr>
            <w:tcW w:w="1327" w:type="dxa"/>
            <w:gridSpan w:val="3"/>
            <w:tcBorders>
              <w:top w:val="nil"/>
              <w:left w:val="nil"/>
              <w:bottom w:val="nil"/>
              <w:right w:val="nil"/>
            </w:tcBorders>
            <w:shd w:val="clear" w:color="auto" w:fill="FFFFFF"/>
            <w:noWrap/>
            <w:vAlign w:val="bottom"/>
          </w:tcPr>
          <w:p>
            <w:pPr>
              <w:jc w:val="center"/>
              <w:rPr>
                <w:rFonts w:hint="eastAsia" w:ascii="楷体_GB2312" w:hAnsi="宋体" w:eastAsia="楷体_GB2312" w:cs="楷体_GB2312"/>
                <w:i w:val="0"/>
                <w:iCs w:val="0"/>
                <w:color w:val="000000"/>
                <w:sz w:val="20"/>
                <w:szCs w:val="20"/>
                <w:u w:val="none"/>
              </w:rPr>
            </w:pPr>
          </w:p>
        </w:tc>
        <w:tc>
          <w:tcPr>
            <w:tcW w:w="2533" w:type="dxa"/>
            <w:tcBorders>
              <w:top w:val="nil"/>
              <w:left w:val="nil"/>
              <w:bottom w:val="nil"/>
              <w:right w:val="nil"/>
            </w:tcBorders>
            <w:shd w:val="clear" w:color="auto" w:fill="auto"/>
            <w:noWrap/>
            <w:vAlign w:val="bottom"/>
          </w:tcPr>
          <w:p>
            <w:pPr>
              <w:rPr>
                <w:rFonts w:hint="eastAsia" w:ascii="楷体_GB2312" w:hAnsi="宋体" w:eastAsia="楷体_GB2312" w:cs="楷体_GB2312"/>
                <w:i w:val="0"/>
                <w:iCs w:val="0"/>
                <w:color w:val="000000"/>
                <w:sz w:val="24"/>
                <w:szCs w:val="24"/>
                <w:u w:val="none"/>
              </w:rPr>
            </w:pPr>
          </w:p>
        </w:tc>
        <w:tc>
          <w:tcPr>
            <w:tcW w:w="1055" w:type="dxa"/>
            <w:gridSpan w:val="3"/>
            <w:tcBorders>
              <w:top w:val="nil"/>
              <w:left w:val="nil"/>
              <w:bottom w:val="nil"/>
              <w:right w:val="nil"/>
            </w:tcBorders>
            <w:shd w:val="clear" w:color="auto" w:fill="auto"/>
            <w:noWrap/>
            <w:vAlign w:val="bottom"/>
          </w:tcPr>
          <w:p>
            <w:pPr>
              <w:jc w:val="center"/>
              <w:rPr>
                <w:rFonts w:hint="eastAsia" w:ascii="楷体_GB2312" w:hAnsi="宋体" w:eastAsia="楷体_GB2312" w:cs="楷体_GB2312"/>
                <w:i w:val="0"/>
                <w:iCs w:val="0"/>
                <w:color w:val="000000"/>
                <w:sz w:val="24"/>
                <w:szCs w:val="24"/>
                <w:u w:val="none"/>
              </w:rPr>
            </w:pPr>
          </w:p>
        </w:tc>
        <w:tc>
          <w:tcPr>
            <w:tcW w:w="3177" w:type="dxa"/>
            <w:gridSpan w:val="9"/>
            <w:tcBorders>
              <w:top w:val="nil"/>
              <w:left w:val="nil"/>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行号</w:t>
            </w:r>
          </w:p>
        </w:tc>
        <w:tc>
          <w:tcPr>
            <w:tcW w:w="8047"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收       入</w:t>
            </w:r>
          </w:p>
        </w:tc>
        <w:tc>
          <w:tcPr>
            <w:tcW w:w="67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626" w:hRule="exact"/>
        </w:trPr>
        <w:tc>
          <w:tcPr>
            <w:tcW w:w="81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预  算  科  目</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调整预算数</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决算数</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占调整预算%</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较上年实际</w:t>
            </w:r>
          </w:p>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完成增长%</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预  算  科  目</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调整预算数</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决算数</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占调整</w:t>
            </w:r>
          </w:p>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预算%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较上年实际</w:t>
            </w:r>
          </w:p>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完成增长%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一、增值税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23328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27652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118.5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29.2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一、一般公共服务支出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124711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124692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二、营业税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二、国防支出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76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76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三、企业所得税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6637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4702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70.9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-22.8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三、公共安全支出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12881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12881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四、个人所得税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6176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3221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52.2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-43.2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四、教育支出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97677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97677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五、资源税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1256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558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44.5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-51.6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五、科学技术支出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22193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22193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六、环境保护税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102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68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66.4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-28.1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六、文化体育与传媒支出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3163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3163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七、城市维护建设税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2145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2133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99.4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8.4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七、社会保障和就业支出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69161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69161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八、房产税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1984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1485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74.8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-18.4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八、卫生健康支出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36407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36407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9</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九、印花税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920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948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103.1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12.4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九、节能环保支出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3904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3904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十、城镇土地使用税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3290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2006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61.0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-33.5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十、城乡社区支出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25626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25626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11</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十一、土地增值税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10939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16136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147.5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60.8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十一、农林水支出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91364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91364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12</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十二、车船税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1612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1406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87.2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-4.9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十二、交通运输支出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22622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22622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13</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十三、耕地占用税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1079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1235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114.5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24.8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十三、资源勘探信息等支出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1413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1413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14</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十四、契税</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15606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14026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89.9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-2.0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十四、商业服务业等支出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1705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1705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15</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十五、其他税收收入</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183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47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十五、金融支出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0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0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16</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十六、专项收入</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11229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3418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30.4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-69.0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十六、援助其他地区支出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0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0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17</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十七、行政事业性收费收入</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4106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3340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81.3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-17.0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十七、自然资源海洋气象支出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3227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3227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18</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十八、罚没收入</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2397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6753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281.7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187.4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十八、住房保障支出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15301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15301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92"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19</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十九、国有资本经营收入</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十九、粮油物资储备支出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2513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2513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20</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二十、国有资源（资产）有偿使用收入</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8757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13898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158.7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61.9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二十、灾害防治及应急管理支出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2435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2435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21</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二十一、其他收入</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5374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4965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92.4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-5.8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二十一、其他支出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78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78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22</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left"/>
              <w:rPr>
                <w:rFonts w:hint="eastAsia" w:ascii="仿宋_GB2312" w:hAnsi="仿宋_GB2312" w:eastAsia="仿宋_GB2312" w:cs="仿宋_GB2312"/>
                <w:b w:val="0"/>
                <w:bCs w:val="0"/>
                <w:i w:val="0"/>
                <w:iCs w:val="0"/>
                <w:color w:val="000000"/>
                <w:sz w:val="20"/>
                <w:szCs w:val="20"/>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二十二、债务还本支出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0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0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23</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left"/>
              <w:rPr>
                <w:rFonts w:hint="eastAsia" w:ascii="仿宋_GB2312" w:hAnsi="仿宋_GB2312" w:eastAsia="仿宋_GB2312" w:cs="仿宋_GB2312"/>
                <w:b w:val="0"/>
                <w:bCs w:val="0"/>
                <w:i w:val="0"/>
                <w:iCs w:val="0"/>
                <w:color w:val="000000"/>
                <w:sz w:val="20"/>
                <w:szCs w:val="20"/>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二十三、债务付息支出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4150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4150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24</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left"/>
              <w:rPr>
                <w:rFonts w:hint="eastAsia" w:ascii="仿宋_GB2312" w:hAnsi="仿宋_GB2312" w:eastAsia="仿宋_GB2312" w:cs="仿宋_GB2312"/>
                <w:b w:val="0"/>
                <w:bCs w:val="0"/>
                <w:i w:val="0"/>
                <w:iCs w:val="0"/>
                <w:color w:val="000000"/>
                <w:sz w:val="20"/>
                <w:szCs w:val="20"/>
                <w:u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atLeast"/>
              <w:jc w:val="center"/>
              <w:rPr>
                <w:rFonts w:hint="eastAsia" w:ascii="仿宋_GB2312" w:hAnsi="仿宋_GB2312" w:eastAsia="仿宋_GB2312" w:cs="仿宋_GB2312"/>
                <w:b w:val="0"/>
                <w:bCs w:val="0"/>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二十四、债务发行费用支出</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cantSplit/>
          <w:trHeight w:val="283" w:hRule="exact"/>
        </w:trPr>
        <w:tc>
          <w:tcPr>
            <w:tcW w:w="81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25</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一般公共预算收入合计</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107120 </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107996 </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100.8 </w:t>
            </w:r>
          </w:p>
        </w:tc>
        <w:tc>
          <w:tcPr>
            <w:tcW w:w="1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7.9 </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一般公共预算支出合计</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540608 </w:t>
            </w:r>
          </w:p>
        </w:tc>
        <w:tc>
          <w:tcPr>
            <w:tcW w:w="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540589 </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Before w:val="1"/>
          <w:gridAfter w:val="2"/>
          <w:wBefore w:w="98" w:type="dxa"/>
          <w:wAfter w:w="111" w:type="dxa"/>
          <w:trHeight w:val="444" w:hRule="atLeast"/>
        </w:trPr>
        <w:tc>
          <w:tcPr>
            <w:tcW w:w="15417" w:type="dxa"/>
            <w:gridSpan w:val="25"/>
            <w:tcBorders>
              <w:top w:val="nil"/>
              <w:left w:val="nil"/>
              <w:bottom w:val="nil"/>
              <w:right w:val="nil"/>
            </w:tcBorders>
            <w:shd w:val="clear" w:color="auto" w:fill="auto"/>
            <w:noWrap/>
            <w:vAlign w:val="bottom"/>
          </w:tcPr>
          <w:p>
            <w:pPr>
              <w:rPr>
                <w:rFonts w:hint="eastAsia" w:ascii="楷体" w:hAnsi="楷体" w:eastAsia="楷体" w:cs="楷体"/>
                <w:i w:val="0"/>
                <w:iCs w:val="0"/>
                <w:color w:val="000000"/>
                <w:kern w:val="0"/>
                <w:sz w:val="20"/>
                <w:szCs w:val="20"/>
                <w:u w:val="none"/>
                <w:lang w:val="en-US" w:eastAsia="zh-CN" w:bidi="ar"/>
              </w:rPr>
            </w:pPr>
          </w:p>
          <w:p>
            <w:pPr>
              <w:rPr>
                <w:rFonts w:hint="eastAsia" w:ascii="宋体" w:hAnsi="宋体" w:eastAsia="宋体" w:cs="宋体"/>
                <w:i w:val="0"/>
                <w:iCs w:val="0"/>
                <w:color w:val="000000"/>
                <w:sz w:val="24"/>
                <w:szCs w:val="24"/>
                <w:u w:val="none"/>
              </w:rPr>
            </w:pPr>
            <w:r>
              <w:rPr>
                <w:rFonts w:hint="eastAsia" w:ascii="黑体" w:hAnsi="黑体" w:eastAsia="黑体" w:cs="黑体"/>
                <w:i w:val="0"/>
                <w:iCs w:val="0"/>
                <w:color w:val="000000"/>
                <w:kern w:val="0"/>
                <w:sz w:val="28"/>
                <w:szCs w:val="28"/>
                <w:u w:val="none"/>
                <w:lang w:val="en-US" w:eastAsia="zh-CN" w:bidi="ar"/>
              </w:rPr>
              <w:t>附表2：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Before w:val="1"/>
          <w:gridAfter w:val="2"/>
          <w:wBefore w:w="98" w:type="dxa"/>
          <w:wAfter w:w="111" w:type="dxa"/>
          <w:trHeight w:val="545" w:hRule="exact"/>
        </w:trPr>
        <w:tc>
          <w:tcPr>
            <w:tcW w:w="15417" w:type="dxa"/>
            <w:gridSpan w:val="2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潢川县2023年政府性基金预算收支执行情况表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Before w:val="1"/>
          <w:gridAfter w:val="2"/>
          <w:wBefore w:w="98" w:type="dxa"/>
          <w:wAfter w:w="111" w:type="dxa"/>
          <w:trHeight w:val="396" w:hRule="exact"/>
        </w:trPr>
        <w:tc>
          <w:tcPr>
            <w:tcW w:w="68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742"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9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82"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16"/>
                <w:szCs w:val="16"/>
                <w:u w:val="none"/>
              </w:rPr>
            </w:pPr>
          </w:p>
        </w:tc>
        <w:tc>
          <w:tcPr>
            <w:tcW w:w="1255"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16"/>
                <w:szCs w:val="16"/>
                <w:u w:val="none"/>
              </w:rPr>
            </w:pPr>
          </w:p>
        </w:tc>
        <w:tc>
          <w:tcPr>
            <w:tcW w:w="3258"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16"/>
                <w:szCs w:val="16"/>
                <w:u w:val="none"/>
              </w:rPr>
            </w:pPr>
          </w:p>
        </w:tc>
        <w:tc>
          <w:tcPr>
            <w:tcW w:w="1255"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16"/>
                <w:szCs w:val="16"/>
                <w:u w:val="none"/>
              </w:rPr>
            </w:pPr>
          </w:p>
        </w:tc>
        <w:tc>
          <w:tcPr>
            <w:tcW w:w="1243" w:type="dxa"/>
            <w:gridSpan w:val="3"/>
            <w:tcBorders>
              <w:top w:val="nil"/>
              <w:left w:val="nil"/>
              <w:bottom w:val="nil"/>
              <w:right w:val="nil"/>
            </w:tcBorders>
            <w:shd w:val="clear" w:color="auto" w:fill="FFFFFF"/>
            <w:noWrap/>
            <w:vAlign w:val="bottom"/>
          </w:tcPr>
          <w:p>
            <w:pPr>
              <w:jc w:val="right"/>
              <w:rPr>
                <w:rFonts w:hint="eastAsia" w:ascii="宋体" w:hAnsi="宋体" w:eastAsia="宋体" w:cs="宋体"/>
                <w:i w:val="0"/>
                <w:iCs w:val="0"/>
                <w:color w:val="000000"/>
                <w:sz w:val="16"/>
                <w:szCs w:val="16"/>
                <w:u w:val="none"/>
              </w:rPr>
            </w:pPr>
          </w:p>
        </w:tc>
        <w:tc>
          <w:tcPr>
            <w:tcW w:w="1406"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Before w:val="1"/>
          <w:gridAfter w:val="2"/>
          <w:wBefore w:w="98" w:type="dxa"/>
          <w:wAfter w:w="111" w:type="dxa"/>
          <w:trHeight w:val="396" w:hRule="exact"/>
        </w:trPr>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行号</w:t>
            </w:r>
          </w:p>
        </w:tc>
        <w:tc>
          <w:tcPr>
            <w:tcW w:w="75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收       入</w:t>
            </w:r>
          </w:p>
        </w:tc>
        <w:tc>
          <w:tcPr>
            <w:tcW w:w="716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Before w:val="1"/>
          <w:gridAfter w:val="2"/>
          <w:wBefore w:w="98" w:type="dxa"/>
          <w:wAfter w:w="111" w:type="dxa"/>
          <w:trHeight w:val="607" w:hRule="exact"/>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预算科目</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调整预算数</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决算数</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占调整预算%</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预算科目</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调整预算数</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决算数</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占调整预算%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一、国家电影事业发展专项资金收入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一、科学技术支出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二、大中型水库移民后期扶持基金收入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二、文化旅游体育与传媒支出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 </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 </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三、小型水库移民扶持基金收入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三、社会保障和就业支出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576 </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576 </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五、国有土地收益基金收入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2144 </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2144 </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四、节能环保支出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六、农业土地开发资金收入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448 </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448 </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五、城乡社区支出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114663 </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114603 </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四、国有土地使用权出让收入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lang w:val="en-US"/>
              </w:rPr>
            </w:pPr>
            <w:r>
              <w:rPr>
                <w:rFonts w:hint="eastAsia" w:ascii="仿宋_GB2312" w:hAnsi="仿宋_GB2312" w:eastAsia="仿宋_GB2312" w:cs="仿宋_GB2312"/>
                <w:b w:val="0"/>
                <w:bCs w:val="0"/>
                <w:i w:val="0"/>
                <w:iCs w:val="0"/>
                <w:color w:val="000000"/>
                <w:kern w:val="0"/>
                <w:sz w:val="20"/>
                <w:szCs w:val="20"/>
                <w:u w:val="none"/>
                <w:lang w:val="en-US" w:eastAsia="zh-CN" w:bidi="ar"/>
              </w:rPr>
              <w:t>124087</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124037 </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六、农林水支出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 </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 </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七、城市基础设施配套费收入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102 </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102 </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七、交通运输支出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八、污水处理费收入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1089 </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1089 </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八、资源勘探信息等支出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9</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九、城市公用事业附加收入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九、金融支出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十、大中型水库库区基金收入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十、其他支出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73358 </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73358 </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11</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十一、车辆通行费</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十一、债务付息支出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19090 </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19090 </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12</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十二、新型墙体材料专项基金收入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十二、债务发行费用支出</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 </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 </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13</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十三、旅游发展基金收入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14</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十四、彩票公益金收入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15</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十五、其他政府性基金收入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Before w:val="1"/>
          <w:gridAfter w:val="2"/>
          <w:wBefore w:w="98" w:type="dxa"/>
          <w:wAfter w:w="111" w:type="dxa"/>
          <w:trHeight w:val="454" w:hRule="exact"/>
        </w:trPr>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16</w:t>
            </w:r>
          </w:p>
        </w:tc>
        <w:tc>
          <w:tcPr>
            <w:tcW w:w="37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政府性基金预算收入合计</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127870 </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127820 </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政府性基金预算支出合计</w:t>
            </w:r>
          </w:p>
        </w:tc>
        <w:tc>
          <w:tcPr>
            <w:tcW w:w="1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207698 </w:t>
            </w:r>
          </w:p>
        </w:tc>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207638 </w:t>
            </w:r>
          </w:p>
        </w:tc>
        <w:tc>
          <w:tcPr>
            <w:tcW w:w="14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496" w:hRule="atLeast"/>
        </w:trPr>
        <w:tc>
          <w:tcPr>
            <w:tcW w:w="4520" w:type="dxa"/>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楷体_GB2312" w:hAnsi="宋体" w:eastAsia="楷体_GB2312" w:cs="楷体_GB2312"/>
                <w:i w:val="0"/>
                <w:iCs w:val="0"/>
                <w:color w:val="000000"/>
                <w:sz w:val="24"/>
                <w:szCs w:val="24"/>
                <w:u w:val="none"/>
              </w:rPr>
            </w:pPr>
            <w:r>
              <w:rPr>
                <w:rFonts w:hint="eastAsia" w:ascii="黑体" w:hAnsi="黑体" w:eastAsia="黑体" w:cs="黑体"/>
                <w:b w:val="0"/>
                <w:bCs w:val="0"/>
                <w:i w:val="0"/>
                <w:iCs w:val="0"/>
                <w:color w:val="auto"/>
                <w:kern w:val="0"/>
                <w:sz w:val="28"/>
                <w:szCs w:val="28"/>
                <w:u w:val="none"/>
                <w:lang w:val="en-US" w:eastAsia="zh-CN" w:bidi="ar"/>
              </w:rPr>
              <w:t>附表3：</w:t>
            </w:r>
          </w:p>
        </w:tc>
        <w:tc>
          <w:tcPr>
            <w:tcW w:w="129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50" w:type="dxa"/>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294"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816"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88"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88" w:type="dxa"/>
            <w:gridSpan w:val="3"/>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c>
          <w:tcPr>
            <w:tcW w:w="1214"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615" w:hRule="atLeast"/>
        </w:trPr>
        <w:tc>
          <w:tcPr>
            <w:tcW w:w="15566" w:type="dxa"/>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潢川县2023年社会保险基金预算收支执行情况表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90" w:hRule="atLeast"/>
        </w:trPr>
        <w:tc>
          <w:tcPr>
            <w:tcW w:w="661"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59"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9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50" w:type="dxa"/>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294"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3816" w:type="dxa"/>
            <w:gridSpan w:val="5"/>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1188"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2402" w:type="dxa"/>
            <w:gridSpan w:val="6"/>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633" w:hRule="atLeast"/>
        </w:trPr>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行号</w:t>
            </w:r>
          </w:p>
        </w:tc>
        <w:tc>
          <w:tcPr>
            <w:tcW w:w="749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收       入</w:t>
            </w:r>
          </w:p>
        </w:tc>
        <w:tc>
          <w:tcPr>
            <w:tcW w:w="7406"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645"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_GB2312" w:hAnsi="仿宋_GB2312" w:eastAsia="仿宋_GB2312" w:cs="仿宋_GB2312"/>
                <w:b w:val="0"/>
                <w:bCs w:val="0"/>
                <w:i w:val="0"/>
                <w:iCs w:val="0"/>
                <w:color w:val="000000"/>
                <w:sz w:val="22"/>
                <w:szCs w:val="22"/>
                <w:u w:val="none"/>
              </w:rPr>
            </w:pP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决算数</w:t>
            </w:r>
          </w:p>
        </w:tc>
        <w:tc>
          <w:tcPr>
            <w:tcW w:w="12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占预算%</w:t>
            </w:r>
          </w:p>
        </w:tc>
        <w:tc>
          <w:tcPr>
            <w:tcW w:w="38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决算数</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 w:type="dxa"/>
          <w:trHeight w:val="744"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一、失业保险基金收入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9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一、失业保险基金支出</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 w:type="dxa"/>
          <w:trHeight w:val="744"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二、工伤保险基金收入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9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二、工伤保险基金支出</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744"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三、生育保险基金收入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9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三、生育保险基金支出</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744"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四、城乡居民基本养老保险基金收入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25879 </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27144 </w:t>
            </w:r>
          </w:p>
        </w:tc>
        <w:tc>
          <w:tcPr>
            <w:tcW w:w="129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104.9 </w:t>
            </w:r>
          </w:p>
        </w:tc>
        <w:tc>
          <w:tcPr>
            <w:tcW w:w="3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四、城乡居民基本养老保险基金支出</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17261 </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21323 </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744"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五、机关事业单位基本养老保险基金收入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9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五、机关事业单位基本养老保险基金支出</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 w:type="dxa"/>
          <w:trHeight w:val="744"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六、城乡居民基本医疗保险基金收入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9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六、城乡居民基本医疗保险基金支出</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744"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七、其他社会保险基金收入</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9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8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七、其他社会保险基金支出</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 w:type="dxa"/>
          <w:trHeight w:val="744" w:hRule="atLeast"/>
        </w:trPr>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385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社保基金预算收入合计</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25879 </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27144 </w:t>
            </w:r>
          </w:p>
        </w:tc>
        <w:tc>
          <w:tcPr>
            <w:tcW w:w="129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104.9 </w:t>
            </w:r>
          </w:p>
        </w:tc>
        <w:tc>
          <w:tcPr>
            <w:tcW w:w="3816"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社保基金预算支出合计</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17261 </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21323 </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123.5 </w:t>
            </w:r>
          </w:p>
        </w:tc>
      </w:tr>
    </w:tbl>
    <w:p>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tbl>
      <w:tblPr>
        <w:tblStyle w:val="9"/>
        <w:tblW w:w="1536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3487"/>
        <w:gridCol w:w="1188"/>
        <w:gridCol w:w="1188"/>
        <w:gridCol w:w="1440"/>
        <w:gridCol w:w="3716"/>
        <w:gridCol w:w="1188"/>
        <w:gridCol w:w="1188"/>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20" w:type="dxa"/>
            <w:gridSpan w:val="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251" w:beforeLines="80"/>
              <w:jc w:val="left"/>
              <w:textAlignment w:val="bottom"/>
              <w:rPr>
                <w:rFonts w:ascii="楷体_GB2312" w:hAnsi="宋体" w:eastAsia="楷体_GB2312" w:cs="楷体_GB2312"/>
                <w:i w:val="0"/>
                <w:iCs w:val="0"/>
                <w:color w:val="000000"/>
                <w:sz w:val="24"/>
                <w:szCs w:val="24"/>
                <w:u w:val="none"/>
              </w:rPr>
            </w:pPr>
            <w:r>
              <w:rPr>
                <w:rFonts w:hint="eastAsia" w:ascii="黑体" w:hAnsi="黑体" w:eastAsia="黑体" w:cs="黑体"/>
                <w:i w:val="0"/>
                <w:iCs w:val="0"/>
                <w:color w:val="000000"/>
                <w:kern w:val="0"/>
                <w:sz w:val="28"/>
                <w:szCs w:val="28"/>
                <w:u w:val="none"/>
                <w:lang w:val="en-US" w:eastAsia="zh-CN" w:bidi="ar"/>
              </w:rPr>
              <w:t>附表4：</w:t>
            </w:r>
          </w:p>
        </w:tc>
        <w:tc>
          <w:tcPr>
            <w:tcW w:w="118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88"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71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8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88" w:type="dxa"/>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c>
          <w:tcPr>
            <w:tcW w:w="14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潢川县2023年国有资本经营预算收支执行情况表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行号</w:t>
            </w:r>
          </w:p>
        </w:tc>
        <w:tc>
          <w:tcPr>
            <w:tcW w:w="73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收        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_GB2312" w:hAnsi="仿宋_GB2312" w:eastAsia="仿宋_GB2312" w:cs="仿宋_GB2312"/>
                <w:b w:val="0"/>
                <w:bCs w:val="0"/>
                <w:i w:val="0"/>
                <w:iCs w:val="0"/>
                <w:color w:val="000000"/>
                <w:sz w:val="22"/>
                <w:szCs w:val="22"/>
                <w:u w:val="none"/>
              </w:rPr>
            </w:pPr>
          </w:p>
        </w:tc>
        <w:tc>
          <w:tcPr>
            <w:tcW w:w="3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决算数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占预算%</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决算数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较上年实际完成增长%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一、国有资本经营收入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1、利润收入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2、股利、股息收入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1、解决历史遗留问题及改革成本支出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3、产权转让收入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2、国有企业资本金注入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4、清算收入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3、国有企业政策性补贴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二、国有资本经营预算转移支付收入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4、其他国有资本经营预算支出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三、上解收入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1、国有资本经营预算转移支付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2、上解支出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3、调出资金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国有资本经营预算收入合计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国有资本经营预算支出合计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bl>
    <w:p>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tbl>
      <w:tblPr>
        <w:tblStyle w:val="9"/>
        <w:tblW w:w="154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6" w:type="dxa"/>
          <w:bottom w:w="0" w:type="dxa"/>
          <w:right w:w="6" w:type="dxa"/>
        </w:tblCellMar>
      </w:tblPr>
      <w:tblGrid>
        <w:gridCol w:w="527"/>
        <w:gridCol w:w="307"/>
        <w:gridCol w:w="108"/>
        <w:gridCol w:w="3532"/>
        <w:gridCol w:w="17"/>
        <w:gridCol w:w="167"/>
        <w:gridCol w:w="998"/>
        <w:gridCol w:w="28"/>
        <w:gridCol w:w="161"/>
        <w:gridCol w:w="993"/>
        <w:gridCol w:w="125"/>
        <w:gridCol w:w="164"/>
        <w:gridCol w:w="1144"/>
        <w:gridCol w:w="52"/>
        <w:gridCol w:w="148"/>
        <w:gridCol w:w="3320"/>
        <w:gridCol w:w="89"/>
        <w:gridCol w:w="19"/>
        <w:gridCol w:w="1074"/>
        <w:gridCol w:w="100"/>
        <w:gridCol w:w="40"/>
        <w:gridCol w:w="1042"/>
        <w:gridCol w:w="111"/>
        <w:gridCol w:w="46"/>
        <w:gridCol w:w="1106"/>
        <w:gridCol w:w="26"/>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503" w:hRule="exact"/>
        </w:trPr>
        <w:tc>
          <w:tcPr>
            <w:tcW w:w="4491"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楷体_GB2312" w:hAnsi="宋体" w:eastAsia="楷体_GB2312" w:cs="楷体_GB2312"/>
                <w:i w:val="0"/>
                <w:iCs w:val="0"/>
                <w:color w:val="000000"/>
                <w:sz w:val="24"/>
                <w:szCs w:val="24"/>
                <w:u w:val="none"/>
              </w:rPr>
            </w:pPr>
            <w:r>
              <w:rPr>
                <w:rFonts w:hint="eastAsia" w:ascii="黑体" w:hAnsi="黑体" w:eastAsia="黑体" w:cs="黑体"/>
                <w:i w:val="0"/>
                <w:iCs w:val="0"/>
                <w:color w:val="000000"/>
                <w:kern w:val="0"/>
                <w:sz w:val="28"/>
                <w:szCs w:val="28"/>
                <w:u w:val="none"/>
                <w:lang w:val="en-US" w:eastAsia="zh-CN" w:bidi="ar"/>
              </w:rPr>
              <w:t>附表5：</w:t>
            </w:r>
          </w:p>
        </w:tc>
        <w:tc>
          <w:tcPr>
            <w:tcW w:w="1193"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79"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360"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557"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93"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93" w:type="dxa"/>
            <w:gridSpan w:val="3"/>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c>
          <w:tcPr>
            <w:tcW w:w="1152"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483" w:hRule="atLeast"/>
        </w:trPr>
        <w:tc>
          <w:tcPr>
            <w:tcW w:w="15418" w:type="dxa"/>
            <w:gridSpan w:val="2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潢川县2024年一般公共预算收支预算表</w:t>
            </w:r>
            <w:r>
              <w:rPr>
                <w:rStyle w:val="13"/>
                <w:rFonts w:hint="eastAsia" w:ascii="方正小标宋简体" w:hAnsi="方正小标宋简体" w:eastAsia="方正小标宋简体" w:cs="方正小标宋简体"/>
                <w:b w:val="0"/>
                <w:bCs w:val="0"/>
                <w:sz w:val="36"/>
                <w:szCs w:val="36"/>
                <w:lang w:val="en-US" w:eastAsia="zh-CN" w:bidi="ar"/>
              </w:rPr>
              <w:t>（</w:t>
            </w:r>
            <w:r>
              <w:rPr>
                <w:rStyle w:val="14"/>
                <w:rFonts w:hint="eastAsia" w:ascii="方正小标宋简体" w:hAnsi="方正小标宋简体" w:eastAsia="方正小标宋简体" w:cs="方正小标宋简体"/>
                <w:b w:val="0"/>
                <w:bCs w:val="0"/>
                <w:sz w:val="36"/>
                <w:szCs w:val="36"/>
                <w:lang w:val="en-US" w:eastAsia="zh-CN" w:bidi="ar"/>
              </w:rPr>
              <w:t>草案</w:t>
            </w:r>
            <w:r>
              <w:rPr>
                <w:rStyle w:val="13"/>
                <w:rFonts w:hint="eastAsia" w:ascii="方正小标宋简体" w:hAnsi="方正小标宋简体" w:eastAsia="方正小标宋简体" w:cs="方正小标宋简体"/>
                <w:b w:val="0"/>
                <w:bCs w:val="0"/>
                <w:sz w:val="36"/>
                <w:szCs w:val="3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312" w:hRule="exact"/>
        </w:trPr>
        <w:tc>
          <w:tcPr>
            <w:tcW w:w="834"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57"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9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79"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360"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3557"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1193"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2345" w:type="dxa"/>
            <w:gridSpan w:val="5"/>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318" w:hRule="exact"/>
        </w:trPr>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行号</w:t>
            </w:r>
          </w:p>
        </w:tc>
        <w:tc>
          <w:tcPr>
            <w:tcW w:w="748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收              入</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506" w:hRule="exact"/>
        </w:trPr>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_GB2312" w:hAnsi="仿宋_GB2312" w:eastAsia="仿宋_GB2312" w:cs="仿宋_GB2312"/>
                <w:b w:val="0"/>
                <w:bCs w:val="0"/>
                <w:i w:val="0"/>
                <w:iCs w:val="0"/>
                <w:color w:val="000000"/>
                <w:sz w:val="22"/>
                <w:szCs w:val="22"/>
                <w:u w:val="none"/>
              </w:rPr>
            </w:pP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上年实际</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完成数</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本年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较上年实际</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完成增长%</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 预算数</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本年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较上年预算增长%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一、增值税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27652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29394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一、一般公共服务支出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71108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76831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二、营业税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二、国防支出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三、企业所得税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4702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4999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三、公共安全支出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14155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14297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四、个人所得税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3221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3424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四、教育支出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130105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111206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五、资源税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558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593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五、科学技术支出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1818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1836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六、环保税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68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72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六、文化旅游体育与传媒支出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2990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3020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七、城市维护建设税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2133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2267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七、社会保障和就业支出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68419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72103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八、房产税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1485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1578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八、卫生健康支出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67749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68426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9</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九、印花税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948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1008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九、节能环保支出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11174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11286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十、城镇土地使用税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2006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2133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十、城乡社区支出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24718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24965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11</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十一、土地增值税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16136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17152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十一、农林水支出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73327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74060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12</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十二、车船税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1406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1494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十二、交通运输支出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8747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8834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13</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十三、耕地占用税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1235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1313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十三、资源勘探信息等支出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225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227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14</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十四、契税</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14026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14910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十四、商业服务业等支出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475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480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15</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十五、其他税收收入</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47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49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6.3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十五、金融支出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16</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十六、专项收入</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3418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3486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2.0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十六、援助其他地区支出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50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50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17</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十七、行政事业性收费收入</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3340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3407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2.0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十七、自然资源海洋气象等支出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2294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2317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18</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十八、罚没收入</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6753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6888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2.0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十八、住房保障支出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4740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16787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19</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十九、国有资本经营收入</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十九、粮油物资储备支出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1142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1153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20</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二十、国有资源（资产）有偿使用收入</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13898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14165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1.9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二十、灾害防治及应急管理支出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1272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1285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21</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二十一、其他收入</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4965 </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5064 </w:t>
            </w: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2.0 </w:t>
            </w: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二十一、预备费</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5000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5000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22</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二十二、债务还本支出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23</w:t>
            </w:r>
          </w:p>
        </w:tc>
        <w:tc>
          <w:tcPr>
            <w:tcW w:w="36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6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55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二十三、债务付息支出</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5500 </w:t>
            </w:r>
          </w:p>
        </w:tc>
        <w:tc>
          <w:tcPr>
            <w:tcW w:w="119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6000 </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24</w:t>
            </w:r>
          </w:p>
        </w:tc>
        <w:tc>
          <w:tcPr>
            <w:tcW w:w="3657"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1193"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79" w:type="dxa"/>
            <w:gridSpan w:val="3"/>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60" w:type="dxa"/>
            <w:gridSpan w:val="3"/>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557" w:type="dxa"/>
            <w:gridSpan w:val="3"/>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二十四、债务发行费用支出</w:t>
            </w:r>
          </w:p>
        </w:tc>
        <w:tc>
          <w:tcPr>
            <w:tcW w:w="1193" w:type="dxa"/>
            <w:gridSpan w:val="3"/>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80 </w:t>
            </w:r>
          </w:p>
        </w:tc>
        <w:tc>
          <w:tcPr>
            <w:tcW w:w="1193" w:type="dxa"/>
            <w:gridSpan w:val="3"/>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 </w:t>
            </w:r>
          </w:p>
        </w:tc>
        <w:tc>
          <w:tcPr>
            <w:tcW w:w="1152" w:type="dxa"/>
            <w:gridSpan w:val="2"/>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2"/>
          <w:wAfter w:w="60" w:type="dxa"/>
          <w:trHeight w:val="283" w:hRule="exact"/>
        </w:trPr>
        <w:tc>
          <w:tcPr>
            <w:tcW w:w="8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25</w:t>
            </w:r>
          </w:p>
        </w:tc>
        <w:tc>
          <w:tcPr>
            <w:tcW w:w="365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一般公共预算收入合计</w:t>
            </w:r>
          </w:p>
        </w:tc>
        <w:tc>
          <w:tcPr>
            <w:tcW w:w="119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107996 </w:t>
            </w:r>
          </w:p>
        </w:tc>
        <w:tc>
          <w:tcPr>
            <w:tcW w:w="127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113396 </w:t>
            </w:r>
          </w:p>
        </w:tc>
        <w:tc>
          <w:tcPr>
            <w:tcW w:w="13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5.0 </w:t>
            </w:r>
          </w:p>
        </w:tc>
        <w:tc>
          <w:tcPr>
            <w:tcW w:w="355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一般公共预算支出合计</w:t>
            </w:r>
          </w:p>
        </w:tc>
        <w:tc>
          <w:tcPr>
            <w:tcW w:w="119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495088 </w:t>
            </w:r>
          </w:p>
        </w:tc>
        <w:tc>
          <w:tcPr>
            <w:tcW w:w="119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500166 </w:t>
            </w:r>
          </w:p>
        </w:tc>
        <w:tc>
          <w:tcPr>
            <w:tcW w:w="115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2"/>
          <w:wAfter w:w="60" w:type="dxa"/>
          <w:trHeight w:val="731" w:hRule="exact"/>
        </w:trPr>
        <w:tc>
          <w:tcPr>
            <w:tcW w:w="15418" w:type="dxa"/>
            <w:gridSpan w:val="25"/>
            <w:tcBorders>
              <w:top w:val="single" w:color="auto" w:sz="4" w:space="0"/>
              <w:left w:val="nil"/>
              <w:bottom w:val="nil"/>
              <w:right w:val="nil"/>
            </w:tcBorders>
            <w:shd w:val="clear" w:color="auto" w:fill="auto"/>
            <w:noWrap/>
            <w:vAlign w:val="center"/>
          </w:tcPr>
          <w:p>
            <w:pPr>
              <w:keepNext w:val="0"/>
              <w:keepLines w:val="0"/>
              <w:widowControl/>
              <w:suppressLineNumbers w:val="0"/>
              <w:tabs>
                <w:tab w:val="left" w:pos="5520"/>
              </w:tabs>
              <w:jc w:val="left"/>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1"/>
          <w:wAfter w:w="34" w:type="dxa"/>
          <w:trHeight w:val="591" w:hRule="atLeast"/>
        </w:trPr>
        <w:tc>
          <w:tcPr>
            <w:tcW w:w="4658" w:type="dxa"/>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楷体_GB2312" w:hAnsi="宋体" w:eastAsia="楷体_GB2312" w:cs="楷体_GB2312"/>
                <w:i w:val="0"/>
                <w:iCs w:val="0"/>
                <w:color w:val="000000"/>
                <w:sz w:val="24"/>
                <w:szCs w:val="24"/>
                <w:u w:val="none"/>
              </w:rPr>
            </w:pPr>
            <w:r>
              <w:rPr>
                <w:rFonts w:hint="eastAsia" w:ascii="黑体" w:hAnsi="黑体" w:eastAsia="黑体" w:cs="黑体"/>
                <w:i w:val="0"/>
                <w:iCs w:val="0"/>
                <w:color w:val="000000"/>
                <w:kern w:val="0"/>
                <w:sz w:val="28"/>
                <w:szCs w:val="28"/>
                <w:u w:val="none"/>
                <w:lang w:val="en-US" w:eastAsia="zh-CN" w:bidi="ar"/>
              </w:rPr>
              <w:t>附表6：</w:t>
            </w:r>
          </w:p>
        </w:tc>
        <w:tc>
          <w:tcPr>
            <w:tcW w:w="1187"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82"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344"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428"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214"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99" w:type="dxa"/>
            <w:gridSpan w:val="3"/>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c>
          <w:tcPr>
            <w:tcW w:w="1132"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1"/>
          <w:wAfter w:w="34" w:type="dxa"/>
          <w:trHeight w:val="682" w:hRule="atLeast"/>
        </w:trPr>
        <w:tc>
          <w:tcPr>
            <w:tcW w:w="15444" w:type="dxa"/>
            <w:gridSpan w:val="2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潢川县2024年政府性基金预算收支预算表（</w:t>
            </w:r>
            <w:r>
              <w:rPr>
                <w:rStyle w:val="15"/>
                <w:rFonts w:hint="eastAsia" w:ascii="方正小标宋简体" w:hAnsi="方正小标宋简体" w:eastAsia="方正小标宋简体" w:cs="方正小标宋简体"/>
                <w:b w:val="0"/>
                <w:bCs w:val="0"/>
                <w:sz w:val="36"/>
                <w:szCs w:val="36"/>
                <w:lang w:val="en-US" w:eastAsia="zh-CN" w:bidi="ar"/>
              </w:rPr>
              <w:t>草案</w:t>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1"/>
          <w:wAfter w:w="34" w:type="dxa"/>
          <w:trHeight w:val="469" w:hRule="atLeast"/>
        </w:trPr>
        <w:tc>
          <w:tcPr>
            <w:tcW w:w="942" w:type="dxa"/>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16"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87"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282"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344"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3428"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1214"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2331" w:type="dxa"/>
            <w:gridSpan w:val="5"/>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1"/>
          <w:wAfter w:w="34" w:type="dxa"/>
          <w:trHeight w:val="329" w:hRule="exact"/>
        </w:trPr>
        <w:tc>
          <w:tcPr>
            <w:tcW w:w="9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行号</w:t>
            </w:r>
          </w:p>
        </w:tc>
        <w:tc>
          <w:tcPr>
            <w:tcW w:w="752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收             入</w:t>
            </w:r>
          </w:p>
        </w:tc>
        <w:tc>
          <w:tcPr>
            <w:tcW w:w="697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1"/>
          <w:wAfter w:w="34" w:type="dxa"/>
          <w:trHeight w:val="595" w:hRule="exact"/>
        </w:trPr>
        <w:tc>
          <w:tcPr>
            <w:tcW w:w="9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_GB2312" w:hAnsi="仿宋_GB2312" w:eastAsia="仿宋_GB2312" w:cs="仿宋_GB2312"/>
                <w:b w:val="0"/>
                <w:bCs w:val="0"/>
                <w:i w:val="0"/>
                <w:iCs w:val="0"/>
                <w:color w:val="000000"/>
                <w:sz w:val="22"/>
                <w:szCs w:val="22"/>
                <w:u w:val="none"/>
              </w:rPr>
            </w:pP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上年</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本年</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较上年预算</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增长%</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上年</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本年</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较上年预算增长%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一、国家电影事业发展专项资金收入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一、科学技术支出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二、大中型水库移民后期扶持基金收入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二、文化旅游体育与传媒支出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三、小型水库移民扶持基金收入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三、社会保障和就业支出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240 </w:t>
            </w: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300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五、国有土地收益基金收入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1800</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1418</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-21.2 </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四、节能环保支出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六、农业土地开发资金收入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400</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315</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-21.2 </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五、城乡社区支出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163304 </w:t>
            </w: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161055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四、国有土地使用权出让收入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196400</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154700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-21.2 </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六、农林水支出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七、城市基础设施配套费收入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600</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474</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-21.0 </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七、交通运输支出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八、污水处理费收入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800</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810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1.3 </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八、资源勘探信息等支出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9</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九、城市公用事业附加收入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九、金融支出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十、大中型水库库区基金收入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十、其他支出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54446 </w:t>
            </w: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30350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-44.3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11</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十一、车辆通行费</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十一、债务付息支出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26000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1"/>
          <w:wAfter w:w="34" w:type="dxa"/>
          <w:trHeight w:val="403"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12</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十二、新型墙体材料专项基金收入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十二、债务发行费用支出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13</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十三、旅游发展基金收入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十三、抗疫特别国债安排的支出</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14</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十四、彩票公益金收入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15</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十五、其他政府性基金收入</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1"/>
          <w:wAfter w:w="34" w:type="dxa"/>
          <w:trHeight w:val="385" w:hRule="exact"/>
        </w:trPr>
        <w:tc>
          <w:tcPr>
            <w:tcW w:w="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16</w:t>
            </w:r>
          </w:p>
        </w:tc>
        <w:tc>
          <w:tcPr>
            <w:tcW w:w="371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政府性基金预算收入合计</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200000 </w:t>
            </w:r>
          </w:p>
        </w:tc>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157717 </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-21.1 </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政府性基金预算支出合计</w:t>
            </w:r>
          </w:p>
        </w:tc>
        <w:tc>
          <w:tcPr>
            <w:tcW w:w="12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218000 </w:t>
            </w:r>
          </w:p>
        </w:tc>
        <w:tc>
          <w:tcPr>
            <w:tcW w:w="11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217717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gridAfter w:val="1"/>
          <w:wAfter w:w="34" w:type="dxa"/>
          <w:trHeight w:val="525" w:hRule="exact"/>
        </w:trPr>
        <w:tc>
          <w:tcPr>
            <w:tcW w:w="15444" w:type="dxa"/>
            <w:gridSpan w:val="26"/>
            <w:tcBorders>
              <w:top w:val="single" w:color="000000" w:sz="4" w:space="0"/>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88" w:beforeLines="60"/>
              <w:jc w:val="left"/>
              <w:textAlignment w:val="center"/>
              <w:rPr>
                <w:rFonts w:hint="eastAsia" w:ascii="楷体_GB2312" w:hAnsi="宋体" w:eastAsia="楷体_GB2312" w:cs="楷体_GB2312"/>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注：2024年政府性基金支出预算（其他支出）含年初提前下达的第一批专项债券30000万元。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435" w:hRule="atLeast"/>
        </w:trPr>
        <w:tc>
          <w:tcPr>
            <w:tcW w:w="4474" w:type="dxa"/>
            <w:gridSpan w:val="4"/>
            <w:tcBorders>
              <w:top w:val="nil"/>
              <w:left w:val="nil"/>
              <w:bottom w:val="nil"/>
              <w:right w:val="nil"/>
            </w:tcBorders>
            <w:shd w:val="clear" w:color="auto" w:fill="auto"/>
            <w:noWrap/>
            <w:vAlign w:val="bottom"/>
          </w:tcPr>
          <w:p>
            <w:pPr>
              <w:pStyle w:val="5"/>
              <w:rPr>
                <w:rFonts w:hint="eastAsia"/>
                <w:lang w:val="en-US" w:eastAsia="zh-CN"/>
              </w:rPr>
            </w:pPr>
          </w:p>
          <w:p>
            <w:pPr>
              <w:keepNext w:val="0"/>
              <w:keepLines w:val="0"/>
              <w:widowControl/>
              <w:suppressLineNumbers w:val="0"/>
              <w:jc w:val="left"/>
              <w:textAlignment w:val="bottom"/>
              <w:rPr>
                <w:rFonts w:ascii="楷体_GB2312" w:hAnsi="宋体" w:eastAsia="楷体_GB2312" w:cs="楷体_GB2312"/>
                <w:i w:val="0"/>
                <w:iCs w:val="0"/>
                <w:color w:val="000000"/>
                <w:sz w:val="24"/>
                <w:szCs w:val="24"/>
                <w:u w:val="none"/>
              </w:rPr>
            </w:pPr>
            <w:r>
              <w:rPr>
                <w:rFonts w:hint="eastAsia" w:ascii="黑体" w:hAnsi="黑体" w:eastAsia="黑体" w:cs="黑体"/>
                <w:i w:val="0"/>
                <w:iCs w:val="0"/>
                <w:color w:val="000000"/>
                <w:kern w:val="0"/>
                <w:sz w:val="28"/>
                <w:szCs w:val="28"/>
                <w:u w:val="none"/>
                <w:lang w:val="en-US" w:eastAsia="zh-CN" w:bidi="ar"/>
              </w:rPr>
              <w:t>附表7：</w:t>
            </w:r>
          </w:p>
        </w:tc>
        <w:tc>
          <w:tcPr>
            <w:tcW w:w="1182"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82"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433"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520"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82"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82" w:type="dxa"/>
            <w:gridSpan w:val="3"/>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c>
          <w:tcPr>
            <w:tcW w:w="1323"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615" w:hRule="atLeast"/>
        </w:trPr>
        <w:tc>
          <w:tcPr>
            <w:tcW w:w="15478" w:type="dxa"/>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潢川县2024年社会保险基金预算收支预算表（草案）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45" w:hRule="atLeast"/>
        </w:trPr>
        <w:tc>
          <w:tcPr>
            <w:tcW w:w="52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47"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82"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82"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433"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3520"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1182" w:type="dxa"/>
            <w:gridSpan w:val="3"/>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1182" w:type="dxa"/>
            <w:gridSpan w:val="3"/>
            <w:tcBorders>
              <w:top w:val="nil"/>
              <w:left w:val="nil"/>
              <w:bottom w:val="nil"/>
              <w:right w:val="nil"/>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323"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618"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行号</w:t>
            </w:r>
          </w:p>
        </w:tc>
        <w:tc>
          <w:tcPr>
            <w:tcW w:w="7744"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收          入</w:t>
            </w:r>
          </w:p>
        </w:tc>
        <w:tc>
          <w:tcPr>
            <w:tcW w:w="7207"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798"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_GB2312" w:hAnsi="仿宋_GB2312" w:eastAsia="仿宋_GB2312" w:cs="仿宋_GB2312"/>
                <w:b w:val="0"/>
                <w:bCs w:val="0"/>
                <w:i w:val="0"/>
                <w:iCs w:val="0"/>
                <w:color w:val="000000"/>
                <w:sz w:val="22"/>
                <w:szCs w:val="22"/>
                <w:u w:val="none"/>
              </w:rPr>
            </w:pPr>
          </w:p>
        </w:tc>
        <w:tc>
          <w:tcPr>
            <w:tcW w:w="39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上年实际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完成数</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本年</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4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较上年实际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完成增长%</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上年实际</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完成数</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本年</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32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较上年实际完成增长%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6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一、失业保险基金收入</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3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一、失业保险基金支出</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trHeight w:val="6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二、工伤保险基金收入</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3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二、工伤保险基金支出</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trHeight w:val="6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三、生育保险基金收入</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3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三、生育保险基金支出</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6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四、城乡居民基本养老保险基金收入</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27144 </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32218 </w:t>
            </w:r>
          </w:p>
        </w:tc>
        <w:tc>
          <w:tcPr>
            <w:tcW w:w="143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18.7 </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四、城乡居民基本养老保险基金支出</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21323 </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23421 </w:t>
            </w:r>
          </w:p>
        </w:tc>
        <w:tc>
          <w:tcPr>
            <w:tcW w:w="13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6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五、机关事业单位基本养老保险基金收入</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3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五、机关事业单位基本养老保险基金支出</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trHeight w:val="6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六、城乡居民基本医疗保险基金收入</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3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六、城乡居民基本医疗保险基金支出</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6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七、其他社会保险基金收入</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3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七、其他社会保险基金支出</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trHeight w:val="6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39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社会保险基金预算收入合计</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27144 </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32218 </w:t>
            </w:r>
          </w:p>
        </w:tc>
        <w:tc>
          <w:tcPr>
            <w:tcW w:w="143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18.7 </w:t>
            </w:r>
          </w:p>
        </w:tc>
        <w:tc>
          <w:tcPr>
            <w:tcW w:w="352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社会保险基金预算支出合计</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21323 </w:t>
            </w:r>
          </w:p>
        </w:tc>
        <w:tc>
          <w:tcPr>
            <w:tcW w:w="118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23421 </w:t>
            </w:r>
          </w:p>
        </w:tc>
        <w:tc>
          <w:tcPr>
            <w:tcW w:w="13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528" w:hRule="atLeast"/>
        </w:trPr>
        <w:tc>
          <w:tcPr>
            <w:tcW w:w="15478" w:type="dxa"/>
            <w:gridSpan w:val="27"/>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88" w:beforeLines="6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注：按照省级要求，失业保险基金、工伤保险基金、生育保险基金、机关事业单位基本养老保险基金预算由市级统筹编制。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510" w:hRule="atLeast"/>
        </w:trPr>
        <w:tc>
          <w:tcPr>
            <w:tcW w:w="15478" w:type="dxa"/>
            <w:gridSpan w:val="2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      从2020年起，城乡居民基本医疗保险基金由市级统筹编制。</w:t>
            </w:r>
          </w:p>
        </w:tc>
      </w:tr>
    </w:tbl>
    <w:p>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tbl>
      <w:tblPr>
        <w:tblStyle w:val="9"/>
        <w:tblW w:w="15161"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3450"/>
        <w:gridCol w:w="1157"/>
        <w:gridCol w:w="1061"/>
        <w:gridCol w:w="1339"/>
        <w:gridCol w:w="3716"/>
        <w:gridCol w:w="1188"/>
        <w:gridCol w:w="1312"/>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72"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楷体_GB2312" w:hAnsi="宋体" w:eastAsia="楷体_GB2312" w:cs="楷体_GB2312"/>
                <w:i w:val="0"/>
                <w:iCs w:val="0"/>
                <w:color w:val="000000"/>
                <w:sz w:val="24"/>
                <w:szCs w:val="24"/>
                <w:u w:val="none"/>
              </w:rPr>
            </w:pPr>
            <w:r>
              <w:rPr>
                <w:rFonts w:hint="eastAsia" w:ascii="黑体" w:hAnsi="黑体" w:eastAsia="黑体" w:cs="黑体"/>
                <w:i w:val="0"/>
                <w:iCs w:val="0"/>
                <w:color w:val="000000"/>
                <w:kern w:val="0"/>
                <w:sz w:val="28"/>
                <w:szCs w:val="28"/>
                <w:u w:val="none"/>
                <w:lang w:val="en-US" w:eastAsia="zh-CN" w:bidi="ar"/>
              </w:rPr>
              <w:t>附表8：</w:t>
            </w:r>
          </w:p>
        </w:tc>
        <w:tc>
          <w:tcPr>
            <w:tcW w:w="115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61"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33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371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8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312" w:type="dxa"/>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4"/>
                <w:szCs w:val="24"/>
                <w:u w:val="none"/>
              </w:rPr>
            </w:pPr>
          </w:p>
        </w:tc>
        <w:tc>
          <w:tcPr>
            <w:tcW w:w="131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5161"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潢川县2024年国有资本经营预算收支预算表（草案）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2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5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061"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1339" w:type="dxa"/>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3716" w:type="dxa"/>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1188" w:type="dxa"/>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000000"/>
                <w:sz w:val="20"/>
                <w:szCs w:val="20"/>
                <w:u w:val="none"/>
              </w:rPr>
            </w:pPr>
          </w:p>
        </w:tc>
        <w:tc>
          <w:tcPr>
            <w:tcW w:w="1312" w:type="dxa"/>
            <w:tcBorders>
              <w:top w:val="nil"/>
              <w:left w:val="nil"/>
              <w:bottom w:val="nil"/>
              <w:right w:val="nil"/>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3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行号</w:t>
            </w:r>
          </w:p>
        </w:tc>
        <w:tc>
          <w:tcPr>
            <w:tcW w:w="70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收          入</w:t>
            </w:r>
          </w:p>
        </w:tc>
        <w:tc>
          <w:tcPr>
            <w:tcW w:w="7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仿宋_GB2312" w:hAnsi="仿宋_GB2312" w:eastAsia="仿宋_GB2312" w:cs="仿宋_GB2312"/>
                <w:b w:val="0"/>
                <w:bCs w:val="0"/>
                <w:i w:val="0"/>
                <w:iCs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上年实际完成数</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本年</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较上年实际完成增长%</w:t>
            </w:r>
          </w:p>
        </w:tc>
        <w:tc>
          <w:tcPr>
            <w:tcW w:w="3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预算科目</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上年实际完成数</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本年</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预算数</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较上年实际完成增长%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一、国有资本经营收入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一、社会保障和就业支出</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1、利润收入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二、国有资本经营预算支出</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2、股利、股息收入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1、解决历史遗留问题及改革成本支出</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3、产权转让收入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2、国有企业资本金注入</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4、清算收入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3、国有企业政策性补贴</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二、国有资本经营预算转移支付收入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4、其他国有资本经营预算支出</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三、上解收入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三、转移性支出</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1、国有资本经营预算转移支付</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9</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2、上解支出</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  3、调出资金</w:t>
            </w: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11</w:t>
            </w:r>
          </w:p>
        </w:tc>
        <w:tc>
          <w:tcPr>
            <w:tcW w:w="3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国有资本经营预算收入合计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3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国有资本经营预算支出合计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1000 </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val="0"/>
                <w:bCs w:val="0"/>
                <w:i w:val="0"/>
                <w:iCs w:val="0"/>
                <w:color w:val="000000"/>
                <w:sz w:val="20"/>
                <w:szCs w:val="20"/>
                <w:u w:val="none"/>
              </w:rPr>
            </w:pPr>
          </w:p>
        </w:tc>
      </w:tr>
    </w:tbl>
    <w:p>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sectPr>
          <w:pgSz w:w="16838" w:h="11906" w:orient="landscape"/>
          <w:pgMar w:top="567" w:right="567" w:bottom="567" w:left="567"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相关财政名词解释</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textAlignment w:val="auto"/>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1.政府预算体系：</w:t>
      </w:r>
      <w:r>
        <w:rPr>
          <w:rFonts w:hint="eastAsia" w:ascii="仿宋_GB2312" w:hAnsi="仿宋_GB2312" w:eastAsia="仿宋_GB2312" w:cs="仿宋_GB2312"/>
          <w:color w:val="000000"/>
          <w:spacing w:val="0"/>
          <w:w w:val="100"/>
          <w:position w:val="0"/>
          <w:sz w:val="32"/>
          <w:szCs w:val="32"/>
          <w:lang w:val="en-US" w:eastAsia="zh-CN"/>
        </w:rPr>
        <w:t>政府预算包括一般公共预算、政府性基金预算、国有资本经营预算、社会保险基金预算。</w:t>
      </w:r>
      <w:r>
        <w:rPr>
          <w:rFonts w:hint="eastAsia" w:ascii="仿宋_GB2312" w:hAnsi="仿宋_GB2312" w:eastAsia="仿宋_GB2312" w:cs="仿宋_GB2312"/>
          <w:b/>
          <w:bCs/>
          <w:color w:val="000000"/>
          <w:spacing w:val="0"/>
          <w:w w:val="100"/>
          <w:position w:val="0"/>
          <w:sz w:val="32"/>
          <w:szCs w:val="32"/>
          <w:lang w:val="en-US" w:eastAsia="zh-CN"/>
        </w:rPr>
        <w:t>四本预算合称全口径预算。</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2.一般公共预算：</w:t>
      </w:r>
      <w:r>
        <w:rPr>
          <w:rFonts w:hint="eastAsia" w:ascii="仿宋_GB2312" w:hAnsi="仿宋_GB2312" w:eastAsia="仿宋_GB2312" w:cs="仿宋_GB2312"/>
          <w:color w:val="000000"/>
          <w:spacing w:val="0"/>
          <w:w w:val="100"/>
          <w:position w:val="0"/>
          <w:sz w:val="32"/>
          <w:szCs w:val="32"/>
          <w:lang w:val="en-US" w:eastAsia="zh-CN"/>
        </w:rPr>
        <w:t>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3.政府性基金预算：</w:t>
      </w:r>
      <w:r>
        <w:rPr>
          <w:rFonts w:hint="eastAsia" w:ascii="仿宋_GB2312" w:hAnsi="仿宋_GB2312" w:eastAsia="仿宋_GB2312" w:cs="仿宋_GB2312"/>
          <w:color w:val="000000"/>
          <w:spacing w:val="0"/>
          <w:w w:val="100"/>
          <w:position w:val="0"/>
          <w:sz w:val="32"/>
          <w:szCs w:val="32"/>
          <w:lang w:val="en-US" w:eastAsia="zh-CN"/>
        </w:rPr>
        <w:t>政府性基金预算是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4.国有资本经营预算：</w:t>
      </w:r>
      <w:r>
        <w:rPr>
          <w:rFonts w:hint="eastAsia" w:ascii="仿宋_GB2312" w:hAnsi="仿宋_GB2312" w:eastAsia="仿宋_GB2312" w:cs="仿宋_GB2312"/>
          <w:color w:val="000000"/>
          <w:spacing w:val="0"/>
          <w:w w:val="100"/>
          <w:position w:val="0"/>
          <w:sz w:val="32"/>
          <w:szCs w:val="32"/>
          <w:lang w:val="en-US" w:eastAsia="zh-CN"/>
        </w:rPr>
        <w:t>国有资本经营预算是对国有资本收益支出安排的收支预算。国有资本经营预算应当按照收支平衡的原则编制，不列赤字，并安排资金调入一般公共预算。</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5.社会保险基金预算：</w:t>
      </w:r>
      <w:r>
        <w:rPr>
          <w:rFonts w:hint="eastAsia" w:ascii="仿宋_GB2312" w:hAnsi="仿宋_GB2312" w:eastAsia="仿宋_GB2312" w:cs="仿宋_GB2312"/>
          <w:color w:val="000000"/>
          <w:spacing w:val="0"/>
          <w:w w:val="100"/>
          <w:position w:val="0"/>
          <w:sz w:val="32"/>
          <w:szCs w:val="32"/>
          <w:lang w:val="en-US" w:eastAsia="zh-CN"/>
        </w:rPr>
        <w:t>社会保险基金预算是对社会保险缴款、一般公共预算安排和其他方式筹集的资金，专项用于社会保险的收支预算。社会保险基金预算应当按照统筹层次和社会保险险种分别编制，做到收支平衡。</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sz w:val="32"/>
          <w:szCs w:val="32"/>
          <w:lang w:val="en-US" w:eastAsia="zh-CN"/>
        </w:rPr>
        <w:t>6.一般公共预算收入：</w:t>
      </w:r>
      <w:r>
        <w:rPr>
          <w:rFonts w:hint="eastAsia" w:ascii="仿宋_GB2312" w:hAnsi="仿宋_GB2312" w:eastAsia="仿宋_GB2312" w:cs="仿宋_GB2312"/>
          <w:sz w:val="32"/>
          <w:szCs w:val="32"/>
          <w:lang w:val="en-US" w:eastAsia="zh-CN"/>
        </w:rPr>
        <w:t>是指政府为履行其职能、实施公共政策和提供公共物品与服务需要而筹</w:t>
      </w:r>
      <w:r>
        <w:rPr>
          <w:rFonts w:hint="eastAsia" w:ascii="仿宋_GB2312" w:hAnsi="仿宋_GB2312" w:eastAsia="仿宋_GB2312" w:cs="仿宋_GB2312"/>
          <w:color w:val="000000"/>
          <w:spacing w:val="0"/>
          <w:w w:val="100"/>
          <w:position w:val="0"/>
          <w:sz w:val="32"/>
          <w:szCs w:val="32"/>
        </w:rPr>
        <w:t>集的一切资金的总和，</w:t>
      </w:r>
      <w:r>
        <w:rPr>
          <w:rFonts w:hint="eastAsia" w:ascii="仿宋_GB2312" w:hAnsi="仿宋_GB2312" w:eastAsia="仿宋_GB2312" w:cs="仿宋_GB2312"/>
          <w:b/>
          <w:bCs/>
          <w:color w:val="000000"/>
          <w:spacing w:val="0"/>
          <w:w w:val="100"/>
          <w:position w:val="0"/>
          <w:sz w:val="32"/>
          <w:szCs w:val="32"/>
        </w:rPr>
        <w:t>包括税收收入和非税收入</w:t>
      </w:r>
      <w:r>
        <w:rPr>
          <w:rFonts w:hint="eastAsia" w:ascii="仿宋_GB2312" w:hAnsi="仿宋_GB2312" w:eastAsia="仿宋_GB2312" w:cs="仿宋_GB2312"/>
          <w:b/>
          <w:bCs/>
          <w:color w:val="000000"/>
          <w:spacing w:val="0"/>
          <w:w w:val="100"/>
          <w:positio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税收收入：</w:t>
      </w:r>
      <w:r>
        <w:rPr>
          <w:rFonts w:hint="eastAsia" w:ascii="仿宋_GB2312" w:hAnsi="仿宋_GB2312" w:eastAsia="仿宋_GB2312" w:cs="仿宋_GB2312"/>
          <w:color w:val="000000"/>
          <w:spacing w:val="0"/>
          <w:w w:val="100"/>
          <w:position w:val="0"/>
          <w:sz w:val="32"/>
          <w:szCs w:val="32"/>
          <w:lang w:val="en-US" w:eastAsia="zh-CN"/>
        </w:rPr>
        <w:t>指国家依据国家政治权力无偿征收的收入，也是财政收入的主要来源。</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非税收入：</w:t>
      </w:r>
      <w:r>
        <w:rPr>
          <w:rFonts w:hint="eastAsia" w:ascii="仿宋_GB2312" w:hAnsi="仿宋_GB2312" w:eastAsia="仿宋_GB2312" w:cs="仿宋_GB2312"/>
          <w:color w:val="000000"/>
          <w:spacing w:val="0"/>
          <w:w w:val="100"/>
          <w:position w:val="0"/>
          <w:sz w:val="32"/>
          <w:szCs w:val="32"/>
          <w:lang w:val="en-US" w:eastAsia="zh-CN"/>
        </w:rPr>
        <w:t>指由国家机关、事业单位、代行政府职能的社会团体及其他组织依法利用政府权力、政府信誉、国家资源、国有资产或者提供特定公共服务，通过征收、收取、提取、募集、罚没等方式（统称征收）取得的财政资金。</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sz w:val="32"/>
          <w:szCs w:val="32"/>
          <w:lang w:val="en-US" w:eastAsia="zh-CN"/>
        </w:rPr>
        <w:t>7.财政支出</w:t>
      </w:r>
      <w:r>
        <w:rPr>
          <w:rFonts w:hint="eastAsia" w:ascii="仿宋_GB2312" w:hAnsi="仿宋_GB2312" w:eastAsia="仿宋_GB2312" w:cs="仿宋_GB2312"/>
          <w:color w:val="000000"/>
          <w:spacing w:val="0"/>
          <w:w w:val="100"/>
          <w:position w:val="0"/>
          <w:sz w:val="32"/>
          <w:szCs w:val="32"/>
          <w:lang w:val="en-US" w:eastAsia="zh-CN"/>
        </w:rPr>
        <w:t>：政府为提供公共产品和服务，满足社会共同需要而进行的财政资金的支付。</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8.三保支出：</w:t>
      </w:r>
      <w:r>
        <w:rPr>
          <w:rFonts w:hint="eastAsia" w:ascii="仿宋_GB2312" w:hAnsi="仿宋_GB2312" w:eastAsia="仿宋_GB2312" w:cs="仿宋_GB2312"/>
          <w:b w:val="0"/>
          <w:bCs w:val="0"/>
          <w:color w:val="000000"/>
          <w:spacing w:val="0"/>
          <w:w w:val="100"/>
          <w:position w:val="0"/>
          <w:sz w:val="32"/>
          <w:szCs w:val="32"/>
          <w:lang w:val="en-US" w:eastAsia="zh-CN"/>
        </w:rPr>
        <w:t>指保工资、保运转、保民生，分清轻重缓急，合理安排财政支出。</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9.民生支出：</w:t>
      </w:r>
      <w:r>
        <w:rPr>
          <w:rFonts w:hint="eastAsia" w:ascii="仿宋_GB2312" w:hAnsi="仿宋_GB2312" w:eastAsia="仿宋_GB2312" w:cs="仿宋_GB2312"/>
          <w:b w:val="0"/>
          <w:bCs w:val="0"/>
          <w:color w:val="000000"/>
          <w:spacing w:val="0"/>
          <w:w w:val="100"/>
          <w:position w:val="0"/>
          <w:sz w:val="32"/>
          <w:szCs w:val="32"/>
          <w:lang w:val="en-US" w:eastAsia="zh-CN"/>
        </w:rPr>
        <w:t>严格意义讲公共财政就是民生支出，为反映公共财政的民生导向，往往把与人民群众日常生活息息相关的支出汇总予以反映，按照“努力让全体人民学有所教、劳有所得、病有所医、老有所养、住有所居”的目标，最基本的民生支出包括教育、医疗卫生、社保与就业、住房保障、文化、农林水事务、城乡社区事务、交通运输、节能环保。</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10.地方政府债务：</w:t>
      </w:r>
      <w:r>
        <w:rPr>
          <w:rFonts w:hint="eastAsia" w:ascii="仿宋_GB2312" w:hAnsi="仿宋_GB2312" w:eastAsia="仿宋_GB2312" w:cs="仿宋_GB2312"/>
          <w:color w:val="000000"/>
          <w:spacing w:val="0"/>
          <w:w w:val="100"/>
          <w:position w:val="0"/>
          <w:sz w:val="32"/>
          <w:szCs w:val="32"/>
          <w:lang w:val="en-US" w:eastAsia="zh-CN"/>
        </w:rPr>
        <w:t>地方政府债务是指地方政府为公益性事业发展举借，确定由财政资金偿还的债务。预算法规定，经国务院批准的省、自治区、直辖市等预算中必需的建设投资的部分资金，可以在国务院确定的限额内，通过发行地方政府债券举借债务的方式筹措。除以上规定外，地方政府及其所属部门不得以任何方式举借债务。除法律另有规定外，地方政府及其所属部门不得为任何单位和个人的债务以任何方式提供担保。</w:t>
      </w:r>
    </w:p>
    <w:p>
      <w:pPr>
        <w:pStyle w:val="4"/>
        <w:ind w:firstLine="643" w:firstLineChars="200"/>
        <w:rPr>
          <w:rFonts w:hint="default" w:ascii="仿宋_GB2312" w:hAnsi="仿宋_GB2312" w:eastAsia="仿宋_GB2312" w:cs="仿宋_GB2312"/>
          <w:color w:val="000000"/>
          <w:spacing w:val="0"/>
          <w:w w:val="100"/>
          <w:kern w:val="2"/>
          <w:position w:val="0"/>
          <w:sz w:val="32"/>
          <w:szCs w:val="32"/>
          <w:lang w:val="en-US" w:eastAsia="zh-CN" w:bidi="ar-SA"/>
        </w:rPr>
      </w:pPr>
      <w:r>
        <w:rPr>
          <w:rFonts w:hint="eastAsia" w:ascii="仿宋_GB2312" w:hAnsi="仿宋_GB2312" w:eastAsia="仿宋_GB2312" w:cs="仿宋_GB2312"/>
          <w:b/>
          <w:bCs/>
          <w:color w:val="000000"/>
          <w:spacing w:val="0"/>
          <w:w w:val="100"/>
          <w:kern w:val="2"/>
          <w:position w:val="0"/>
          <w:sz w:val="32"/>
          <w:szCs w:val="32"/>
          <w:lang w:val="en-US" w:eastAsia="zh-CN" w:bidi="ar-SA"/>
        </w:rPr>
        <w:t>11.债务限额：</w:t>
      </w:r>
      <w:r>
        <w:rPr>
          <w:rFonts w:hint="eastAsia" w:ascii="仿宋_GB2312" w:hAnsi="仿宋_GB2312" w:eastAsia="仿宋_GB2312" w:cs="仿宋_GB2312"/>
          <w:color w:val="000000"/>
          <w:spacing w:val="0"/>
          <w:w w:val="100"/>
          <w:kern w:val="2"/>
          <w:position w:val="0"/>
          <w:sz w:val="32"/>
          <w:szCs w:val="32"/>
          <w:lang w:val="en-US" w:eastAsia="zh-CN" w:bidi="ar-SA"/>
        </w:rPr>
        <w:t>从2015年起，国家对地方政府债务余额实行限额管理，债务余额不得突破批准的债务限额。年度地方政府债务限额等于上年地方政府债务限额加上当年新增债务限额（或减去当年调减债务限额），具体又分为一般债务限额和专项债务限额。通过财政资金偿还的政府外债纳入债务限额管理。</w:t>
      </w:r>
    </w:p>
    <w:tbl>
      <w:tblPr>
        <w:tblStyle w:val="10"/>
        <w:tblpPr w:leftFromText="180" w:rightFromText="180" w:vertAnchor="text" w:horzAnchor="page" w:tblpX="1770" w:tblpY="2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317"/>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35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w w:val="100"/>
                <w:position w:val="0"/>
                <w:sz w:val="28"/>
                <w:szCs w:val="28"/>
                <w:vertAlign w:val="baseline"/>
                <w:lang w:val="en-US" w:eastAsia="zh-CN"/>
              </w:rPr>
            </w:pPr>
            <w:r>
              <w:rPr>
                <w:rFonts w:hint="eastAsia" w:ascii="仿宋_GB2312" w:hAnsi="仿宋_GB2312" w:eastAsia="仿宋_GB2312" w:cs="仿宋_GB2312"/>
                <w:color w:val="000000"/>
                <w:spacing w:val="0"/>
                <w:w w:val="100"/>
                <w:position w:val="0"/>
                <w:sz w:val="28"/>
                <w:szCs w:val="28"/>
                <w:vertAlign w:val="baseline"/>
                <w:lang w:val="en-US" w:eastAsia="zh-CN"/>
              </w:rPr>
              <w:t>地方政府债务</w:t>
            </w:r>
          </w:p>
        </w:tc>
        <w:tc>
          <w:tcPr>
            <w:tcW w:w="13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w w:val="100"/>
                <w:position w:val="0"/>
                <w:sz w:val="28"/>
                <w:szCs w:val="28"/>
                <w:vertAlign w:val="baseline"/>
                <w:lang w:val="en-US" w:eastAsia="zh-CN"/>
              </w:rPr>
            </w:pPr>
            <w:r>
              <w:rPr>
                <w:rFonts w:hint="eastAsia" w:ascii="仿宋_GB2312" w:hAnsi="仿宋_GB2312" w:eastAsia="仿宋_GB2312" w:cs="仿宋_GB2312"/>
                <w:color w:val="000000"/>
                <w:spacing w:val="0"/>
                <w:w w:val="100"/>
                <w:position w:val="0"/>
                <w:sz w:val="28"/>
                <w:szCs w:val="28"/>
                <w:vertAlign w:val="baseline"/>
                <w:lang w:val="en-US" w:eastAsia="zh-CN"/>
              </w:rPr>
              <w:t>一般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w w:val="100"/>
                <w:position w:val="0"/>
                <w:sz w:val="28"/>
                <w:szCs w:val="28"/>
                <w:vertAlign w:val="baseline"/>
                <w:lang w:val="en-US" w:eastAsia="zh-CN"/>
              </w:rPr>
            </w:pPr>
            <w:r>
              <w:rPr>
                <w:rFonts w:hint="eastAsia" w:ascii="仿宋_GB2312" w:hAnsi="仿宋_GB2312" w:eastAsia="仿宋_GB2312" w:cs="仿宋_GB2312"/>
                <w:color w:val="000000"/>
                <w:spacing w:val="0"/>
                <w:w w:val="100"/>
                <w:position w:val="0"/>
                <w:sz w:val="28"/>
                <w:szCs w:val="28"/>
                <w:vertAlign w:val="baseline"/>
                <w:lang w:val="en-US" w:eastAsia="zh-CN"/>
              </w:rPr>
              <w:t>债务</w:t>
            </w:r>
          </w:p>
        </w:tc>
        <w:tc>
          <w:tcPr>
            <w:tcW w:w="63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pacing w:val="0"/>
                <w:w w:val="100"/>
                <w:position w:val="0"/>
                <w:sz w:val="28"/>
                <w:szCs w:val="28"/>
                <w:vertAlign w:val="baseline"/>
                <w:lang w:val="en-US" w:eastAsia="zh-CN"/>
              </w:rPr>
            </w:pPr>
            <w:r>
              <w:rPr>
                <w:rFonts w:hint="eastAsia" w:ascii="仿宋_GB2312" w:hAnsi="仿宋_GB2312" w:eastAsia="仿宋_GB2312" w:cs="仿宋_GB2312"/>
                <w:color w:val="000000"/>
                <w:spacing w:val="0"/>
                <w:w w:val="100"/>
                <w:position w:val="0"/>
                <w:sz w:val="28"/>
                <w:szCs w:val="28"/>
                <w:vertAlign w:val="baseline"/>
                <w:lang w:val="en-US" w:eastAsia="zh-CN"/>
              </w:rPr>
              <w:t>没有收益的公益性事业发展举借，主要以一般公共预算收入偿还的政府债务，由地方政府发行一般债券融资，纳入—般公共预算管理。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35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center"/>
              <w:textAlignment w:val="auto"/>
              <w:rPr>
                <w:rFonts w:hint="eastAsia" w:ascii="仿宋_GB2312" w:hAnsi="仿宋_GB2312" w:eastAsia="仿宋_GB2312" w:cs="仿宋_GB2312"/>
                <w:color w:val="000000"/>
                <w:spacing w:val="0"/>
                <w:w w:val="100"/>
                <w:position w:val="0"/>
                <w:sz w:val="28"/>
                <w:szCs w:val="28"/>
                <w:vertAlign w:val="baseline"/>
                <w:lang w:val="en-US" w:eastAsia="zh-CN"/>
              </w:rPr>
            </w:pPr>
          </w:p>
        </w:tc>
        <w:tc>
          <w:tcPr>
            <w:tcW w:w="13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w w:val="100"/>
                <w:position w:val="0"/>
                <w:sz w:val="28"/>
                <w:szCs w:val="28"/>
                <w:vertAlign w:val="baseline"/>
                <w:lang w:val="en-US" w:eastAsia="zh-CN"/>
              </w:rPr>
            </w:pPr>
            <w:r>
              <w:rPr>
                <w:rFonts w:hint="eastAsia" w:ascii="仿宋_GB2312" w:hAnsi="仿宋_GB2312" w:eastAsia="仿宋_GB2312" w:cs="仿宋_GB2312"/>
                <w:color w:val="000000"/>
                <w:spacing w:val="0"/>
                <w:w w:val="100"/>
                <w:position w:val="0"/>
                <w:sz w:val="28"/>
                <w:szCs w:val="28"/>
                <w:vertAlign w:val="baseline"/>
                <w:lang w:val="en-US" w:eastAsia="zh-CN"/>
              </w:rPr>
              <w:t>专项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w w:val="100"/>
                <w:position w:val="0"/>
                <w:sz w:val="28"/>
                <w:szCs w:val="28"/>
                <w:vertAlign w:val="baseline"/>
                <w:lang w:val="en-US" w:eastAsia="zh-CN"/>
              </w:rPr>
            </w:pPr>
            <w:r>
              <w:rPr>
                <w:rFonts w:hint="eastAsia" w:ascii="仿宋_GB2312" w:hAnsi="仿宋_GB2312" w:eastAsia="仿宋_GB2312" w:cs="仿宋_GB2312"/>
                <w:color w:val="000000"/>
                <w:spacing w:val="0"/>
                <w:w w:val="100"/>
                <w:position w:val="0"/>
                <w:sz w:val="28"/>
                <w:szCs w:val="28"/>
                <w:vertAlign w:val="baseline"/>
                <w:lang w:val="en-US" w:eastAsia="zh-CN"/>
              </w:rPr>
              <w:t>债务</w:t>
            </w:r>
          </w:p>
        </w:tc>
        <w:tc>
          <w:tcPr>
            <w:tcW w:w="63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pacing w:val="0"/>
                <w:w w:val="100"/>
                <w:position w:val="0"/>
                <w:sz w:val="28"/>
                <w:szCs w:val="28"/>
                <w:vertAlign w:val="baseline"/>
                <w:lang w:val="en-US" w:eastAsia="zh-CN"/>
              </w:rPr>
            </w:pPr>
            <w:r>
              <w:rPr>
                <w:rFonts w:hint="eastAsia" w:ascii="仿宋_GB2312" w:hAnsi="仿宋_GB2312" w:eastAsia="仿宋_GB2312" w:cs="仿宋_GB2312"/>
                <w:color w:val="000000"/>
                <w:spacing w:val="0"/>
                <w:w w:val="100"/>
                <w:position w:val="0"/>
                <w:sz w:val="28"/>
                <w:szCs w:val="28"/>
                <w:vertAlign w:val="baseline"/>
                <w:lang w:val="en-US" w:eastAsia="zh-CN"/>
              </w:rPr>
              <w:t>有一定收益的公益性事业发展举借，以对应的政府性基金或专项收入偿还的政府债务，由地方政府通过发行专项债券融资，纳入政府性基金预算管理。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12.再融资债券：</w:t>
      </w:r>
      <w:r>
        <w:rPr>
          <w:rFonts w:hint="eastAsia" w:ascii="仿宋_GB2312" w:hAnsi="仿宋_GB2312" w:eastAsia="仿宋_GB2312" w:cs="仿宋_GB2312"/>
          <w:color w:val="000000"/>
          <w:spacing w:val="0"/>
          <w:w w:val="100"/>
          <w:position w:val="0"/>
          <w:sz w:val="32"/>
          <w:szCs w:val="32"/>
          <w:lang w:val="en-US" w:eastAsia="zh-CN"/>
        </w:rPr>
        <w:t>2018年5月4日财政部下发《关于做好2018年地方政府债券发行工作的意见》，提出发行地方政府债券用于偿还2018年到期地方政府债券。随后财政部发布的2018年4月地方政府债券发行和债务余额情况报告指出，前4月全国发行地方政府债券按用途分，全部是置换债券或再融资债券，并标注再融资债券用于偿还部分到期地方政府债券本金。此外，《关于做好2018年地方政府债券发行工作的意见》对再融资债券的发行规模也做出了界定，规模上限“按照申请发债数与到期还本数孰低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13.转移支付：</w:t>
      </w:r>
      <w:r>
        <w:rPr>
          <w:rFonts w:hint="eastAsia" w:ascii="仿宋_GB2312" w:hAnsi="仿宋_GB2312" w:eastAsia="仿宋_GB2312" w:cs="仿宋_GB2312"/>
          <w:color w:val="000000"/>
          <w:spacing w:val="0"/>
          <w:w w:val="100"/>
          <w:position w:val="0"/>
          <w:sz w:val="32"/>
          <w:szCs w:val="32"/>
          <w:lang w:val="en-US" w:eastAsia="zh-CN"/>
        </w:rPr>
        <w:t>指中央政府（或上级政府）对地方政府（或下级政府）进行无偿的财政资金转移所制定的制度。</w:t>
      </w:r>
      <w:r>
        <w:rPr>
          <w:rFonts w:hint="eastAsia" w:ascii="仿宋_GB2312" w:hAnsi="仿宋_GB2312" w:eastAsia="仿宋_GB2312" w:cs="仿宋_GB2312"/>
          <w:b/>
          <w:bCs/>
          <w:color w:val="000000"/>
          <w:spacing w:val="0"/>
          <w:w w:val="100"/>
          <w:position w:val="0"/>
          <w:sz w:val="32"/>
          <w:szCs w:val="32"/>
          <w:lang w:val="en-US" w:eastAsia="zh-CN"/>
        </w:rPr>
        <w:t>转移支付包括一般性转移支付和专项转移支付。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一般转移支付：</w:t>
      </w:r>
      <w:r>
        <w:rPr>
          <w:rFonts w:hint="eastAsia" w:ascii="仿宋_GB2312" w:hAnsi="仿宋_GB2312" w:eastAsia="仿宋_GB2312" w:cs="仿宋_GB2312"/>
          <w:color w:val="000000"/>
          <w:spacing w:val="0"/>
          <w:w w:val="100"/>
          <w:position w:val="0"/>
          <w:sz w:val="32"/>
          <w:szCs w:val="32"/>
          <w:lang w:val="en-US" w:eastAsia="zh-CN"/>
        </w:rPr>
        <w:t>指中央政府（或上级政府）对有财力缺口的地方政府（或下级政府），按照规范的办法给予的补助，地方政府（或下级政府）可以按照相关规定统筹安排使用。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专项转移支付：</w:t>
      </w:r>
      <w:r>
        <w:rPr>
          <w:rFonts w:hint="eastAsia" w:ascii="仿宋_GB2312" w:hAnsi="仿宋_GB2312" w:eastAsia="仿宋_GB2312" w:cs="仿宋_GB2312"/>
          <w:color w:val="000000"/>
          <w:spacing w:val="0"/>
          <w:w w:val="100"/>
          <w:position w:val="0"/>
          <w:sz w:val="32"/>
          <w:szCs w:val="32"/>
          <w:lang w:val="en-US" w:eastAsia="zh-CN"/>
        </w:rPr>
        <w:t>指中央政府（或上级政府）对承担委托事务、共同事务的地方政府（或下级政府），给予的具有指定用途的资金补助，以及对应当由地方政府（或下级政府）承担的事务，给予的具有指定用途的奖励或补助。</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pacing w:val="0"/>
          <w:w w:val="100"/>
          <w:kern w:val="2"/>
          <w:position w:val="0"/>
          <w:sz w:val="32"/>
          <w:szCs w:val="32"/>
          <w:lang w:val="en-US" w:eastAsia="zh-CN" w:bidi="ar-SA"/>
        </w:rPr>
      </w:pPr>
      <w:r>
        <w:rPr>
          <w:rFonts w:hint="eastAsia" w:ascii="仿宋_GB2312" w:hAnsi="仿宋_GB2312" w:eastAsia="仿宋_GB2312" w:cs="仿宋_GB2312"/>
          <w:b/>
          <w:bCs/>
          <w:sz w:val="32"/>
          <w:szCs w:val="32"/>
          <w:lang w:val="en-US" w:eastAsia="zh-CN"/>
        </w:rPr>
        <w:t>14.预算绩效管理：</w:t>
      </w:r>
      <w:r>
        <w:rPr>
          <w:rFonts w:hint="eastAsia" w:ascii="仿宋_GB2312" w:hAnsi="仿宋_GB2312" w:eastAsia="仿宋_GB2312" w:cs="仿宋_GB2312"/>
          <w:color w:val="000000"/>
          <w:spacing w:val="0"/>
          <w:w w:val="100"/>
          <w:kern w:val="2"/>
          <w:position w:val="0"/>
          <w:sz w:val="32"/>
          <w:szCs w:val="32"/>
          <w:lang w:val="en-US" w:eastAsia="zh-CN" w:bidi="ar-SA"/>
        </w:rPr>
        <w:t>是一种注重结果导向、强调成本效益、硬化责任约束的现代预算管理模式。《中共中央国务院关于全面实施预算绩效管理的意见》明确，力争用3到5年时间基本建成全方位、全过程、全覆盖的预算绩效管理体系，实现预算和绩效管理一体化，着力提高财政资源配置效率和使用效益，改变预算资金分配的固化格局，提高预算管理水平和政策实施效果，为经济社会发展提供有力保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spacing w:val="0"/>
          <w:w w:val="100"/>
          <w:kern w:val="2"/>
          <w:position w:val="0"/>
          <w:sz w:val="32"/>
          <w:szCs w:val="32"/>
          <w:lang w:val="en-US" w:eastAsia="zh-CN" w:bidi="ar-SA"/>
        </w:rPr>
      </w:pPr>
      <w:r>
        <w:rPr>
          <w:rFonts w:hint="eastAsia" w:ascii="仿宋_GB2312" w:hAnsi="仿宋_GB2312" w:eastAsia="仿宋_GB2312" w:cs="仿宋_GB2312"/>
          <w:b/>
          <w:bCs/>
          <w:color w:val="000000"/>
          <w:spacing w:val="0"/>
          <w:w w:val="100"/>
          <w:kern w:val="2"/>
          <w:position w:val="0"/>
          <w:sz w:val="32"/>
          <w:szCs w:val="32"/>
          <w:lang w:val="en-US" w:eastAsia="zh-CN" w:bidi="ar-SA"/>
        </w:rPr>
        <w:t>15.</w:t>
      </w:r>
      <w:r>
        <w:rPr>
          <w:rFonts w:hint="default" w:ascii="仿宋_GB2312" w:hAnsi="仿宋_GB2312" w:eastAsia="仿宋_GB2312" w:cs="仿宋_GB2312"/>
          <w:b/>
          <w:bCs/>
          <w:color w:val="000000"/>
          <w:spacing w:val="0"/>
          <w:w w:val="100"/>
          <w:kern w:val="2"/>
          <w:position w:val="0"/>
          <w:sz w:val="32"/>
          <w:szCs w:val="32"/>
          <w:lang w:val="en-US" w:eastAsia="zh-CN" w:bidi="ar-SA"/>
        </w:rPr>
        <w:t>政府投资基金：</w:t>
      </w:r>
      <w:r>
        <w:rPr>
          <w:rFonts w:hint="default" w:ascii="仿宋_GB2312" w:hAnsi="仿宋_GB2312" w:eastAsia="仿宋_GB2312" w:cs="仿宋_GB2312"/>
          <w:color w:val="000000"/>
          <w:spacing w:val="0"/>
          <w:w w:val="100"/>
          <w:kern w:val="2"/>
          <w:position w:val="0"/>
          <w:sz w:val="32"/>
          <w:szCs w:val="32"/>
          <w:lang w:val="en-US" w:eastAsia="zh-CN" w:bidi="ar-SA"/>
        </w:rPr>
        <w:t>指由各级政府通过预算安排，以单独出资或与社会资本共同出资设立，采取股权投资等市场化方式，引导社会各类资本投资经济社会发展的重点领域和薄弱环节，支持相关产业和领域发展的资金。</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373E1D-6DCA-4113-954D-09CBA95F39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60995C4-C686-4140-ADC0-9570CFBBF67A}"/>
  </w:font>
  <w:font w:name="楷体_GB2312">
    <w:panose1 w:val="02010609030101010101"/>
    <w:charset w:val="86"/>
    <w:family w:val="auto"/>
    <w:pitch w:val="default"/>
    <w:sig w:usb0="00000001" w:usb1="080E0000" w:usb2="00000000" w:usb3="00000000" w:csb0="00040000" w:csb1="00000000"/>
    <w:embedRegular r:id="rId3" w:fontKey="{A6316EB6-9B34-4000-964D-7C9C6E854339}"/>
  </w:font>
  <w:font w:name="方正小标宋简体">
    <w:panose1 w:val="02000000000000000000"/>
    <w:charset w:val="86"/>
    <w:family w:val="auto"/>
    <w:pitch w:val="default"/>
    <w:sig w:usb0="00000001" w:usb1="08000000" w:usb2="00000000" w:usb3="00000000" w:csb0="00040000" w:csb1="00000000"/>
    <w:embedRegular r:id="rId4" w:fontKey="{A7391087-3BDA-45B3-81C4-C93361A753BB}"/>
  </w:font>
  <w:font w:name="楷体">
    <w:panose1 w:val="02010609060101010101"/>
    <w:charset w:val="86"/>
    <w:family w:val="auto"/>
    <w:pitch w:val="default"/>
    <w:sig w:usb0="800002BF" w:usb1="38CF7CFA" w:usb2="00000016" w:usb3="00000000" w:csb0="00040001" w:csb1="00000000"/>
    <w:embedRegular r:id="rId5" w:fontKey="{E94475AA-632F-4656-9CC0-6DB2F96DD7AA}"/>
  </w:font>
  <w:font w:name="仿宋">
    <w:panose1 w:val="02010609060101010101"/>
    <w:charset w:val="86"/>
    <w:family w:val="auto"/>
    <w:pitch w:val="default"/>
    <w:sig w:usb0="800002BF" w:usb1="38CF7CFA" w:usb2="00000016" w:usb3="00000000" w:csb0="00040001" w:csb1="00000000"/>
    <w:embedRegular r:id="rId6" w:fontKey="{D510CBC3-1AFE-4996-B21C-D77495F14B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NDhmNTRjMDZmYjc2MTBjZjlmNTZhMGFkOWRjZDAifQ=="/>
  </w:docVars>
  <w:rsids>
    <w:rsidRoot w:val="334E1CA5"/>
    <w:rsid w:val="001B0E7C"/>
    <w:rsid w:val="0040189C"/>
    <w:rsid w:val="005F7127"/>
    <w:rsid w:val="023839D5"/>
    <w:rsid w:val="039F04C8"/>
    <w:rsid w:val="058C56A2"/>
    <w:rsid w:val="07BF37B6"/>
    <w:rsid w:val="07C335FC"/>
    <w:rsid w:val="0A0A79B1"/>
    <w:rsid w:val="0CC06644"/>
    <w:rsid w:val="0E2279A2"/>
    <w:rsid w:val="0EA054A1"/>
    <w:rsid w:val="105A39DD"/>
    <w:rsid w:val="10EB67DA"/>
    <w:rsid w:val="117A7788"/>
    <w:rsid w:val="12794311"/>
    <w:rsid w:val="144C7AE0"/>
    <w:rsid w:val="15AD6C97"/>
    <w:rsid w:val="16985208"/>
    <w:rsid w:val="192B627D"/>
    <w:rsid w:val="1CFB26B1"/>
    <w:rsid w:val="1E89232D"/>
    <w:rsid w:val="1FC04315"/>
    <w:rsid w:val="28963C13"/>
    <w:rsid w:val="2917770A"/>
    <w:rsid w:val="2C801A16"/>
    <w:rsid w:val="2DC53CA1"/>
    <w:rsid w:val="2DFE0190"/>
    <w:rsid w:val="300F24A3"/>
    <w:rsid w:val="334E1CA5"/>
    <w:rsid w:val="33AF6751"/>
    <w:rsid w:val="34802234"/>
    <w:rsid w:val="3ABA6269"/>
    <w:rsid w:val="3CE92106"/>
    <w:rsid w:val="3D8A0471"/>
    <w:rsid w:val="3FD526B4"/>
    <w:rsid w:val="41063D05"/>
    <w:rsid w:val="41EE2D75"/>
    <w:rsid w:val="427103CE"/>
    <w:rsid w:val="440C025A"/>
    <w:rsid w:val="443177BD"/>
    <w:rsid w:val="45031538"/>
    <w:rsid w:val="460B279D"/>
    <w:rsid w:val="461109C6"/>
    <w:rsid w:val="48016833"/>
    <w:rsid w:val="4F69687F"/>
    <w:rsid w:val="5299124D"/>
    <w:rsid w:val="53FC389B"/>
    <w:rsid w:val="555B46C3"/>
    <w:rsid w:val="56426A29"/>
    <w:rsid w:val="57065C7E"/>
    <w:rsid w:val="5B8F0F23"/>
    <w:rsid w:val="6337128C"/>
    <w:rsid w:val="66816DB3"/>
    <w:rsid w:val="68BD127B"/>
    <w:rsid w:val="69247D0B"/>
    <w:rsid w:val="6AD80B53"/>
    <w:rsid w:val="6D4A1E2F"/>
    <w:rsid w:val="6DAD6198"/>
    <w:rsid w:val="6DCB318D"/>
    <w:rsid w:val="71B3019D"/>
    <w:rsid w:val="73586C13"/>
    <w:rsid w:val="737364BE"/>
    <w:rsid w:val="73DD56D2"/>
    <w:rsid w:val="7471542C"/>
    <w:rsid w:val="754144C5"/>
    <w:rsid w:val="7B426DE2"/>
    <w:rsid w:val="7D0D5AB6"/>
    <w:rsid w:val="7FBA2266"/>
    <w:rsid w:val="F3E5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0"/>
    <w:pPr>
      <w:snapToGrid w:val="0"/>
      <w:jc w:val="left"/>
    </w:pPr>
    <w:rPr>
      <w:rFonts w:ascii="Calibri" w:hAnsi="Calibri" w:cs="黑体"/>
      <w:sz w:val="18"/>
      <w:szCs w:val="18"/>
    </w:rPr>
  </w:style>
  <w:style w:type="paragraph" w:styleId="3">
    <w:name w:val="Normal Indent"/>
    <w:qFormat/>
    <w:uiPriority w:val="0"/>
    <w:pPr>
      <w:widowControl w:val="0"/>
      <w:ind w:firstLine="420" w:firstLineChars="200"/>
      <w:jc w:val="both"/>
    </w:pPr>
    <w:rPr>
      <w:rFonts w:hint="eastAsia" w:ascii="仿宋_GB2312" w:hAnsi="仿宋_GB2312" w:eastAsia="仿宋_GB2312" w:cs="Times New Roman"/>
      <w:kern w:val="2"/>
      <w:sz w:val="32"/>
      <w:szCs w:val="24"/>
      <w:lang w:val="en-US" w:eastAsia="zh-CN" w:bidi="ar-SA"/>
    </w:rPr>
  </w:style>
  <w:style w:type="paragraph" w:styleId="4">
    <w:name w:val="Body Text"/>
    <w:basedOn w:val="1"/>
    <w:next w:val="5"/>
    <w:qFormat/>
    <w:uiPriority w:val="0"/>
    <w:pPr>
      <w:spacing w:after="120" w:afterLines="0" w:afterAutospacing="0"/>
    </w:pPr>
    <w:rPr>
      <w:rFonts w:ascii="Times New Roman" w:hAnsi="Times New Roman" w:eastAsia="宋体" w:cs="Times New Roman"/>
    </w:rPr>
  </w:style>
  <w:style w:type="paragraph" w:customStyle="1" w:styleId="5">
    <w:name w:val="正文文本 21"/>
    <w:basedOn w:val="1"/>
    <w:qFormat/>
    <w:uiPriority w:val="0"/>
    <w:pPr>
      <w:spacing w:line="480" w:lineRule="auto"/>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81"/>
    <w:basedOn w:val="11"/>
    <w:qFormat/>
    <w:uiPriority w:val="0"/>
    <w:rPr>
      <w:rFonts w:hint="eastAsia" w:ascii="黑体" w:hAnsi="宋体" w:eastAsia="黑体" w:cs="黑体"/>
      <w:color w:val="000000"/>
      <w:sz w:val="20"/>
      <w:szCs w:val="20"/>
      <w:u w:val="none"/>
    </w:rPr>
  </w:style>
  <w:style w:type="character" w:customStyle="1" w:styleId="13">
    <w:name w:val="font51"/>
    <w:basedOn w:val="11"/>
    <w:qFormat/>
    <w:uiPriority w:val="0"/>
    <w:rPr>
      <w:rFonts w:hint="eastAsia" w:ascii="宋体" w:hAnsi="宋体" w:eastAsia="宋体" w:cs="宋体"/>
      <w:b/>
      <w:bCs/>
      <w:color w:val="000000"/>
      <w:sz w:val="36"/>
      <w:szCs w:val="36"/>
      <w:u w:val="none"/>
    </w:rPr>
  </w:style>
  <w:style w:type="character" w:customStyle="1" w:styleId="14">
    <w:name w:val="font91"/>
    <w:basedOn w:val="11"/>
    <w:qFormat/>
    <w:uiPriority w:val="0"/>
    <w:rPr>
      <w:rFonts w:hint="eastAsia" w:ascii="楷体_GB2312" w:eastAsia="楷体_GB2312" w:cs="楷体_GB2312"/>
      <w:b/>
      <w:bCs/>
      <w:color w:val="000000"/>
      <w:sz w:val="32"/>
      <w:szCs w:val="32"/>
      <w:u w:val="none"/>
    </w:rPr>
  </w:style>
  <w:style w:type="character" w:customStyle="1" w:styleId="15">
    <w:name w:val="font101"/>
    <w:basedOn w:val="11"/>
    <w:qFormat/>
    <w:uiPriority w:val="0"/>
    <w:rPr>
      <w:rFonts w:hint="eastAsia" w:ascii="楷体_GB2312" w:eastAsia="楷体_GB2312" w:cs="楷体_GB2312"/>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13561</Words>
  <Characters>15610</Characters>
  <Lines>0</Lines>
  <Paragraphs>0</Paragraphs>
  <TotalTime>1</TotalTime>
  <ScaleCrop>false</ScaleCrop>
  <LinksUpToDate>false</LinksUpToDate>
  <CharactersWithSpaces>16245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2024-01-29T14:28:00Z</dcterms:created>
  <dc:creator>卢瓦尔的风帆</dc:creator>
  <cp:lastModifiedBy>admin</cp:lastModifiedBy>
  <cp:lastPrinted>2024-02-26T13:03:00Z</cp:lastPrinted>
  <dcterms:modified xsi:type="dcterms:W3CDTF">2024-03-12T07:42:18Z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616C1AD789874D5DAD7BAC4BF4538F7E_13</vt:lpwstr>
  </property>
</Properties>
</file>