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6122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18AEF1DA">
            <w:pPr>
              <w:rPr>
                <w:rFonts w:ascii="Times New Roman" w:hAnsi="Times New Roman"/>
                <w:color w:val="000000" w:themeColor="text1"/>
                <w14:textFill>
                  <w14:solidFill>
                    <w14:schemeClr w14:val="tx1"/>
                  </w14:solidFill>
                </w14:textFill>
              </w:rPr>
            </w:pPr>
          </w:p>
        </w:tc>
      </w:tr>
      <w:tr w14:paraId="354F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14:paraId="4440DCC0">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14:paraId="393F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5BF21F17">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w:t>
            </w:r>
            <w:r>
              <w:rPr>
                <w:rFonts w:hint="eastAsia" w:ascii="Times New Roman" w:hAnsi="Times New Roman" w:eastAsia="仿宋"/>
                <w:color w:val="000000" w:themeColor="text1"/>
                <w:sz w:val="32"/>
                <w:szCs w:val="32"/>
                <w:lang w:val="en-US" w:eastAsia="zh-CN"/>
                <w14:textFill>
                  <w14:solidFill>
                    <w14:schemeClr w14:val="tx1"/>
                  </w14:solidFill>
                </w14:textFill>
              </w:rPr>
              <w:t>20</w:t>
            </w:r>
            <w:r>
              <w:rPr>
                <w:rFonts w:hint="eastAsia" w:ascii="Times New Roman" w:hAnsi="Times New Roman" w:eastAsia="仿宋"/>
                <w:color w:val="000000" w:themeColor="text1"/>
                <w:sz w:val="32"/>
                <w:szCs w:val="32"/>
                <w14:textFill>
                  <w14:solidFill>
                    <w14:schemeClr w14:val="tx1"/>
                  </w14:solidFill>
                </w14:textFill>
              </w:rPr>
              <w:t>期</w:t>
            </w:r>
          </w:p>
          <w:p w14:paraId="0218C57D">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14:paraId="56CBEC4F">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bookmarkStart w:id="0" w:name="_GoBack"/>
            <w:bookmarkEnd w:id="0"/>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7</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25</w:t>
            </w:r>
            <w:r>
              <w:rPr>
                <w:rFonts w:hint="eastAsia" w:ascii="Times New Roman" w:hAnsi="Times New Roman" w:eastAsia="仿宋"/>
                <w:color w:val="000000" w:themeColor="text1"/>
                <w:sz w:val="32"/>
                <w:szCs w:val="32"/>
                <w14:textFill>
                  <w14:solidFill>
                    <w14:schemeClr w14:val="tx1"/>
                  </w14:solidFill>
                </w14:textFill>
              </w:rPr>
              <w:t>日</w:t>
            </w:r>
          </w:p>
        </w:tc>
      </w:tr>
    </w:tbl>
    <w:p w14:paraId="16D7E7DF">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14:paraId="19875929">
      <w:pPr>
        <w:pStyle w:val="11"/>
        <w:spacing w:line="600" w:lineRule="exact"/>
        <w:ind w:firstLine="880" w:firstLineChars="20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7AAD5F7B">
      <w:pPr>
        <w:pStyle w:val="11"/>
        <w:spacing w:line="600" w:lineRule="exact"/>
        <w:ind w:firstLine="880" w:firstLineChars="200"/>
        <w:jc w:val="center"/>
        <w:rPr>
          <w:rFonts w:hint="default" w:ascii="仿宋" w:hAnsi="仿宋" w:eastAsia="方正小标宋_GBK" w:cs="仿宋"/>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台风“格美”</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预警提示</w:t>
      </w:r>
    </w:p>
    <w:p w14:paraId="031F8017">
      <w:pPr>
        <w:pStyle w:val="11"/>
        <w:spacing w:line="600" w:lineRule="exact"/>
        <w:ind w:firstLine="640" w:firstLineChars="200"/>
        <w:rPr>
          <w:rFonts w:hint="default" w:ascii="黑体" w:hAnsi="黑体" w:eastAsia="黑体" w:cs="楷体_GB2312"/>
          <w:color w:val="000000" w:themeColor="text1"/>
          <w:sz w:val="32"/>
          <w:szCs w:val="32"/>
          <w:lang w:val="en-US" w:eastAsia="zh-CN"/>
          <w14:textFill>
            <w14:solidFill>
              <w14:schemeClr w14:val="tx1"/>
            </w14:solidFill>
          </w14:textFill>
        </w:rPr>
      </w:pPr>
      <w:r>
        <w:rPr>
          <w:rFonts w:hint="eastAsia" w:ascii="黑体" w:hAnsi="黑体" w:eastAsia="黑体" w:cs="楷体_GB2312"/>
          <w:color w:val="000000" w:themeColor="text1"/>
          <w:sz w:val="32"/>
          <w:szCs w:val="32"/>
          <w:lang w:val="en-US" w:eastAsia="zh-CN"/>
          <w14:textFill>
            <w14:solidFill>
              <w14:schemeClr w14:val="tx1"/>
            </w14:solidFill>
          </w14:textFill>
        </w:rPr>
        <w:t>一、预警信息</w:t>
      </w:r>
    </w:p>
    <w:p w14:paraId="66D981A9">
      <w:pPr>
        <w:pStyle w:val="11"/>
        <w:spacing w:line="600" w:lineRule="exact"/>
        <w:ind w:firstLine="640" w:firstLineChars="200"/>
        <w:rPr>
          <w:rFonts w:hint="default" w:hAnsi="黑体" w:eastAsia="仿宋_GB2312"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根据内乡县</w:t>
      </w:r>
      <w:r>
        <w:rPr>
          <w:rFonts w:hint="eastAsia" w:hAnsi="黑体" w:cs="楷体_GB2312"/>
          <w:color w:val="000000" w:themeColor="text1"/>
          <w:sz w:val="32"/>
          <w:szCs w:val="32"/>
          <w14:textFill>
            <w14:solidFill>
              <w14:schemeClr w14:val="tx1"/>
            </w14:solidFill>
          </w14:textFill>
        </w:rPr>
        <w:t>气象台</w:t>
      </w:r>
      <w:r>
        <w:rPr>
          <w:rFonts w:hint="eastAsia" w:hAnsi="黑体" w:cs="楷体_GB2312"/>
          <w:color w:val="000000" w:themeColor="text1"/>
          <w:sz w:val="32"/>
          <w:szCs w:val="32"/>
          <w:lang w:val="en-US" w:eastAsia="zh-CN"/>
          <w14:textFill>
            <w14:solidFill>
              <w14:schemeClr w14:val="tx1"/>
            </w14:solidFill>
          </w14:textFill>
        </w:rPr>
        <w:t>天气</w:t>
      </w:r>
      <w:r>
        <w:rPr>
          <w:rFonts w:hint="eastAsia" w:hAnsi="黑体" w:cs="楷体_GB2312"/>
          <w:color w:val="000000" w:themeColor="text1"/>
          <w:sz w:val="32"/>
          <w:szCs w:val="32"/>
          <w14:textFill>
            <w14:solidFill>
              <w14:schemeClr w14:val="tx1"/>
            </w14:solidFill>
          </w14:textFill>
        </w:rPr>
        <w:t>报告</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预计</w:t>
      </w:r>
      <w:r>
        <w:rPr>
          <w:rFonts w:hint="eastAsia" w:hAnsi="黑体" w:cs="楷体_GB2312"/>
          <w:color w:val="000000" w:themeColor="text1"/>
          <w:sz w:val="32"/>
          <w:szCs w:val="32"/>
          <w14:textFill>
            <w14:solidFill>
              <w14:schemeClr w14:val="tx1"/>
            </w14:solidFill>
          </w14:textFill>
        </w:rPr>
        <w:t>台风“格美”登陆后北上，经福建、江西、湖北后逐渐减弱为热带低压影响河南。主要对豫东、豫北地区影响较大。预计25至28日白天我</w:t>
      </w:r>
      <w:r>
        <w:rPr>
          <w:rFonts w:hint="eastAsia" w:hAnsi="黑体" w:cs="楷体_GB2312"/>
          <w:color w:val="000000" w:themeColor="text1"/>
          <w:sz w:val="32"/>
          <w:szCs w:val="32"/>
          <w:lang w:val="en-US" w:eastAsia="zh-CN"/>
          <w14:textFill>
            <w14:solidFill>
              <w14:schemeClr w14:val="tx1"/>
            </w14:solidFill>
          </w14:textFill>
        </w:rPr>
        <w:t>县</w:t>
      </w:r>
      <w:r>
        <w:rPr>
          <w:rFonts w:hint="eastAsia" w:hAnsi="黑体" w:cs="楷体_GB2312"/>
          <w:color w:val="000000" w:themeColor="text1"/>
          <w:sz w:val="32"/>
          <w:szCs w:val="32"/>
          <w14:textFill>
            <w14:solidFill>
              <w14:schemeClr w14:val="tx1"/>
            </w14:solidFill>
          </w14:textFill>
        </w:rPr>
        <w:t>有间断性小到中阵雨降水过程，26至27日我</w:t>
      </w:r>
      <w:r>
        <w:rPr>
          <w:rFonts w:hint="eastAsia" w:hAnsi="黑体" w:cs="楷体_GB2312"/>
          <w:color w:val="000000" w:themeColor="text1"/>
          <w:sz w:val="32"/>
          <w:szCs w:val="32"/>
          <w:lang w:val="en-US" w:eastAsia="zh-CN"/>
          <w14:textFill>
            <w14:solidFill>
              <w14:schemeClr w14:val="tx1"/>
            </w14:solidFill>
          </w14:textFill>
        </w:rPr>
        <w:t>县</w:t>
      </w:r>
      <w:r>
        <w:rPr>
          <w:rFonts w:hint="eastAsia" w:hAnsi="黑体" w:cs="楷体_GB2312"/>
          <w:color w:val="000000" w:themeColor="text1"/>
          <w:sz w:val="32"/>
          <w:szCs w:val="32"/>
          <w14:textFill>
            <w14:solidFill>
              <w14:schemeClr w14:val="tx1"/>
            </w14:solidFill>
          </w14:textFill>
        </w:rPr>
        <w:t>有4-5级偏北风，阵风</w:t>
      </w:r>
      <w:r>
        <w:rPr>
          <w:rFonts w:hint="eastAsia" w:hAnsi="黑体" w:cs="楷体_GB2312"/>
          <w:color w:val="000000" w:themeColor="text1"/>
          <w:sz w:val="32"/>
          <w:szCs w:val="32"/>
          <w:lang w:val="en-US" w:eastAsia="zh-CN"/>
          <w14:textFill>
            <w14:solidFill>
              <w14:schemeClr w14:val="tx1"/>
            </w14:solidFill>
          </w14:textFill>
        </w:rPr>
        <w:t>6</w:t>
      </w:r>
      <w:r>
        <w:rPr>
          <w:rFonts w:hint="eastAsia" w:hAnsi="黑体" w:cs="楷体_GB2312"/>
          <w:color w:val="000000" w:themeColor="text1"/>
          <w:sz w:val="32"/>
          <w:szCs w:val="32"/>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7</w:t>
      </w:r>
      <w:r>
        <w:rPr>
          <w:rFonts w:hint="eastAsia" w:hAnsi="黑体" w:cs="楷体_GB2312"/>
          <w:color w:val="000000" w:themeColor="text1"/>
          <w:sz w:val="32"/>
          <w:szCs w:val="32"/>
          <w14:textFill>
            <w14:solidFill>
              <w14:schemeClr w14:val="tx1"/>
            </w14:solidFill>
          </w14:textFill>
        </w:rPr>
        <w:t>级</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请注意及时防范。</w:t>
      </w:r>
    </w:p>
    <w:p w14:paraId="55FF5494">
      <w:pPr>
        <w:numPr>
          <w:ilvl w:val="0"/>
          <w:numId w:val="1"/>
        </w:numPr>
        <w:ind w:firstLine="640" w:firstLineChars="200"/>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具体预报</w:t>
      </w:r>
    </w:p>
    <w:p w14:paraId="0F336703">
      <w:pPr>
        <w:pStyle w:val="11"/>
        <w:spacing w:line="600" w:lineRule="exact"/>
        <w:ind w:firstLine="640" w:firstLineChars="200"/>
        <w:rPr>
          <w:rFonts w:hint="default" w:ascii="Times New Roman" w:hAnsi="Times New Roman" w:cs="楷体_GB2312"/>
          <w:color w:val="000000" w:themeColor="text1"/>
          <w:sz w:val="32"/>
          <w:szCs w:val="32"/>
          <w:lang w:val="en-US" w:eastAsia="zh-CN"/>
          <w14:textFill>
            <w14:solidFill>
              <w14:schemeClr w14:val="tx1"/>
            </w14:solidFill>
          </w14:textFill>
        </w:rPr>
      </w:pPr>
      <w:r>
        <w:rPr>
          <w:rFonts w:hint="default" w:ascii="Times New Roman" w:hAnsi="Times New Roman" w:cs="楷体_GB2312"/>
          <w:color w:val="000000" w:themeColor="text1"/>
          <w:sz w:val="32"/>
          <w:szCs w:val="32"/>
          <w:lang w:val="en-US" w:eastAsia="zh-CN"/>
          <w14:textFill>
            <w14:solidFill>
              <w14:schemeClr w14:val="tx1"/>
            </w14:solidFill>
          </w14:textFill>
        </w:rPr>
        <w:t>7月25日：阴天有阵雨、雷阵雨，偏南风2-3级，26～34℃;</w:t>
      </w:r>
    </w:p>
    <w:p w14:paraId="5BADC05C">
      <w:pPr>
        <w:pStyle w:val="11"/>
        <w:spacing w:line="600" w:lineRule="exact"/>
        <w:ind w:firstLine="640" w:firstLineChars="200"/>
        <w:rPr>
          <w:rFonts w:hint="default" w:ascii="Times New Roman" w:hAnsi="Times New Roman" w:cs="楷体_GB2312"/>
          <w:color w:val="000000" w:themeColor="text1"/>
          <w:sz w:val="32"/>
          <w:szCs w:val="32"/>
          <w:lang w:val="en-US" w:eastAsia="zh-CN"/>
          <w14:textFill>
            <w14:solidFill>
              <w14:schemeClr w14:val="tx1"/>
            </w14:solidFill>
          </w14:textFill>
        </w:rPr>
      </w:pPr>
      <w:r>
        <w:rPr>
          <w:rFonts w:hint="default" w:ascii="Times New Roman" w:hAnsi="Times New Roman" w:cs="楷体_GB2312"/>
          <w:color w:val="000000" w:themeColor="text1"/>
          <w:sz w:val="32"/>
          <w:szCs w:val="32"/>
          <w:lang w:val="en-US" w:eastAsia="zh-CN"/>
          <w14:textFill>
            <w14:solidFill>
              <w14:schemeClr w14:val="tx1"/>
            </w14:solidFill>
          </w14:textFill>
        </w:rPr>
        <w:t>7月26日：阴天有阵雨、雷阵雨，东北风3-4级，阵风6-7级，25-32℃;</w:t>
      </w:r>
    </w:p>
    <w:p w14:paraId="48F4E093">
      <w:pPr>
        <w:pStyle w:val="11"/>
        <w:spacing w:line="600" w:lineRule="exact"/>
        <w:ind w:firstLine="640" w:firstLineChars="200"/>
        <w:rPr>
          <w:rFonts w:hint="default" w:ascii="Times New Roman" w:hAnsi="Times New Roman" w:cs="楷体_GB2312"/>
          <w:color w:val="000000" w:themeColor="text1"/>
          <w:sz w:val="32"/>
          <w:szCs w:val="32"/>
          <w:lang w:val="en-US" w:eastAsia="zh-CN"/>
          <w14:textFill>
            <w14:solidFill>
              <w14:schemeClr w14:val="tx1"/>
            </w14:solidFill>
          </w14:textFill>
        </w:rPr>
      </w:pPr>
      <w:r>
        <w:rPr>
          <w:rFonts w:hint="default" w:ascii="Times New Roman" w:hAnsi="Times New Roman" w:cs="楷体_GB2312"/>
          <w:color w:val="000000" w:themeColor="text1"/>
          <w:sz w:val="32"/>
          <w:szCs w:val="32"/>
          <w:lang w:val="en-US" w:eastAsia="zh-CN"/>
          <w14:textFill>
            <w14:solidFill>
              <w14:schemeClr w14:val="tx1"/>
            </w14:solidFill>
          </w14:textFill>
        </w:rPr>
        <w:t>7月27日：阴有小到中阵雨、雷阵雨，偏北风4-5级，阵风</w:t>
      </w:r>
      <w:r>
        <w:rPr>
          <w:rFonts w:hint="eastAsia" w:ascii="Times New Roman" w:hAnsi="Times New Roman" w:cs="楷体_GB2312"/>
          <w:color w:val="000000" w:themeColor="text1"/>
          <w:sz w:val="32"/>
          <w:szCs w:val="32"/>
          <w:lang w:val="en-US" w:eastAsia="zh-CN"/>
          <w14:textFill>
            <w14:solidFill>
              <w14:schemeClr w14:val="tx1"/>
            </w14:solidFill>
          </w14:textFill>
        </w:rPr>
        <w:t>6</w:t>
      </w:r>
      <w:r>
        <w:rPr>
          <w:rFonts w:hint="default" w:ascii="Times New Roman" w:hAnsi="Times New Roman" w:cs="楷体_GB2312"/>
          <w:color w:val="000000" w:themeColor="text1"/>
          <w:sz w:val="32"/>
          <w:szCs w:val="32"/>
          <w:lang w:val="en-US" w:eastAsia="zh-CN"/>
          <w14:textFill>
            <w14:solidFill>
              <w14:schemeClr w14:val="tx1"/>
            </w14:solidFill>
          </w14:textFill>
        </w:rPr>
        <w:t>-</w:t>
      </w:r>
      <w:r>
        <w:rPr>
          <w:rFonts w:hint="eastAsia" w:ascii="Times New Roman" w:hAnsi="Times New Roman" w:cs="楷体_GB2312"/>
          <w:color w:val="000000" w:themeColor="text1"/>
          <w:sz w:val="32"/>
          <w:szCs w:val="32"/>
          <w:lang w:val="en-US" w:eastAsia="zh-CN"/>
          <w14:textFill>
            <w14:solidFill>
              <w14:schemeClr w14:val="tx1"/>
            </w14:solidFill>
          </w14:textFill>
        </w:rPr>
        <w:t>7</w:t>
      </w:r>
      <w:r>
        <w:rPr>
          <w:rFonts w:hint="default" w:ascii="Times New Roman" w:hAnsi="Times New Roman" w:cs="楷体_GB2312"/>
          <w:color w:val="000000" w:themeColor="text1"/>
          <w:sz w:val="32"/>
          <w:szCs w:val="32"/>
          <w:lang w:val="en-US" w:eastAsia="zh-CN"/>
          <w14:textFill>
            <w14:solidFill>
              <w14:schemeClr w14:val="tx1"/>
            </w14:solidFill>
          </w14:textFill>
        </w:rPr>
        <w:t>级，25-31℃;</w:t>
      </w:r>
    </w:p>
    <w:p w14:paraId="236BC3F0">
      <w:pPr>
        <w:pStyle w:val="11"/>
        <w:spacing w:line="600" w:lineRule="exact"/>
        <w:ind w:firstLine="640" w:firstLineChars="200"/>
        <w:rPr>
          <w:rFonts w:hint="default" w:ascii="Times New Roman" w:hAnsi="Times New Roman" w:cs="楷体_GB2312"/>
          <w:color w:val="000000" w:themeColor="text1"/>
          <w:sz w:val="32"/>
          <w:szCs w:val="32"/>
          <w:lang w:val="en-US" w:eastAsia="zh-CN"/>
          <w14:textFill>
            <w14:solidFill>
              <w14:schemeClr w14:val="tx1"/>
            </w14:solidFill>
          </w14:textFill>
        </w:rPr>
      </w:pPr>
      <w:r>
        <w:rPr>
          <w:rFonts w:hint="default" w:ascii="Times New Roman" w:hAnsi="Times New Roman" w:cs="楷体_GB2312"/>
          <w:color w:val="000000" w:themeColor="text1"/>
          <w:sz w:val="32"/>
          <w:szCs w:val="32"/>
          <w:lang w:val="en-US" w:eastAsia="zh-CN"/>
          <w14:textFill>
            <w14:solidFill>
              <w14:schemeClr w14:val="tx1"/>
            </w14:solidFill>
          </w14:textFill>
        </w:rPr>
        <w:t>7月28日：阴天有短时阵雨，偏南风2-3级，27-35℃。</w:t>
      </w:r>
    </w:p>
    <w:p w14:paraId="6BE574EA">
      <w:pPr>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三</w:t>
      </w:r>
      <w:r>
        <w:rPr>
          <w:rFonts w:hint="eastAsia" w:ascii="Times New Roman" w:hAnsi="Times New Roman" w:eastAsia="黑体" w:cs="黑体"/>
          <w:color w:val="000000" w:themeColor="text1"/>
          <w:sz w:val="32"/>
          <w:szCs w:val="32"/>
          <w14:textFill>
            <w14:solidFill>
              <w14:schemeClr w14:val="tx1"/>
            </w14:solidFill>
          </w14:textFill>
        </w:rPr>
        <w:t>、防范应对措施</w:t>
      </w:r>
    </w:p>
    <w:p w14:paraId="77204C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应急管理局提醒：</w:t>
      </w:r>
    </w:p>
    <w:p w14:paraId="4EF00538">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w:t>
      </w:r>
      <w:r>
        <w:rPr>
          <w:rFonts w:hint="eastAsia" w:ascii="仿宋_GB2312" w:hAnsi="仿宋_GB2312" w:eastAsia="仿宋_GB2312" w:cs="仿宋_GB2312"/>
          <w:color w:val="000000"/>
          <w:kern w:val="0"/>
          <w:sz w:val="32"/>
          <w:szCs w:val="32"/>
          <w:lang w:eastAsia="zh-CN"/>
        </w:rPr>
        <w:t>台风“格美”</w:t>
      </w:r>
      <w:r>
        <w:rPr>
          <w:rFonts w:hint="eastAsia" w:ascii="仿宋_GB2312" w:hAnsi="仿宋_GB2312" w:eastAsia="仿宋_GB2312" w:cs="仿宋_GB2312"/>
          <w:color w:val="000000"/>
          <w:kern w:val="0"/>
          <w:sz w:val="32"/>
          <w:szCs w:val="32"/>
        </w:rPr>
        <w:t>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w:t>
      </w:r>
      <w:r>
        <w:rPr>
          <w:rFonts w:hint="eastAsia" w:ascii="仿宋_GB2312" w:hAnsi="仿宋_GB2312" w:eastAsia="仿宋_GB2312" w:cs="仿宋_GB2312"/>
          <w:color w:val="000000"/>
          <w:kern w:val="0"/>
          <w:sz w:val="32"/>
          <w:szCs w:val="32"/>
          <w:lang w:eastAsia="zh-CN"/>
        </w:rPr>
        <w:t>台风“格美”</w:t>
      </w:r>
      <w:r>
        <w:rPr>
          <w:rFonts w:hint="eastAsia" w:ascii="仿宋_GB2312" w:hAnsi="仿宋_GB2312" w:eastAsia="仿宋_GB2312" w:cs="仿宋_GB2312"/>
          <w:color w:val="000000"/>
          <w:kern w:val="0"/>
          <w:sz w:val="32"/>
          <w:szCs w:val="32"/>
        </w:rPr>
        <w:t>变化，强化短临预报和预警速报，为民生保障、群众出行、农业生产等提供及时准确的气象服务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val="en-US" w:eastAsia="zh-CN"/>
        </w:rPr>
        <w:t>乡镇</w:t>
      </w:r>
      <w:r>
        <w:rPr>
          <w:rFonts w:hint="eastAsia" w:ascii="仿宋_GB2312" w:hAnsi="仿宋_GB2312" w:eastAsia="仿宋_GB2312" w:cs="仿宋_GB2312"/>
          <w:color w:val="000000"/>
          <w:kern w:val="0"/>
          <w:sz w:val="32"/>
          <w:szCs w:val="32"/>
        </w:rPr>
        <w:t>及有关部门加强会商研判，按照职责做好防暴雨应急救援工作</w:t>
      </w:r>
      <w:r>
        <w:rPr>
          <w:rFonts w:hint="eastAsia" w:ascii="仿宋_GB2312" w:hAnsi="仿宋_GB2312" w:eastAsia="仿宋_GB2312" w:cs="仿宋_GB2312"/>
          <w:color w:val="000000"/>
          <w:kern w:val="0"/>
          <w:sz w:val="32"/>
          <w:szCs w:val="32"/>
          <w:lang w:eastAsia="zh-CN"/>
        </w:rPr>
        <w:t>。</w:t>
      </w:r>
    </w:p>
    <w:p w14:paraId="3AAAAC41">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地应及时向本级党委政府以及上级业务部门呈报，给予信息报送员、联络员或协调员等相关人员适时奖励。</w:t>
      </w:r>
    </w:p>
    <w:p w14:paraId="5512E275">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（三）全面落实各项防御措施。</w:t>
      </w:r>
      <w:r>
        <w:rPr>
          <w:rFonts w:hint="eastAsia" w:ascii="仿宋_GB2312" w:hAnsi="仿宋_GB2312" w:eastAsia="仿宋_GB2312" w:cs="仿宋_GB2312"/>
          <w:b/>
          <w:bCs/>
          <w:color w:val="000000"/>
          <w:kern w:val="0"/>
          <w:sz w:val="32"/>
          <w:szCs w:val="32"/>
          <w:lang w:val="en-US" w:eastAsia="zh-CN"/>
        </w:rPr>
        <w:t>宣传部门和新闻媒体</w:t>
      </w:r>
      <w:r>
        <w:rPr>
          <w:rFonts w:hint="eastAsia" w:ascii="仿宋_GB2312" w:hAnsi="仿宋_GB2312" w:eastAsia="仿宋_GB2312" w:cs="仿宋_GB2312"/>
          <w:color w:val="000000"/>
          <w:kern w:val="0"/>
          <w:sz w:val="32"/>
          <w:szCs w:val="32"/>
          <w:lang w:val="en-US" w:eastAsia="zh-CN"/>
        </w:rPr>
        <w:t>要加大社会宣传引导，提醒群众做好台风“格美”安全防范。电视、广播等新闻媒体和通信部门要密切配合，第一时间向公众发布各类预警信息，提高公众防范避险意识。</w:t>
      </w:r>
      <w:r>
        <w:rPr>
          <w:rFonts w:hint="eastAsia" w:ascii="仿宋_GB2312" w:hAnsi="仿宋_GB2312" w:eastAsia="仿宋_GB2312" w:cs="仿宋_GB2312"/>
          <w:b/>
          <w:bCs/>
          <w:color w:val="000000"/>
          <w:kern w:val="0"/>
          <w:sz w:val="32"/>
          <w:szCs w:val="32"/>
          <w:lang w:val="en-US" w:eastAsia="zh-CN"/>
        </w:rPr>
        <w:t>水利、资源规划部门</w:t>
      </w:r>
      <w:r>
        <w:rPr>
          <w:rFonts w:hint="eastAsia" w:ascii="仿宋_GB2312" w:hAnsi="仿宋_GB2312" w:eastAsia="仿宋_GB2312" w:cs="仿宋_GB2312"/>
          <w:color w:val="000000"/>
          <w:kern w:val="0"/>
          <w:sz w:val="32"/>
          <w:szCs w:val="32"/>
          <w:lang w:val="en-US" w:eastAsia="zh-CN"/>
        </w:rPr>
        <w:t>要加强对中小河流、水库和地质灾害隐患点的巡查、排险和加固，特别要高度重视山区局地强降雨可能引发的山洪、滑坡、崩塌、泥石流等灾害的防御工作。</w:t>
      </w:r>
      <w:r>
        <w:rPr>
          <w:rFonts w:hint="eastAsia" w:ascii="仿宋_GB2312" w:hAnsi="仿宋_GB2312" w:eastAsia="仿宋_GB2312" w:cs="仿宋_GB2312"/>
          <w:b/>
          <w:bCs/>
          <w:color w:val="000000"/>
          <w:kern w:val="0"/>
          <w:sz w:val="32"/>
          <w:szCs w:val="32"/>
          <w:lang w:val="en-US" w:eastAsia="zh-CN"/>
        </w:rPr>
        <w:t>城管部门</w:t>
      </w:r>
      <w:r>
        <w:rPr>
          <w:rFonts w:hint="eastAsia" w:ascii="仿宋_GB2312" w:hAnsi="仿宋_GB2312" w:eastAsia="仿宋_GB2312" w:cs="仿宋_GB2312"/>
          <w:color w:val="000000"/>
          <w:kern w:val="0"/>
          <w:sz w:val="32"/>
          <w:szCs w:val="32"/>
          <w:lang w:val="en-US" w:eastAsia="zh-CN"/>
        </w:rPr>
        <w:t>要加强对城市地下空间、涵洞等易积水点的巡查和防护，提前做好城市涝水抢排准备。</w:t>
      </w:r>
      <w:r>
        <w:rPr>
          <w:rFonts w:hint="eastAsia" w:ascii="仿宋_GB2312" w:hAnsi="仿宋_GB2312" w:eastAsia="仿宋_GB2312" w:cs="仿宋_GB2312"/>
          <w:b/>
          <w:bCs/>
          <w:color w:val="000000"/>
          <w:kern w:val="0"/>
          <w:sz w:val="32"/>
          <w:szCs w:val="32"/>
          <w:lang w:val="en-US" w:eastAsia="zh-CN"/>
        </w:rPr>
        <w:t>公安、交通部门</w:t>
      </w:r>
      <w:r>
        <w:rPr>
          <w:rFonts w:hint="eastAsia" w:ascii="仿宋_GB2312" w:hAnsi="仿宋_GB2312" w:eastAsia="仿宋_GB2312" w:cs="仿宋_GB2312"/>
          <w:color w:val="000000"/>
          <w:kern w:val="0"/>
          <w:sz w:val="32"/>
          <w:szCs w:val="32"/>
          <w:lang w:val="en-US" w:eastAsia="zh-CN"/>
        </w:rPr>
        <w:t>要加大对道路、桥梁、涵洞等事故易发路段巡查力度，加强对积水地区的交通疏导，根据路况采取交通管制措施，确保行人、车辆安全。</w:t>
      </w:r>
      <w:r>
        <w:rPr>
          <w:rFonts w:hint="eastAsia" w:ascii="仿宋_GB2312" w:hAnsi="仿宋_GB2312" w:eastAsia="仿宋_GB2312" w:cs="仿宋_GB2312"/>
          <w:b/>
          <w:bCs/>
          <w:color w:val="000000"/>
          <w:kern w:val="0"/>
          <w:sz w:val="32"/>
          <w:szCs w:val="32"/>
          <w:lang w:val="en-US" w:eastAsia="zh-CN"/>
        </w:rPr>
        <w:t>应急、住房、城建、城管等部门</w:t>
      </w:r>
      <w:r>
        <w:rPr>
          <w:rFonts w:hint="eastAsia" w:ascii="仿宋_GB2312" w:hAnsi="仿宋_GB2312" w:eastAsia="仿宋_GB2312" w:cs="仿宋_GB2312"/>
          <w:color w:val="000000"/>
          <w:kern w:val="0"/>
          <w:sz w:val="32"/>
          <w:szCs w:val="32"/>
          <w:lang w:val="en-US" w:eastAsia="zh-CN"/>
        </w:rPr>
        <w:t>要关注台风天气带来的不利影响，督促有关单位采取必要安全防护措施，加固围板、棚架、露天广告牌等易被风吹动的搭建物，妥善安置易受大风影响的室外物品，遮盖建筑物资，保障易受大风、强降雨影响的设备设施和场所的安全；注意塔吊、脚手架等高空作业，严防发生坠落、坍塌等事故，必要情况下停止室外作业。</w:t>
      </w:r>
      <w:r>
        <w:rPr>
          <w:rFonts w:hint="eastAsia" w:ascii="仿宋_GB2312" w:hAnsi="仿宋_GB2312" w:eastAsia="仿宋_GB2312" w:cs="仿宋_GB2312"/>
          <w:b/>
          <w:bCs/>
          <w:color w:val="000000"/>
          <w:kern w:val="0"/>
          <w:sz w:val="32"/>
          <w:szCs w:val="32"/>
          <w:lang w:val="en-US" w:eastAsia="zh-CN"/>
        </w:rPr>
        <w:t>文化和旅游部门</w:t>
      </w:r>
      <w:r>
        <w:rPr>
          <w:rFonts w:hint="eastAsia" w:ascii="仿宋_GB2312" w:hAnsi="仿宋_GB2312" w:eastAsia="仿宋_GB2312" w:cs="仿宋_GB2312"/>
          <w:color w:val="000000"/>
          <w:kern w:val="0"/>
          <w:sz w:val="32"/>
          <w:szCs w:val="32"/>
          <w:lang w:val="en-US" w:eastAsia="zh-CN"/>
        </w:rPr>
        <w:t>要加强涉山涉水旅游景区的隐患排查，提醒游客密切留意当地气象信息和预警信号，审慎安排户外活动，避免在恶劣天气下出游；必要时及时关闭或停止运营A级旅游景区、涉水旅游项目，提前撤离游客，确保游客人身安全。</w:t>
      </w:r>
      <w:r>
        <w:rPr>
          <w:rFonts w:hint="eastAsia" w:ascii="仿宋_GB2312" w:hAnsi="仿宋_GB2312" w:eastAsia="仿宋_GB2312" w:cs="仿宋_GB2312"/>
          <w:b/>
          <w:bCs/>
          <w:color w:val="000000"/>
          <w:kern w:val="0"/>
          <w:sz w:val="32"/>
          <w:szCs w:val="32"/>
          <w:lang w:val="en-US" w:eastAsia="zh-CN"/>
        </w:rPr>
        <w:t>供电、供水、供气、通信等部门</w:t>
      </w:r>
      <w:r>
        <w:rPr>
          <w:rFonts w:hint="eastAsia" w:ascii="仿宋_GB2312" w:hAnsi="仿宋_GB2312" w:eastAsia="仿宋_GB2312" w:cs="仿宋_GB2312"/>
          <w:color w:val="000000"/>
          <w:kern w:val="0"/>
          <w:sz w:val="32"/>
          <w:szCs w:val="32"/>
          <w:lang w:val="en-US" w:eastAsia="zh-CN"/>
        </w:rPr>
        <w:t>要做好设施设备检测和维护工作，加强对基础设施的巡视和应急处置准备，确保各类管线、设施设备平稳运行。</w:t>
      </w:r>
    </w:p>
    <w:p w14:paraId="290D0BE8">
      <w:pPr>
        <w:numPr>
          <w:ilvl w:val="0"/>
          <w:numId w:val="0"/>
        </w:numPr>
        <w:spacing w:line="56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农业农村部门</w:t>
      </w:r>
      <w:r>
        <w:rPr>
          <w:rFonts w:hint="eastAsia" w:ascii="仿宋_GB2312" w:hAnsi="仿宋_GB2312" w:eastAsia="仿宋_GB2312" w:cs="仿宋_GB2312"/>
          <w:color w:val="000000"/>
          <w:kern w:val="0"/>
          <w:sz w:val="32"/>
          <w:szCs w:val="32"/>
          <w:lang w:val="en-US" w:eastAsia="zh-CN"/>
        </w:rPr>
        <w:t>要重视短时强降水、大风等天气对设施农业的不利影响，提前做好防风加固、排水准备和农田渍涝防范工作。</w:t>
      </w:r>
    </w:p>
    <w:p w14:paraId="59C2E7BA">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（四）公众注意生活安全。</w:t>
      </w:r>
      <w:r>
        <w:rPr>
          <w:rFonts w:hint="eastAsia" w:ascii="仿宋_GB2312" w:hAnsi="仿宋_GB2312" w:eastAsia="仿宋_GB2312" w:cs="仿宋_GB2312"/>
          <w:color w:val="000000"/>
          <w:kern w:val="0"/>
          <w:sz w:val="32"/>
          <w:szCs w:val="32"/>
          <w:lang w:eastAsia="zh-CN"/>
        </w:rPr>
        <w:t>广大群众应增强防范应对台风“格美”的防范意识，尽量减少户外活动，</w:t>
      </w:r>
      <w:r>
        <w:rPr>
          <w:rFonts w:hint="eastAsia" w:ascii="仿宋_GB2312" w:hAnsi="仿宋_GB2312" w:eastAsia="仿宋_GB2312" w:cs="仿宋_GB2312"/>
          <w:color w:val="000000"/>
          <w:kern w:val="0"/>
          <w:sz w:val="32"/>
          <w:szCs w:val="32"/>
        </w:rPr>
        <w:t>加强个人防护，避开危险区域</w:t>
      </w:r>
      <w:r>
        <w:rPr>
          <w:rFonts w:hint="eastAsia" w:ascii="仿宋_GB2312" w:hAnsi="仿宋_GB2312" w:eastAsia="仿宋_GB2312" w:cs="仿宋_GB2312"/>
          <w:color w:val="000000"/>
          <w:kern w:val="0"/>
          <w:sz w:val="32"/>
          <w:szCs w:val="32"/>
          <w:lang w:eastAsia="zh-CN"/>
        </w:rPr>
        <w:t>，远离河道行洪区、山洪威胁区。关好门窗，妥善安置易受暴雨、大风影响的室外物品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14:paraId="6EB742D4">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（五）严格值班值守。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要严格落实24小时值班和领导带班制度，保证通讯畅通和信息及时上报。各</w:t>
      </w:r>
      <w:r>
        <w:rPr>
          <w:rFonts w:hint="eastAsia" w:ascii="仿宋_GB2312" w:hAnsi="仿宋_GB2312" w:eastAsia="仿宋_GB2312" w:cs="仿宋_GB2312"/>
          <w:color w:val="000000"/>
          <w:kern w:val="0"/>
          <w:sz w:val="32"/>
          <w:szCs w:val="32"/>
          <w:lang w:val="en-US" w:eastAsia="zh-CN"/>
        </w:rPr>
        <w:t>乡镇及各</w:t>
      </w:r>
      <w:r>
        <w:rPr>
          <w:rFonts w:hint="eastAsia" w:ascii="仿宋_GB2312" w:hAnsi="仿宋_GB2312" w:eastAsia="仿宋_GB2312" w:cs="仿宋_GB2312"/>
          <w:color w:val="000000"/>
          <w:kern w:val="0"/>
          <w:sz w:val="32"/>
          <w:szCs w:val="32"/>
        </w:rPr>
        <w:t>部门和应急救援队伍要随时做好救援准备，及时处置突发情况。</w:t>
      </w:r>
    </w:p>
    <w:p w14:paraId="7D96EE3A">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2AB95E1C">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7161B48C">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58EB3422">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7281F54F">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23AFA377">
      <w:pPr>
        <w:spacing w:line="600" w:lineRule="exact"/>
        <w:ind w:firstLine="640" w:firstLineChars="200"/>
        <w:rPr>
          <w:rFonts w:ascii="仿宋_GB2312" w:hAnsi="Times New Roman" w:eastAsia="仿宋_GB2312"/>
          <w:color w:val="000000" w:themeColor="text1"/>
          <w:sz w:val="32"/>
          <w:szCs w:val="32"/>
          <w14:textFill>
            <w14:solidFill>
              <w14:schemeClr w14:val="tx1"/>
            </w14:solidFill>
          </w14:textFill>
        </w:rPr>
      </w:pPr>
    </w:p>
    <w:p w14:paraId="7A792C76">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717" w:tblpY="816"/>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909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7F49BBF4">
            <w:pPr>
              <w:spacing w:line="460" w:lineRule="exact"/>
              <w:ind w:left="105" w:leftChars="50" w:right="105" w:rightChars="50"/>
              <w:jc w:val="left"/>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减灾委办公室、</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南阳市</w:t>
            </w:r>
            <w:r>
              <w:rPr>
                <w:rFonts w:hint="eastAsia" w:ascii="Times New Roman" w:hAnsi="Times New Roman" w:eastAsia="仿宋_GB2312" w:cs="仿宋"/>
                <w:color w:val="000000" w:themeColor="text1"/>
                <w:spacing w:val="-20"/>
                <w:sz w:val="32"/>
                <w:szCs w:val="30"/>
                <w14:textFill>
                  <w14:solidFill>
                    <w14:schemeClr w14:val="tx1"/>
                  </w14:solidFill>
                </w14:textFill>
              </w:rPr>
              <w:t>应急管理厅风险监测和综合减灾</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科</w:t>
            </w:r>
          </w:p>
          <w:p w14:paraId="1D04E052">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内乡县</w:t>
            </w:r>
            <w:r>
              <w:rPr>
                <w:rFonts w:hint="eastAsia" w:ascii="Times New Roman" w:hAnsi="Times New Roman" w:eastAsia="仿宋_GB2312" w:cs="仿宋"/>
                <w:color w:val="000000" w:themeColor="text1"/>
                <w:sz w:val="32"/>
                <w:szCs w:val="30"/>
                <w14:textFill>
                  <w14:solidFill>
                    <w14:schemeClr w14:val="tx1"/>
                  </w14:solidFill>
                </w14:textFill>
              </w:rPr>
              <w:t>减灾委员会成员单位</w:t>
            </w:r>
          </w:p>
          <w:p w14:paraId="37B5A611">
            <w:pPr>
              <w:spacing w:line="460" w:lineRule="exact"/>
              <w:ind w:left="105" w:leftChars="50" w:right="105" w:rightChars="50"/>
              <w:jc w:val="left"/>
              <w:rPr>
                <w:rFonts w:hint="default" w:ascii="Times New Roman" w:hAnsi="Times New Roman" w:eastAsia="仿宋_GB2312" w:cs="仿宋"/>
                <w:color w:val="000000" w:themeColor="text1"/>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乡镇人民政府</w:t>
            </w:r>
          </w:p>
        </w:tc>
      </w:tr>
    </w:tbl>
    <w:p w14:paraId="28A8BE12">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442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6BC2B3">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6BC2B3">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6CA9B"/>
    <w:multiLevelType w:val="singleLevel"/>
    <w:tmpl w:val="3C96CA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9025682"/>
    <w:rsid w:val="1084172F"/>
    <w:rsid w:val="122745BD"/>
    <w:rsid w:val="1FEB083D"/>
    <w:rsid w:val="22593643"/>
    <w:rsid w:val="2B6F1911"/>
    <w:rsid w:val="2BC04718"/>
    <w:rsid w:val="32583CDF"/>
    <w:rsid w:val="3DE863CC"/>
    <w:rsid w:val="3EB45007"/>
    <w:rsid w:val="40E070FE"/>
    <w:rsid w:val="487D0EDC"/>
    <w:rsid w:val="4B5015EC"/>
    <w:rsid w:val="52B11745"/>
    <w:rsid w:val="56A16F92"/>
    <w:rsid w:val="59165852"/>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1705</Words>
  <Characters>1760</Characters>
  <Lines>1</Lines>
  <Paragraphs>2</Paragraphs>
  <TotalTime>20</TotalTime>
  <ScaleCrop>false</ScaleCrop>
  <LinksUpToDate>false</LinksUpToDate>
  <CharactersWithSpaces>1782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李强</cp:lastModifiedBy>
  <cp:lastPrinted>2021-02-10T02:16:00Z</cp:lastPrinted>
  <dcterms:modified xsi:type="dcterms:W3CDTF">2024-07-25T10:45:43Z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39D4F5AA5C1046B19123C890B91C4AAF_13</vt:lpwstr>
  </property>
</Properties>
</file>