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湍东镇人民政府2024年政府信息公开工作年度报告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湍东镇坚持以习近平新时代中国特色社会主义思想为指导，深入贯彻落实党中央、国务院关于政务公开工作的决策部署和省、市、县工作要求，准确把握政务公开职责定位，全力推进政府信息公开、政策宣传解读、政民互动沟通等重点工作任务落实，扎扎实实推动新时代政务公开各项工作取得新成绩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我镇通过媒体网站、政府门户网、“湍东团队”公众号等平台共发布各类政务公开信息700余篇，均取得群众关注和点赞。我镇政府信息公开主要采用政府文件和信息的形式发布，在各行政村公示栏张贴政策明白卡，在镇便民服务中心设立便民材料自行取阅点，持续以辖区群众需求为导向，全力打造标准统一、智能便捷、服务高效的基层政务服务体系，持续提升服务水平，为群众和企业营造一个和谐稳定、安全可靠的环境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12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的问题：今年以来，全镇政府信息公开工作稳步推进，取得一定成绩，同时也存在一些困难和问题：一是日常工作繁忙，投入到政务公开的时间不够。二是政务信息公开的信息质量不高，重点不突出，同时发布不够及时，有的应事前公开的内容变成了事后公开。三是公开便民性有待提高。公开形式还不够丰富公开内容还不够贴近群众生产生活。四是监督机制还有待于进一步健全、监督力度还有待进一步加强。监督形式大多为被动接受上级检查，自觉进行自查和抽查的少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措施：一是持续加强队伍建设。坚持定期组织开展政务公开业务培训和研讨交流，重点围绕政务公开测评反馈问题，剖析工作短板，梳理亟待改进的公开领域，明确重点任务，提高公开内容质量。二是优化专区各项功能。充分利用线下专区设备、场地、受众面等优势，对一些群众关注度高的工作，拓展更加丰富多样的政民互动和公众参与形式，组织相关部门开展政策解读及系列主题活动，提升便民利民服务能力。三是健全监督考核机制。完善常态化检查考核机制，把第三方监测作为有效动力，实施动态管理，发布日常监测整改通报，以监督促公开，以公开促落实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无。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