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2E0F8">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auto"/>
          <w:sz w:val="44"/>
        </w:rPr>
        <w:t>浉河区市场监督管理局</w:t>
      </w:r>
      <w:bookmarkEnd w:id="0"/>
    </w:p>
    <w:p w14:paraId="016DFACA">
      <w:pPr>
        <w:pStyle w:val="2"/>
        <w:keepNext w:val="0"/>
        <w:numPr>
          <w:ilvl w:val="0"/>
          <w:numId w:val="2"/>
        </w:numPr>
        <w:spacing w:before="0" w:after="0" w:line="640" w:lineRule="exact"/>
        <w:jc w:val="center"/>
        <w:rPr>
          <w:rFonts w:hint="eastAsia" w:eastAsia="方正小标宋简体" w:cs="方正小标宋简体"/>
          <w:color w:val="auto"/>
          <w:sz w:val="44"/>
          <w:szCs w:val="44"/>
        </w:rPr>
      </w:pPr>
      <w:bookmarkStart w:id="1" w:name="_Toc76683344"/>
      <w:r>
        <w:rPr>
          <w:rFonts w:hint="eastAsia" w:hAnsi="方正小标宋简体" w:eastAsia="方正小标宋简体" w:cs="方正小标宋简体"/>
          <w:color w:val="auto"/>
          <w:sz w:val="44"/>
          <w:szCs w:val="44"/>
          <w:lang w:val="en-US"/>
        </w:rPr>
        <w:t>行政处罚</w:t>
      </w:r>
      <w:r>
        <w:rPr>
          <w:rFonts w:hint="eastAsia" w:hAnsi="方正小标宋简体" w:eastAsia="方正小标宋简体" w:cs="方正小标宋简体"/>
          <w:color w:val="auto"/>
          <w:sz w:val="44"/>
          <w:szCs w:val="44"/>
          <w:lang w:val="en-US" w:eastAsia="zh-Hans"/>
        </w:rPr>
        <w:t>决定</w:t>
      </w:r>
      <w:r>
        <w:rPr>
          <w:rFonts w:hint="eastAsia" w:hAnsi="方正小标宋简体" w:eastAsia="方正小标宋简体" w:cs="方正小标宋简体"/>
          <w:color w:val="auto"/>
          <w:sz w:val="44"/>
          <w:szCs w:val="44"/>
          <w:lang w:val="en-US"/>
        </w:rPr>
        <w:t>书</w:t>
      </w:r>
      <w:bookmarkEnd w:id="1"/>
    </w:p>
    <w:p w14:paraId="423E8448">
      <w:pPr>
        <w:widowControl/>
        <w:snapToGrid w:val="0"/>
        <w:spacing w:line="560" w:lineRule="exact"/>
        <w:ind w:right="55"/>
        <w:jc w:val="center"/>
        <w:outlineLvl w:val="1"/>
        <w:rPr>
          <w:rFonts w:hint="eastAsia" w:ascii="Times New Roman" w:hAnsi="Times New Roman" w:eastAsia="仿宋_GB2312" w:cs="Mongolian Baiti"/>
          <w:color w:val="auto"/>
          <w:sz w:val="32"/>
        </w:rPr>
      </w:pPr>
      <w:bookmarkStart w:id="2" w:name="tAj_wh"/>
      <w:r>
        <w:rPr>
          <w:rFonts w:hint="eastAsia" w:ascii="Times New Roman" w:hAnsi="Times New Roman" w:eastAsia="仿宋_GB2312" w:cs="Mongolian Baiti"/>
          <w:color w:val="auto"/>
          <w:sz w:val="32"/>
        </w:rPr>
        <w:t>信浉市监处罚〔2024〕74号</w:t>
      </w:r>
      <w:bookmarkEnd w:id="2"/>
    </w:p>
    <w:p w14:paraId="206B7FF6">
      <w:pPr>
        <w:widowControl/>
        <w:snapToGrid w:val="0"/>
        <w:spacing w:line="560" w:lineRule="exact"/>
        <w:ind w:right="55"/>
        <w:jc w:val="center"/>
        <w:outlineLvl w:val="1"/>
        <w:rPr>
          <w:rFonts w:hint="eastAsia" w:ascii="Times New Roman" w:hAnsi="Times New Roman" w:eastAsia="仿宋_GB2312" w:cs="Mongolian Baiti"/>
          <w:color w:val="auto"/>
          <w:sz w:val="32"/>
        </w:rPr>
      </w:pPr>
      <w:bookmarkStart w:id="4" w:name="_GoBack"/>
    </w:p>
    <w:bookmarkEnd w:id="4"/>
    <w:p w14:paraId="75782757">
      <w:pPr>
        <w:spacing w:line="520" w:lineRule="exact"/>
        <w:ind w:left="140" w:hanging="140"/>
        <w:rPr>
          <w:rFonts w:hint="eastAsia" w:ascii="仿宋_GB2312" w:hAnsi="仿宋_GB2312" w:eastAsia="仿宋_GB2312" w:cs="仿宋_GB2312"/>
          <w:sz w:val="32"/>
          <w:szCs w:val="32"/>
          <w:lang w:eastAsia="zh-CN"/>
        </w:rPr>
      </w:pPr>
      <w:r>
        <w:rPr>
          <w:rFonts w:hint="eastAsia" w:ascii="仿宋_GB2312" w:hAnsi="仿宋_GB2312" w:eastAsia="仿宋_GB2312" w:cs="仿宋_GB2312"/>
          <w:bCs/>
          <w:kern w:val="1"/>
          <w:sz w:val="32"/>
          <w:szCs w:val="32"/>
          <w:u w:val="none"/>
        </w:rPr>
        <w:t>当事人：</w:t>
      </w:r>
      <w:bookmarkStart w:id="3" w:name="OLE_LINK1"/>
      <w:r>
        <w:rPr>
          <w:rFonts w:hint="eastAsia" w:ascii="Times New Roman" w:hAnsi="Times New Roman" w:eastAsia="仿宋_GB2312" w:cs="仿宋_GB2312"/>
          <w:bCs/>
          <w:sz w:val="32"/>
          <w:szCs w:val="32"/>
          <w:u w:val="none"/>
          <w:lang w:eastAsia="zh-CN"/>
        </w:rPr>
        <w:t>信阳市浉河区</w:t>
      </w:r>
      <w:bookmarkEnd w:id="3"/>
      <w:r>
        <w:rPr>
          <w:rFonts w:hint="eastAsia" w:ascii="仿宋_GB2312" w:hAnsi="仿宋_GB2312" w:eastAsia="仿宋_GB2312" w:cs="仿宋_GB2312"/>
          <w:sz w:val="32"/>
          <w:szCs w:val="32"/>
          <w:lang w:eastAsia="zh-CN"/>
        </w:rPr>
        <w:t>******</w:t>
      </w:r>
    </w:p>
    <w:p w14:paraId="49BB39C9">
      <w:pPr>
        <w:spacing w:line="520" w:lineRule="exact"/>
        <w:ind w:left="140" w:hanging="140"/>
        <w:rPr>
          <w:rFonts w:hint="eastAsia" w:ascii="仿宋_GB2312" w:hAnsi="仿宋_GB2312" w:eastAsia="仿宋_GB2312" w:cs="仿宋_GB2312"/>
          <w:kern w:val="1"/>
          <w:sz w:val="32"/>
          <w:szCs w:val="32"/>
          <w:u w:val="none"/>
          <w:lang w:eastAsia="zh-CN"/>
        </w:rPr>
      </w:pPr>
      <w:r>
        <w:rPr>
          <w:rFonts w:hint="eastAsia" w:ascii="仿宋_GB2312" w:hAnsi="仿宋_GB2312" w:eastAsia="仿宋_GB2312" w:cs="仿宋_GB2312"/>
          <w:bCs/>
          <w:kern w:val="1"/>
          <w:sz w:val="32"/>
          <w:szCs w:val="32"/>
          <w:u w:val="none"/>
        </w:rPr>
        <w:t>主体资格证照</w:t>
      </w:r>
      <w:r>
        <w:rPr>
          <w:rFonts w:hint="eastAsia" w:ascii="仿宋_GB2312" w:hAnsi="仿宋_GB2312" w:eastAsia="仿宋_GB2312" w:cs="仿宋_GB2312"/>
          <w:kern w:val="1"/>
          <w:sz w:val="32"/>
          <w:szCs w:val="32"/>
          <w:u w:val="none"/>
        </w:rPr>
        <w:t>名称：</w:t>
      </w:r>
      <w:r>
        <w:rPr>
          <w:rFonts w:hint="eastAsia" w:ascii="仿宋_GB2312" w:hAnsi="仿宋_GB2312" w:eastAsia="仿宋_GB2312" w:cs="仿宋_GB2312"/>
          <w:kern w:val="1"/>
          <w:sz w:val="32"/>
          <w:szCs w:val="32"/>
          <w:u w:val="none"/>
          <w:lang w:eastAsia="zh-CN"/>
        </w:rPr>
        <w:t>营业执照</w:t>
      </w:r>
    </w:p>
    <w:p w14:paraId="63E8E3DA">
      <w:pPr>
        <w:spacing w:line="520" w:lineRule="exact"/>
        <w:rPr>
          <w:rFonts w:hint="default" w:ascii="Times New Roman" w:hAnsi="Times New Roman" w:eastAsia="仿宋_GB2312" w:cs="Mongolian Baiti"/>
          <w:kern w:val="1"/>
          <w:sz w:val="32"/>
          <w:szCs w:val="32"/>
          <w:u w:val="none"/>
          <w:lang w:val="en-US" w:eastAsia="zh-CN"/>
        </w:rPr>
      </w:pPr>
      <w:r>
        <w:rPr>
          <w:rFonts w:hint="eastAsia" w:ascii="Times New Roman" w:hAnsi="Times New Roman" w:eastAsia="仿宋_GB2312" w:cs="Mongolian Baiti"/>
          <w:kern w:val="1"/>
          <w:sz w:val="32"/>
          <w:szCs w:val="32"/>
          <w:u w:val="none"/>
        </w:rPr>
        <w:t>统一社会信用代码：</w:t>
      </w:r>
      <w:r>
        <w:rPr>
          <w:rFonts w:hint="eastAsia" w:ascii="仿宋" w:hAnsi="仿宋" w:eastAsia="仿宋" w:cs="仿宋_GB2312"/>
          <w:color w:val="000000"/>
          <w:sz w:val="28"/>
          <w:szCs w:val="28"/>
          <w:lang w:val="en-US" w:eastAsia="zh-CN"/>
        </w:rPr>
        <w:t>******</w:t>
      </w:r>
    </w:p>
    <w:p w14:paraId="7AB8174C">
      <w:pPr>
        <w:spacing w:line="520" w:lineRule="exact"/>
        <w:rPr>
          <w:rFonts w:hint="eastAsia"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rPr>
        <w:t>住所（住址）：</w:t>
      </w:r>
      <w:r>
        <w:rPr>
          <w:rFonts w:hint="eastAsia" w:ascii="仿宋_GB2312" w:hAnsi="仿宋_GB2312" w:eastAsia="仿宋_GB2312" w:cs="仿宋_GB2312"/>
          <w:bCs/>
          <w:sz w:val="32"/>
          <w:szCs w:val="32"/>
          <w:u w:val="none"/>
          <w:lang w:eastAsia="zh-CN"/>
        </w:rPr>
        <w:t>信阳市浉河区******</w:t>
      </w:r>
    </w:p>
    <w:p w14:paraId="1A947A3A">
      <w:pPr>
        <w:spacing w:line="520" w:lineRule="exact"/>
        <w:rPr>
          <w:rFonts w:hint="eastAsia" w:ascii="仿宋_GB2312" w:hAnsi="仿宋_GB2312" w:eastAsia="仿宋_GB2312" w:cs="仿宋_GB2312"/>
          <w:kern w:val="1"/>
          <w:sz w:val="32"/>
          <w:szCs w:val="32"/>
          <w:u w:val="none"/>
          <w:lang w:val="en-US" w:eastAsia="zh-CN"/>
        </w:rPr>
      </w:pPr>
      <w:r>
        <w:rPr>
          <w:rFonts w:hint="eastAsia" w:ascii="仿宋_GB2312" w:hAnsi="仿宋_GB2312" w:eastAsia="仿宋_GB2312" w:cs="仿宋_GB2312"/>
          <w:kern w:val="1"/>
          <w:sz w:val="32"/>
          <w:szCs w:val="32"/>
          <w:u w:val="none"/>
          <w:lang w:eastAsia="zh-CN"/>
        </w:rPr>
        <w:t>经营者</w:t>
      </w:r>
      <w:r>
        <w:rPr>
          <w:rFonts w:hint="eastAsia" w:ascii="仿宋_GB2312" w:hAnsi="仿宋_GB2312" w:eastAsia="仿宋_GB2312" w:cs="仿宋_GB2312"/>
          <w:kern w:val="1"/>
          <w:sz w:val="32"/>
          <w:szCs w:val="32"/>
          <w:u w:val="none"/>
        </w:rPr>
        <w:t>：</w:t>
      </w:r>
      <w:r>
        <w:rPr>
          <w:rFonts w:hint="eastAsia" w:ascii="仿宋_GB2312" w:hAnsi="仿宋_GB2312" w:eastAsia="仿宋_GB2312" w:cs="仿宋_GB2312"/>
          <w:kern w:val="1"/>
          <w:sz w:val="32"/>
          <w:szCs w:val="32"/>
          <w:u w:val="none"/>
          <w:lang w:eastAsia="zh-CN"/>
        </w:rPr>
        <w:t>***</w:t>
      </w:r>
    </w:p>
    <w:p w14:paraId="363EEAD5">
      <w:pPr>
        <w:spacing w:line="520" w:lineRule="exact"/>
        <w:ind w:left="140" w:hanging="140"/>
        <w:rPr>
          <w:rFonts w:hint="eastAsia" w:ascii="仿宋_GB2312" w:hAnsi="方正仿宋_GBK" w:eastAsia="仿宋_GB2312"/>
          <w:b/>
          <w:strike/>
          <w:color w:val="231F20"/>
          <w:spacing w:val="-49"/>
        </w:rPr>
      </w:pPr>
      <w:r>
        <w:rPr>
          <w:rFonts w:hint="eastAsia" w:ascii="仿宋_GB2312" w:hAnsi="仿宋_GB2312" w:eastAsia="仿宋_GB2312" w:cs="仿宋_GB2312"/>
          <w:kern w:val="1"/>
          <w:sz w:val="32"/>
          <w:szCs w:val="32"/>
          <w:u w:val="none"/>
        </w:rPr>
        <w:t>身份证件号码：</w:t>
      </w:r>
      <w:r>
        <w:rPr>
          <w:rFonts w:hint="eastAsia" w:ascii="仿宋_GB2312" w:hAnsi="仿宋_GB2312" w:eastAsia="仿宋_GB2312" w:cs="仿宋_GB2312"/>
          <w:sz w:val="32"/>
          <w:szCs w:val="32"/>
          <w:lang w:val="en-US" w:eastAsia="zh-CN"/>
        </w:rPr>
        <w:t>******</w:t>
      </w:r>
    </w:p>
    <w:p w14:paraId="061411DF">
      <w:pPr>
        <w:spacing w:line="480" w:lineRule="exact"/>
        <w:ind w:firstLine="640" w:firstLineChars="200"/>
        <w:jc w:val="left"/>
        <w:outlineLvl w:val="1"/>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2024年6月5日，信阳市市场监管综合行政执法支队浉河大队接到山东精准产品质量检测有限公司检验报告：</w:t>
      </w:r>
      <w:r>
        <w:rPr>
          <w:rFonts w:hint="eastAsia" w:ascii="仿宋_GB2312" w:hAnsi="Times New Roman" w:eastAsia="仿宋_GB2312" w:cs="仿宋_GB2312"/>
          <w:sz w:val="32"/>
          <w:szCs w:val="32"/>
          <w:u w:val="none"/>
          <w:lang w:val="en-US" w:eastAsia="zh-CN"/>
        </w:rPr>
        <w:t>JZ240104HG0550,检验报告显示2024年4月6日，信阳市市场监督管理局在</w:t>
      </w:r>
      <w:r>
        <w:rPr>
          <w:rFonts w:hint="eastAsia" w:ascii="Times New Roman" w:hAnsi="Times New Roman" w:eastAsia="仿宋_GB2312" w:cs="仿宋_GB2312"/>
          <w:bCs/>
          <w:sz w:val="32"/>
          <w:szCs w:val="32"/>
          <w:u w:val="none"/>
          <w:lang w:eastAsia="zh-CN"/>
        </w:rPr>
        <w:t>信阳市浉河区</w:t>
      </w:r>
      <w:r>
        <w:rPr>
          <w:rFonts w:hint="eastAsia" w:ascii="仿宋_GB2312" w:hAnsi="仿宋_GB2312" w:eastAsia="仿宋_GB2312" w:cs="仿宋_GB2312"/>
          <w:sz w:val="32"/>
          <w:szCs w:val="32"/>
          <w:lang w:eastAsia="zh-CN"/>
        </w:rPr>
        <w:t>******</w:t>
      </w:r>
      <w:r>
        <w:rPr>
          <w:rFonts w:hint="eastAsia" w:ascii="仿宋_GB2312" w:hAnsi="Times New Roman" w:eastAsia="仿宋_GB2312" w:cs="仿宋_GB2312"/>
          <w:sz w:val="32"/>
          <w:szCs w:val="32"/>
          <w:u w:val="none"/>
          <w:lang w:val="en-US" w:eastAsia="zh-CN"/>
        </w:rPr>
        <w:t>抽检******生产的复合肥料，经抽样检验，所检项目中水溶性磷占有效磷百分率/%不符合GB/T15063-2020《复合肥料》、GB38400-2019《肥料中有毒有害物质的限量要求》标准，判定为被抽查产品不合格。</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日，我局执法人员将山东精准产品质量检测有限公司检验报</w:t>
      </w:r>
      <w:r>
        <w:rPr>
          <w:rFonts w:hint="eastAsia" w:ascii="仿宋_GB2312" w:hAnsi="仿宋_GB2312" w:eastAsia="仿宋_GB2312" w:cs="仿宋_GB2312"/>
          <w:sz w:val="32"/>
          <w:szCs w:val="32"/>
          <w:u w:val="none"/>
          <w:lang w:eastAsia="zh-CN"/>
        </w:rPr>
        <w:t>告：</w:t>
      </w:r>
      <w:r>
        <w:rPr>
          <w:rFonts w:hint="eastAsia" w:ascii="仿宋_GB2312" w:hAnsi="Times New Roman" w:eastAsia="仿宋_GB2312" w:cs="仿宋_GB2312"/>
          <w:sz w:val="32"/>
          <w:szCs w:val="32"/>
          <w:u w:val="none"/>
          <w:lang w:val="en-US" w:eastAsia="zh-CN"/>
        </w:rPr>
        <w:t xml:space="preserve">JZ240104HG0550 </w:t>
      </w:r>
      <w:r>
        <w:rPr>
          <w:rFonts w:hint="eastAsia" w:ascii="仿宋_GB2312" w:hAnsi="仿宋_GB2312" w:eastAsia="仿宋_GB2312" w:cs="仿宋_GB2312"/>
          <w:sz w:val="32"/>
          <w:szCs w:val="32"/>
          <w:u w:val="none"/>
        </w:rPr>
        <w:t>送达</w:t>
      </w:r>
      <w:r>
        <w:rPr>
          <w:rFonts w:hint="eastAsia" w:ascii="仿宋_GB2312" w:hAnsi="仿宋_GB2312" w:eastAsia="仿宋_GB2312" w:cs="仿宋_GB2312"/>
          <w:bCs/>
          <w:sz w:val="32"/>
          <w:szCs w:val="32"/>
          <w:u w:val="none"/>
          <w:lang w:eastAsia="zh-CN"/>
        </w:rPr>
        <w:t>信阳市浉河区******</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13</w:t>
      </w:r>
      <w:r>
        <w:rPr>
          <w:rFonts w:hint="eastAsia" w:ascii="仿宋_GB2312" w:hAnsi="仿宋_GB2312" w:eastAsia="仿宋_GB2312" w:cs="仿宋_GB2312"/>
          <w:sz w:val="32"/>
          <w:szCs w:val="32"/>
          <w:u w:val="none"/>
        </w:rPr>
        <w:t>日，我局执法人员对</w:t>
      </w:r>
      <w:r>
        <w:rPr>
          <w:rFonts w:hint="eastAsia" w:ascii="仿宋_GB2312" w:hAnsi="仿宋_GB2312" w:eastAsia="仿宋_GB2312" w:cs="仿宋_GB2312"/>
          <w:bCs/>
          <w:sz w:val="32"/>
          <w:szCs w:val="32"/>
          <w:u w:val="none"/>
          <w:lang w:eastAsia="zh-CN"/>
        </w:rPr>
        <w:t>信阳市浉河区******经营者***</w:t>
      </w:r>
      <w:r>
        <w:rPr>
          <w:rFonts w:hint="eastAsia" w:ascii="仿宋_GB2312" w:hAnsi="仿宋_GB2312" w:eastAsia="仿宋_GB2312" w:cs="仿宋_GB2312"/>
          <w:sz w:val="32"/>
          <w:szCs w:val="32"/>
          <w:u w:val="none"/>
        </w:rPr>
        <w:t>进行了询问调查。</w:t>
      </w:r>
    </w:p>
    <w:p w14:paraId="2D2CE0DF">
      <w:pPr>
        <w:spacing w:line="520" w:lineRule="exact"/>
        <w:ind w:firstLine="640" w:firstLineChars="2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经查明，</w:t>
      </w:r>
      <w:r>
        <w:rPr>
          <w:rFonts w:hint="eastAsia" w:ascii="仿宋_GB2312" w:hAnsi="仿宋_GB2312" w:eastAsia="仿宋_GB2312" w:cs="仿宋_GB2312"/>
          <w:sz w:val="32"/>
          <w:szCs w:val="32"/>
          <w:u w:val="none"/>
          <w:lang w:eastAsia="zh-CN"/>
        </w:rPr>
        <w:t>当事人</w:t>
      </w:r>
      <w:r>
        <w:rPr>
          <w:rFonts w:hint="eastAsia" w:ascii="仿宋_GB2312" w:hAnsi="仿宋_GB2312" w:eastAsia="仿宋_GB2312" w:cs="仿宋_GB2312"/>
          <w:sz w:val="32"/>
          <w:szCs w:val="32"/>
          <w:u w:val="none"/>
        </w:rPr>
        <w:t>从</w:t>
      </w:r>
      <w:r>
        <w:rPr>
          <w:rFonts w:hint="eastAsia" w:ascii="仿宋_GB2312" w:hAnsi="仿宋_GB2312" w:eastAsia="仿宋_GB2312" w:cs="仿宋_GB2312"/>
          <w:b w:val="0"/>
          <w:bCs w:val="0"/>
          <w:color w:val="auto"/>
          <w:sz w:val="32"/>
          <w:szCs w:val="32"/>
          <w:u w:val="none"/>
          <w:lang w:eastAsia="zh-CN"/>
        </w:rPr>
        <w:t>信阳市******</w:t>
      </w:r>
      <w:r>
        <w:rPr>
          <w:rFonts w:hint="eastAsia" w:ascii="仿宋_GB2312" w:hAnsi="仿宋_GB2312" w:eastAsia="仿宋_GB2312" w:cs="仿宋_GB2312"/>
          <w:sz w:val="32"/>
          <w:szCs w:val="32"/>
          <w:u w:val="none"/>
        </w:rPr>
        <w:t>购进</w:t>
      </w:r>
      <w:r>
        <w:rPr>
          <w:rFonts w:hint="eastAsia" w:ascii="仿宋_GB2312" w:hAnsi="仿宋" w:eastAsia="仿宋_GB2312" w:cs="仿宋"/>
          <w:sz w:val="32"/>
          <w:szCs w:val="32"/>
          <w:u w:val="none"/>
          <w:lang w:val="en-US" w:eastAsia="zh-CN"/>
        </w:rPr>
        <w:t>复合肥料“松土肥总营养粉</w:t>
      </w:r>
      <w:r>
        <w:rPr>
          <w:rFonts w:hint="default" w:ascii="Arial" w:hAnsi="Arial" w:eastAsia="仿宋_GB2312" w:cs="Arial"/>
          <w:sz w:val="32"/>
          <w:szCs w:val="32"/>
          <w:u w:val="none"/>
          <w:lang w:val="en-US" w:eastAsia="zh-CN"/>
        </w:rPr>
        <w:t>≥</w:t>
      </w:r>
      <w:r>
        <w:rPr>
          <w:rFonts w:hint="eastAsia" w:ascii="仿宋_GB2312" w:hAnsi="仿宋" w:eastAsia="仿宋_GB2312" w:cs="仿宋"/>
          <w:sz w:val="32"/>
          <w:szCs w:val="32"/>
          <w:u w:val="none"/>
          <w:lang w:val="en-US" w:eastAsia="zh-CN"/>
        </w:rPr>
        <w:t>42%”</w:t>
      </w:r>
      <w:r>
        <w:rPr>
          <w:rFonts w:hint="eastAsia" w:ascii="仿宋_GB2312" w:hAnsi="仿宋_GB2312" w:eastAsia="仿宋_GB2312" w:cs="仿宋_GB2312"/>
          <w:sz w:val="32"/>
          <w:szCs w:val="32"/>
          <w:u w:val="none"/>
          <w:lang w:val="en-US" w:eastAsia="zh-CN"/>
        </w:rPr>
        <w:t>1吨</w:t>
      </w:r>
      <w:r>
        <w:rPr>
          <w:rFonts w:hint="eastAsia" w:ascii="仿宋_GB2312" w:hAnsi="仿宋_GB2312" w:eastAsia="仿宋_GB2312" w:cs="仿宋_GB2312"/>
          <w:sz w:val="32"/>
          <w:szCs w:val="32"/>
          <w:u w:val="none"/>
        </w:rPr>
        <w:t>，购进</w:t>
      </w:r>
      <w:r>
        <w:rPr>
          <w:rFonts w:hint="eastAsia" w:ascii="仿宋_GB2312" w:hAnsi="仿宋_GB2312" w:eastAsia="仿宋_GB2312" w:cs="仿宋_GB2312"/>
          <w:sz w:val="32"/>
          <w:szCs w:val="32"/>
          <w:u w:val="none"/>
          <w:lang w:eastAsia="zh-CN"/>
        </w:rPr>
        <w:t>单价</w:t>
      </w:r>
      <w:r>
        <w:rPr>
          <w:rFonts w:hint="eastAsia" w:ascii="仿宋_GB2312" w:hAnsi="仿宋_GB2312" w:eastAsia="仿宋_GB2312" w:cs="仿宋_GB2312"/>
          <w:sz w:val="32"/>
          <w:szCs w:val="32"/>
          <w:u w:val="none"/>
          <w:lang w:val="en-US" w:eastAsia="zh-CN"/>
        </w:rPr>
        <w:t>2900元/吨。</w:t>
      </w:r>
      <w:r>
        <w:rPr>
          <w:rFonts w:hint="eastAsia" w:ascii="仿宋_GB2312" w:hAnsi="仿宋_GB2312" w:eastAsia="仿宋_GB2312" w:cs="仿宋_GB2312"/>
          <w:sz w:val="32"/>
          <w:szCs w:val="32"/>
          <w:u w:val="none"/>
        </w:rPr>
        <w:t>购进</w:t>
      </w:r>
      <w:r>
        <w:rPr>
          <w:rFonts w:hint="eastAsia" w:ascii="仿宋_GB2312" w:hAnsi="仿宋_GB2312" w:eastAsia="仿宋_GB2312" w:cs="仿宋_GB2312"/>
          <w:sz w:val="32"/>
          <w:szCs w:val="32"/>
          <w:u w:val="none"/>
          <w:lang w:eastAsia="zh-CN"/>
        </w:rPr>
        <w:t>单价</w:t>
      </w:r>
      <w:r>
        <w:rPr>
          <w:rFonts w:hint="eastAsia" w:ascii="仿宋_GB2312" w:hAnsi="仿宋_GB2312" w:eastAsia="仿宋_GB2312" w:cs="仿宋_GB2312"/>
          <w:sz w:val="32"/>
          <w:szCs w:val="32"/>
          <w:u w:val="none"/>
          <w:lang w:val="en-US" w:eastAsia="zh-CN"/>
        </w:rPr>
        <w:t>145元/袋。</w:t>
      </w:r>
      <w:r>
        <w:rPr>
          <w:rFonts w:hint="eastAsia" w:ascii="仿宋_GB2312" w:hAnsi="仿宋_GB2312" w:eastAsia="仿宋_GB2312" w:cs="仿宋_GB2312"/>
          <w:sz w:val="32"/>
          <w:szCs w:val="32"/>
          <w:u w:val="none"/>
        </w:rPr>
        <w:t>销售单价</w:t>
      </w:r>
      <w:r>
        <w:rPr>
          <w:rFonts w:hint="eastAsia" w:ascii="仿宋_GB2312" w:hAnsi="仿宋_GB2312" w:eastAsia="仿宋_GB2312" w:cs="仿宋_GB2312"/>
          <w:sz w:val="32"/>
          <w:szCs w:val="32"/>
          <w:u w:val="none"/>
          <w:lang w:val="en-US" w:eastAsia="zh-CN"/>
        </w:rPr>
        <w:t>170</w:t>
      </w:r>
      <w:r>
        <w:rPr>
          <w:rFonts w:hint="eastAsia" w:ascii="仿宋_GB2312" w:hAnsi="仿宋_GB2312" w:eastAsia="仿宋_GB2312" w:cs="仿宋_GB2312"/>
          <w:sz w:val="32"/>
          <w:szCs w:val="32"/>
          <w:u w:val="none"/>
        </w:rPr>
        <w:t>元／袋</w:t>
      </w:r>
      <w:r>
        <w:rPr>
          <w:rFonts w:hint="eastAsia" w:ascii="仿宋_GB2312" w:hAnsi="仿宋_GB2312" w:eastAsia="仿宋_GB2312" w:cs="仿宋_GB2312"/>
          <w:sz w:val="32"/>
          <w:szCs w:val="32"/>
          <w:u w:val="none"/>
          <w:lang w:eastAsia="zh-CN"/>
        </w:rPr>
        <w:t>，已</w:t>
      </w:r>
      <w:r>
        <w:rPr>
          <w:rFonts w:hint="eastAsia" w:ascii="仿宋_GB2312" w:hAnsi="仿宋_GB2312" w:eastAsia="仿宋_GB2312" w:cs="仿宋_GB2312"/>
          <w:sz w:val="32"/>
          <w:szCs w:val="32"/>
          <w:u w:val="none"/>
        </w:rPr>
        <w:t>全部销售完毕</w:t>
      </w:r>
      <w:r>
        <w:rPr>
          <w:rFonts w:hint="eastAsia" w:ascii="仿宋_GB2312" w:hAnsi="仿宋_GB2312" w:eastAsia="仿宋_GB2312" w:cs="仿宋_GB2312"/>
          <w:sz w:val="32"/>
          <w:szCs w:val="32"/>
          <w:u w:val="none"/>
          <w:lang w:eastAsia="zh-CN"/>
        </w:rPr>
        <w:t>且已无法召回</w:t>
      </w:r>
      <w:r>
        <w:rPr>
          <w:rFonts w:hint="eastAsia" w:ascii="仿宋_GB2312" w:hAnsi="仿宋_GB2312" w:eastAsia="仿宋_GB2312" w:cs="仿宋_GB2312"/>
          <w:sz w:val="32"/>
          <w:szCs w:val="32"/>
          <w:u w:val="none"/>
        </w:rPr>
        <w:t>。货值金额</w:t>
      </w:r>
      <w:r>
        <w:rPr>
          <w:rFonts w:hint="eastAsia" w:ascii="仿宋_GB2312" w:hAnsi="仿宋_GB2312" w:eastAsia="仿宋_GB2312" w:cs="仿宋_GB2312"/>
          <w:sz w:val="32"/>
          <w:szCs w:val="32"/>
          <w:u w:val="none"/>
          <w:lang w:val="en-US" w:eastAsia="zh-CN"/>
        </w:rPr>
        <w:t>3400</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u w:val="none"/>
          <w:lang w:eastAsia="zh-CN"/>
        </w:rPr>
        <w:t>违法所得</w:t>
      </w:r>
      <w:r>
        <w:rPr>
          <w:rFonts w:hint="eastAsia" w:ascii="仿宋_GB2312" w:hAnsi="仿宋_GB2312" w:eastAsia="仿宋_GB2312" w:cs="仿宋_GB2312"/>
          <w:sz w:val="32"/>
          <w:szCs w:val="32"/>
          <w:u w:val="none"/>
          <w:lang w:val="en-US" w:eastAsia="zh-CN"/>
        </w:rPr>
        <w:t>500元。</w:t>
      </w:r>
    </w:p>
    <w:p w14:paraId="28AECE8D">
      <w:pPr>
        <w:spacing w:line="52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调查认定的事实：信阳市浉河区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销售不合格的复合肥料的行为涉嫌违反了《中华人民共和国产品质量法》第十三条</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可能危及人体健康和人身、财产安全的工业产品，必须符合保障人体健康和人身、财产安全的国家标准、行业标准；未制定国家标准、行业标准的，必须符合保障人体健康和人身、财产安全的要求”的规定，</w:t>
      </w:r>
    </w:p>
    <w:p w14:paraId="3073DC30">
      <w:pPr>
        <w:spacing w:line="52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上述事实，主要有以下证据：</w:t>
      </w:r>
    </w:p>
    <w:p w14:paraId="50372C4B">
      <w:pPr>
        <w:numPr>
          <w:ilvl w:val="0"/>
          <w:numId w:val="3"/>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现场检查笔录、询问笔录、山东精准产品质量有检测限公司检验报告</w:t>
      </w:r>
      <w:r>
        <w:rPr>
          <w:rFonts w:hint="eastAsia" w:ascii="仿宋_GB2312" w:hAnsi="Times New Roman" w:eastAsia="仿宋_GB2312" w:cs="仿宋_GB2312"/>
          <w:sz w:val="32"/>
          <w:szCs w:val="32"/>
          <w:u w:val="none"/>
          <w:lang w:val="en-US" w:eastAsia="zh-CN"/>
        </w:rPr>
        <w:t>JZ240104HG0550，</w:t>
      </w:r>
      <w:r>
        <w:rPr>
          <w:rFonts w:hint="eastAsia" w:ascii="仿宋_GB2312" w:hAnsi="仿宋_GB2312" w:eastAsia="仿宋_GB2312" w:cs="仿宋_GB2312"/>
          <w:sz w:val="32"/>
          <w:szCs w:val="32"/>
          <w:lang w:eastAsia="zh-CN"/>
        </w:rPr>
        <w:t>证明该批次复合肥不合格的标准</w:t>
      </w:r>
      <w:r>
        <w:rPr>
          <w:rFonts w:hint="eastAsia" w:ascii="仿宋_GB2312" w:hAnsi="仿宋_GB2312" w:eastAsia="仿宋_GB2312" w:cs="仿宋_GB2312"/>
          <w:sz w:val="32"/>
          <w:szCs w:val="32"/>
        </w:rPr>
        <w:t>。</w:t>
      </w:r>
    </w:p>
    <w:p w14:paraId="0F773B56">
      <w:pPr>
        <w:numPr>
          <w:ilvl w:val="0"/>
          <w:numId w:val="3"/>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当事人***的身份证、营业执照复印件各一份，证明当事人的主体。</w:t>
      </w:r>
    </w:p>
    <w:p w14:paraId="4B88477E">
      <w:pPr>
        <w:numPr>
          <w:ilvl w:val="0"/>
          <w:numId w:val="3"/>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讯问笔录一份，证明当事人销售情况。</w:t>
      </w:r>
    </w:p>
    <w:p w14:paraId="08D1F95C">
      <w:pPr>
        <w:numPr>
          <w:ilvl w:val="0"/>
          <w:numId w:val="3"/>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进货票据复印件一份，证明当事人的购进凭据。</w:t>
      </w:r>
    </w:p>
    <w:p w14:paraId="530F8956">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eastAsia="仿宋_GB2312" w:cs="仿宋_GB2312"/>
          <w:color w:val="000000"/>
          <w:sz w:val="32"/>
          <w:szCs w:val="32"/>
          <w:u w:val="none"/>
          <w:lang w:eastAsia="zh-CN"/>
        </w:rPr>
        <w:t>我局于</w:t>
      </w:r>
      <w:r>
        <w:rPr>
          <w:rFonts w:hint="eastAsia" w:ascii="Times New Roman" w:eastAsia="仿宋_GB2312" w:cs="仿宋_GB2312"/>
          <w:color w:val="000000"/>
          <w:sz w:val="32"/>
          <w:szCs w:val="32"/>
          <w:u w:val="none"/>
          <w:lang w:val="en-US" w:eastAsia="zh-CN"/>
        </w:rPr>
        <w:t>2024年9月4日向</w:t>
      </w:r>
      <w:r>
        <w:rPr>
          <w:rFonts w:hint="eastAsia" w:ascii="Times New Roman" w:hAnsi="Times New Roman" w:eastAsia="仿宋_GB2312" w:cs="仿宋_GB2312"/>
          <w:bCs/>
          <w:sz w:val="32"/>
          <w:szCs w:val="32"/>
          <w:u w:val="none"/>
          <w:lang w:eastAsia="zh-CN"/>
        </w:rPr>
        <w:t>信阳市浉河区</w:t>
      </w:r>
      <w:r>
        <w:rPr>
          <w:rFonts w:hint="eastAsia" w:ascii="仿宋_GB2312" w:hAnsi="仿宋_GB2312" w:eastAsia="仿宋_GB2312" w:cs="仿宋_GB2312"/>
          <w:sz w:val="32"/>
          <w:szCs w:val="32"/>
          <w:lang w:eastAsia="zh-CN"/>
        </w:rPr>
        <w:t>***</w:t>
      </w:r>
      <w:r>
        <w:rPr>
          <w:rFonts w:hint="eastAsia" w:ascii="Times New Roman" w:eastAsia="仿宋_GB2312" w:cs="仿宋_GB2312"/>
          <w:color w:val="000000"/>
          <w:sz w:val="32"/>
          <w:szCs w:val="32"/>
          <w:u w:val="none"/>
          <w:lang w:val="en-US" w:eastAsia="zh-CN"/>
        </w:rPr>
        <w:t>直接送达了《行政处罚告知书》信浉市监罚告[2024]86号，当事人在法定期限内未行使陈述、申辩、听证权。</w:t>
      </w:r>
    </w:p>
    <w:p w14:paraId="5E817CE3">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案件性质:本案为行政案件,尚不够移送追诉当事人刑事责任的条件。</w:t>
      </w:r>
    </w:p>
    <w:p w14:paraId="2E96FBB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w:t>
      </w:r>
      <w:r>
        <w:rPr>
          <w:rFonts w:hint="eastAsia" w:ascii="仿宋_GB2312" w:hAnsi="仿宋_GB2312" w:eastAsia="仿宋_GB2312" w:cs="仿宋_GB2312"/>
          <w:sz w:val="32"/>
          <w:szCs w:val="32"/>
          <w:lang w:eastAsia="zh-CN"/>
        </w:rPr>
        <w:t>裁</w:t>
      </w:r>
      <w:r>
        <w:rPr>
          <w:rFonts w:hint="eastAsia" w:ascii="仿宋_GB2312" w:hAnsi="仿宋_GB2312" w:eastAsia="仿宋_GB2312" w:cs="仿宋_GB2312"/>
          <w:sz w:val="32"/>
          <w:szCs w:val="32"/>
        </w:rPr>
        <w:t>量理由等其他需要说明的事项：根据违法行为的事实、性质、情节和社会危害程度,当事人积极配合市场监管部门调查，并主动提供证据材料；违法行为轻微，社会危害性较小；参照河南省市场监督管理行政处罚裁量基准（2023 版）4.1.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和《通</w:t>
      </w:r>
      <w:r>
        <w:rPr>
          <w:rFonts w:hint="eastAsia" w:ascii="仿宋_GB2312" w:hAnsi="仿宋_GB2312" w:eastAsia="仿宋_GB2312" w:cs="仿宋_GB2312"/>
          <w:sz w:val="32"/>
          <w:szCs w:val="32"/>
          <w:lang w:eastAsia="zh-CN"/>
        </w:rPr>
        <w:t>则</w:t>
      </w:r>
      <w:r>
        <w:rPr>
          <w:rFonts w:hint="eastAsia" w:ascii="仿宋_GB2312" w:hAnsi="仿宋_GB2312" w:eastAsia="仿宋_GB2312" w:cs="仿宋_GB2312"/>
          <w:sz w:val="32"/>
          <w:szCs w:val="32"/>
        </w:rPr>
        <w:t>》第十条（二）、（三）.将裁量等次确定为从轻。</w:t>
      </w:r>
    </w:p>
    <w:p w14:paraId="3128552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Times New Roman" w:hAnsi="Times New Roman" w:eastAsia="仿宋_GB2312" w:cs="仿宋"/>
          <w:sz w:val="32"/>
          <w:szCs w:val="32"/>
          <w:lang w:val="en-US" w:eastAsia="zh-CN"/>
        </w:rPr>
      </w:pPr>
      <w:r>
        <w:rPr>
          <w:rFonts w:hint="eastAsia" w:ascii="Times New Roman" w:hAnsi="Times New Roman" w:eastAsia="仿宋_GB2312" w:cs="仿宋"/>
          <w:sz w:val="32"/>
          <w:szCs w:val="32"/>
        </w:rPr>
        <w:t>处理意见及依据：信阳市浉河区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销售不合格的复合肥料的行为违反了《中华人民共和国产品质量法》第十三条</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可能危及人体健康和人身、财产安全的工业产品，必须符合保障人体健康和人身、财产安全的国家标准、行业标准；未制定国家标准、行业标准的，必须符合保障人体健康和人身、财产安全的要求。”的规定。</w:t>
      </w:r>
      <w:r>
        <w:rPr>
          <w:rFonts w:hint="eastAsia" w:ascii="Times New Roman" w:hAnsi="Times New Roman" w:eastAsia="仿宋_GB2312" w:cs="仿宋"/>
          <w:sz w:val="32"/>
          <w:szCs w:val="32"/>
        </w:rPr>
        <w:br w:type="textWrapping"/>
      </w:r>
      <w:r>
        <w:rPr>
          <w:rFonts w:hint="eastAsia" w:ascii="Times New Roman" w:hAnsi="Times New Roman" w:eastAsia="仿宋_GB2312" w:cs="仿宋"/>
          <w:sz w:val="32"/>
          <w:szCs w:val="32"/>
        </w:rPr>
        <w:t>依据《中华人民共和国产品质量法》第四十九条</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的规定给予处罚，</w:t>
      </w:r>
      <w:r>
        <w:rPr>
          <w:rFonts w:hint="eastAsia" w:ascii="Times New Roman" w:hAnsi="Times New Roman" w:eastAsia="仿宋_GB2312" w:cs="仿宋"/>
          <w:sz w:val="32"/>
          <w:szCs w:val="32"/>
          <w:lang w:val="en-US" w:eastAsia="zh-CN"/>
        </w:rPr>
        <w:t>综上，</w:t>
      </w:r>
      <w:r>
        <w:rPr>
          <w:rFonts w:hint="eastAsia" w:ascii="仿宋_GB2312" w:hAnsi="仿宋_GB2312" w:eastAsia="仿宋_GB2312" w:cs="仿宋_GB2312"/>
          <w:i w:val="0"/>
          <w:iCs w:val="0"/>
          <w:caps w:val="0"/>
          <w:spacing w:val="0"/>
          <w:sz w:val="32"/>
          <w:szCs w:val="32"/>
          <w:u w:val="none"/>
          <w:shd w:val="clear" w:fill="FFFFFF"/>
          <w:lang w:eastAsia="zh-CN"/>
        </w:rPr>
        <w:t>我局</w:t>
      </w:r>
      <w:r>
        <w:rPr>
          <w:rFonts w:hint="eastAsia" w:ascii="Times New Roman" w:hAnsi="Times New Roman" w:eastAsia="仿宋_GB2312" w:cs="Mongolian Baiti"/>
          <w:kern w:val="1"/>
          <w:sz w:val="32"/>
          <w:szCs w:val="32"/>
        </w:rPr>
        <w:t>现责令当事人改正上述违法行为，并</w:t>
      </w:r>
      <w:r>
        <w:rPr>
          <w:rFonts w:hint="eastAsia" w:ascii="仿宋_GB2312" w:hAnsi="仿宋_GB2312" w:eastAsia="仿宋_GB2312" w:cs="仿宋_GB2312"/>
          <w:i w:val="0"/>
          <w:iCs w:val="0"/>
          <w:caps w:val="0"/>
          <w:spacing w:val="0"/>
          <w:sz w:val="32"/>
          <w:szCs w:val="32"/>
          <w:u w:val="none"/>
          <w:shd w:val="clear" w:fill="FFFFFF"/>
          <w:lang w:eastAsia="zh-CN"/>
        </w:rPr>
        <w:t>决定给予你</w:t>
      </w:r>
      <w:r>
        <w:rPr>
          <w:rFonts w:hint="eastAsia" w:ascii="仿宋_GB2312" w:hAnsi="仿宋_GB2312" w:eastAsia="仿宋_GB2312" w:cs="仿宋_GB2312"/>
          <w:i w:val="0"/>
          <w:iCs w:val="0"/>
          <w:caps w:val="0"/>
          <w:spacing w:val="0"/>
          <w:sz w:val="32"/>
          <w:szCs w:val="32"/>
          <w:u w:val="none"/>
          <w:shd w:val="clear" w:fill="FFFFFF"/>
          <w:lang w:val="en-US" w:eastAsia="zh-CN"/>
        </w:rPr>
        <w:t>如下行政处罚:</w:t>
      </w:r>
    </w:p>
    <w:p w14:paraId="1A7EF71E">
      <w:pPr>
        <w:spacing w:line="520" w:lineRule="exact"/>
        <w:ind w:left="638" w:leftChars="304" w:firstLine="0" w:firstLineChars="0"/>
        <w:rPr>
          <w:rFonts w:hint="eastAsia" w:ascii="仿宋_GB2312" w:hAnsi="仿宋_GB2312" w:eastAsia="仿宋_GB2312" w:cs="仿宋_GB2312"/>
          <w:sz w:val="32"/>
          <w:szCs w:val="32"/>
        </w:rPr>
      </w:pPr>
      <w:r>
        <w:rPr>
          <w:rFonts w:hint="eastAsia" w:ascii="仿宋_GB2312" w:hAnsi="Times New Roman" w:eastAsia="仿宋_GB2312" w:cs="仿宋_GB2312"/>
          <w:sz w:val="32"/>
          <w:u w:val="none"/>
        </w:rPr>
        <w:t>1、处货值金额</w:t>
      </w:r>
      <w:r>
        <w:rPr>
          <w:rFonts w:hint="eastAsia" w:ascii="仿宋_GB2312" w:hAnsi="Times New Roman" w:eastAsia="仿宋_GB2312" w:cs="仿宋_GB2312"/>
          <w:sz w:val="32"/>
          <w:u w:val="none"/>
          <w:lang w:val="en-US" w:eastAsia="zh-CN"/>
        </w:rPr>
        <w:t>0.5倍</w:t>
      </w:r>
      <w:r>
        <w:rPr>
          <w:rFonts w:hint="eastAsia" w:ascii="仿宋_GB2312" w:hAnsi="Times New Roman" w:eastAsia="仿宋_GB2312" w:cs="仿宋_GB2312"/>
          <w:sz w:val="32"/>
          <w:u w:val="none"/>
        </w:rPr>
        <w:t>罚款计1700元。</w:t>
      </w:r>
      <w:r>
        <w:rPr>
          <w:rFonts w:hint="eastAsia" w:ascii="仿宋_GB2312" w:hAnsi="Times New Roman" w:eastAsia="仿宋_GB2312" w:cs="仿宋_GB2312"/>
          <w:sz w:val="32"/>
          <w:u w:val="none"/>
        </w:rPr>
        <w:br w:type="textWrapping"/>
      </w:r>
      <w:r>
        <w:rPr>
          <w:rFonts w:hint="eastAsia" w:ascii="仿宋_GB2312" w:hAnsi="Times New Roman" w:eastAsia="仿宋_GB2312" w:cs="仿宋_GB2312"/>
          <w:sz w:val="32"/>
          <w:u w:val="none"/>
        </w:rPr>
        <w:t>2、没收违法所得500元。合并共计2200元。</w:t>
      </w:r>
    </w:p>
    <w:p w14:paraId="2B2BD994">
      <w:pPr>
        <w:pStyle w:val="3"/>
        <w:keepNext w:val="0"/>
        <w:keepLines w:val="0"/>
        <w:pageBreakBefore w:val="0"/>
        <w:widowControl w:val="0"/>
        <w:tabs>
          <w:tab w:val="left" w:pos="9060"/>
        </w:tabs>
        <w:kinsoku/>
        <w:wordWrap/>
        <w:overflowPunct/>
        <w:topLinePunct w:val="0"/>
        <w:bidi w:val="0"/>
        <w:snapToGrid/>
        <w:spacing w:line="520" w:lineRule="exact"/>
        <w:ind w:firstLine="640" w:firstLineChars="200"/>
        <w:textAlignment w:val="auto"/>
        <w:rPr>
          <w:rFonts w:hint="eastAsia" w:ascii="仿宋_GB2312" w:hAnsi="仿宋_GB2312" w:eastAsia="仿宋_GB2312" w:cs="仿宋_GB2312"/>
          <w:b w:val="0"/>
          <w:bCs/>
          <w:color w:val="000000" w:themeColor="text1"/>
          <w:sz w:val="32"/>
          <w:szCs w:val="32"/>
          <w:u w:val="none" w:color="auto"/>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color="auto"/>
          <w:lang w:val="en-US" w:eastAsia="zh-CN"/>
          <w14:textFill>
            <w14:solidFill>
              <w14:schemeClr w14:val="tx1"/>
            </w14:solidFill>
          </w14:textFill>
        </w:rPr>
        <w:t>你应当自</w:t>
      </w:r>
      <w:r>
        <w:rPr>
          <w:rFonts w:hint="eastAsia" w:ascii="仿宋_GB2312" w:hAnsi="仿宋_GB2312" w:eastAsia="仿宋_GB2312" w:cs="仿宋_GB2312"/>
          <w:b w:val="0"/>
          <w:bCs/>
          <w:color w:val="000000" w:themeColor="text1"/>
          <w:sz w:val="32"/>
          <w:szCs w:val="32"/>
          <w:u w:val="none" w:color="auto"/>
          <w14:textFill>
            <w14:solidFill>
              <w14:schemeClr w14:val="tx1"/>
            </w14:solidFill>
          </w14:textFill>
        </w:rPr>
        <w:t>收到本决定书之日起</w:t>
      </w:r>
      <w:r>
        <w:rPr>
          <w:rFonts w:hint="eastAsia" w:ascii="仿宋_GB2312" w:hAnsi="仿宋_GB2312" w:eastAsia="仿宋_GB2312" w:cs="仿宋_GB2312"/>
          <w:b w:val="0"/>
          <w:bCs/>
          <w:color w:val="000000" w:themeColor="text1"/>
          <w:sz w:val="32"/>
          <w:szCs w:val="32"/>
          <w:u w:val="none" w:color="auto"/>
          <w:lang w:val="en-US" w:eastAsia="zh-CN"/>
          <w14:textFill>
            <w14:solidFill>
              <w14:schemeClr w14:val="tx1"/>
            </w14:solidFill>
          </w14:textFill>
        </w:rPr>
        <w:t>15</w:t>
      </w:r>
      <w:r>
        <w:rPr>
          <w:rFonts w:hint="eastAsia" w:ascii="仿宋_GB2312" w:hAnsi="仿宋_GB2312" w:eastAsia="仿宋_GB2312" w:cs="仿宋_GB2312"/>
          <w:b w:val="0"/>
          <w:bCs/>
          <w:color w:val="000000" w:themeColor="text1"/>
          <w:sz w:val="32"/>
          <w:szCs w:val="32"/>
          <w:u w:val="none" w:color="auto"/>
          <w14:textFill>
            <w14:solidFill>
              <w14:schemeClr w14:val="tx1"/>
            </w14:solidFill>
          </w14:textFill>
        </w:rPr>
        <w:t>日内将</w:t>
      </w:r>
      <w:r>
        <w:rPr>
          <w:rFonts w:hint="eastAsia" w:ascii="仿宋_GB2312" w:hAnsi="仿宋_GB2312" w:eastAsia="仿宋_GB2312" w:cs="仿宋_GB2312"/>
          <w:b w:val="0"/>
          <w:bCs/>
          <w:color w:val="000000" w:themeColor="text1"/>
          <w:sz w:val="32"/>
          <w:szCs w:val="32"/>
          <w:u w:val="none" w:color="auto"/>
          <w:lang w:eastAsia="zh-CN"/>
          <w14:textFill>
            <w14:solidFill>
              <w14:schemeClr w14:val="tx1"/>
            </w14:solidFill>
          </w14:textFill>
        </w:rPr>
        <w:t>罚款</w:t>
      </w:r>
      <w:r>
        <w:rPr>
          <w:rFonts w:hint="eastAsia" w:ascii="仿宋_GB2312" w:hAnsi="仿宋_GB2312" w:eastAsia="仿宋_GB2312" w:cs="仿宋_GB2312"/>
          <w:b w:val="0"/>
          <w:bCs/>
          <w:color w:val="000000" w:themeColor="text1"/>
          <w:sz w:val="32"/>
          <w:szCs w:val="32"/>
          <w:u w:val="none" w:color="auto"/>
          <w14:textFill>
            <w14:solidFill>
              <w14:schemeClr w14:val="tx1"/>
            </w14:solidFill>
          </w14:textFill>
        </w:rPr>
        <w:t>缴</w:t>
      </w:r>
      <w:r>
        <w:rPr>
          <w:rFonts w:hint="eastAsia" w:ascii="仿宋_GB2312" w:hAnsi="仿宋_GB2312" w:eastAsia="仿宋_GB2312" w:cs="仿宋_GB2312"/>
          <w:b w:val="0"/>
          <w:bCs/>
          <w:color w:val="000000" w:themeColor="text1"/>
          <w:sz w:val="32"/>
          <w:szCs w:val="32"/>
          <w:u w:val="none" w:color="auto"/>
          <w:lang w:eastAsia="zh-CN"/>
          <w14:textFill>
            <w14:solidFill>
              <w14:schemeClr w14:val="tx1"/>
            </w14:solidFill>
          </w14:textFill>
        </w:rPr>
        <w:t>至</w:t>
      </w:r>
      <w:r>
        <w:rPr>
          <w:rFonts w:hint="eastAsia" w:ascii="仿宋_GB2312" w:hAnsi="仿宋_GB2312" w:eastAsia="仿宋_GB2312" w:cs="仿宋_GB2312"/>
          <w:b w:val="0"/>
          <w:bCs/>
          <w:color w:val="000000" w:themeColor="text1"/>
          <w:sz w:val="32"/>
          <w:szCs w:val="32"/>
          <w:u w:val="none" w:color="auto"/>
          <w:lang w:val="en-US" w:eastAsia="zh-CN"/>
          <w14:textFill>
            <w14:solidFill>
              <w14:schemeClr w14:val="tx1"/>
            </w14:solidFill>
          </w14:textFill>
        </w:rPr>
        <w:t>中国银行股份有限公司</w:t>
      </w:r>
      <w:r>
        <w:rPr>
          <w:rFonts w:hint="eastAsia" w:ascii="仿宋_GB2312" w:hAnsi="仿宋_GB2312" w:eastAsia="仿宋_GB2312" w:cs="仿宋_GB2312"/>
          <w:b w:val="0"/>
          <w:bCs/>
          <w:color w:val="000000" w:themeColor="text1"/>
          <w:sz w:val="32"/>
          <w:szCs w:val="32"/>
          <w:u w:val="none" w:color="auto"/>
          <w:lang w:eastAsia="zh-CN"/>
          <w14:textFill>
            <w14:solidFill>
              <w14:schemeClr w14:val="tx1"/>
            </w14:solidFill>
          </w14:textFill>
        </w:rPr>
        <w:t>信阳分行营业部，</w:t>
      </w:r>
      <w:r>
        <w:rPr>
          <w:rFonts w:hint="eastAsia" w:ascii="仿宋_GB2312" w:hAnsi="仿宋_GB2312" w:eastAsia="仿宋_GB2312" w:cs="仿宋_GB2312"/>
          <w:b w:val="0"/>
          <w:bCs/>
          <w:color w:val="000000" w:themeColor="text1"/>
          <w:sz w:val="32"/>
          <w:szCs w:val="32"/>
          <w:u w:val="none" w:color="auto"/>
          <w:lang w:val="en-US" w:eastAsia="zh-CN"/>
          <w14:textFill>
            <w14:solidFill>
              <w14:schemeClr w14:val="tx1"/>
            </w14:solidFill>
          </w14:textFill>
        </w:rPr>
        <w:t>地址：信阳市浉河区东方红大道与民权路交叉口【</w:t>
      </w:r>
      <w:r>
        <w:rPr>
          <w:rFonts w:hint="eastAsia" w:ascii="仿宋_GB2312" w:hAnsi="仿宋_GB2312" w:eastAsia="仿宋_GB2312" w:cs="仿宋_GB2312"/>
          <w:b w:val="0"/>
          <w:bCs/>
          <w:color w:val="000000" w:themeColor="text1"/>
          <w:sz w:val="32"/>
          <w:szCs w:val="32"/>
          <w:u w:val="none" w:color="auto"/>
          <w:lang w:eastAsia="zh-CN"/>
          <w14:textFill>
            <w14:solidFill>
              <w14:schemeClr w14:val="tx1"/>
            </w14:solidFill>
          </w14:textFill>
        </w:rPr>
        <w:t>收款单位：信阳市浉河区财政局；</w:t>
      </w:r>
      <w:r>
        <w:rPr>
          <w:rFonts w:hint="eastAsia" w:ascii="仿宋_GB2312" w:hAnsi="仿宋_GB2312" w:eastAsia="仿宋_GB2312" w:cs="仿宋_GB2312"/>
          <w:b w:val="0"/>
          <w:bCs/>
          <w:color w:val="000000" w:themeColor="text1"/>
          <w:sz w:val="32"/>
          <w:szCs w:val="32"/>
          <w:u w:val="none" w:color="auto"/>
          <w:lang w:val="en-US" w:eastAsia="zh-CN"/>
          <w14:textFill>
            <w14:solidFill>
              <w14:schemeClr w14:val="tx1"/>
            </w14:solidFill>
          </w14:textFill>
        </w:rPr>
        <w:t>账号：******；开户银行：中国银行股份有限公司</w:t>
      </w:r>
      <w:r>
        <w:rPr>
          <w:rFonts w:hint="eastAsia" w:ascii="仿宋_GB2312" w:hAnsi="仿宋_GB2312" w:eastAsia="仿宋_GB2312" w:cs="仿宋_GB2312"/>
          <w:b w:val="0"/>
          <w:bCs/>
          <w:color w:val="000000" w:themeColor="text1"/>
          <w:sz w:val="32"/>
          <w:szCs w:val="32"/>
          <w:u w:val="none" w:color="auto"/>
          <w:lang w:eastAsia="zh-CN"/>
          <w14:textFill>
            <w14:solidFill>
              <w14:schemeClr w14:val="tx1"/>
            </w14:solidFill>
          </w14:textFill>
        </w:rPr>
        <w:t>信阳分行营业部】</w:t>
      </w:r>
      <w:r>
        <w:rPr>
          <w:rFonts w:hint="eastAsia" w:ascii="仿宋_GB2312" w:hAnsi="仿宋_GB2312" w:eastAsia="仿宋_GB2312" w:cs="仿宋_GB2312"/>
          <w:b w:val="0"/>
          <w:bCs/>
          <w:color w:val="000000" w:themeColor="text1"/>
          <w:sz w:val="32"/>
          <w:szCs w:val="32"/>
          <w:u w:val="none" w:color="auto"/>
          <w14:textFill>
            <w14:solidFill>
              <w14:schemeClr w14:val="tx1"/>
            </w14:solidFill>
          </w14:textFill>
        </w:rPr>
        <w:t>当事人逾期不履行行政处罚决定的</w:t>
      </w:r>
      <w:r>
        <w:rPr>
          <w:rFonts w:hint="eastAsia" w:ascii="仿宋_GB2312" w:hAnsi="仿宋_GB2312" w:eastAsia="仿宋_GB2312" w:cs="仿宋_GB2312"/>
          <w:b w:val="0"/>
          <w:bCs/>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color="auto"/>
          <w14:textFill>
            <w14:solidFill>
              <w14:schemeClr w14:val="tx1"/>
            </w14:solidFill>
          </w14:textFill>
        </w:rPr>
        <w:t>依据《中华人民共和国行政处罚法》第</w:t>
      </w:r>
      <w:r>
        <w:rPr>
          <w:rFonts w:hint="eastAsia" w:ascii="仿宋_GB2312" w:hAnsi="仿宋_GB2312" w:eastAsia="仿宋_GB2312" w:cs="仿宋_GB2312"/>
          <w:b w:val="0"/>
          <w:bCs/>
          <w:color w:val="000000" w:themeColor="text1"/>
          <w:sz w:val="32"/>
          <w:szCs w:val="32"/>
          <w:u w:val="none" w:color="auto"/>
          <w:lang w:eastAsia="zh-CN"/>
          <w14:textFill>
            <w14:solidFill>
              <w14:schemeClr w14:val="tx1"/>
            </w14:solidFill>
          </w14:textFill>
        </w:rPr>
        <w:t>七十二</w:t>
      </w:r>
      <w:r>
        <w:rPr>
          <w:rFonts w:hint="eastAsia" w:ascii="仿宋_GB2312" w:hAnsi="仿宋_GB2312" w:eastAsia="仿宋_GB2312" w:cs="仿宋_GB2312"/>
          <w:b w:val="0"/>
          <w:bCs/>
          <w:color w:val="000000" w:themeColor="text1"/>
          <w:sz w:val="32"/>
          <w:szCs w:val="32"/>
          <w:u w:val="none" w:color="auto"/>
          <w14:textFill>
            <w14:solidFill>
              <w14:schemeClr w14:val="tx1"/>
            </w14:solidFill>
          </w14:textFill>
        </w:rPr>
        <w:t>条</w:t>
      </w:r>
      <w:r>
        <w:rPr>
          <w:rFonts w:hint="eastAsia" w:ascii="仿宋_GB2312" w:hAnsi="仿宋_GB2312" w:eastAsia="仿宋_GB2312" w:cs="仿宋_GB2312"/>
          <w:b w:val="0"/>
          <w:bCs/>
          <w:color w:val="000000" w:themeColor="text1"/>
          <w:sz w:val="32"/>
          <w:szCs w:val="32"/>
          <w:u w:val="none" w:color="auto"/>
          <w:lang w:val="en-US" w:eastAsia="zh-CN"/>
          <w14:textFill>
            <w14:solidFill>
              <w14:schemeClr w14:val="tx1"/>
            </w14:solidFill>
          </w14:textFill>
        </w:rPr>
        <w:t>第（一）项</w:t>
      </w:r>
      <w:r>
        <w:rPr>
          <w:rFonts w:hint="eastAsia" w:ascii="仿宋_GB2312" w:hAnsi="仿宋_GB2312" w:eastAsia="仿宋_GB2312" w:cs="仿宋_GB2312"/>
          <w:b w:val="0"/>
          <w:bCs/>
          <w:color w:val="000000" w:themeColor="text1"/>
          <w:sz w:val="32"/>
          <w:szCs w:val="32"/>
          <w:u w:val="none" w:color="auto"/>
          <w14:textFill>
            <w14:solidFill>
              <w14:schemeClr w14:val="tx1"/>
            </w14:solidFill>
          </w14:textFill>
        </w:rPr>
        <w:t>的规定</w:t>
      </w:r>
      <w:r>
        <w:rPr>
          <w:rFonts w:hint="eastAsia" w:ascii="仿宋_GB2312" w:hAnsi="仿宋_GB2312" w:eastAsia="仿宋_GB2312" w:cs="仿宋_GB2312"/>
          <w:b w:val="0"/>
          <w:bCs/>
          <w:color w:val="000000" w:themeColor="text1"/>
          <w:sz w:val="32"/>
          <w:szCs w:val="32"/>
          <w:u w:val="none" w:color="auto"/>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u w:val="none" w:color="auto"/>
          <w14:textFill>
            <w14:solidFill>
              <w14:schemeClr w14:val="tx1"/>
            </w14:solidFill>
          </w14:textFill>
        </w:rPr>
        <w:t>本局</w:t>
      </w:r>
      <w:r>
        <w:rPr>
          <w:rFonts w:hint="eastAsia" w:ascii="仿宋_GB2312" w:hAnsi="仿宋_GB2312" w:eastAsia="仿宋_GB2312" w:cs="仿宋_GB2312"/>
          <w:b w:val="0"/>
          <w:bCs/>
          <w:color w:val="000000" w:themeColor="text1"/>
          <w:sz w:val="32"/>
          <w:szCs w:val="32"/>
          <w:u w:val="none" w:color="auto"/>
          <w:lang w:eastAsia="zh-CN"/>
          <w14:textFill>
            <w14:solidFill>
              <w14:schemeClr w14:val="tx1"/>
            </w14:solidFill>
          </w14:textFill>
        </w:rPr>
        <w:t>将按</w:t>
      </w:r>
      <w:r>
        <w:rPr>
          <w:rFonts w:hint="eastAsia" w:ascii="仿宋_GB2312" w:hAnsi="仿宋_GB2312" w:eastAsia="仿宋_GB2312" w:cs="仿宋_GB2312"/>
          <w:b w:val="0"/>
          <w:bCs/>
          <w:color w:val="000000" w:themeColor="text1"/>
          <w:sz w:val="32"/>
          <w:szCs w:val="32"/>
          <w:u w:val="none" w:color="auto"/>
          <w14:textFill>
            <w14:solidFill>
              <w14:schemeClr w14:val="tx1"/>
            </w14:solidFill>
          </w14:textFill>
        </w:rPr>
        <w:t>每日按罚款数额的百分之三加处罚款，</w:t>
      </w:r>
      <w:r>
        <w:rPr>
          <w:rFonts w:hint="eastAsia" w:ascii="仿宋_GB2312" w:hAnsi="仿宋_GB2312" w:eastAsia="仿宋_GB2312" w:cs="仿宋_GB2312"/>
          <w:b w:val="0"/>
          <w:bCs/>
          <w:color w:val="000000" w:themeColor="text1"/>
          <w:sz w:val="32"/>
          <w:szCs w:val="32"/>
          <w:u w:val="none" w:color="auto"/>
          <w:lang w:eastAsia="zh-CN"/>
          <w14:textFill>
            <w14:solidFill>
              <w14:schemeClr w14:val="tx1"/>
            </w14:solidFill>
          </w14:textFill>
        </w:rPr>
        <w:t>并依法</w:t>
      </w:r>
      <w:r>
        <w:rPr>
          <w:rFonts w:hint="eastAsia" w:ascii="仿宋_GB2312" w:hAnsi="仿宋_GB2312" w:eastAsia="仿宋_GB2312" w:cs="仿宋_GB2312"/>
          <w:b w:val="0"/>
          <w:bCs/>
          <w:color w:val="000000" w:themeColor="text1"/>
          <w:sz w:val="32"/>
          <w:szCs w:val="32"/>
          <w:u w:val="none" w:color="auto"/>
          <w14:textFill>
            <w14:solidFill>
              <w14:schemeClr w14:val="tx1"/>
            </w14:solidFill>
          </w14:textFill>
        </w:rPr>
        <w:t>申请人民法院强制执行。</w:t>
      </w:r>
    </w:p>
    <w:p w14:paraId="5078CF52">
      <w:pPr>
        <w:keepNext w:val="0"/>
        <w:keepLines w:val="0"/>
        <w:pageBreakBefore w:val="0"/>
        <w:widowControl/>
        <w:kinsoku/>
        <w:wordWrap/>
        <w:overflowPunct/>
        <w:topLinePunct w:val="0"/>
        <w:bidi w:val="0"/>
        <w:snapToGrid w:val="0"/>
        <w:spacing w:line="520" w:lineRule="exact"/>
        <w:ind w:firstLine="640" w:firstLineChars="200"/>
        <w:jc w:val="left"/>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u w:val="none" w:color="auto"/>
          <w:lang w:eastAsia="zh-CN"/>
          <w14:textFill>
            <w14:solidFill>
              <w14:schemeClr w14:val="tx1"/>
            </w14:solidFill>
          </w14:textFill>
        </w:rPr>
        <w:t>当事人如不服本行政处罚决定，可以在收到本行政处罚</w:t>
      </w:r>
      <w:r>
        <w:rPr>
          <w:rFonts w:hint="eastAsia" w:ascii="仿宋_GB2312" w:hAnsi="仿宋_GB2312" w:eastAsia="仿宋_GB2312" w:cs="仿宋_GB2312"/>
          <w:b w:val="0"/>
          <w:bCs/>
          <w:color w:val="000000" w:themeColor="text1"/>
          <w:sz w:val="32"/>
          <w:szCs w:val="32"/>
          <w:u w:val="none" w:color="auto"/>
          <w:lang w:val="en-US" w:eastAsia="zh-CN"/>
          <w14:textFill>
            <w14:solidFill>
              <w14:schemeClr w14:val="tx1"/>
            </w14:solidFill>
          </w14:textFill>
        </w:rPr>
        <w:t>决定书</w:t>
      </w:r>
      <w:r>
        <w:rPr>
          <w:rFonts w:hint="eastAsia" w:ascii="仿宋_GB2312" w:hAnsi="仿宋_GB2312" w:eastAsia="仿宋_GB2312" w:cs="仿宋_GB2312"/>
          <w:b w:val="0"/>
          <w:bCs/>
          <w:color w:val="000000" w:themeColor="text1"/>
          <w:sz w:val="32"/>
          <w:szCs w:val="32"/>
          <w:u w:val="none" w:color="auto"/>
          <w:lang w:eastAsia="zh-CN"/>
          <w14:textFill>
            <w14:solidFill>
              <w14:schemeClr w14:val="tx1"/>
            </w14:solidFill>
          </w14:textFill>
        </w:rPr>
        <w:t>之日起六十日内向信阳市浉河区人民政府申请行政</w:t>
      </w:r>
      <w:r>
        <w:rPr>
          <w:rFonts w:hint="eastAsia" w:ascii="仿宋_GB2312" w:hAnsi="仿宋_GB2312" w:eastAsia="仿宋_GB2312" w:cs="仿宋_GB2312"/>
          <w:b w:val="0"/>
          <w:bCs/>
          <w:color w:val="000000" w:themeColor="text1"/>
          <w:sz w:val="32"/>
          <w:szCs w:val="32"/>
          <w:u w:val="none" w:color="auto"/>
          <w:lang w:val="en-US" w:eastAsia="zh-CN"/>
          <w14:textFill>
            <w14:solidFill>
              <w14:schemeClr w14:val="tx1"/>
            </w14:solidFill>
          </w14:textFill>
        </w:rPr>
        <w:t>复议，</w:t>
      </w:r>
      <w:r>
        <w:rPr>
          <w:rFonts w:hint="eastAsia" w:ascii="仿宋_GB2312" w:hAnsi="仿宋_GB2312" w:eastAsia="仿宋_GB2312" w:cs="仿宋_GB2312"/>
          <w:b w:val="0"/>
          <w:bCs/>
          <w:color w:val="000000" w:themeColor="text1"/>
          <w:sz w:val="32"/>
          <w:szCs w:val="32"/>
          <w:u w:val="none" w:color="auto"/>
          <w:lang w:eastAsia="zh-CN"/>
          <w14:textFill>
            <w14:solidFill>
              <w14:schemeClr w14:val="tx1"/>
            </w14:solidFill>
          </w14:textFill>
        </w:rPr>
        <w:t>也可以自收到本决定书之日起六个月内依法直接向信阳市浉河区人民法院提起诉讼。申请行政复议或者提起行政诉讼期间，行政处罚不停止执行。</w:t>
      </w:r>
    </w:p>
    <w:p w14:paraId="4D68DB8A">
      <w:pPr>
        <w:spacing w:line="560" w:lineRule="exact"/>
        <w:ind w:right="640" w:firstLine="601"/>
        <w:jc w:val="right"/>
        <w:rPr>
          <w:rFonts w:ascii="Times New Roman" w:hAnsi="Times New Roman" w:eastAsia="仿宋_GB2312" w:cs="仿宋"/>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         </w:t>
      </w:r>
      <w:r>
        <w:rPr>
          <w:rFonts w:hint="eastAsia" w:ascii="Times New Roman" w:hAnsi="Times New Roman" w:eastAsia="仿宋_GB2312" w:cs="仿宋_GB2312"/>
          <w:color w:val="000000" w:themeColor="text1"/>
          <w:sz w:val="32"/>
          <w:szCs w:val="32"/>
          <w:u w:val="none"/>
          <w14:textFill>
            <w14:solidFill>
              <w14:schemeClr w14:val="tx1"/>
            </w14:solidFill>
          </w14:textFill>
        </w:rPr>
        <w:t xml:space="preserve">         </w:t>
      </w:r>
      <w:r>
        <w:rPr>
          <w:rFonts w:hint="eastAsia" w:ascii="Times New Roman" w:hAnsi="Times New Roman" w:eastAsia="仿宋_GB2312" w:cs="仿宋"/>
          <w:color w:val="000000" w:themeColor="text1"/>
          <w:sz w:val="32"/>
          <w:szCs w:val="32"/>
          <w:u w:val="none"/>
          <w:lang w:eastAsia="zh-CN"/>
          <w14:textFill>
            <w14:solidFill>
              <w14:schemeClr w14:val="tx1"/>
            </w14:solidFill>
          </w14:textFill>
        </w:rPr>
        <w:t>信阳市浉河区</w:t>
      </w:r>
      <w:r>
        <w:rPr>
          <w:rFonts w:hint="eastAsia" w:ascii="Times New Roman" w:hAnsi="Times New Roman" w:eastAsia="仿宋_GB2312" w:cs="仿宋"/>
          <w:color w:val="000000" w:themeColor="text1"/>
          <w:sz w:val="32"/>
          <w:szCs w:val="32"/>
          <w14:textFill>
            <w14:solidFill>
              <w14:schemeClr w14:val="tx1"/>
            </w14:solidFill>
          </w14:textFill>
        </w:rPr>
        <w:t xml:space="preserve">市场监督管理局    </w:t>
      </w:r>
    </w:p>
    <w:p w14:paraId="2ABB915C">
      <w:pPr>
        <w:spacing w:line="56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themeColor="text1"/>
          <w:sz w:val="32"/>
          <w:szCs w:val="32"/>
          <w:lang w:val="en-US" w:eastAsia="zh-CN"/>
          <w14:textFill>
            <w14:solidFill>
              <w14:schemeClr w14:val="tx1"/>
            </w14:solidFill>
          </w14:textFill>
        </w:rPr>
        <w:t>2024</w:t>
      </w:r>
      <w:r>
        <w:rPr>
          <w:rFonts w:hint="eastAsia" w:ascii="仿宋_GB2312" w:hAnsi="Times New Roman" w:eastAsia="仿宋_GB2312" w:cs="仿宋"/>
          <w:color w:val="000000" w:themeColor="text1"/>
          <w:sz w:val="32"/>
          <w:szCs w:val="32"/>
          <w14:textFill>
            <w14:solidFill>
              <w14:schemeClr w14:val="tx1"/>
            </w14:solidFill>
          </w14:textFill>
        </w:rPr>
        <w:t>年</w:t>
      </w:r>
      <w:r>
        <w:rPr>
          <w:rFonts w:hint="eastAsia" w:ascii="仿宋_GB2312" w:hAnsi="Times New Roman" w:eastAsia="仿宋_GB2312" w:cs="仿宋"/>
          <w:color w:val="000000" w:themeColor="text1"/>
          <w:sz w:val="32"/>
          <w:szCs w:val="32"/>
          <w:lang w:val="en-US" w:eastAsia="zh-CN"/>
          <w14:textFill>
            <w14:solidFill>
              <w14:schemeClr w14:val="tx1"/>
            </w14:solidFill>
          </w14:textFill>
        </w:rPr>
        <w:t xml:space="preserve"> 9 </w:t>
      </w:r>
      <w:r>
        <w:rPr>
          <w:rFonts w:hint="eastAsia" w:ascii="仿宋_GB2312" w:hAnsi="Times New Roman" w:eastAsia="仿宋_GB2312" w:cs="仿宋"/>
          <w:color w:val="000000" w:themeColor="text1"/>
          <w:sz w:val="32"/>
          <w:szCs w:val="32"/>
          <w14:textFill>
            <w14:solidFill>
              <w14:schemeClr w14:val="tx1"/>
            </w14:solidFill>
          </w14:textFill>
        </w:rPr>
        <w:t>月</w:t>
      </w:r>
      <w:r>
        <w:rPr>
          <w:rFonts w:hint="eastAsia" w:ascii="仿宋_GB2312" w:hAnsi="Times New Roman" w:eastAsia="仿宋_GB2312" w:cs="仿宋"/>
          <w:color w:val="000000" w:themeColor="text1"/>
          <w:sz w:val="32"/>
          <w:szCs w:val="32"/>
          <w:lang w:val="en-US" w:eastAsia="zh-CN"/>
          <w14:textFill>
            <w14:solidFill>
              <w14:schemeClr w14:val="tx1"/>
            </w14:solidFill>
          </w14:textFill>
        </w:rPr>
        <w:t xml:space="preserve"> 12 </w:t>
      </w:r>
      <w:r>
        <w:rPr>
          <w:rFonts w:hint="eastAsia" w:ascii="仿宋_GB2312" w:hAnsi="Times New Roman" w:eastAsia="仿宋_GB2312" w:cs="仿宋"/>
          <w:color w:val="000000" w:themeColor="text1"/>
          <w:sz w:val="32"/>
          <w:szCs w:val="32"/>
          <w14:textFill>
            <w14:solidFill>
              <w14:schemeClr w14:val="tx1"/>
            </w14:solidFill>
          </w14:textFill>
        </w:rPr>
        <w:t xml:space="preserve">日  </w:t>
      </w:r>
      <w:r>
        <w:rPr>
          <w:rFonts w:hint="eastAsia" w:ascii="仿宋_GB2312" w:hAnsi="Times New Roman" w:eastAsia="仿宋_GB2312" w:cs="仿宋"/>
          <w:color w:val="000000"/>
          <w:sz w:val="32"/>
          <w:szCs w:val="32"/>
        </w:rPr>
        <w:t xml:space="preserve"> </w:t>
      </w:r>
    </w:p>
    <w:p w14:paraId="1C561D49">
      <w:pPr>
        <w:pStyle w:val="3"/>
        <w:keepNext w:val="0"/>
        <w:keepLines w:val="0"/>
        <w:pageBreakBefore w:val="0"/>
        <w:widowControl w:val="0"/>
        <w:tabs>
          <w:tab w:val="left" w:pos="8395"/>
        </w:tabs>
        <w:kinsoku/>
        <w:wordWrap w:val="0"/>
        <w:overflowPunct/>
        <w:topLinePunct w:val="0"/>
        <w:autoSpaceDE w:val="0"/>
        <w:autoSpaceDN w:val="0"/>
        <w:bidi w:val="0"/>
        <w:adjustRightInd w:val="0"/>
        <w:snapToGrid/>
        <w:spacing w:line="520" w:lineRule="exact"/>
        <w:ind w:firstLine="640" w:firstLineChars="200"/>
        <w:textAlignment w:val="auto"/>
        <w:rPr>
          <w:rFonts w:hint="default" w:ascii="Times New Roman" w:eastAsia="仿宋_GB2312" w:cs="仿宋_GB2312"/>
          <w:b w:val="0"/>
          <w:bCs/>
          <w:color w:val="auto"/>
          <w:u w:val="single"/>
          <w:lang w:val="en-US" w:eastAsia="zh-CN"/>
        </w:rPr>
      </w:pPr>
    </w:p>
    <w:p w14:paraId="13EF394E">
      <w:pPr>
        <w:widowControl/>
        <w:snapToGrid w:val="0"/>
        <w:spacing w:line="520" w:lineRule="exact"/>
        <w:jc w:val="left"/>
        <w:rPr>
          <w:rFonts w:ascii="Times New Roman" w:hAnsi="Times New Roman" w:eastAsia="仿宋_GB2312" w:cs="仿宋_GB2312"/>
          <w:color w:val="auto"/>
          <w:sz w:val="32"/>
          <w:szCs w:val="32"/>
        </w:rPr>
      </w:pPr>
    </w:p>
    <w:p w14:paraId="374F3C00">
      <w:pPr>
        <w:widowControl/>
        <w:snapToGrid w:val="0"/>
        <w:spacing w:line="520" w:lineRule="exact"/>
        <w:ind w:firstLine="6240" w:firstLineChars="1950"/>
        <w:jc w:val="left"/>
        <w:rPr>
          <w:rFonts w:hint="eastAsia" w:ascii="Times New Roman" w:hAnsi="Times New Roman" w:eastAsia="仿宋_GB2312" w:cs="仿宋_GB2312"/>
          <w:color w:val="auto"/>
          <w:sz w:val="32"/>
          <w:szCs w:val="32"/>
          <w:lang w:val="en-US" w:eastAsia="zh-Hans"/>
        </w:rPr>
      </w:pPr>
    </w:p>
    <w:p w14:paraId="6ABA7D49">
      <w:pPr>
        <w:widowControl/>
        <w:snapToGrid w:val="0"/>
        <w:spacing w:line="520" w:lineRule="exact"/>
        <w:jc w:val="right"/>
        <w:rPr>
          <w:rFonts w:ascii="Times New Roman" w:hAnsi="Times New Roman" w:eastAsia="仿宋_GB2312" w:cs="Mongolian Baiti"/>
          <w:color w:val="auto"/>
          <w:sz w:val="32"/>
          <w:szCs w:val="32"/>
        </w:rPr>
      </w:pPr>
    </w:p>
    <w:p w14:paraId="7D514B3C">
      <w:pPr>
        <w:widowControl/>
        <w:snapToGrid w:val="0"/>
        <w:spacing w:line="520" w:lineRule="exact"/>
        <w:jc w:val="right"/>
        <w:rPr>
          <w:rFonts w:ascii="Times New Roman" w:hAnsi="Times New Roman" w:eastAsia="仿宋_GB2312" w:cs="Mongolian Baiti"/>
          <w:color w:val="auto"/>
          <w:sz w:val="32"/>
          <w:szCs w:val="32"/>
        </w:rPr>
      </w:pPr>
    </w:p>
    <w:p w14:paraId="5CD361CA">
      <w:pPr>
        <w:widowControl/>
        <w:snapToGrid w:val="0"/>
        <w:spacing w:line="520" w:lineRule="exact"/>
        <w:jc w:val="right"/>
        <w:rPr>
          <w:rFonts w:ascii="Times New Roman" w:hAnsi="Times New Roman" w:eastAsia="仿宋_GB2312" w:cs="Mongolian Baiti"/>
          <w:color w:val="auto"/>
          <w:sz w:val="32"/>
          <w:szCs w:val="32"/>
        </w:rPr>
      </w:pPr>
    </w:p>
    <w:p w14:paraId="2D802EA5">
      <w:pPr>
        <w:widowControl/>
        <w:snapToGrid w:val="0"/>
        <w:spacing w:line="520" w:lineRule="exact"/>
        <w:jc w:val="right"/>
        <w:rPr>
          <w:rFonts w:ascii="Times New Roman" w:hAnsi="Times New Roman" w:eastAsia="仿宋_GB2312" w:cs="Mongolian Baiti"/>
          <w:color w:val="auto"/>
          <w:sz w:val="32"/>
          <w:szCs w:val="32"/>
        </w:rPr>
      </w:pPr>
    </w:p>
    <w:p w14:paraId="7D8AA21F">
      <w:pPr>
        <w:widowControl/>
        <w:snapToGrid w:val="0"/>
        <w:spacing w:line="520" w:lineRule="exact"/>
        <w:jc w:val="right"/>
        <w:rPr>
          <w:rFonts w:ascii="Times New Roman" w:hAnsi="Times New Roman" w:eastAsia="仿宋_GB2312" w:cs="Mongolian Baiti"/>
          <w:color w:val="auto"/>
          <w:sz w:val="32"/>
          <w:szCs w:val="32"/>
        </w:rPr>
      </w:pPr>
    </w:p>
    <w:p w14:paraId="26B32C75">
      <w:pPr>
        <w:widowControl/>
        <w:snapToGrid w:val="0"/>
        <w:spacing w:line="520" w:lineRule="exact"/>
        <w:jc w:val="right"/>
        <w:rPr>
          <w:rFonts w:ascii="Times New Roman" w:hAnsi="Times New Roman" w:eastAsia="仿宋_GB2312" w:cs="Mongolian Baiti"/>
          <w:color w:val="auto"/>
          <w:sz w:val="32"/>
          <w:szCs w:val="32"/>
        </w:rPr>
      </w:pPr>
    </w:p>
    <w:p w14:paraId="22DCE6AF">
      <w:pPr>
        <w:widowControl/>
        <w:snapToGrid w:val="0"/>
        <w:spacing w:line="520" w:lineRule="exact"/>
        <w:jc w:val="right"/>
        <w:rPr>
          <w:rFonts w:ascii="Times New Roman" w:hAnsi="Times New Roman" w:eastAsia="仿宋_GB2312" w:cs="Mongolian Baiti"/>
          <w:color w:val="auto"/>
          <w:sz w:val="32"/>
          <w:szCs w:val="32"/>
        </w:rPr>
      </w:pPr>
    </w:p>
    <w:p w14:paraId="71844810">
      <w:pPr>
        <w:widowControl/>
        <w:snapToGrid w:val="0"/>
        <w:spacing w:line="520" w:lineRule="exact"/>
        <w:jc w:val="right"/>
        <w:rPr>
          <w:rFonts w:ascii="Times New Roman" w:hAnsi="Times New Roman" w:eastAsia="仿宋_GB2312" w:cs="Mongolian Baiti"/>
          <w:color w:val="auto"/>
          <w:sz w:val="32"/>
          <w:szCs w:val="32"/>
        </w:rPr>
      </w:pPr>
    </w:p>
    <w:p w14:paraId="5DAF7255">
      <w:pPr>
        <w:widowControl/>
        <w:snapToGrid w:val="0"/>
        <w:spacing w:line="520" w:lineRule="exact"/>
        <w:jc w:val="right"/>
        <w:rPr>
          <w:rFonts w:ascii="Times New Roman" w:hAnsi="Times New Roman" w:eastAsia="仿宋_GB2312" w:cs="Mongolian Baiti"/>
          <w:color w:val="auto"/>
          <w:sz w:val="32"/>
          <w:szCs w:val="32"/>
        </w:rPr>
      </w:pPr>
    </w:p>
    <w:p w14:paraId="525F6167">
      <w:pPr>
        <w:widowControl/>
        <w:snapToGrid w:val="0"/>
        <w:spacing w:line="520" w:lineRule="exact"/>
        <w:jc w:val="right"/>
        <w:rPr>
          <w:rFonts w:ascii="Times New Roman" w:hAnsi="Times New Roman" w:eastAsia="仿宋_GB2312" w:cs="Mongolian Baiti"/>
          <w:color w:val="auto"/>
          <w:sz w:val="32"/>
          <w:szCs w:val="32"/>
        </w:rPr>
      </w:pPr>
    </w:p>
    <w:p w14:paraId="1A8626FA">
      <w:pPr>
        <w:widowControl/>
        <w:snapToGrid w:val="0"/>
        <w:spacing w:line="520" w:lineRule="exact"/>
        <w:jc w:val="right"/>
        <w:rPr>
          <w:rFonts w:ascii="Times New Roman" w:hAnsi="Times New Roman" w:eastAsia="仿宋_GB2312" w:cs="Mongolian Baiti"/>
          <w:color w:val="auto"/>
          <w:sz w:val="32"/>
          <w:szCs w:val="32"/>
        </w:rPr>
      </w:pPr>
    </w:p>
    <w:p w14:paraId="7E9BFDB8">
      <w:pPr>
        <w:widowControl/>
        <w:snapToGrid w:val="0"/>
        <w:spacing w:line="520" w:lineRule="exact"/>
        <w:jc w:val="right"/>
        <w:rPr>
          <w:rFonts w:ascii="Times New Roman" w:hAnsi="Times New Roman" w:eastAsia="仿宋_GB2312" w:cs="Mongolian Baiti"/>
          <w:color w:val="auto"/>
          <w:sz w:val="32"/>
          <w:szCs w:val="32"/>
        </w:rPr>
      </w:pPr>
    </w:p>
    <w:p w14:paraId="6CF083EE">
      <w:pPr>
        <w:widowControl/>
        <w:snapToGrid w:val="0"/>
        <w:spacing w:line="520" w:lineRule="exact"/>
        <w:jc w:val="right"/>
        <w:rPr>
          <w:rFonts w:ascii="Times New Roman" w:hAnsi="Times New Roman" w:eastAsia="仿宋_GB2312" w:cs="Mongolian Baiti"/>
          <w:color w:val="auto"/>
          <w:sz w:val="32"/>
          <w:szCs w:val="32"/>
        </w:rPr>
      </w:pPr>
    </w:p>
    <w:p w14:paraId="6636440C">
      <w:pPr>
        <w:widowControl/>
        <w:snapToGrid w:val="0"/>
        <w:spacing w:line="520" w:lineRule="exact"/>
        <w:jc w:val="right"/>
        <w:rPr>
          <w:rFonts w:ascii="Times New Roman" w:hAnsi="Times New Roman" w:eastAsia="仿宋_GB2312" w:cs="Mongolian Baiti"/>
          <w:color w:val="auto"/>
          <w:sz w:val="32"/>
          <w:szCs w:val="32"/>
        </w:rPr>
      </w:pPr>
    </w:p>
    <w:p w14:paraId="7ADFF5F5">
      <w:pPr>
        <w:widowControl/>
        <w:snapToGrid w:val="0"/>
        <w:spacing w:line="520" w:lineRule="exact"/>
        <w:jc w:val="right"/>
        <w:rPr>
          <w:rFonts w:ascii="Times New Roman" w:hAnsi="Times New Roman" w:eastAsia="仿宋_GB2312" w:cs="Mongolian Baiti"/>
          <w:color w:val="auto"/>
          <w:sz w:val="32"/>
          <w:szCs w:val="32"/>
        </w:rPr>
      </w:pPr>
    </w:p>
    <w:p w14:paraId="5F2A54AE">
      <w:pPr>
        <w:widowControl/>
        <w:snapToGrid w:val="0"/>
        <w:spacing w:line="520" w:lineRule="exact"/>
        <w:jc w:val="right"/>
        <w:rPr>
          <w:rFonts w:ascii="Times New Roman" w:hAnsi="Times New Roman" w:eastAsia="仿宋_GB2312" w:cs="Mongolian Baiti"/>
          <w:color w:val="auto"/>
          <w:sz w:val="32"/>
          <w:szCs w:val="32"/>
        </w:rPr>
      </w:pPr>
    </w:p>
    <w:p w14:paraId="35B1A9EA">
      <w:pPr>
        <w:pStyle w:val="3"/>
        <w:spacing w:before="1"/>
        <w:ind w:left="163"/>
        <w:rPr>
          <w:rFonts w:ascii="Times New Roman" w:hAnsi="Times New Roman" w:eastAsia="仿宋_GB2312" w:cs="仿宋"/>
          <w:bCs/>
          <w:color w:val="auto"/>
          <w:sz w:val="44"/>
          <w:szCs w:val="44"/>
        </w:rPr>
      </w:pPr>
      <w:r>
        <w:rPr>
          <w:rFonts w:ascii="Times New Roman" w:hAnsi="Times New Roman" w:eastAsia="仿宋_GB2312"/>
          <w:color w:val="auto"/>
          <w:sz w:val="32"/>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auto"/>
          <w:spacing w:val="-16"/>
        </w:rPr>
        <w:t>（市场监督管理部门将依法向社会公开行政处罚决定信息）</w:t>
      </w:r>
    </w:p>
    <w:p w14:paraId="209A3499">
      <w:pPr>
        <w:spacing w:line="500" w:lineRule="exact"/>
        <w:rPr>
          <w:color w:val="auto"/>
        </w:rPr>
      </w:pPr>
      <w:r>
        <w:rPr>
          <w:rFonts w:ascii="Times New Roman" w:hAnsi="Times New Roman" w:eastAsia="仿宋_GB2312" w:cs="仿宋"/>
          <w:bCs/>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auto"/>
          <w:sz w:val="32"/>
          <w:szCs w:val="32"/>
        </w:rPr>
        <w:t>本文书一式</w:t>
      </w:r>
      <w:r>
        <w:rPr>
          <w:rFonts w:hint="eastAsia" w:ascii="Times New Roman" w:hAnsi="Times New Roman" w:eastAsia="仿宋_GB2312" w:cs="仿宋"/>
          <w:color w:val="auto"/>
          <w:sz w:val="32"/>
          <w:szCs w:val="32"/>
          <w:u w:val="single"/>
        </w:rPr>
        <w:t xml:space="preserve">    </w:t>
      </w:r>
      <w:r>
        <w:rPr>
          <w:rFonts w:hint="eastAsia" w:ascii="Times New Roman" w:hAnsi="Times New Roman" w:eastAsia="仿宋_GB2312" w:cs="仿宋"/>
          <w:color w:val="auto"/>
          <w:sz w:val="32"/>
          <w:szCs w:val="32"/>
        </w:rPr>
        <w:t>份，</w:t>
      </w:r>
      <w:r>
        <w:rPr>
          <w:rFonts w:hint="eastAsia" w:ascii="Times New Roman" w:hAnsi="Times New Roman" w:eastAsia="仿宋_GB2312" w:cs="仿宋"/>
          <w:color w:val="auto"/>
          <w:sz w:val="32"/>
          <w:szCs w:val="32"/>
          <w:u w:val="single"/>
        </w:rPr>
        <w:t xml:space="preserve">    </w:t>
      </w:r>
      <w:r>
        <w:rPr>
          <w:rFonts w:hint="eastAsia" w:ascii="Times New Roman" w:hAnsi="Times New Roman" w:eastAsia="仿宋_GB2312" w:cs="仿宋"/>
          <w:color w:val="auto"/>
          <w:sz w:val="32"/>
          <w:szCs w:val="32"/>
        </w:rPr>
        <w:t>份送达，一份归档，</w:t>
      </w:r>
      <w:r>
        <w:rPr>
          <w:rFonts w:hint="eastAsia" w:ascii="Times New Roman" w:hAnsi="Times New Roman" w:eastAsia="仿宋_GB2312" w:cs="仿宋"/>
          <w:color w:val="auto"/>
          <w:sz w:val="32"/>
          <w:szCs w:val="32"/>
          <w:u w:val="single"/>
        </w:rPr>
        <w:t xml:space="preserve">             </w:t>
      </w:r>
      <w:r>
        <w:rPr>
          <w:rFonts w:hint="eastAsia" w:ascii="Times New Roman" w:hAnsi="Times New Roman" w:eastAsia="仿宋_GB2312" w:cs="仿宋"/>
          <w:color w:val="auto"/>
          <w:sz w:val="32"/>
          <w:szCs w:val="32"/>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ngal">
    <w:altName w:val="DejaVu Math TeX Gyre"/>
    <w:panose1 w:val="02040503050203030202"/>
    <w:charset w:val="00"/>
    <w:family w:val="roman"/>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81A4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ABA83">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5ABA83">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0BA9F0"/>
    <w:multiLevelType w:val="singleLevel"/>
    <w:tmpl w:val="FD0BA9F0"/>
    <w:lvl w:ilvl="0" w:tentative="0">
      <w:start w:val="1"/>
      <w:numFmt w:val="decimal"/>
      <w:lvlText w:val="%1."/>
      <w:lvlJc w:val="left"/>
      <w:pPr>
        <w:tabs>
          <w:tab w:val="left" w:pos="312"/>
        </w:tabs>
      </w:pPr>
    </w:lvl>
  </w:abstractNum>
  <w:abstractNum w:abstractNumId="1">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Y2NkYmQ4ZDU2MzEwNzU2ZTk3NDI3OTA2ODI4ZDQifQ=="/>
    <w:docVar w:name="KSO_WPS_MARK_KEY" w:val="3a570657-d4b9-4633-8bde-b1be1a221b99"/>
  </w:docVars>
  <w:rsids>
    <w:rsidRoot w:val="5BA419F7"/>
    <w:rsid w:val="00193C35"/>
    <w:rsid w:val="0032134F"/>
    <w:rsid w:val="010A478A"/>
    <w:rsid w:val="02B83402"/>
    <w:rsid w:val="042774DD"/>
    <w:rsid w:val="048D2705"/>
    <w:rsid w:val="04CD463F"/>
    <w:rsid w:val="04FA4431"/>
    <w:rsid w:val="05C51508"/>
    <w:rsid w:val="06476E0A"/>
    <w:rsid w:val="06BAE61F"/>
    <w:rsid w:val="071C7669"/>
    <w:rsid w:val="07580619"/>
    <w:rsid w:val="0776795A"/>
    <w:rsid w:val="07DA78EE"/>
    <w:rsid w:val="07DB29DD"/>
    <w:rsid w:val="08365B64"/>
    <w:rsid w:val="087864F3"/>
    <w:rsid w:val="090B4D3A"/>
    <w:rsid w:val="09290BEC"/>
    <w:rsid w:val="09AA7B69"/>
    <w:rsid w:val="0A2F38BD"/>
    <w:rsid w:val="0A3665F0"/>
    <w:rsid w:val="0B22091D"/>
    <w:rsid w:val="0CF71776"/>
    <w:rsid w:val="0D242541"/>
    <w:rsid w:val="0FB748D6"/>
    <w:rsid w:val="103E22C5"/>
    <w:rsid w:val="11524677"/>
    <w:rsid w:val="115320F9"/>
    <w:rsid w:val="119E3BCA"/>
    <w:rsid w:val="1350279A"/>
    <w:rsid w:val="14203063"/>
    <w:rsid w:val="143E1E38"/>
    <w:rsid w:val="1490670C"/>
    <w:rsid w:val="152E563E"/>
    <w:rsid w:val="15B93156"/>
    <w:rsid w:val="16D23D7F"/>
    <w:rsid w:val="18325353"/>
    <w:rsid w:val="188449CB"/>
    <w:rsid w:val="18B229B2"/>
    <w:rsid w:val="19FE4517"/>
    <w:rsid w:val="1AE345F4"/>
    <w:rsid w:val="1B37398D"/>
    <w:rsid w:val="1C7339BB"/>
    <w:rsid w:val="1C7A5BA8"/>
    <w:rsid w:val="1E664711"/>
    <w:rsid w:val="1EC222D9"/>
    <w:rsid w:val="1F2B5D07"/>
    <w:rsid w:val="1FC004DE"/>
    <w:rsid w:val="1FD31F15"/>
    <w:rsid w:val="212E3259"/>
    <w:rsid w:val="22287087"/>
    <w:rsid w:val="233F68A9"/>
    <w:rsid w:val="237778B4"/>
    <w:rsid w:val="23F5677C"/>
    <w:rsid w:val="24626694"/>
    <w:rsid w:val="258D6CE0"/>
    <w:rsid w:val="27A45517"/>
    <w:rsid w:val="282C6ACD"/>
    <w:rsid w:val="2B1B3EFC"/>
    <w:rsid w:val="2CEA3815"/>
    <w:rsid w:val="2DE10173"/>
    <w:rsid w:val="2F327E79"/>
    <w:rsid w:val="2F7CE1EF"/>
    <w:rsid w:val="2F8A6913"/>
    <w:rsid w:val="30DB5683"/>
    <w:rsid w:val="30FA2F6D"/>
    <w:rsid w:val="31562B39"/>
    <w:rsid w:val="31BE0AF5"/>
    <w:rsid w:val="32CE76E8"/>
    <w:rsid w:val="3334290F"/>
    <w:rsid w:val="33740640"/>
    <w:rsid w:val="3585615B"/>
    <w:rsid w:val="363C12E3"/>
    <w:rsid w:val="368E5656"/>
    <w:rsid w:val="377FBB27"/>
    <w:rsid w:val="37F16547"/>
    <w:rsid w:val="38B63DA7"/>
    <w:rsid w:val="3930619F"/>
    <w:rsid w:val="3A4E178D"/>
    <w:rsid w:val="3BF97ECA"/>
    <w:rsid w:val="3C2965F0"/>
    <w:rsid w:val="3CE23F05"/>
    <w:rsid w:val="3D6B1177"/>
    <w:rsid w:val="3E5F4AE1"/>
    <w:rsid w:val="3E853745"/>
    <w:rsid w:val="3F2604DF"/>
    <w:rsid w:val="3F6783E4"/>
    <w:rsid w:val="3F842066"/>
    <w:rsid w:val="3FFF82D4"/>
    <w:rsid w:val="402E7C06"/>
    <w:rsid w:val="40FE5F8F"/>
    <w:rsid w:val="425049CE"/>
    <w:rsid w:val="442B16EC"/>
    <w:rsid w:val="458F64B9"/>
    <w:rsid w:val="45C51FFB"/>
    <w:rsid w:val="46157ACD"/>
    <w:rsid w:val="47243FC5"/>
    <w:rsid w:val="48C10000"/>
    <w:rsid w:val="4A555101"/>
    <w:rsid w:val="4ADF49AE"/>
    <w:rsid w:val="4B8F0B22"/>
    <w:rsid w:val="4C02380F"/>
    <w:rsid w:val="4C7C04B3"/>
    <w:rsid w:val="4CC8271B"/>
    <w:rsid w:val="4D9306AE"/>
    <w:rsid w:val="4E8950D9"/>
    <w:rsid w:val="4F722566"/>
    <w:rsid w:val="4F93378A"/>
    <w:rsid w:val="503F09B5"/>
    <w:rsid w:val="516D5500"/>
    <w:rsid w:val="52802336"/>
    <w:rsid w:val="53A0483E"/>
    <w:rsid w:val="547C0750"/>
    <w:rsid w:val="55FE5622"/>
    <w:rsid w:val="57503162"/>
    <w:rsid w:val="58A4140A"/>
    <w:rsid w:val="591F0542"/>
    <w:rsid w:val="59A10938"/>
    <w:rsid w:val="5BA419F7"/>
    <w:rsid w:val="5BEF1DBF"/>
    <w:rsid w:val="5BF91583"/>
    <w:rsid w:val="5BFB2E57"/>
    <w:rsid w:val="5C5D2BD9"/>
    <w:rsid w:val="5DD7483B"/>
    <w:rsid w:val="5E5FAB03"/>
    <w:rsid w:val="5E605C94"/>
    <w:rsid w:val="5EA00CBE"/>
    <w:rsid w:val="5F9FEDD5"/>
    <w:rsid w:val="5FBEF003"/>
    <w:rsid w:val="5FE33914"/>
    <w:rsid w:val="5FFA4D85"/>
    <w:rsid w:val="602422E6"/>
    <w:rsid w:val="60B635F2"/>
    <w:rsid w:val="60C16F3B"/>
    <w:rsid w:val="612E7E8C"/>
    <w:rsid w:val="617678F3"/>
    <w:rsid w:val="61DC2B1A"/>
    <w:rsid w:val="636955DE"/>
    <w:rsid w:val="646E5E05"/>
    <w:rsid w:val="64E43803"/>
    <w:rsid w:val="657F58CB"/>
    <w:rsid w:val="668F0432"/>
    <w:rsid w:val="66934D57"/>
    <w:rsid w:val="6AA04B66"/>
    <w:rsid w:val="6AD7030F"/>
    <w:rsid w:val="6BA277B7"/>
    <w:rsid w:val="6BCC1BB9"/>
    <w:rsid w:val="6C6723F1"/>
    <w:rsid w:val="6CA517CF"/>
    <w:rsid w:val="6D064CEC"/>
    <w:rsid w:val="6D6C7F13"/>
    <w:rsid w:val="6D923254"/>
    <w:rsid w:val="6DD2313B"/>
    <w:rsid w:val="6E04767D"/>
    <w:rsid w:val="6E355D52"/>
    <w:rsid w:val="6E6950E9"/>
    <w:rsid w:val="6ED952C0"/>
    <w:rsid w:val="6F013B3F"/>
    <w:rsid w:val="6F732ABB"/>
    <w:rsid w:val="6FF58B64"/>
    <w:rsid w:val="6FF8F863"/>
    <w:rsid w:val="70CF02CA"/>
    <w:rsid w:val="70F532B7"/>
    <w:rsid w:val="71013020"/>
    <w:rsid w:val="710D7C3E"/>
    <w:rsid w:val="71FC56E7"/>
    <w:rsid w:val="7376089F"/>
    <w:rsid w:val="74E06ABE"/>
    <w:rsid w:val="75B2DA43"/>
    <w:rsid w:val="75BD90DB"/>
    <w:rsid w:val="75CC41D0"/>
    <w:rsid w:val="75F8119D"/>
    <w:rsid w:val="76222141"/>
    <w:rsid w:val="76704CDE"/>
    <w:rsid w:val="76D869B3"/>
    <w:rsid w:val="76FD0A98"/>
    <w:rsid w:val="77DF8BD4"/>
    <w:rsid w:val="77EFD5CC"/>
    <w:rsid w:val="77FFADAC"/>
    <w:rsid w:val="789620E4"/>
    <w:rsid w:val="78FD530C"/>
    <w:rsid w:val="7AFB4DD2"/>
    <w:rsid w:val="7B0F6E9A"/>
    <w:rsid w:val="7BA46A39"/>
    <w:rsid w:val="7BFD6076"/>
    <w:rsid w:val="7C8E43D6"/>
    <w:rsid w:val="7DA813EB"/>
    <w:rsid w:val="7DFF108F"/>
    <w:rsid w:val="7EED8AE6"/>
    <w:rsid w:val="7F5A6980"/>
    <w:rsid w:val="7FEADF5C"/>
    <w:rsid w:val="91BF8AB9"/>
    <w:rsid w:val="9FF1B21D"/>
    <w:rsid w:val="B7BFD803"/>
    <w:rsid w:val="BD5EB179"/>
    <w:rsid w:val="BD7F788E"/>
    <w:rsid w:val="DEFF1EB3"/>
    <w:rsid w:val="DF3F4C88"/>
    <w:rsid w:val="DF7A9960"/>
    <w:rsid w:val="DFBF15D5"/>
    <w:rsid w:val="DFD70EC8"/>
    <w:rsid w:val="DFFE6C63"/>
    <w:rsid w:val="E53DE605"/>
    <w:rsid w:val="E775D448"/>
    <w:rsid w:val="ECC7B000"/>
    <w:rsid w:val="F0ED2927"/>
    <w:rsid w:val="F3EF5848"/>
    <w:rsid w:val="F5A28C7E"/>
    <w:rsid w:val="F9BF6AE4"/>
    <w:rsid w:val="FB57F652"/>
    <w:rsid w:val="FBBF88F6"/>
    <w:rsid w:val="FBFEBC90"/>
    <w:rsid w:val="FCF69F69"/>
    <w:rsid w:val="FD7BEF22"/>
    <w:rsid w:val="FD8BB826"/>
    <w:rsid w:val="FD9199D6"/>
    <w:rsid w:val="FDAC17BA"/>
    <w:rsid w:val="FDDF4064"/>
    <w:rsid w:val="FDF46C9E"/>
    <w:rsid w:val="FEAFF630"/>
    <w:rsid w:val="FEDEBCAC"/>
    <w:rsid w:val="FF7F62AA"/>
    <w:rsid w:val="FFDBA3A8"/>
    <w:rsid w:val="FFDF073B"/>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1653</Words>
  <Characters>1862</Characters>
  <Lines>0</Lines>
  <Paragraphs>0</Paragraphs>
  <TotalTime>4</TotalTime>
  <ScaleCrop>false</ScaleCrop>
  <LinksUpToDate>false</LinksUpToDate>
  <CharactersWithSpaces>1914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2021-08-02T10:04:00Z</dcterms:created>
  <dc:creator>胖林宝宝噜啦噜～</dc:creator>
  <cp:lastModifiedBy>啊F的小蝴蝶</cp:lastModifiedBy>
  <dcterms:modified xsi:type="dcterms:W3CDTF">2025-01-22T06:55:51Z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2AE545F70EBA41468FB83B43AD098CD5_13</vt:lpwstr>
  </property>
  <property fmtid="{D5CDD505-2E9C-101B-9397-08002B2CF9AE}" pid="4" name="KSOTemplateDocerSaveRecord">
    <vt:lpwstr>eyJoZGlkIjoiYTg4NWZkN2Y2OWJmYTBiNGJjMTU4N2YzOTQ0Mzk3NGQiLCJ1c2VySWQiOiI0OTI0NDY1OTcifQ==</vt:lpwstr>
  </property>
</Properties>
</file>