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8EE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郑州航空港校园食材综合保供基地项目</w:t>
      </w:r>
    </w:p>
    <w:p w14:paraId="0F04BC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推介材料</w:t>
      </w:r>
    </w:p>
    <w:p w14:paraId="05A5465A">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bookmarkStart w:id="0" w:name="_GoBack"/>
      <w:r>
        <w:rPr>
          <w:rFonts w:hint="default" w:ascii="Times New Roman" w:hAnsi="Times New Roman" w:eastAsia="黑体" w:cs="Times New Roman"/>
          <w:b w:val="0"/>
          <w:bCs w:val="0"/>
          <w:sz w:val="32"/>
          <w:szCs w:val="32"/>
          <w:lang w:val="en-US" w:eastAsia="zh-CN"/>
        </w:rPr>
        <w:t>一、项目概述</w:t>
      </w:r>
    </w:p>
    <w:bookmarkEnd w:id="0"/>
    <w:p w14:paraId="3B62DE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（一）项目背景</w:t>
      </w:r>
    </w:p>
    <w:p w14:paraId="0D1336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郑州航空港校园食材保供基地项目是贯彻落实习近平总书记关于食品安全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四个最严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重要指示精神的核心工程，旨在打造航空港区校园食材供应链的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港区范式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。项目由郑州航空港国际教育投资发展集团有限公司牵头</w:t>
      </w:r>
      <w:r>
        <w:rPr>
          <w:rFonts w:hint="eastAsia" w:ascii="Times New Roman" w:hAnsi="Times New Roman" w:eastAsia="仿宋_GB2312" w:cs="Times New Roman"/>
          <w:sz w:val="32"/>
          <w:szCs w:val="32"/>
          <w:lang w:val="en-US" w:eastAsia="zh-CN"/>
        </w:rPr>
        <w:t>开发</w:t>
      </w:r>
      <w:r>
        <w:rPr>
          <w:rFonts w:hint="default" w:ascii="Times New Roman" w:hAnsi="Times New Roman" w:eastAsia="仿宋_GB2312" w:cs="Times New Roman"/>
          <w:sz w:val="32"/>
          <w:szCs w:val="32"/>
          <w:lang w:val="en-US" w:eastAsia="zh-CN"/>
        </w:rPr>
        <w:t>建设，依托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AI赋能、跟踪溯源、过程监管、提质高效、应急保障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原则，响应河南省教育厅推广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惠济模式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的部署，通过整合供应链资源、搭建智慧化平台，为全区学校及企事业单位提供安全、高效、低成本的食材全流程保障服务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助力区域食品安全治理能力现代化。</w:t>
      </w:r>
    </w:p>
    <w:p w14:paraId="40A8CE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（二）核心特点</w:t>
      </w:r>
    </w:p>
    <w:p w14:paraId="75225F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智慧安全监管：建设</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智慧安全食材数字云监管系统</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，实现食材从田间到餐桌的全链条可追溯，严控食品源头、生产、配送各环节风险。</w:t>
      </w:r>
    </w:p>
    <w:p w14:paraId="6BD229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直采直供体系：对接优质农产品厂商，减少中间流通环节，降低采购成本15%-20%，确保米面油等大宗食材</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量足、价稳、质优</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w:t>
      </w:r>
    </w:p>
    <w:p w14:paraId="43D8DB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应急保障能力：打造区域级全品类应急保障基地，整合仓储、加工、配送资源，确保极端情况下10万人规模食材供应需求。</w:t>
      </w:r>
    </w:p>
    <w:p w14:paraId="6698BB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val="en-US" w:eastAsia="zh-CN"/>
        </w:rPr>
        <w:t>全链条标准化：建设分拣配送、净菜加工、检验检测等六大中心，实现食材预处理、分拣、检测、配送全流程标准化管理。</w:t>
      </w:r>
    </w:p>
    <w:p w14:paraId="7FD196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（三）目标市场</w:t>
      </w:r>
    </w:p>
    <w:p w14:paraId="4A7140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1.核心服务群体：航空港区基础教育、职业教育及高等教育阶段学校师生，覆盖首年4万人，第三年扩展至10万人。</w:t>
      </w:r>
    </w:p>
    <w:p w14:paraId="4EF2E9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2.辐射区域：区域内企事业单位、科创城等，未来延伸至郑州都市圈及周边区域。</w:t>
      </w:r>
    </w:p>
    <w:p w14:paraId="6E9CCB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二、市场机会</w:t>
      </w:r>
    </w:p>
    <w:p w14:paraId="7D87E1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（一）市场需求</w:t>
      </w:r>
    </w:p>
    <w:p w14:paraId="6D402E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US" w:eastAsia="zh-CN" w:bidi="ar-SA"/>
        </w:rPr>
        <w:t>食品安全刚性需求：2023年全国校园食品安全事件频发，政府监管力度持续加大，亟需专业化、数字化供应链解决方案。</w:t>
      </w:r>
    </w:p>
    <w:p w14:paraId="0BF09E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政策红利驱动：国务院及河南省明确要求推广</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统一采购、统一配送</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模式，2024年航空港区中小学食堂自营化改造需求覆盖率达100%。</w:t>
      </w:r>
    </w:p>
    <w:p w14:paraId="7C8B07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供应链效率提升：传统食材采购环节冗余，区域食材配送成本占餐费比例超30%，项目可降低综合成本20%以上。</w:t>
      </w:r>
    </w:p>
    <w:p w14:paraId="7AA33C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（二）增长潜力</w:t>
      </w:r>
    </w:p>
    <w:p w14:paraId="07B96B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政策支持：河南省教育厅《关于推广中小学校食堂管理</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惠济模式</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的意见》提供专项财政补贴，优先支持国企主导项目。</w:t>
      </w:r>
    </w:p>
    <w:p w14:paraId="58C48C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规模扩张：2025年起新增中原新能源汽车工程师学院等职教院校，预计年均新增服务人群2万人。</w:t>
      </w:r>
    </w:p>
    <w:p w14:paraId="103923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市场化延伸：拓展企事业单位团餐、社区生鲜配送等业务，形成</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校园+社会</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双轮驱动模式。</w:t>
      </w:r>
    </w:p>
    <w:p w14:paraId="32DBFD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（三）竞争优势</w:t>
      </w:r>
    </w:p>
    <w:p w14:paraId="6EF803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US" w:eastAsia="zh-CN" w:bidi="ar-SA"/>
        </w:rPr>
        <w:t>国企平台背书：依托国际教育集团资源整合能力，联动政府、学校、供应商构建稳定合作网络。</w:t>
      </w:r>
    </w:p>
    <w:p w14:paraId="4EDB08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技术赋能：采用大数据、物联网技术实现食材全生命周期监管，检测合格率提升至99.8%。</w:t>
      </w:r>
    </w:p>
    <w:p w14:paraId="293AC9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成本优势：直采直供模式降低采购成本，规模化分拣配送减少物流损耗，综合运营成本较市场低10%-15%。</w:t>
      </w:r>
    </w:p>
    <w:p w14:paraId="4B0A2B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三、实施计划</w:t>
      </w:r>
    </w:p>
    <w:p w14:paraId="5A7693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（一）建设内容</w:t>
      </w:r>
    </w:p>
    <w:p w14:paraId="66BA5CE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1.总规模：占地面积50亩，总建筑面积7.98万平方米，建设周期12个月。</w:t>
      </w:r>
    </w:p>
    <w:p w14:paraId="1FDAB6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2.功能分区：</w:t>
      </w:r>
    </w:p>
    <w:p w14:paraId="0DDA0CD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分拣配送中心（2.3万㎡）：配备自动化分拣线、冷链仓储系统，日处理量达200吨。</w:t>
      </w:r>
    </w:p>
    <w:p w14:paraId="2624F2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净菜加工中心（1.5万㎡）：配置去皮、切割、杀菌等智能化设备，年加工净菜10万吨。</w:t>
      </w:r>
    </w:p>
    <w:p w14:paraId="589FAFE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检验检测中心（0.5万㎡）：设置药残留、重金属等检测实验室，日均检测样本超1000批次。</w:t>
      </w:r>
    </w:p>
    <w:p w14:paraId="731FC7E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数字化监管平台：集成采购、物流、财务系统，实现全流程可视化管控。</w:t>
      </w:r>
    </w:p>
    <w:p w14:paraId="6AB90B9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（二）时间节点</w:t>
      </w:r>
    </w:p>
    <w:p w14:paraId="717871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年第</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季度：完成土地审批与设计招标，启动基础施工。</w:t>
      </w:r>
    </w:p>
    <w:p w14:paraId="2DE936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2025年第三季度：主体工程竣工，设备安装调试。</w:t>
      </w:r>
    </w:p>
    <w:p w14:paraId="0E86FAE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年第</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季度：投入运营，首批服务4万师生。</w:t>
      </w:r>
    </w:p>
    <w:p w14:paraId="006EE8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四、财务预测</w:t>
      </w:r>
    </w:p>
    <w:p w14:paraId="2A247B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（一）初期投资</w:t>
      </w:r>
    </w:p>
    <w:p w14:paraId="47688E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项目总投资约</w:t>
      </w:r>
      <w:r>
        <w:rPr>
          <w:rFonts w:hint="eastAsia" w:ascii="Times New Roman" w:hAnsi="Times New Roman" w:eastAsia="仿宋_GB2312" w:cs="Times New Roman"/>
          <w:b w:val="0"/>
          <w:bCs w:val="0"/>
          <w:sz w:val="32"/>
          <w:szCs w:val="32"/>
          <w:lang w:val="en-US" w:eastAsia="zh-CN"/>
        </w:rPr>
        <w:t>3.35亿</w:t>
      </w:r>
      <w:r>
        <w:rPr>
          <w:rFonts w:hint="default" w:ascii="Times New Roman" w:hAnsi="Times New Roman" w:eastAsia="仿宋_GB2312" w:cs="Times New Roman"/>
          <w:b w:val="0"/>
          <w:bCs w:val="0"/>
          <w:sz w:val="32"/>
          <w:szCs w:val="32"/>
          <w:lang w:val="en-US" w:eastAsia="zh-CN"/>
        </w:rPr>
        <w:t>元，其中工程费用共</w:t>
      </w:r>
      <w:r>
        <w:rPr>
          <w:rFonts w:hint="eastAsia" w:ascii="Times New Roman" w:hAnsi="Times New Roman" w:eastAsia="仿宋_GB2312" w:cs="Times New Roman"/>
          <w:b w:val="0"/>
          <w:bCs w:val="0"/>
          <w:sz w:val="32"/>
          <w:szCs w:val="32"/>
          <w:lang w:val="en-US" w:eastAsia="zh-CN"/>
        </w:rPr>
        <w:t>2.48亿</w:t>
      </w:r>
      <w:r>
        <w:rPr>
          <w:rFonts w:hint="default" w:ascii="Times New Roman" w:hAnsi="Times New Roman" w:eastAsia="仿宋_GB2312" w:cs="Times New Roman"/>
          <w:b w:val="0"/>
          <w:bCs w:val="0"/>
          <w:sz w:val="32"/>
          <w:szCs w:val="32"/>
          <w:lang w:val="en-US" w:eastAsia="zh-CN"/>
        </w:rPr>
        <w:t>元，其他费用</w:t>
      </w:r>
      <w:r>
        <w:rPr>
          <w:rFonts w:hint="eastAsia" w:ascii="Times New Roman" w:hAnsi="Times New Roman" w:eastAsia="仿宋_GB2312" w:cs="Times New Roman"/>
          <w:b w:val="0"/>
          <w:bCs w:val="0"/>
          <w:sz w:val="32"/>
          <w:szCs w:val="32"/>
          <w:lang w:val="en-US" w:eastAsia="zh-CN"/>
        </w:rPr>
        <w:t>0.62亿</w:t>
      </w:r>
      <w:r>
        <w:rPr>
          <w:rFonts w:hint="default" w:ascii="Times New Roman" w:hAnsi="Times New Roman" w:eastAsia="仿宋_GB2312" w:cs="Times New Roman"/>
          <w:b w:val="0"/>
          <w:bCs w:val="0"/>
          <w:sz w:val="32"/>
          <w:szCs w:val="32"/>
          <w:lang w:val="en-US" w:eastAsia="zh-CN"/>
        </w:rPr>
        <w:t>元，预备费</w:t>
      </w:r>
      <w:r>
        <w:rPr>
          <w:rFonts w:hint="eastAsia" w:ascii="Times New Roman" w:hAnsi="Times New Roman" w:eastAsia="仿宋_GB2312" w:cs="Times New Roman"/>
          <w:b w:val="0"/>
          <w:bCs w:val="0"/>
          <w:sz w:val="32"/>
          <w:szCs w:val="32"/>
          <w:lang w:val="en-US" w:eastAsia="zh-CN"/>
        </w:rPr>
        <w:t>0.15亿</w:t>
      </w:r>
      <w:r>
        <w:rPr>
          <w:rFonts w:hint="default" w:ascii="Times New Roman" w:hAnsi="Times New Roman" w:eastAsia="仿宋_GB2312" w:cs="Times New Roman"/>
          <w:b w:val="0"/>
          <w:bCs w:val="0"/>
          <w:sz w:val="32"/>
          <w:szCs w:val="32"/>
          <w:lang w:val="en-US" w:eastAsia="zh-CN"/>
        </w:rPr>
        <w:t>万元，建设期利息</w:t>
      </w:r>
      <w:r>
        <w:rPr>
          <w:rFonts w:hint="eastAsia" w:ascii="Times New Roman" w:hAnsi="Times New Roman" w:eastAsia="仿宋_GB2312" w:cs="Times New Roman"/>
          <w:b w:val="0"/>
          <w:bCs w:val="0"/>
          <w:sz w:val="32"/>
          <w:szCs w:val="32"/>
          <w:lang w:val="en-US" w:eastAsia="zh-CN"/>
        </w:rPr>
        <w:t>0.1亿</w:t>
      </w:r>
      <w:r>
        <w:rPr>
          <w:rFonts w:hint="default" w:ascii="Times New Roman" w:hAnsi="Times New Roman" w:eastAsia="仿宋_GB2312" w:cs="Times New Roman"/>
          <w:b w:val="0"/>
          <w:bCs w:val="0"/>
          <w:sz w:val="32"/>
          <w:szCs w:val="32"/>
          <w:lang w:val="en-US" w:eastAsia="zh-CN"/>
        </w:rPr>
        <w:t>元。</w:t>
      </w:r>
    </w:p>
    <w:p w14:paraId="435498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（二）收益模型</w:t>
      </w:r>
    </w:p>
    <w:p w14:paraId="013E81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1.收</w:t>
      </w:r>
      <w:r>
        <w:rPr>
          <w:rFonts w:hint="eastAsia" w:ascii="Times New Roman" w:hAnsi="Times New Roman" w:eastAsia="仿宋_GB2312" w:cs="Times New Roman"/>
          <w:b w:val="0"/>
          <w:bCs w:val="0"/>
          <w:sz w:val="32"/>
          <w:szCs w:val="32"/>
          <w:lang w:val="en-US" w:eastAsia="zh-CN"/>
        </w:rPr>
        <w:t>入</w:t>
      </w:r>
      <w:r>
        <w:rPr>
          <w:rFonts w:hint="default" w:ascii="Times New Roman" w:hAnsi="Times New Roman" w:eastAsia="仿宋_GB2312" w:cs="Times New Roman"/>
          <w:b w:val="0"/>
          <w:bCs w:val="0"/>
          <w:sz w:val="32"/>
          <w:szCs w:val="32"/>
          <w:lang w:val="en-US" w:eastAsia="zh-CN"/>
        </w:rPr>
        <w:t>来源</w:t>
      </w:r>
    </w:p>
    <w:p w14:paraId="21AC21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食材供应收入（占比85%）、</w:t>
      </w:r>
      <w:r>
        <w:rPr>
          <w:rFonts w:hint="eastAsia" w:ascii="Times New Roman" w:hAnsi="Times New Roman" w:eastAsia="仿宋_GB2312" w:cs="Times New Roman"/>
          <w:b w:val="0"/>
          <w:bCs w:val="0"/>
          <w:sz w:val="32"/>
          <w:szCs w:val="32"/>
          <w:lang w:val="en-US" w:eastAsia="zh-CN"/>
        </w:rPr>
        <w:t>建筑物</w:t>
      </w:r>
      <w:r>
        <w:rPr>
          <w:rFonts w:hint="default" w:ascii="Times New Roman" w:hAnsi="Times New Roman" w:eastAsia="仿宋_GB2312" w:cs="Times New Roman"/>
          <w:b w:val="0"/>
          <w:bCs w:val="0"/>
          <w:sz w:val="32"/>
          <w:szCs w:val="32"/>
          <w:lang w:val="en-US" w:eastAsia="zh-CN"/>
        </w:rPr>
        <w:t>租赁收入（10%）、</w:t>
      </w:r>
      <w:r>
        <w:rPr>
          <w:rFonts w:hint="eastAsia" w:ascii="Times New Roman" w:hAnsi="Times New Roman" w:eastAsia="仿宋_GB2312" w:cs="Times New Roman"/>
          <w:b w:val="0"/>
          <w:bCs w:val="0"/>
          <w:sz w:val="32"/>
          <w:szCs w:val="32"/>
          <w:lang w:val="en-US" w:eastAsia="zh-CN"/>
        </w:rPr>
        <w:t>对外经营收入等其他收入</w:t>
      </w:r>
      <w:r>
        <w:rPr>
          <w:rFonts w:hint="default" w:ascii="Times New Roman" w:hAnsi="Times New Roman" w:eastAsia="仿宋_GB2312" w:cs="Times New Roman"/>
          <w:b w:val="0"/>
          <w:bCs w:val="0"/>
          <w:sz w:val="32"/>
          <w:szCs w:val="32"/>
          <w:lang w:val="en-US" w:eastAsia="zh-CN"/>
        </w:rPr>
        <w:t>（5%）。</w:t>
      </w:r>
    </w:p>
    <w:p w14:paraId="101142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2.财务指标</w:t>
      </w:r>
    </w:p>
    <w:p w14:paraId="3233FB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所得税前项目投资内部收益率为</w:t>
      </w:r>
      <w:r>
        <w:rPr>
          <w:rFonts w:hint="eastAsia" w:ascii="Times New Roman" w:hAnsi="Times New Roman" w:eastAsia="仿宋_GB2312" w:cs="Times New Roman"/>
          <w:b w:val="0"/>
          <w:bCs w:val="0"/>
          <w:sz w:val="32"/>
          <w:szCs w:val="32"/>
          <w:lang w:val="en-US" w:eastAsia="zh-CN"/>
        </w:rPr>
        <w:t>12.41</w:t>
      </w:r>
      <w:r>
        <w:rPr>
          <w:rFonts w:hint="default" w:ascii="Times New Roman" w:hAnsi="Times New Roman" w:eastAsia="仿宋_GB2312" w:cs="Times New Roman"/>
          <w:b w:val="0"/>
          <w:bCs w:val="0"/>
          <w:sz w:val="32"/>
          <w:szCs w:val="32"/>
          <w:lang w:val="en-US" w:eastAsia="zh-CN"/>
        </w:rPr>
        <w:t>%，所得税前项目投资投资回收期为</w:t>
      </w:r>
      <w:r>
        <w:rPr>
          <w:rFonts w:hint="eastAsia" w:ascii="Times New Roman" w:hAnsi="Times New Roman" w:eastAsia="仿宋_GB2312" w:cs="Times New Roman"/>
          <w:b w:val="0"/>
          <w:bCs w:val="0"/>
          <w:sz w:val="32"/>
          <w:szCs w:val="32"/>
          <w:lang w:val="en-US" w:eastAsia="zh-CN"/>
        </w:rPr>
        <w:t>8.59</w:t>
      </w:r>
      <w:r>
        <w:rPr>
          <w:rFonts w:hint="default" w:ascii="Times New Roman" w:hAnsi="Times New Roman" w:eastAsia="仿宋_GB2312" w:cs="Times New Roman"/>
          <w:b w:val="0"/>
          <w:bCs w:val="0"/>
          <w:sz w:val="32"/>
          <w:szCs w:val="32"/>
          <w:lang w:val="en-US" w:eastAsia="zh-CN"/>
        </w:rPr>
        <w:t>年，较好地满足了投资期望。</w:t>
      </w:r>
    </w:p>
    <w:p w14:paraId="7EA001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（三）资金需求</w:t>
      </w:r>
    </w:p>
    <w:p w14:paraId="072E9A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项目投资总额3.35亿元，所需资金由国际教育集团通过多渠道融资约2.5亿元，其余资金由国际教育集团自行筹措引入社会资本解决。开放社会资本参股、供应链金融合作或专业化运营团队引入。</w:t>
      </w:r>
    </w:p>
    <w:p w14:paraId="1B4CB2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五、合作机会</w:t>
      </w:r>
    </w:p>
    <w:p w14:paraId="0DED0BE3">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（一）</w:t>
      </w:r>
      <w:r>
        <w:rPr>
          <w:rFonts w:hint="default" w:ascii="Times New Roman" w:hAnsi="Times New Roman" w:eastAsia="仿宋_GB2312" w:cs="Times New Roman"/>
          <w:sz w:val="32"/>
          <w:szCs w:val="32"/>
        </w:rPr>
        <w:t>供应链合作：招募优质农产品供应商、冷链物流企业，共建直采直供网络。</w:t>
      </w:r>
    </w:p>
    <w:p w14:paraId="72737762">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技术研发：联合高校及科技企业研发食材保鲜、检测新技术，提升品控能力。</w:t>
      </w:r>
    </w:p>
    <w:p w14:paraId="5BB042A0">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运营服务：引进专业团餐管理公司，拓展企事业单位及社区配送业务。</w:t>
      </w:r>
    </w:p>
    <w:p w14:paraId="5284F029">
      <w:pPr>
        <w:keepNext w:val="0"/>
        <w:keepLines w:val="0"/>
        <w:pageBreakBefore w:val="0"/>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应急保障：与政府应急管理部门合作，纳入区域民生保供体系。</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0D2903-7843-480D-9A23-C5533A8E9D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E16422AA-7DB8-4F0B-8CD5-9A91EF0C5165}"/>
  </w:font>
  <w:font w:name="楷体_GB2312">
    <w:panose1 w:val="02010609030101010101"/>
    <w:charset w:val="86"/>
    <w:family w:val="auto"/>
    <w:pitch w:val="default"/>
    <w:sig w:usb0="00000001" w:usb1="080E0000" w:usb2="00000000" w:usb3="00000000" w:csb0="00040000" w:csb1="00000000"/>
    <w:embedRegular r:id="rId3" w:fontKey="{82B43C5F-FA5F-4E0C-B606-DD3A27834BEE}"/>
  </w:font>
  <w:font w:name="仿宋_GB2312">
    <w:panose1 w:val="02010609030101010101"/>
    <w:charset w:val="86"/>
    <w:family w:val="auto"/>
    <w:pitch w:val="default"/>
    <w:sig w:usb0="00000001" w:usb1="080E0000" w:usb2="00000000" w:usb3="00000000" w:csb0="00040000" w:csb1="00000000"/>
    <w:embedRegular r:id="rId4" w:fontKey="{361E11A0-50D0-4BC7-BC40-43DD9148C88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42A3B"/>
    <w:rsid w:val="032C671B"/>
    <w:rsid w:val="11842A3B"/>
    <w:rsid w:val="254C0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样式 首行缩进:  2 字符"/>
    <w:basedOn w:val="1"/>
    <w:qFormat/>
    <w:uiPriority w:val="0"/>
    <w:pPr>
      <w:ind w:firstLine="480" w:firstLineChars="200"/>
    </w:pPr>
    <w:rPr>
      <w:rFonts w:ascii="仿宋" w:hAnsi="仿宋" w:eastAsia="仿宋"/>
      <w:color w:val="FF0000"/>
      <w:sz w:val="28"/>
      <w:szCs w:val="2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1701</Words>
  <Characters>1819</Characters>
  <Lines>0</Lines>
  <Paragraphs>0</Paragraphs>
  <TotalTime>1</TotalTime>
  <ScaleCrop>false</ScaleCrop>
  <LinksUpToDate>false</LinksUpToDate>
  <CharactersWithSpaces>1819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2025-03-12T06:58:00Z</dcterms:created>
  <dc:creator>万琬婷</dc:creator>
  <cp:lastModifiedBy>万琬婷</cp:lastModifiedBy>
  <dcterms:modified xsi:type="dcterms:W3CDTF">2025-03-12T09:06:28Z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04358F64E45648F5BD8BDBC3ACEF395A_11</vt:lpwstr>
  </property>
  <property fmtid="{D5CDD505-2E9C-101B-9397-08002B2CF9AE}" pid="4" name="KSOTemplateDocerSaveRecord">
    <vt:lpwstr>eyJoZGlkIjoiYmZkYjZhOGJiODcxYWMyMzkwMDBhNWUxYWQwNmZkMTciLCJ1c2VySWQiOiI1MDgzOTcwNjYifQ==</vt:lpwstr>
  </property>
</Properties>
</file>