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7B9B5">
      <w:pPr>
        <w:spacing w:line="56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潢川县人力资源和社会保障局</w:t>
      </w:r>
    </w:p>
    <w:p w14:paraId="506607C1">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年法治</w:t>
      </w:r>
      <w:r>
        <w:rPr>
          <w:rFonts w:hint="eastAsia" w:ascii="黑体" w:hAnsi="黑体" w:eastAsia="黑体" w:cs="黑体"/>
          <w:sz w:val="44"/>
          <w:szCs w:val="44"/>
          <w:lang w:eastAsia="zh-CN"/>
        </w:rPr>
        <w:t>政府</w:t>
      </w:r>
      <w:r>
        <w:rPr>
          <w:rFonts w:hint="eastAsia" w:ascii="黑体" w:hAnsi="黑体" w:eastAsia="黑体" w:cs="黑体"/>
          <w:sz w:val="44"/>
          <w:szCs w:val="44"/>
        </w:rPr>
        <w:t>建设工作报告</w:t>
      </w:r>
    </w:p>
    <w:p w14:paraId="0214C693">
      <w:pPr>
        <w:spacing w:line="560" w:lineRule="exact"/>
        <w:ind w:firstLine="640" w:firstLineChars="200"/>
        <w:rPr>
          <w:rFonts w:hint="eastAsia" w:ascii="方正小标宋简体" w:hAnsi="方正小标宋简体" w:eastAsia="方正小标宋简体" w:cs="方正小标宋简体"/>
          <w:sz w:val="32"/>
          <w:szCs w:val="32"/>
        </w:rPr>
      </w:pPr>
    </w:p>
    <w:p w14:paraId="54128A0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潢川县人社局坚持以习近平新时代中国特色社会主义思想为指引，深入学习贯彻党的二十届三中全会精神，认真落实中央、省、市、县关于法治政府建设的各项决策部署，法治政府建设取得了新进展新成效。现将我局2024年法治政府建设情况汇报如下：</w:t>
      </w:r>
    </w:p>
    <w:p w14:paraId="610E62AA">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2024年</w:t>
      </w:r>
      <w:r>
        <w:rPr>
          <w:rFonts w:hint="eastAsia" w:ascii="黑体" w:hAnsi="黑体" w:eastAsia="黑体" w:cs="黑体"/>
          <w:sz w:val="32"/>
          <w:szCs w:val="32"/>
        </w:rPr>
        <w:t>党政主要负责人履行推进法治建设第一责任人职责，加强法治政府建设的有关情况</w:t>
      </w:r>
    </w:p>
    <w:p w14:paraId="3A711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（一）加强组织领导。</w:t>
      </w:r>
      <w:r>
        <w:rPr>
          <w:rFonts w:hint="default" w:ascii="Times New Roman" w:hAnsi="Times New Roman" w:eastAsia="仿宋_GB2312" w:cs="Times New Roman"/>
          <w:sz w:val="32"/>
          <w:szCs w:val="32"/>
          <w:lang w:val="en-US" w:eastAsia="zh-CN"/>
        </w:rPr>
        <w:t>县人社局切实推动党政主要负责人履行推进法治人社建设第一责任人职责落地落实。成立了以党组书记、局长为组长，其它科级干部为副组长，机关相关股室负责人为成员的法治建设工作领导小组，并根据人事变动，及时调整领导小组。</w:t>
      </w:r>
    </w:p>
    <w:p w14:paraId="7865FA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（二）完善推进机制。</w:t>
      </w:r>
      <w:r>
        <w:rPr>
          <w:rFonts w:hint="default" w:ascii="Times New Roman" w:hAnsi="Times New Roman" w:eastAsia="仿宋_GB2312" w:cs="Times New Roman"/>
          <w:sz w:val="32"/>
          <w:szCs w:val="32"/>
          <w:lang w:val="en-US" w:eastAsia="zh-CN"/>
        </w:rPr>
        <w:t>2024年，局党组召开法治建设专题会议4次，听取有关工作汇报2次，及时研究解决有关重大问题，将法治政府建设纳入本部门发展总体规划和年度工作计划，与业务工作同部署、同推进、同考核。党组书记、局长</w:t>
      </w:r>
      <w:r>
        <w:rPr>
          <w:rFonts w:hint="default" w:ascii="Times New Roman" w:hAnsi="Times New Roman" w:eastAsia="仿宋_GB2312" w:cs="Times New Roman"/>
          <w:color w:val="auto"/>
          <w:kern w:val="2"/>
          <w:sz w:val="32"/>
          <w:szCs w:val="32"/>
          <w:lang w:val="en-US" w:eastAsia="zh-CN" w:bidi="ar-SA"/>
        </w:rPr>
        <w:t>全面贯彻落实法治建设重大决策部署，对法治政府建设重要工作亲自部署、重大问题亲自过问、重点环节亲自协调、重要任务亲自督办，推动人社领域各项工作纳入法治化轨道。</w:t>
      </w:r>
    </w:p>
    <w:p w14:paraId="6172D9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en-US" w:eastAsia="zh-CN"/>
        </w:rPr>
        <w:t>2024年</w:t>
      </w:r>
      <w:r>
        <w:rPr>
          <w:rFonts w:hint="default" w:ascii="Times New Roman" w:hAnsi="Times New Roman" w:eastAsia="黑体" w:cs="Times New Roman"/>
          <w:sz w:val="32"/>
          <w:szCs w:val="32"/>
        </w:rPr>
        <w:t>推进法治政府建设的主要举措和成效</w:t>
      </w:r>
    </w:p>
    <w:p w14:paraId="3281612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楷体" w:cs="Times New Roman"/>
          <w:b/>
          <w:bCs w:val="0"/>
          <w:color w:val="auto"/>
          <w:kern w:val="2"/>
          <w:sz w:val="32"/>
          <w:szCs w:val="32"/>
          <w:highlight w:val="none"/>
          <w:lang w:val="en-US" w:eastAsia="zh-CN" w:bidi="ar-SA"/>
        </w:rPr>
        <w:t>（一）深入学习贯彻习近平法治思想，提升干部职工法治意识。</w:t>
      </w:r>
      <w:r>
        <w:rPr>
          <w:rFonts w:hint="default" w:ascii="Times New Roman" w:hAnsi="Times New Roman" w:eastAsia="仿宋_GB2312" w:cs="Times New Roman"/>
          <w:color w:val="auto"/>
          <w:kern w:val="2"/>
          <w:sz w:val="32"/>
          <w:szCs w:val="32"/>
          <w:lang w:val="en-US" w:eastAsia="zh-CN" w:bidi="ar-SA"/>
        </w:rPr>
        <w:t>一是坚持以习近平新时代中国特色社会主义思想为指导，深入学习宣传党的二十大精神和习近平法治思想，将习近平法治思想纳入局党组理论学习中心组会议、“三会一课”学习内容，教育引导党员干部读原著、学原文、悟原理，着力提升全局职工法治思维和依法行政能力。注重抓“关键少数”，发挥“头雁作用”，积极参加学法活动。围绕《宪法》《中华人民共和国民法典》《保障农民工工资支付条例》等内容开展集体学法交流。二是结合本单位实际制定《潢川县人社局普法工作方案》，</w:t>
      </w:r>
      <w:r>
        <w:rPr>
          <w:rFonts w:hint="default" w:ascii="Times New Roman" w:hAnsi="Times New Roman" w:eastAsia="仿宋_GB2312" w:cs="Times New Roman"/>
          <w:color w:val="000000"/>
          <w:kern w:val="2"/>
          <w:sz w:val="32"/>
          <w:szCs w:val="32"/>
          <w:lang w:val="en-US" w:eastAsia="zh-CN" w:bidi="ar"/>
        </w:rPr>
        <w:t>增强全体干部职工的法治素养和法治能力，有效提高运用法治思维和法治方式管理服务社会的水平，促进依法行政能力和服务水平提升。</w:t>
      </w:r>
    </w:p>
    <w:p w14:paraId="7AA124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val="0"/>
          <w:color w:val="auto"/>
          <w:kern w:val="2"/>
          <w:sz w:val="32"/>
          <w:szCs w:val="32"/>
          <w:highlight w:val="none"/>
          <w:lang w:val="en-US" w:eastAsia="zh-CN" w:bidi="ar-SA"/>
        </w:rPr>
        <w:t>（二）依法全面履行政府职能，更好发挥政府作用。</w:t>
      </w:r>
      <w:r>
        <w:rPr>
          <w:rFonts w:hint="eastAsia" w:eastAsia="仿宋_GB2312" w:cs="Times New Roman"/>
          <w:b/>
          <w:bCs/>
          <w:sz w:val="32"/>
          <w:szCs w:val="32"/>
          <w:lang w:val="en-US" w:eastAsia="zh-CN"/>
        </w:rPr>
        <w:t>一是</w:t>
      </w:r>
      <w:r>
        <w:rPr>
          <w:rFonts w:hint="default" w:ascii="Times New Roman" w:hAnsi="Times New Roman" w:eastAsia="仿宋_GB2312" w:cs="Times New Roman"/>
          <w:b/>
          <w:bCs/>
          <w:sz w:val="32"/>
          <w:szCs w:val="32"/>
          <w:lang w:val="en-US" w:eastAsia="zh-CN"/>
        </w:rPr>
        <w:t>严格执行市场准入负面清单。</w:t>
      </w:r>
      <w:r>
        <w:rPr>
          <w:rFonts w:hint="default" w:ascii="Times New Roman" w:hAnsi="Times New Roman" w:eastAsia="仿宋_GB2312" w:cs="Times New Roman"/>
          <w:sz w:val="32"/>
          <w:szCs w:val="32"/>
          <w:lang w:val="en-US" w:eastAsia="zh-CN"/>
        </w:rPr>
        <w:t>严格落实负面清单制度，完善清单内容，对清单所列事项，持续优化审批服务，严格规范审批行为，提高审批效率，正确高效履行职责。根据“动态调整、一年一修”的要求，对现有行政许可事项实施情况进行全面核查，积极做好市场准入负面清单的动态调整工作。</w:t>
      </w:r>
      <w:r>
        <w:rPr>
          <w:rFonts w:hint="eastAsia" w:eastAsia="仿宋_GB2312" w:cs="Times New Roman"/>
          <w:b/>
          <w:bCs/>
          <w:sz w:val="32"/>
          <w:szCs w:val="32"/>
          <w:lang w:val="en-US" w:eastAsia="zh-CN"/>
        </w:rPr>
        <w:t>二是</w:t>
      </w:r>
      <w:r>
        <w:rPr>
          <w:rFonts w:hint="default" w:ascii="Times New Roman" w:hAnsi="Times New Roman" w:eastAsia="仿宋_GB2312" w:cs="Times New Roman"/>
          <w:b/>
          <w:bCs/>
          <w:sz w:val="32"/>
          <w:szCs w:val="32"/>
          <w:lang w:val="en-US" w:eastAsia="zh-CN"/>
        </w:rPr>
        <w:t>深入推进“放管服”改革优化法治化营商环境。</w:t>
      </w:r>
      <w:r>
        <w:rPr>
          <w:rFonts w:hint="default" w:ascii="Times New Roman" w:hAnsi="Times New Roman" w:eastAsia="仿宋_GB2312" w:cs="Times New Roman"/>
          <w:sz w:val="32"/>
          <w:szCs w:val="32"/>
          <w:lang w:val="en-US" w:eastAsia="zh-CN"/>
        </w:rPr>
        <w:t>梳理规范政务服务事项302项，全部进驻县政务服务大厅；开展局长“走流程”活动，深入体验人社业务事项办理流程，了解便民服务政策落实等情况；强化包联企业走访工作，积极向企业宣传惠企政策，帮助企业解决困难；落实社保经办服务乡村全覆盖，加快推进“人社服务快办行动”，深入推进“一件事”打包办，实现社保业务“就近办”“网上办”，让企业和群众畅享优质、高效、便捷的社保经办服务。目前，县政务服务窗口社会保障自助服务一体机设置到位，满足群众全天候获取人社部门各类证明材料的需求，23个乡镇（街道）、299个村（社区）社保业务均已下沉到位，乡镇（街道）可受理27项“全省通办”政务服务事项，村（社区）可受理18项城乡居民养老保险高频业务。</w:t>
      </w:r>
      <w:r>
        <w:rPr>
          <w:rFonts w:hint="eastAsia" w:eastAsia="仿宋_GB2312" w:cs="Times New Roman"/>
          <w:b/>
          <w:bCs/>
          <w:sz w:val="32"/>
          <w:szCs w:val="32"/>
          <w:lang w:val="en-US" w:eastAsia="zh-CN"/>
        </w:rPr>
        <w:t>三是</w:t>
      </w:r>
      <w:r>
        <w:rPr>
          <w:rFonts w:hint="default" w:ascii="Times New Roman" w:hAnsi="Times New Roman" w:eastAsia="仿宋_GB2312" w:cs="Times New Roman"/>
          <w:b/>
          <w:bCs/>
          <w:sz w:val="32"/>
          <w:szCs w:val="32"/>
          <w:lang w:val="en-US" w:eastAsia="zh-CN"/>
        </w:rPr>
        <w:t>加强监督管理。</w:t>
      </w:r>
      <w:r>
        <w:rPr>
          <w:rFonts w:hint="default" w:ascii="Times New Roman" w:hAnsi="Times New Roman" w:eastAsia="仿宋_GB2312" w:cs="Times New Roman"/>
          <w:sz w:val="32"/>
          <w:szCs w:val="32"/>
          <w:lang w:val="en-US" w:eastAsia="zh-CN"/>
        </w:rPr>
        <w:t>组织开展2024年度企业保障守法诚信等级评价，评出A级企业6家、B级企业24家。深入重点企业、重点项目走访检查，补签劳动合同300余份，纠正不合理规定12条，下达限期整改指令书35份，行政处理处罚决定书11份，把矛盾化解在萌芽状态。今年来，受理</w:t>
      </w:r>
      <w:r>
        <w:rPr>
          <w:rFonts w:hint="eastAsia" w:ascii="Times New Roman" w:hAnsi="Times New Roman" w:eastAsia="仿宋_GB2312" w:cs="Times New Roman"/>
          <w:sz w:val="32"/>
          <w:szCs w:val="32"/>
          <w:lang w:val="en-US" w:eastAsia="zh-CN"/>
        </w:rPr>
        <w:t>欠薪</w:t>
      </w:r>
      <w:r>
        <w:rPr>
          <w:rFonts w:hint="default" w:ascii="Times New Roman" w:hAnsi="Times New Roman" w:eastAsia="仿宋_GB2312" w:cs="Times New Roman"/>
          <w:sz w:val="32"/>
          <w:szCs w:val="32"/>
          <w:lang w:val="en-US" w:eastAsia="zh-CN"/>
        </w:rPr>
        <w:t>投诉</w:t>
      </w:r>
      <w:r>
        <w:rPr>
          <w:rFonts w:hint="eastAsia" w:ascii="Times New Roman" w:hAnsi="Times New Roman" w:eastAsia="仿宋_GB2312" w:cs="Times New Roman"/>
          <w:sz w:val="32"/>
          <w:szCs w:val="32"/>
          <w:lang w:val="en-US" w:eastAsia="zh-CN"/>
        </w:rPr>
        <w:t>举报2430</w:t>
      </w:r>
      <w:r>
        <w:rPr>
          <w:rFonts w:hint="default" w:ascii="Times New Roman" w:hAnsi="Times New Roman" w:eastAsia="仿宋_GB2312" w:cs="Times New Roman"/>
          <w:sz w:val="32"/>
          <w:szCs w:val="32"/>
          <w:lang w:val="en-US" w:eastAsia="zh-CN"/>
        </w:rPr>
        <w:t>件，为1327名劳动者追回劳动报酬411.62万元，不断提升行政执法规范化水平。</w:t>
      </w:r>
      <w:r>
        <w:rPr>
          <w:rFonts w:hint="eastAsia" w:eastAsia="仿宋_GB2312" w:cs="Times New Roman"/>
          <w:b/>
          <w:bCs/>
          <w:sz w:val="32"/>
          <w:szCs w:val="32"/>
          <w:lang w:val="en-US" w:eastAsia="zh-CN"/>
        </w:rPr>
        <w:t>四是</w:t>
      </w:r>
      <w:r>
        <w:rPr>
          <w:rFonts w:hint="default" w:ascii="Times New Roman" w:hAnsi="Times New Roman" w:eastAsia="仿宋_GB2312" w:cs="Times New Roman"/>
          <w:b/>
          <w:bCs/>
          <w:sz w:val="32"/>
          <w:szCs w:val="32"/>
          <w:lang w:val="en-US" w:eastAsia="zh-CN"/>
        </w:rPr>
        <w:t>扎实推进调解仲裁工作。</w:t>
      </w:r>
      <w:r>
        <w:rPr>
          <w:rFonts w:hint="default" w:ascii="Times New Roman" w:hAnsi="Times New Roman" w:eastAsia="仿宋_GB2312" w:cs="Times New Roman"/>
          <w:sz w:val="32"/>
          <w:szCs w:val="32"/>
          <w:lang w:val="en-US" w:eastAsia="zh-CN"/>
        </w:rPr>
        <w:t>以提升办案质效为中心，建立潢川县拖欠农民工工资争议速裁庭，快速妥善处理拖欠农民工工资争议案件；成功选树春申街道办事处和付店镇劳动争议调解中心为省级金牌调解组织。受理劳动仲裁案件1</w:t>
      </w:r>
      <w:r>
        <w:rPr>
          <w:rFonts w:hint="eastAsia"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件，</w:t>
      </w:r>
      <w:r>
        <w:rPr>
          <w:rFonts w:hint="eastAsia" w:ascii="Times New Roman" w:hAnsi="Times New Roman" w:eastAsia="仿宋_GB2312" w:cs="Times New Roman"/>
          <w:color w:val="000000"/>
          <w:kern w:val="2"/>
          <w:sz w:val="32"/>
          <w:szCs w:val="32"/>
          <w:lang w:val="en-US" w:eastAsia="zh-CN" w:bidi="ar"/>
        </w:rPr>
        <w:t>主要涉及经济补偿、劳动关系确认、工伤保险待遇、未签劳动合同等劳动争议案件，</w:t>
      </w:r>
      <w:r>
        <w:rPr>
          <w:rFonts w:hint="default" w:ascii="Times New Roman" w:hAnsi="Times New Roman" w:eastAsia="仿宋_GB2312" w:cs="Times New Roman"/>
          <w:sz w:val="32"/>
          <w:szCs w:val="32"/>
          <w:lang w:val="en-US" w:eastAsia="zh-CN"/>
        </w:rPr>
        <w:t>法定时效内结案率100%。</w:t>
      </w:r>
      <w:r>
        <w:rPr>
          <w:rFonts w:hint="eastAsia" w:eastAsia="仿宋_GB2312" w:cs="Times New Roman"/>
          <w:b/>
          <w:bCs/>
          <w:sz w:val="32"/>
          <w:szCs w:val="32"/>
          <w:lang w:val="en-US" w:eastAsia="zh-CN"/>
        </w:rPr>
        <w:t>五是</w:t>
      </w:r>
      <w:r>
        <w:rPr>
          <w:rFonts w:hint="default" w:ascii="Times New Roman" w:hAnsi="Times New Roman" w:eastAsia="仿宋_GB2312" w:cs="Times New Roman"/>
          <w:b/>
          <w:bCs/>
          <w:sz w:val="32"/>
          <w:szCs w:val="32"/>
          <w:lang w:val="en-US" w:eastAsia="zh-CN"/>
        </w:rPr>
        <w:t>创新普法宣传形式。</w:t>
      </w:r>
      <w:r>
        <w:rPr>
          <w:rFonts w:hint="default" w:ascii="Times New Roman" w:hAnsi="Times New Roman" w:eastAsia="仿宋_GB2312" w:cs="Times New Roman"/>
          <w:sz w:val="32"/>
          <w:szCs w:val="32"/>
          <w:lang w:val="en-US" w:eastAsia="zh-CN"/>
        </w:rPr>
        <w:t>落实“谁执法谁普法”责任制，年初制定普法计划，利用“国家宪法日”等重要时间节点、举办大型招聘会等时机，深入开展《社会保险法》、《中华人民共和国劳动法》、《劳动合同法》、《工伤保险条例》、《就业促进法》、《保障农民工工资支付条例》等法律法规宣传教育，营造浓厚的法治建设氛围。</w:t>
      </w:r>
    </w:p>
    <w:p w14:paraId="04083EA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val="0"/>
          <w:color w:val="auto"/>
          <w:kern w:val="2"/>
          <w:sz w:val="32"/>
          <w:szCs w:val="32"/>
          <w:highlight w:val="none"/>
          <w:lang w:val="en-US" w:eastAsia="zh-CN" w:bidi="ar-SA"/>
        </w:rPr>
        <w:t>（三）严格规范行政执法行为</w:t>
      </w:r>
      <w:r>
        <w:rPr>
          <w:rFonts w:hint="eastAsia" w:eastAsia="楷体"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sz w:val="32"/>
          <w:szCs w:val="32"/>
          <w:lang w:val="en-US" w:eastAsia="zh-CN"/>
        </w:rPr>
        <w:t>一是执行民主集中制。</w:t>
      </w:r>
      <w:r>
        <w:rPr>
          <w:rFonts w:hint="default" w:ascii="Times New Roman" w:hAnsi="Times New Roman" w:eastAsia="仿宋_GB2312" w:cs="Times New Roman"/>
          <w:sz w:val="32"/>
          <w:szCs w:val="32"/>
          <w:lang w:val="en-US" w:eastAsia="zh-CN"/>
        </w:rPr>
        <w:t>严格贯彻落实“三重一大”议事决策制度、领导班子议事规则、集体决策等相关规章制度，凡涉及“三重一大”事项都召开班子会议研究决定。</w:t>
      </w:r>
      <w:r>
        <w:rPr>
          <w:rFonts w:hint="default" w:ascii="Times New Roman" w:hAnsi="Times New Roman" w:eastAsia="仿宋_GB2312" w:cs="Times New Roman"/>
          <w:b/>
          <w:bCs/>
          <w:sz w:val="32"/>
          <w:szCs w:val="32"/>
          <w:lang w:val="en-US" w:eastAsia="zh-CN"/>
        </w:rPr>
        <w:t>二是落实权责清单制度。</w:t>
      </w:r>
      <w:r>
        <w:rPr>
          <w:rFonts w:hint="default" w:ascii="Times New Roman" w:hAnsi="Times New Roman" w:eastAsia="仿宋_GB2312" w:cs="Times New Roman"/>
          <w:sz w:val="32"/>
          <w:szCs w:val="32"/>
          <w:lang w:val="en-US" w:eastAsia="zh-CN"/>
        </w:rPr>
        <w:t>认真梳理我局的权责清单，落实《行政执法公示制度》、《行政执法全过程记录制度》、《重大决定法制审核制度》“三项”制度，积极推行执法人员持证上岗、持证执法。2024年我局执法人员</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人，持证执法率达100%。</w:t>
      </w:r>
      <w:r>
        <w:rPr>
          <w:rFonts w:hint="default" w:ascii="Times New Roman" w:hAnsi="Times New Roman" w:eastAsia="仿宋_GB2312" w:cs="Times New Roman"/>
          <w:b/>
          <w:bCs/>
          <w:sz w:val="32"/>
          <w:szCs w:val="32"/>
          <w:lang w:val="en-US" w:eastAsia="zh-CN"/>
        </w:rPr>
        <w:t>三是重视行政应诉工作。</w:t>
      </w:r>
      <w:r>
        <w:rPr>
          <w:rFonts w:hint="default" w:ascii="Times New Roman" w:hAnsi="Times New Roman" w:eastAsia="仿宋_GB2312" w:cs="Times New Roman"/>
          <w:sz w:val="32"/>
          <w:szCs w:val="32"/>
          <w:lang w:val="en-US" w:eastAsia="zh-CN"/>
        </w:rPr>
        <w:t>积极配合有关审判活动，努力提高行政机关负责人出庭应诉率，维护法律的权威性和政策的严肃性。</w:t>
      </w:r>
    </w:p>
    <w:p w14:paraId="1DB1C6CC">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lang w:val="en-US" w:eastAsia="zh-CN"/>
        </w:rPr>
        <w:t>2024年</w:t>
      </w:r>
      <w:r>
        <w:rPr>
          <w:rFonts w:hint="default" w:ascii="Times New Roman" w:hAnsi="Times New Roman" w:eastAsia="黑体" w:cs="Times New Roman"/>
          <w:sz w:val="32"/>
          <w:szCs w:val="32"/>
        </w:rPr>
        <w:t>推进法治政府建设存在的不足、原因和问题整改情况</w:t>
      </w:r>
    </w:p>
    <w:p w14:paraId="1576799D">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2024年以来，我局在推进法治政府建设工作中虽然取得一定成效，但受日常工作业务量大、劳资纠纷复杂化及群众维权多元化等因素影响，还存在一些不足：一是学法氛围需要进一步提升，对习近平法治思想的学习不够系统、不够深入。二是由于就业创业、劳动关系、社会保险等政策性强，相对复杂，相关人员的依法行政水平和业务水平与之相比有待进一步提高，尤其是在相关知识的系统培训上还需要进一步加强。三是随着群众法治意识和维权意识不断提高，涉及劳动保障领域的案件逐年增多，案件的复杂性和处理难度也不断增加，对人社部门的应对处理能力提出了更高的要求。</w:t>
      </w:r>
    </w:p>
    <w:p w14:paraId="5C1F39E6">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lang w:val="en-US" w:eastAsia="zh-CN"/>
        </w:rPr>
        <w:t>2025年</w:t>
      </w:r>
      <w:r>
        <w:rPr>
          <w:rFonts w:hint="default" w:ascii="Times New Roman" w:hAnsi="Times New Roman" w:eastAsia="黑体" w:cs="Times New Roman"/>
          <w:sz w:val="32"/>
          <w:szCs w:val="32"/>
        </w:rPr>
        <w:t>推进法治政府建设的初步安排</w:t>
      </w:r>
    </w:p>
    <w:p w14:paraId="7A11F47B">
      <w:pPr>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（一）深入学习宣传习近平法治思想。</w:t>
      </w:r>
      <w:r>
        <w:rPr>
          <w:rFonts w:hint="default" w:ascii="Times New Roman" w:hAnsi="Times New Roman" w:eastAsia="仿宋_GB2312" w:cs="Times New Roman"/>
          <w:sz w:val="32"/>
          <w:szCs w:val="32"/>
          <w:lang w:val="en-US" w:eastAsia="zh-CN"/>
        </w:rPr>
        <w:t>坚持以营造尊法学法守法用法良好社会氛围为普法实践重心，认真学习贯彻习近平法治思想，学懂弄通做实党的二十大和二十届三中全会精神，集中开展党章、准则、条例等党内法规的学习宣传活动，推动实现党内法规宣传的常态化、制度化，教育引导人社党员干部做党章党规党纪和国家法律的自觉尊崇者、模范遵守者、坚定捍卫者，为人社事业改革发展提供坚强保障。</w:t>
      </w:r>
    </w:p>
    <w:p w14:paraId="2CF86556">
      <w:pPr>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（二）扎实推进依法行政。</w:t>
      </w:r>
      <w:r>
        <w:rPr>
          <w:rFonts w:hint="default" w:ascii="Times New Roman" w:hAnsi="Times New Roman" w:eastAsia="仿宋_GB2312" w:cs="Times New Roman"/>
          <w:sz w:val="32"/>
          <w:szCs w:val="32"/>
          <w:lang w:val="en-US" w:eastAsia="zh-CN"/>
        </w:rPr>
        <w:t>全面推进严格规范公正文明执法，加大关系群众切身利益的重点领域执法力度，完善行政执法程序，加大执法人员业务培训力度，教育引导党员干部增强法治观念、法治为民意识，提高依</w:t>
      </w:r>
      <w:bookmarkStart w:id="0" w:name="_GoBack"/>
      <w:bookmarkEnd w:id="0"/>
      <w:r>
        <w:rPr>
          <w:rFonts w:hint="default" w:ascii="Times New Roman" w:hAnsi="Times New Roman" w:eastAsia="仿宋_GB2312" w:cs="Times New Roman"/>
          <w:sz w:val="32"/>
          <w:szCs w:val="32"/>
          <w:lang w:val="en-US" w:eastAsia="zh-CN"/>
        </w:rPr>
        <w:t>法办事能力，自觉运用法治思维和法治方式推进县委政府工作，提升县委政府公信力，保障经济社会发展各项工作在法治化轨道上运行。</w:t>
      </w:r>
    </w:p>
    <w:p w14:paraId="23950ABD">
      <w:pPr>
        <w:spacing w:line="560" w:lineRule="exact"/>
        <w:ind w:firstLine="643" w:firstLineChars="200"/>
        <w:rPr>
          <w:rFonts w:hint="default" w:ascii="Times New Roman" w:hAnsi="Times New Roman" w:eastAsia="黑体" w:cs="Times New Roman"/>
          <w:sz w:val="32"/>
          <w:szCs w:val="32"/>
          <w:lang w:eastAsia="zh-CN"/>
        </w:rPr>
      </w:pPr>
      <w:r>
        <w:rPr>
          <w:rFonts w:hint="eastAsia" w:ascii="楷体" w:hAnsi="楷体" w:eastAsia="楷体" w:cs="楷体"/>
          <w:b/>
          <w:bCs/>
          <w:sz w:val="32"/>
          <w:szCs w:val="32"/>
          <w:lang w:val="en-US" w:eastAsia="zh-CN"/>
        </w:rPr>
        <w:t>（三）积极推进普法宣传教育。</w:t>
      </w:r>
      <w:r>
        <w:rPr>
          <w:rFonts w:hint="default" w:ascii="Times New Roman" w:hAnsi="Times New Roman" w:eastAsia="仿宋_GB2312" w:cs="Times New Roman"/>
          <w:sz w:val="32"/>
          <w:szCs w:val="32"/>
          <w:lang w:val="en-US" w:eastAsia="zh-CN"/>
        </w:rPr>
        <w:t>结合单位实际积极开展形式多样的宣传活动，有力扩大《社会保险法》、《中华人民共和国劳动法》、《劳动合同法》、《保障农民工工资支付条例》等劳动保障法律法规普及率和知晓率，实现常态化普法，切实增强企业依法经营、劳动者学法懂法、依法维权意识及能力，构建和谐劳动关系。</w:t>
      </w:r>
    </w:p>
    <w:p w14:paraId="5CACFE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88F77"/>
    <w:multiLevelType w:val="singleLevel"/>
    <w:tmpl w:val="51A88F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446FE"/>
    <w:rsid w:val="2724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2025-03-25T08:24:00Z</dcterms:created>
  <dc:creator>银华</dc:creator>
  <cp:lastModifiedBy>银华</cp:lastModifiedBy>
  <dcterms:modified xsi:type="dcterms:W3CDTF">2025-03-25T08:27:36Z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2AADE45B3F3741A0B9730BB757BF4789_11</vt:lpwstr>
  </property>
  <property fmtid="{D5CDD505-2E9C-101B-9397-08002B2CF9AE}" pid="4" name="KSOTemplateDocerSaveRecord">
    <vt:lpwstr>eyJoZGlkIjoiNzAwNWVlOWNmNWEzMmI0ZWMxMTIzNTQzMjk4NTUzMjEiLCJ1c2VySWQiOiI2NTU0NTYyMTUifQ==</vt:lpwstr>
  </property>
</Properties>
</file>