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A40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000000" w:themeColor="text1"/>
          <w:spacing w:val="0"/>
          <w:sz w:val="44"/>
          <w:szCs w:val="44"/>
          <w:shd w:val="clear" w:color="auto"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44"/>
          <w:szCs w:val="44"/>
          <w:shd w:val="clear" w:color="auto" w:fill="FFFFFF"/>
          <w:lang w:eastAsia="zh-CN"/>
          <w14:textFill>
            <w14:solidFill>
              <w14:schemeClr w14:val="tx1"/>
            </w14:solidFill>
          </w14:textFill>
        </w:rPr>
        <w:t>潢川县</w:t>
      </w:r>
      <w:r>
        <w:rPr>
          <w:rFonts w:hint="eastAsia" w:ascii="黑体" w:hAnsi="黑体" w:eastAsia="黑体" w:cs="黑体"/>
          <w:b w:val="0"/>
          <w:bCs w:val="0"/>
          <w:i w:val="0"/>
          <w:iCs w:val="0"/>
          <w:caps w:val="0"/>
          <w:color w:val="000000" w:themeColor="text1"/>
          <w:spacing w:val="0"/>
          <w:sz w:val="44"/>
          <w:szCs w:val="44"/>
          <w:shd w:val="clear" w:color="auto" w:fill="FFFFFF"/>
          <w14:textFill>
            <w14:solidFill>
              <w14:schemeClr w14:val="tx1"/>
            </w14:solidFill>
          </w14:textFill>
        </w:rPr>
        <w:t>市场监督管理局</w:t>
      </w:r>
    </w:p>
    <w:p w14:paraId="14995F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color w:val="000000" w:themeColor="text1"/>
          <w:sz w:val="44"/>
          <w:szCs w:val="44"/>
          <w14:textFill>
            <w14:solidFill>
              <w14:schemeClr w14:val="tx1"/>
            </w14:solidFill>
          </w14:textFill>
        </w:rPr>
      </w:pPr>
      <w:r>
        <w:rPr>
          <w:rFonts w:hint="eastAsia" w:ascii="黑体" w:hAnsi="黑体" w:eastAsia="黑体" w:cs="黑体"/>
          <w:b w:val="0"/>
          <w:bCs w:val="0"/>
          <w:i w:val="0"/>
          <w:iCs w:val="0"/>
          <w:caps w:val="0"/>
          <w:color w:val="000000" w:themeColor="text1"/>
          <w:spacing w:val="0"/>
          <w:sz w:val="44"/>
          <w:szCs w:val="44"/>
          <w:shd w:val="clear" w:color="auto" w:fill="FFFFFF"/>
          <w14:textFill>
            <w14:solidFill>
              <w14:schemeClr w14:val="tx1"/>
            </w14:solidFill>
          </w14:textFill>
        </w:rPr>
        <w:t>202</w:t>
      </w:r>
      <w:r>
        <w:rPr>
          <w:rFonts w:hint="eastAsia" w:ascii="黑体" w:hAnsi="黑体" w:eastAsia="黑体" w:cs="黑体"/>
          <w:b w:val="0"/>
          <w:bCs w:val="0"/>
          <w:i w:val="0"/>
          <w:iCs w:val="0"/>
          <w:caps w:val="0"/>
          <w:color w:val="000000" w:themeColor="text1"/>
          <w:spacing w:val="0"/>
          <w:sz w:val="44"/>
          <w:szCs w:val="44"/>
          <w:shd w:val="clear" w:color="auto" w:fill="FFFFFF"/>
          <w:lang w:val="en-US" w:eastAsia="zh-CN"/>
          <w14:textFill>
            <w14:solidFill>
              <w14:schemeClr w14:val="tx1"/>
            </w14:solidFill>
          </w14:textFill>
        </w:rPr>
        <w:t>4</w:t>
      </w:r>
      <w:r>
        <w:rPr>
          <w:rFonts w:hint="eastAsia" w:ascii="黑体" w:hAnsi="黑体" w:eastAsia="黑体" w:cs="黑体"/>
          <w:b w:val="0"/>
          <w:bCs w:val="0"/>
          <w:i w:val="0"/>
          <w:iCs w:val="0"/>
          <w:caps w:val="0"/>
          <w:color w:val="000000" w:themeColor="text1"/>
          <w:spacing w:val="0"/>
          <w:sz w:val="44"/>
          <w:szCs w:val="44"/>
          <w:shd w:val="clear" w:color="auto" w:fill="FFFFFF"/>
          <w14:textFill>
            <w14:solidFill>
              <w14:schemeClr w14:val="tx1"/>
            </w14:solidFill>
          </w14:textFill>
        </w:rPr>
        <w:t>年法治政府建设</w:t>
      </w:r>
      <w:r>
        <w:rPr>
          <w:rFonts w:hint="eastAsia" w:ascii="黑体" w:hAnsi="黑体" w:eastAsia="黑体" w:cs="黑体"/>
          <w:b w:val="0"/>
          <w:bCs w:val="0"/>
          <w:i w:val="0"/>
          <w:iCs w:val="0"/>
          <w:caps w:val="0"/>
          <w:color w:val="000000" w:themeColor="text1"/>
          <w:spacing w:val="0"/>
          <w:sz w:val="44"/>
          <w:szCs w:val="44"/>
          <w:shd w:val="clear" w:color="auto" w:fill="FFFFFF"/>
          <w:lang w:eastAsia="zh-CN"/>
          <w14:textFill>
            <w14:solidFill>
              <w14:schemeClr w14:val="tx1"/>
            </w14:solidFill>
          </w14:textFill>
        </w:rPr>
        <w:t>工作</w:t>
      </w:r>
      <w:r>
        <w:rPr>
          <w:rFonts w:hint="eastAsia" w:ascii="黑体" w:hAnsi="黑体" w:eastAsia="黑体" w:cs="黑体"/>
          <w:b w:val="0"/>
          <w:bCs w:val="0"/>
          <w:i w:val="0"/>
          <w:iCs w:val="0"/>
          <w:caps w:val="0"/>
          <w:color w:val="000000" w:themeColor="text1"/>
          <w:spacing w:val="0"/>
          <w:sz w:val="44"/>
          <w:szCs w:val="44"/>
          <w:shd w:val="clear" w:color="auto" w:fill="FFFFFF"/>
          <w14:textFill>
            <w14:solidFill>
              <w14:schemeClr w14:val="tx1"/>
            </w14:solidFill>
          </w14:textFill>
        </w:rPr>
        <w:t>报告</w:t>
      </w:r>
    </w:p>
    <w:p w14:paraId="6610F5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val="0"/>
          <w:bCs w:val="0"/>
          <w:i w:val="0"/>
          <w:iCs w:val="0"/>
          <w:caps w:val="0"/>
          <w:color w:val="000000"/>
          <w:spacing w:val="0"/>
          <w:sz w:val="32"/>
          <w:szCs w:val="32"/>
          <w:shd w:val="clear" w:color="auto" w:fill="FFFFFF"/>
        </w:rPr>
        <w:t>202</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color="auto" w:fill="FFFFFF"/>
        </w:rPr>
        <w:t>年，在县委全面依法治县委员会的</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全面</w:t>
      </w:r>
      <w:r>
        <w:rPr>
          <w:rFonts w:hint="eastAsia" w:ascii="仿宋_GB2312" w:hAnsi="仿宋_GB2312" w:eastAsia="仿宋_GB2312" w:cs="仿宋_GB2312"/>
          <w:b w:val="0"/>
          <w:bCs w:val="0"/>
          <w:i w:val="0"/>
          <w:iCs w:val="0"/>
          <w:caps w:val="0"/>
          <w:color w:val="000000"/>
          <w:spacing w:val="0"/>
          <w:sz w:val="32"/>
          <w:szCs w:val="32"/>
          <w:shd w:val="clear" w:color="auto" w:fill="FFFFFF"/>
        </w:rPr>
        <w:t>指导下，</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潢川</w:t>
      </w:r>
      <w:r>
        <w:rPr>
          <w:rFonts w:hint="eastAsia" w:ascii="仿宋_GB2312" w:hAnsi="仿宋_GB2312" w:eastAsia="仿宋_GB2312" w:cs="仿宋_GB2312"/>
          <w:b w:val="0"/>
          <w:bCs w:val="0"/>
          <w:i w:val="0"/>
          <w:iCs w:val="0"/>
          <w:caps w:val="0"/>
          <w:color w:val="000000"/>
          <w:spacing w:val="0"/>
          <w:sz w:val="32"/>
          <w:szCs w:val="32"/>
          <w:shd w:val="clear" w:color="auto" w:fill="FFFFFF"/>
        </w:rPr>
        <w:t>县市场监管局始终以习近平新时代中国特色社会主义思想为指导，深入学习宣传贯彻党的二十</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届三中全会</w:t>
      </w:r>
      <w:r>
        <w:rPr>
          <w:rFonts w:hint="eastAsia" w:ascii="仿宋_GB2312" w:hAnsi="仿宋_GB2312" w:eastAsia="仿宋_GB2312" w:cs="仿宋_GB2312"/>
          <w:b w:val="0"/>
          <w:bCs w:val="0"/>
          <w:i w:val="0"/>
          <w:iCs w:val="0"/>
          <w:caps w:val="0"/>
          <w:color w:val="000000"/>
          <w:spacing w:val="0"/>
          <w:sz w:val="32"/>
          <w:szCs w:val="32"/>
          <w:shd w:val="clear" w:color="auto" w:fill="FFFFFF"/>
        </w:rPr>
        <w:t>精神，全面落实法治政府建设工作</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依法行政持续规范，执法办案有温度，法治宣传氛围浓厚，执法能力建设和执法规范化水平不断提升，法治政府建设全面深化。现将</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潢川县</w:t>
      </w:r>
      <w:r>
        <w:rPr>
          <w:rFonts w:hint="eastAsia" w:ascii="仿宋_GB2312" w:hAnsi="仿宋_GB2312" w:eastAsia="仿宋_GB2312" w:cs="仿宋_GB2312"/>
          <w:b w:val="0"/>
          <w:bCs w:val="0"/>
          <w:i w:val="0"/>
          <w:iCs w:val="0"/>
          <w:caps w:val="0"/>
          <w:color w:val="000000"/>
          <w:spacing w:val="0"/>
          <w:sz w:val="32"/>
          <w:szCs w:val="32"/>
          <w:shd w:val="clear" w:color="auto" w:fill="FFFFFF"/>
        </w:rPr>
        <w:t>市场监管局202</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color="auto" w:fill="FFFFFF"/>
        </w:rPr>
        <w:t>年度法治政府建设情况报告如下。</w:t>
      </w:r>
    </w:p>
    <w:p w14:paraId="230731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年度党政主要负责人履行推进法治建设第一责任人职责、加强法治政府建设的有关情况</w:t>
      </w:r>
    </w:p>
    <w:p w14:paraId="1B9D11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rPr>
        <w:t>在推进法治政府建设的进程中，</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我局</w:t>
      </w:r>
      <w:r>
        <w:rPr>
          <w:rFonts w:hint="eastAsia" w:ascii="仿宋_GB2312" w:hAnsi="仿宋_GB2312" w:eastAsia="仿宋_GB2312" w:cs="仿宋_GB2312"/>
          <w:b w:val="0"/>
          <w:bCs w:val="0"/>
          <w:i w:val="0"/>
          <w:iCs w:val="0"/>
          <w:caps w:val="0"/>
          <w:color w:val="000000"/>
          <w:spacing w:val="0"/>
          <w:sz w:val="32"/>
          <w:szCs w:val="32"/>
          <w:shd w:val="clear" w:color="auto" w:fill="FFFFFF"/>
        </w:rPr>
        <w:t>党政主要负责人肩负着重大责任，积极发挥关键引领作用</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rPr>
        <w:t>我局主要负责人始终坚定法治信仰，自觉用法治思维谋划工作，以法治方式处理问题，严格落实《党政主要负责人履行推进法治建设第一责任人职责规定》，严格履行法治政府建设重要组织者、推动者和实践者的职责，将法治政府建设纳入年度工作计划，坚持把法治政府建设摆在全局工作的重要位置，不断加大工作推进力度，对法治政府建设重要工作亲自部署、重大问题亲自过问、重点环节亲自协调、重要任务亲自督办，坚持重要法治工作集体决策、集体研究，带头深入学习习近平法治思想，组织学习相关法律法规规章，自觉做尊法学法守法用法的模范同时，积极督促领导班子其他成员、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室和直属单位负责人履行依法行政职责，形成了主要领导负总责、分管领导具体抓、各部门共同参与的良好工作格局，较好地完成了法治政府建设各项工作任务</w:t>
      </w:r>
      <w:r>
        <w:rPr>
          <w:rFonts w:hint="eastAsia" w:ascii="仿宋_GB2312" w:hAnsi="仿宋_GB2312" w:eastAsia="仿宋_GB2312" w:cs="仿宋_GB2312"/>
          <w:sz w:val="32"/>
          <w:szCs w:val="32"/>
          <w:lang w:eastAsia="zh-CN"/>
        </w:rPr>
        <w:t>：</w:t>
      </w:r>
    </w:p>
    <w:p w14:paraId="71FFF4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eastAsia="zh-CN"/>
        </w:rPr>
        <w:t>（一）</w:t>
      </w:r>
      <w:r>
        <w:rPr>
          <w:rFonts w:hint="eastAsia" w:ascii="楷体" w:hAnsi="楷体" w:eastAsia="楷体" w:cs="楷体"/>
          <w:b/>
          <w:bCs/>
          <w:i w:val="0"/>
          <w:iCs w:val="0"/>
          <w:caps w:val="0"/>
          <w:color w:val="000000"/>
          <w:spacing w:val="0"/>
          <w:sz w:val="32"/>
          <w:szCs w:val="32"/>
          <w:shd w:val="clear" w:color="auto" w:fill="FFFFFF"/>
        </w:rPr>
        <w:t>加强组织领导</w:t>
      </w: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成立法治建设领导小组，亲自担任组长，统筹协调各部门推进法治建设各项任务</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将法治政府建设纳入重要议事日程，定期召开专题会议研究部署法治建设工作，明确目标任务和具体措施。</w:t>
      </w:r>
    </w:p>
    <w:p w14:paraId="6C9AA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楷体" w:hAnsi="楷体" w:eastAsia="楷体" w:cs="楷体"/>
          <w:b/>
          <w:bCs/>
          <w:i w:val="0"/>
          <w:iCs w:val="0"/>
          <w:caps w:val="0"/>
          <w:color w:val="000000"/>
          <w:spacing w:val="0"/>
          <w:sz w:val="32"/>
          <w:szCs w:val="32"/>
          <w:shd w:val="clear" w:color="auto" w:fill="FFFFFF"/>
        </w:rPr>
        <w:t>二</w:t>
      </w: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楷体" w:hAnsi="楷体" w:eastAsia="楷体" w:cs="楷体"/>
          <w:b/>
          <w:bCs/>
          <w:i w:val="0"/>
          <w:iCs w:val="0"/>
          <w:caps w:val="0"/>
          <w:color w:val="000000"/>
          <w:spacing w:val="0"/>
          <w:sz w:val="32"/>
          <w:szCs w:val="32"/>
          <w:shd w:val="clear" w:color="auto" w:fill="FFFFFF"/>
        </w:rPr>
        <w:t>带头学法用法</w:t>
      </w: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积极参加各类法治培训和学习活动，带头学习宪法、法律法规和市场监管相关政策，不断提升自身法治素养 组织开展领导干部学法活动，带动全体干部职工学法用法，营造良好的法治氛围。</w:t>
      </w:r>
    </w:p>
    <w:p w14:paraId="2E1DA4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楷体" w:hAnsi="楷体" w:eastAsia="楷体" w:cs="楷体"/>
          <w:b/>
          <w:bCs/>
          <w:i w:val="0"/>
          <w:iCs w:val="0"/>
          <w:caps w:val="0"/>
          <w:color w:val="000000"/>
          <w:spacing w:val="0"/>
          <w:sz w:val="32"/>
          <w:szCs w:val="32"/>
          <w:shd w:val="clear" w:color="auto" w:fill="FFFFFF"/>
        </w:rPr>
        <w:t>三</w:t>
      </w: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楷体" w:hAnsi="楷体" w:eastAsia="楷体" w:cs="楷体"/>
          <w:b/>
          <w:bCs/>
          <w:i w:val="0"/>
          <w:iCs w:val="0"/>
          <w:caps w:val="0"/>
          <w:color w:val="000000"/>
          <w:spacing w:val="0"/>
          <w:sz w:val="32"/>
          <w:szCs w:val="32"/>
          <w:shd w:val="clear" w:color="auto" w:fill="FFFFFF"/>
        </w:rPr>
        <w:t>严格依法决策</w:t>
      </w:r>
      <w:r>
        <w:rPr>
          <w:rFonts w:hint="eastAsia" w:ascii="楷体" w:hAnsi="楷体" w:eastAsia="楷体" w:cs="楷体"/>
          <w:b/>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建立健全重大行政决策合法性审查机制，对重大决策事项进行严格的法律审核，确保决策合法合规。</w:t>
      </w:r>
    </w:p>
    <w:p w14:paraId="7B1EB3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 xml:space="preserve"> </w:t>
      </w:r>
      <w:r>
        <w:rPr>
          <w:rFonts w:hint="eastAsia" w:ascii="黑体" w:hAnsi="黑体" w:eastAsia="黑体" w:cs="黑体"/>
          <w:b w:val="0"/>
          <w:bCs w:val="0"/>
          <w:i w:val="0"/>
          <w:iCs w:val="0"/>
          <w:caps w:val="0"/>
          <w:color w:val="000000"/>
          <w:spacing w:val="0"/>
          <w:sz w:val="32"/>
          <w:szCs w:val="32"/>
          <w:shd w:val="clear" w:color="auto" w:fill="FFFFFF"/>
          <w:lang w:val="en-US" w:eastAsia="zh-CN"/>
        </w:rPr>
        <w:t xml:space="preserve">  二、2024年推进法治建设的主要举措和成效</w:t>
      </w:r>
    </w:p>
    <w:p w14:paraId="4835DF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楷体" w:hAnsi="楷体" w:eastAsia="楷体" w:cs="楷体"/>
          <w:b/>
          <w:bCs/>
          <w:i w:val="0"/>
          <w:iCs w:val="0"/>
          <w:caps w:val="0"/>
          <w:color w:val="000000"/>
          <w:spacing w:val="0"/>
          <w:sz w:val="32"/>
          <w:szCs w:val="32"/>
          <w:shd w:val="clear" w:color="auto" w:fill="FFFFFF"/>
          <w:lang w:eastAsia="zh-CN"/>
        </w:rPr>
      </w:pPr>
      <w:r>
        <w:rPr>
          <w:rFonts w:hint="eastAsia" w:ascii="楷体" w:hAnsi="楷体" w:eastAsia="楷体" w:cs="楷体"/>
          <w:b/>
          <w:bCs/>
          <w:i w:val="0"/>
          <w:iCs w:val="0"/>
          <w:caps w:val="0"/>
          <w:color w:val="000000"/>
          <w:spacing w:val="0"/>
          <w:sz w:val="32"/>
          <w:szCs w:val="32"/>
          <w:shd w:val="clear" w:color="auto" w:fill="FFFFFF"/>
          <w:lang w:eastAsia="zh-CN"/>
        </w:rPr>
        <w:t>（一）</w:t>
      </w:r>
      <w:r>
        <w:rPr>
          <w:rFonts w:hint="eastAsia" w:ascii="楷体" w:hAnsi="楷体" w:eastAsia="楷体" w:cs="楷体"/>
          <w:b/>
          <w:bCs/>
          <w:i w:val="0"/>
          <w:iCs w:val="0"/>
          <w:caps w:val="0"/>
          <w:color w:val="000000"/>
          <w:spacing w:val="0"/>
          <w:sz w:val="32"/>
          <w:szCs w:val="32"/>
          <w:shd w:val="clear" w:color="auto" w:fill="FFFFFF"/>
        </w:rPr>
        <w:t>贯彻习近平法治思想</w:t>
      </w:r>
      <w:r>
        <w:rPr>
          <w:rFonts w:hint="eastAsia" w:ascii="楷体" w:hAnsi="楷体" w:eastAsia="楷体" w:cs="楷体"/>
          <w:b/>
          <w:bCs/>
          <w:i w:val="0"/>
          <w:iCs w:val="0"/>
          <w:caps w:val="0"/>
          <w:color w:val="000000"/>
          <w:spacing w:val="0"/>
          <w:sz w:val="32"/>
          <w:szCs w:val="32"/>
          <w:shd w:val="clear" w:color="auto" w:fill="FFFFFF"/>
          <w:lang w:eastAsia="zh-CN"/>
        </w:rPr>
        <w:t>，强化党纪学习教育</w:t>
      </w:r>
    </w:p>
    <w:p w14:paraId="719F2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b/>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bCs/>
          <w:i w:val="0"/>
          <w:iCs w:val="0"/>
          <w:caps w:val="0"/>
          <w:color w:val="000000"/>
          <w:spacing w:val="0"/>
          <w:sz w:val="32"/>
          <w:szCs w:val="32"/>
          <w:shd w:val="clear" w:color="auto" w:fill="FFFFFF"/>
        </w:rPr>
        <w:t>学习贯彻习近平法治思想</w:t>
      </w:r>
      <w:r>
        <w:rPr>
          <w:rFonts w:hint="eastAsia" w:ascii="仿宋_GB2312" w:hAnsi="仿宋_GB2312" w:eastAsia="仿宋_GB2312" w:cs="仿宋_GB2312"/>
          <w:b/>
          <w:bCs/>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我局将“一规划两纲要”作为重要政治任务纳入党组会议、党组理论学习中心组等会议开展专题学习，发挥领导以上率下，带头学习的良好氛围</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全面贯彻习近平法治思想，深刻领悟“ 两个确立” 的决定性意义，增强“四个意识”，坚定“四个自信”，做到“两个维护”，紧紧围绕建设中国特色社会主义法治体系、 建设社会主义法治国家的总目标，坚持党的领导，在围绕中心、服务大局中忠诚履职</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通过开展习近平法治思想</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及</w:t>
      </w:r>
      <w:r>
        <w:rPr>
          <w:rFonts w:hint="eastAsia" w:ascii="仿宋_GB2312" w:hAnsi="仿宋_GB2312" w:eastAsia="仿宋_GB2312" w:cs="仿宋_GB2312"/>
          <w:b w:val="0"/>
          <w:bCs w:val="0"/>
          <w:i w:val="0"/>
          <w:iCs w:val="0"/>
          <w:caps w:val="0"/>
          <w:color w:val="000000"/>
          <w:spacing w:val="0"/>
          <w:sz w:val="32"/>
          <w:szCs w:val="32"/>
          <w:shd w:val="clear" w:color="auto" w:fill="FFFFFF"/>
        </w:rPr>
        <w:t>《宪法》《民法典》《行政处罚法》学法活动，促进干部职工加强对习近平法治思想、“一规划两纲要”、《民法典》等法治知识的学习理解，自觉运用习近平法治思想武装头脑、指导实践、推动工作。</w:t>
      </w:r>
    </w:p>
    <w:p w14:paraId="37FECF7A">
      <w:pPr>
        <w:spacing w:line="579" w:lineRule="exact"/>
        <w:ind w:firstLine="643" w:firstLineChars="200"/>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楷体_GB2312" w:eastAsia="楷体_GB2312"/>
          <w:b/>
          <w:bCs/>
          <w:sz w:val="32"/>
          <w:szCs w:val="32"/>
          <w:lang w:val="en-US" w:eastAsia="zh-CN"/>
        </w:rPr>
        <w:t>2、</w:t>
      </w:r>
      <w:r>
        <w:rPr>
          <w:rFonts w:hint="eastAsia" w:ascii="楷体_GB2312" w:eastAsia="楷体_GB2312"/>
          <w:b/>
          <w:bCs/>
          <w:sz w:val="32"/>
          <w:szCs w:val="32"/>
        </w:rPr>
        <w:t>强党建、明纪律。</w:t>
      </w:r>
      <w:r>
        <w:rPr>
          <w:rFonts w:hint="eastAsia" w:ascii="仿宋_GB2312" w:eastAsia="仿宋_GB2312"/>
          <w:sz w:val="32"/>
          <w:szCs w:val="32"/>
        </w:rPr>
        <w:t>坚持“紧扣业务抓党建、抓好党建促发展”工作思路，充分发挥党建引领作用，着力创建“市场卫士 服务先锋”党建品牌，持续吹响“党建+市场监管”的“集结号”，以高质量党建引领推动市场监管事业高质量发展。深入</w:t>
      </w:r>
      <w:r>
        <w:rPr>
          <w:rFonts w:hint="eastAsia" w:ascii="仿宋_GB2312" w:eastAsia="仿宋_GB2312"/>
          <w:sz w:val="32"/>
          <w:szCs w:val="32"/>
          <w:lang w:eastAsia="zh-CN"/>
        </w:rPr>
        <w:t>开展</w:t>
      </w:r>
      <w:r>
        <w:rPr>
          <w:rFonts w:hint="eastAsia" w:ascii="仿宋_GB2312" w:eastAsia="仿宋_GB2312"/>
          <w:sz w:val="32"/>
          <w:szCs w:val="32"/>
        </w:rPr>
        <w:t>党纪学习教育工作，组织全体党员干部按照学习计划表，每周利用网络学习平台、书本</w:t>
      </w:r>
      <w:r>
        <w:rPr>
          <w:rFonts w:hint="eastAsia" w:ascii="仿宋_GB2312" w:eastAsia="仿宋_GB2312"/>
          <w:sz w:val="32"/>
          <w:szCs w:val="32"/>
          <w:lang w:eastAsia="zh-CN"/>
        </w:rPr>
        <w:t>，</w:t>
      </w:r>
      <w:r>
        <w:rPr>
          <w:rFonts w:hint="eastAsia" w:ascii="仿宋_GB2312" w:eastAsia="仿宋_GB2312"/>
          <w:sz w:val="32"/>
          <w:szCs w:val="32"/>
        </w:rPr>
        <w:t>原原本本、逐章逐条学习《条例》，全面学习领会各项纪律规定。始终坚持以党建引领为核心，积极推进队伍全面发展，全力打造一支“秉公执法、热忱服务、本领过硬、作风清廉”的市场监管“铁军”队伍，以高水平队伍建设助力高质量发展。</w:t>
      </w:r>
    </w:p>
    <w:p w14:paraId="317DB62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）规范公正文明执法</w:t>
      </w:r>
    </w:p>
    <w:p w14:paraId="4D222D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扎实推进行政执法三项制度的贯彻落实。</w:t>
      </w:r>
      <w:r>
        <w:rPr>
          <w:rFonts w:hint="eastAsia" w:ascii="仿宋_GB2312" w:hAnsi="仿宋_GB2312" w:eastAsia="仿宋_GB2312" w:cs="仿宋_GB2312"/>
          <w:sz w:val="32"/>
          <w:szCs w:val="32"/>
        </w:rPr>
        <w:t>推进行政执法规范化建设，全面落实行政执法公示、执法全过程记录和重大执法决定法制审核“三项制度”。按照“谁执法、谁公开”原则，及时、主动公开行政执法信息。在日常工作中规范着装和标识、在执法活动中主动亮明身份，在执法过程中全面推行行政执法全过程记录制度。根据市局的相关规定，结合我局实际制定《行政处罚案件</w:t>
      </w:r>
      <w:r>
        <w:rPr>
          <w:rFonts w:hint="eastAsia" w:ascii="仿宋_GB2312" w:hAnsi="仿宋_GB2312" w:eastAsia="仿宋_GB2312" w:cs="仿宋_GB2312"/>
          <w:sz w:val="32"/>
          <w:szCs w:val="32"/>
          <w:lang w:eastAsia="zh-CN"/>
        </w:rPr>
        <w:t>编号管理办法</w:t>
      </w:r>
      <w:r>
        <w:rPr>
          <w:rFonts w:hint="eastAsia" w:ascii="仿宋_GB2312" w:hAnsi="仿宋_GB2312" w:eastAsia="仿宋_GB2312" w:cs="仿宋_GB2312"/>
          <w:sz w:val="32"/>
          <w:szCs w:val="32"/>
        </w:rPr>
        <w:t>》、《潢川县市场监督管理局重大复杂行政处罚案件</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集体讨论</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rPr>
        <w:t>》等制度，推动了全局执法机制、执法制度的进一步规范，全面落实重大执法决定法制审核制度。</w:t>
      </w:r>
    </w:p>
    <w:p w14:paraId="63873E14">
      <w:pPr>
        <w:spacing w:line="579" w:lineRule="exact"/>
        <w:ind w:firstLine="643" w:firstLineChars="200"/>
        <w:rPr>
          <w:rFonts w:hint="eastAsia" w:ascii="仿宋_GB2312" w:eastAsia="仿宋_GB2312"/>
          <w:b w:val="0"/>
          <w:bCs w:val="0"/>
          <w:color w:val="auto"/>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rPr>
        <w:t>精准发力强监管。</w:t>
      </w:r>
      <w:r>
        <w:rPr>
          <w:rFonts w:hint="eastAsia" w:ascii="仿宋_GB2312" w:eastAsia="仿宋_GB2312"/>
          <w:sz w:val="32"/>
          <w:szCs w:val="32"/>
        </w:rPr>
        <w:t>紧扣“活力、秩序、质量、安全”四个关键词，严格规范公正文明执法全心全意为人民群众办实事、办成事。聚焦民生重点领域，充分发挥市场监管综合执法优势，深入民生领域“铁拳行动”、食品安全“守底线、查隐患、保安全”专项行动、药品安全“春风行动”、质量安全专项整治行动、特种设备“重点时间段、重大节假日，重大行动特种设备安全检查”、网络、广告、教育收费专项检查，坚持“细查、严管、重罚、实改”，让群众获得感、幸福感、安全感更加充实、更有保障、更可持续。今年以来，共查处各类市场领域违法案件</w:t>
      </w:r>
      <w:r>
        <w:rPr>
          <w:rFonts w:hint="eastAsia" w:ascii="仿宋_GB2312" w:eastAsia="仿宋_GB2312"/>
          <w:color w:val="000000"/>
          <w:sz w:val="32"/>
          <w:szCs w:val="32"/>
          <w:lang w:val="en-US" w:eastAsia="zh-CN"/>
        </w:rPr>
        <w:t>112</w:t>
      </w:r>
      <w:r>
        <w:rPr>
          <w:rFonts w:hint="eastAsia" w:ascii="仿宋_GB2312" w:eastAsia="仿宋_GB2312"/>
          <w:color w:val="000000"/>
          <w:sz w:val="32"/>
          <w:szCs w:val="32"/>
        </w:rPr>
        <w:t>宗，办结</w:t>
      </w:r>
      <w:r>
        <w:rPr>
          <w:rFonts w:hint="eastAsia" w:ascii="仿宋_GB2312" w:eastAsia="仿宋_GB2312"/>
          <w:color w:val="000000"/>
          <w:sz w:val="32"/>
          <w:szCs w:val="32"/>
          <w:lang w:val="en-US" w:eastAsia="zh-CN"/>
        </w:rPr>
        <w:t>84</w:t>
      </w:r>
      <w:r>
        <w:rPr>
          <w:rFonts w:hint="eastAsia" w:ascii="仿宋_GB2312" w:eastAsia="仿宋_GB2312"/>
          <w:color w:val="000000"/>
          <w:sz w:val="32"/>
          <w:szCs w:val="32"/>
        </w:rPr>
        <w:t>件</w:t>
      </w:r>
      <w:r>
        <w:rPr>
          <w:rFonts w:hint="eastAsia" w:ascii="仿宋_GB2312" w:eastAsia="仿宋_GB2312"/>
          <w:color w:val="000000"/>
          <w:sz w:val="32"/>
          <w:szCs w:val="32"/>
          <w:lang w:eastAsia="zh-CN"/>
        </w:rPr>
        <w:t>。</w:t>
      </w:r>
      <w:r>
        <w:rPr>
          <w:rFonts w:hint="eastAsia" w:ascii="仿宋_GB2312" w:eastAsia="仿宋_GB2312"/>
          <w:b w:val="0"/>
          <w:bCs w:val="0"/>
          <w:color w:val="auto"/>
          <w:sz w:val="32"/>
          <w:szCs w:val="32"/>
          <w:lang w:val="en-US" w:eastAsia="zh-CN"/>
        </w:rPr>
        <w:t>2024年2月29日潢川市场监督管理局荣获河南省市场监管局授予的年度促进市场经营主体高质量发展工作先进单位荣誉表彰。</w:t>
      </w:r>
    </w:p>
    <w:p w14:paraId="3467167D">
      <w:pPr>
        <w:spacing w:line="579" w:lineRule="exact"/>
        <w:ind w:firstLine="643" w:firstLineChars="200"/>
        <w:rPr>
          <w:rFonts w:hint="eastAsia" w:ascii="仿宋_GB2312" w:eastAsia="仿宋_GB2312"/>
          <w:b w:val="0"/>
          <w:bCs w:val="0"/>
          <w:color w:val="auto"/>
          <w:sz w:val="32"/>
          <w:szCs w:val="32"/>
          <w:lang w:val="en-US" w:eastAsia="zh-CN"/>
        </w:rPr>
      </w:pPr>
      <w:r>
        <w:rPr>
          <w:rFonts w:hint="eastAsia" w:ascii="仿宋_GB2312" w:eastAsia="仿宋_GB2312"/>
          <w:b/>
          <w:bCs/>
          <w:sz w:val="32"/>
          <w:szCs w:val="32"/>
          <w:lang w:val="en-US" w:eastAsia="zh-CN"/>
        </w:rPr>
        <w:t>3、</w:t>
      </w:r>
      <w:r>
        <w:rPr>
          <w:rFonts w:hint="eastAsia" w:ascii="仿宋_GB2312" w:eastAsia="仿宋_GB2312"/>
          <w:b/>
          <w:bCs/>
          <w:sz w:val="32"/>
          <w:szCs w:val="32"/>
        </w:rPr>
        <w:t>全面深化商事制度改革。</w:t>
      </w:r>
      <w:r>
        <w:rPr>
          <w:rFonts w:hint="eastAsia" w:ascii="仿宋_GB2312" w:eastAsia="仿宋_GB2312"/>
          <w:sz w:val="32"/>
          <w:szCs w:val="32"/>
        </w:rPr>
        <w:t>持续推进企业全生命周期“一件事一次办”改革，实施“一次告知、一表申请、一窗受理、一并审批、一次办好”主题式集成服务，推行智能审批系统，实现企业设立登记“秒批秒办”“无感审批”。当前，全县企业设立全程网办率达99.43%，经营者最快可在0.5个工作日一次性完成营业执照领取及刻章备案等所有手续。</w:t>
      </w:r>
      <w:r>
        <w:rPr>
          <w:rFonts w:hint="eastAsia" w:ascii="仿宋_GB2312" w:eastAsia="仿宋_GB2312"/>
          <w:b w:val="0"/>
          <w:bCs w:val="0"/>
          <w:sz w:val="32"/>
          <w:szCs w:val="32"/>
        </w:rPr>
        <w:t>着力培育壮大市场主体</w:t>
      </w:r>
      <w:r>
        <w:rPr>
          <w:rFonts w:hint="eastAsia" w:ascii="仿宋_GB2312" w:eastAsia="仿宋_GB2312"/>
          <w:b w:val="0"/>
          <w:bCs w:val="0"/>
          <w:sz w:val="32"/>
          <w:szCs w:val="32"/>
          <w:lang w:eastAsia="zh-CN"/>
        </w:rPr>
        <w:t>，</w:t>
      </w:r>
      <w:r>
        <w:rPr>
          <w:rFonts w:hint="eastAsia" w:ascii="仿宋_GB2312" w:eastAsia="仿宋_GB2312"/>
          <w:sz w:val="32"/>
          <w:szCs w:val="32"/>
        </w:rPr>
        <w:t>建立企业开办综合窗口，在名称自主申报等8个事项基础上，将水电气网4个事项纳入企业开办“一网通办”平台，实现企业开办多个环节“一事联办”，全流程并联审批；为特殊群体开设“绿色通道”，设置“帮办代办”专窗，建立首席服务官制度，实现一人审批、全程服务。截至目前，全县今年新增市场主体</w:t>
      </w:r>
      <w:r>
        <w:rPr>
          <w:rFonts w:hint="eastAsia" w:ascii="仿宋_GB2312" w:eastAsia="仿宋_GB2312"/>
          <w:sz w:val="32"/>
          <w:szCs w:val="32"/>
          <w:lang w:val="en-US" w:eastAsia="zh-CN"/>
        </w:rPr>
        <w:t>8648</w:t>
      </w:r>
      <w:r>
        <w:rPr>
          <w:rFonts w:hint="eastAsia" w:ascii="仿宋_GB2312" w:eastAsia="仿宋_GB2312"/>
          <w:sz w:val="32"/>
          <w:szCs w:val="32"/>
        </w:rPr>
        <w:t>户，市场主体总数达到59</w:t>
      </w:r>
      <w:r>
        <w:rPr>
          <w:rFonts w:hint="eastAsia" w:ascii="仿宋_GB2312" w:eastAsia="仿宋_GB2312"/>
          <w:sz w:val="32"/>
          <w:szCs w:val="32"/>
          <w:lang w:val="en-US" w:eastAsia="zh-CN"/>
        </w:rPr>
        <w:t>894</w:t>
      </w:r>
      <w:r>
        <w:rPr>
          <w:rFonts w:hint="eastAsia" w:ascii="仿宋_GB2312" w:eastAsia="仿宋_GB2312"/>
          <w:sz w:val="32"/>
          <w:szCs w:val="32"/>
        </w:rPr>
        <w:t>户，同比增长9.28%。</w:t>
      </w:r>
    </w:p>
    <w:p w14:paraId="56BC5200">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b/>
          <w:bCs/>
          <w:sz w:val="32"/>
          <w:szCs w:val="32"/>
          <w:lang w:val="en-US" w:eastAsia="zh-CN"/>
        </w:rPr>
        <w:t>（三）积极开展服务型行政执法</w:t>
      </w:r>
    </w:p>
    <w:p w14:paraId="4C15BFF4">
      <w:pPr>
        <w:spacing w:line="579" w:lineRule="exact"/>
        <w:ind w:firstLine="640" w:firstLineChars="200"/>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eastAsia="仿宋_GB2312"/>
          <w:b/>
          <w:bCs/>
          <w:color w:val="auto"/>
          <w:sz w:val="32"/>
          <w:szCs w:val="32"/>
          <w:lang w:eastAsia="zh-CN"/>
        </w:rPr>
        <w:t>秉持柔性执法理念，推进包容审慎监管。</w:t>
      </w:r>
      <w:r>
        <w:rPr>
          <w:rFonts w:hint="eastAsia" w:ascii="仿宋_GB2312" w:eastAsia="仿宋_GB2312"/>
          <w:sz w:val="32"/>
          <w:szCs w:val="32"/>
        </w:rPr>
        <w:t>推行不予处罚、减轻处罚、从轻处罚和免予行政强制的“四张清单”制度，注重前期预警提示，努力让执法监管变得更有“温度”，以“执法温度”激发市场活力，助推全县市场经济高质量健康发展和营商环境更优化。</w:t>
      </w:r>
      <w:r>
        <w:rPr>
          <w:rFonts w:hint="eastAsia" w:ascii="仿宋_GB2312" w:eastAsia="仿宋_GB2312"/>
          <w:color w:val="auto"/>
          <w:sz w:val="32"/>
          <w:szCs w:val="32"/>
          <w:lang w:eastAsia="zh-CN"/>
        </w:rPr>
        <w:t>建立健全“柔性执法”和信用修复机制，采取行政指导、行政告诫、行政约谈等方式，让执法有力度也有温度。2024年开展行政指导109次，行政约谈12 次，办理免于处罚案件8起，减轻1起，从轻32起，移出异常名录市场主体217家，信用修复15家，为企业营造更加宽松的发展环境。</w:t>
      </w:r>
    </w:p>
    <w:p w14:paraId="135F4B83">
      <w:pPr>
        <w:spacing w:line="579"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eastAsia="仿宋_GB2312"/>
          <w:b/>
          <w:bCs/>
          <w:sz w:val="32"/>
          <w:szCs w:val="32"/>
        </w:rPr>
        <w:t>抓好惠企政策落实。</w:t>
      </w:r>
      <w:r>
        <w:rPr>
          <w:rFonts w:hint="eastAsia" w:ascii="仿宋_GB2312" w:eastAsia="仿宋_GB2312"/>
          <w:sz w:val="32"/>
          <w:szCs w:val="32"/>
        </w:rPr>
        <w:t>全面落实《惠企政策和扶持个体工商户发展</w:t>
      </w:r>
      <w:r>
        <w:rPr>
          <w:rFonts w:ascii="仿宋_GB2312" w:eastAsia="仿宋_GB2312"/>
          <w:sz w:val="32"/>
          <w:szCs w:val="32"/>
        </w:rPr>
        <w:t>10条措施》，</w:t>
      </w:r>
      <w:r>
        <w:rPr>
          <w:rFonts w:hint="eastAsia" w:ascii="仿宋_GB2312" w:eastAsia="仿宋_GB2312"/>
          <w:sz w:val="32"/>
          <w:szCs w:val="32"/>
        </w:rPr>
        <w:t>持续推进万人助万企和首席服务官活动，结合职能职责，在前期制定推行助企纾困解难十项措施的基础上，开通助企纾困绿色通道，推行急事预约办、急件集中办、到期延期办等服务，解决企业发展过程中的“急难愁盼”问题；开展涉企收费项目清查，持续加强涉企违规收费专项整治，切实减轻市场主体的不合理负担</w:t>
      </w:r>
      <w:r>
        <w:rPr>
          <w:rFonts w:hint="eastAsia" w:ascii="仿宋_GB2312" w:eastAsia="仿宋_GB2312"/>
          <w:sz w:val="32"/>
          <w:szCs w:val="32"/>
          <w:lang w:eastAsia="zh-CN"/>
        </w:rPr>
        <w:t>，</w:t>
      </w:r>
      <w:r>
        <w:rPr>
          <w:rFonts w:hint="eastAsia" w:ascii="仿宋_GB2312" w:eastAsia="仿宋_GB2312"/>
          <w:sz w:val="32"/>
          <w:szCs w:val="32"/>
        </w:rPr>
        <w:t>目前已查办涉企案件13件。</w:t>
      </w:r>
    </w:p>
    <w:p w14:paraId="70BBFD35">
      <w:pPr>
        <w:spacing w:line="579"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、强化市场公平竞争审查。</w:t>
      </w:r>
      <w:r>
        <w:rPr>
          <w:rFonts w:hint="eastAsia" w:ascii="仿宋_GB2312" w:eastAsia="仿宋_GB2312"/>
          <w:b w:val="0"/>
          <w:bCs w:val="0"/>
          <w:sz w:val="32"/>
          <w:szCs w:val="32"/>
          <w:lang w:eastAsia="zh-CN"/>
        </w:rPr>
        <w:t>定期开展</w:t>
      </w:r>
      <w:r>
        <w:rPr>
          <w:rFonts w:hint="eastAsia" w:ascii="仿宋_GB2312" w:eastAsia="仿宋_GB2312"/>
          <w:sz w:val="32"/>
          <w:szCs w:val="32"/>
          <w:lang w:eastAsia="zh-CN"/>
        </w:rPr>
        <w:t>妨碍统一市场和公平竞争政策措施行政策措施审查和清理，对市场准入、招标投标、政府采购等有关市场主体经济活动的规章、规范性文件等持续开展审查和清理，有效维护市场公平竞争秩序。</w:t>
      </w:r>
      <w:r>
        <w:rPr>
          <w:rFonts w:hint="eastAsia" w:ascii="仿宋_GB2312" w:eastAsia="仿宋_GB2312"/>
          <w:b w:val="0"/>
          <w:bCs w:val="0"/>
          <w:color w:val="000000"/>
          <w:sz w:val="32"/>
          <w:szCs w:val="32"/>
          <w:lang w:val="en-US" w:eastAsia="zh-CN"/>
        </w:rPr>
        <w:t>2024年度</w:t>
      </w:r>
      <w:r>
        <w:rPr>
          <w:rFonts w:hint="eastAsia" w:ascii="仿宋_GB2312" w:eastAsia="仿宋_GB2312"/>
          <w:b w:val="0"/>
          <w:bCs w:val="0"/>
          <w:color w:val="000000"/>
          <w:sz w:val="32"/>
          <w:szCs w:val="32"/>
          <w:lang w:eastAsia="zh-CN"/>
        </w:rPr>
        <w:t>清理废止</w:t>
      </w:r>
      <w:r>
        <w:rPr>
          <w:rFonts w:hint="eastAsia" w:ascii="仿宋_GB2312" w:eastAsia="仿宋_GB2312"/>
          <w:b w:val="0"/>
          <w:bCs w:val="0"/>
          <w:color w:val="000000"/>
          <w:sz w:val="32"/>
          <w:szCs w:val="32"/>
          <w:lang w:val="en-US" w:eastAsia="zh-CN"/>
        </w:rPr>
        <w:t>行政规范性文件4件，</w:t>
      </w:r>
      <w:r>
        <w:rPr>
          <w:rFonts w:hint="eastAsia" w:ascii="仿宋_GB2312" w:eastAsia="仿宋_GB2312"/>
          <w:sz w:val="32"/>
          <w:szCs w:val="32"/>
          <w:lang w:val="en-US" w:eastAsia="zh-CN"/>
        </w:rPr>
        <w:t>进一步打破了行政性垄断，建设了统一开放、竞争有序的市场体系。</w:t>
      </w:r>
    </w:p>
    <w:p w14:paraId="79C405E8">
      <w:pPr>
        <w:spacing w:line="579"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w:t>
      </w:r>
      <w:r>
        <w:rPr>
          <w:rFonts w:hint="eastAsia" w:ascii="仿宋_GB2312" w:eastAsia="仿宋_GB2312"/>
          <w:b/>
          <w:bCs/>
          <w:sz w:val="32"/>
          <w:szCs w:val="32"/>
        </w:rPr>
        <w:t>创建放心满意消费环境。</w:t>
      </w:r>
      <w:r>
        <w:rPr>
          <w:rFonts w:hint="eastAsia" w:ascii="仿宋_GB2312" w:eastAsia="仿宋_GB2312"/>
          <w:sz w:val="32"/>
          <w:szCs w:val="32"/>
        </w:rPr>
        <w:t>深化放心消费环境创建，深入开展多载体消费教育和引导工作，积极推行消费环节经营者首问和赔付先行“两项制度”；建立企业健全信用档案，对失信主体进行惩戒公示，形成“守信激励、失信惩戒”的良好机制；畅通消费投诉线上线下渠道，依托12315服务热线及12345市长热线投诉平台，全力维护消费者权益。截至目前，累计创成放心消费示范单位</w:t>
      </w:r>
      <w:r>
        <w:rPr>
          <w:rFonts w:hint="eastAsia" w:ascii="仿宋_GB2312" w:eastAsia="仿宋_GB2312"/>
          <w:sz w:val="32"/>
          <w:szCs w:val="32"/>
          <w:lang w:val="en-US" w:eastAsia="zh-CN"/>
        </w:rPr>
        <w:t>12</w:t>
      </w:r>
      <w:r>
        <w:rPr>
          <w:rFonts w:hint="eastAsia" w:ascii="仿宋_GB2312" w:eastAsia="仿宋_GB2312"/>
          <w:sz w:val="32"/>
          <w:szCs w:val="32"/>
        </w:rPr>
        <w:t>家，新增ODR企业</w:t>
      </w:r>
      <w:r>
        <w:rPr>
          <w:rFonts w:hint="eastAsia" w:ascii="仿宋_GB2312" w:eastAsia="仿宋_GB2312"/>
          <w:sz w:val="32"/>
          <w:szCs w:val="32"/>
          <w:lang w:val="en-US" w:eastAsia="zh-CN"/>
        </w:rPr>
        <w:t>24</w:t>
      </w:r>
      <w:r>
        <w:rPr>
          <w:rFonts w:hint="eastAsia" w:ascii="仿宋_GB2312" w:eastAsia="仿宋_GB2312"/>
          <w:sz w:val="32"/>
          <w:szCs w:val="32"/>
        </w:rPr>
        <w:t>家；共计受理投诉举报</w:t>
      </w:r>
      <w:r>
        <w:rPr>
          <w:rFonts w:hint="eastAsia" w:ascii="仿宋_GB2312" w:eastAsia="仿宋_GB2312"/>
          <w:sz w:val="32"/>
          <w:szCs w:val="32"/>
          <w:lang w:val="en-US" w:eastAsia="zh-CN"/>
        </w:rPr>
        <w:t>1290</w:t>
      </w:r>
      <w:r>
        <w:rPr>
          <w:rFonts w:hint="eastAsia" w:ascii="仿宋_GB2312" w:eastAsia="仿宋_GB2312"/>
          <w:sz w:val="32"/>
          <w:szCs w:val="32"/>
        </w:rPr>
        <w:t>件，为消费者挽回经济损失</w:t>
      </w:r>
      <w:r>
        <w:rPr>
          <w:rFonts w:hint="eastAsia" w:ascii="仿宋_GB2312" w:eastAsia="仿宋_GB2312"/>
          <w:sz w:val="32"/>
          <w:szCs w:val="32"/>
          <w:lang w:val="en-US" w:eastAsia="zh-CN"/>
        </w:rPr>
        <w:t>30余</w:t>
      </w:r>
      <w:r>
        <w:rPr>
          <w:rFonts w:hint="eastAsia" w:ascii="仿宋_GB2312" w:eastAsia="仿宋_GB2312"/>
          <w:sz w:val="32"/>
          <w:szCs w:val="32"/>
        </w:rPr>
        <w:t>万元。</w:t>
      </w:r>
    </w:p>
    <w:p w14:paraId="5F1FE7D9">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）落实“谁执法、谁普法”责任制</w:t>
      </w:r>
    </w:p>
    <w:p w14:paraId="42722CA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制定年度普法计划和责任清单，开展普法活动。</w:t>
      </w:r>
      <w:r>
        <w:rPr>
          <w:rFonts w:hint="eastAsia" w:ascii="仿宋_GB2312" w:hAnsi="仿宋_GB2312" w:eastAsia="仿宋_GB2312" w:cs="仿宋_GB2312"/>
          <w:sz w:val="32"/>
          <w:szCs w:val="32"/>
        </w:rPr>
        <w:t>年初我局按照“谁执法、谁普法”的普法责任制要求制定了《</w:t>
      </w:r>
      <w:r>
        <w:rPr>
          <w:rFonts w:hint="eastAsia" w:ascii="仿宋_GB2312" w:hAnsi="仿宋_GB2312" w:eastAsia="仿宋_GB2312" w:cs="仿宋_GB2312"/>
          <w:sz w:val="32"/>
          <w:szCs w:val="32"/>
          <w:lang w:eastAsia="zh-CN"/>
        </w:rPr>
        <w:t>潢川县</w:t>
      </w:r>
      <w:r>
        <w:rPr>
          <w:rFonts w:hint="eastAsia" w:ascii="仿宋_GB2312" w:hAnsi="仿宋_GB2312" w:eastAsia="仿宋_GB2312" w:cs="仿宋_GB2312"/>
          <w:sz w:val="32"/>
          <w:szCs w:val="32"/>
        </w:rPr>
        <w:t>市场监督管理局202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年度普法工作计划》，制定年度法治宣传工作计划、普法责任制清单，确立了较为完备的普法工作制度，明确了各科室、各市场监管所法治宣传教育职责，确保全局法治宣传教育各项工作任务有序推动。</w:t>
      </w:r>
      <w:r>
        <w:rPr>
          <w:rFonts w:hint="eastAsia" w:ascii="仿宋_GB2312" w:hAnsi="仿宋_GB2312" w:eastAsia="仿宋_GB2312" w:cs="仿宋_GB2312"/>
          <w:sz w:val="32"/>
          <w:szCs w:val="32"/>
          <w:lang w:val="en-US" w:eastAsia="zh-CN"/>
        </w:rPr>
        <w:t xml:space="preserve"> </w:t>
      </w:r>
    </w:p>
    <w:p w14:paraId="76351E8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深入实施八五普法规划，为干部职工和监管对象进行各项专业知识培训。</w:t>
      </w:r>
      <w:r>
        <w:rPr>
          <w:rFonts w:hint="eastAsia" w:ascii="仿宋_GB2312" w:hAnsi="仿宋_GB2312" w:eastAsia="仿宋_GB2312" w:cs="仿宋_GB2312"/>
          <w:sz w:val="32"/>
          <w:szCs w:val="32"/>
        </w:rPr>
        <w:t>涵盖商事制度改革，食品、药品、特种设备、医疗器械、</w:t>
      </w:r>
      <w:r>
        <w:rPr>
          <w:rFonts w:hint="eastAsia" w:ascii="仿宋_GB2312" w:hAnsi="仿宋_GB2312" w:eastAsia="仿宋_GB2312" w:cs="仿宋_GB2312"/>
          <w:sz w:val="32"/>
          <w:szCs w:val="32"/>
          <w:lang w:eastAsia="zh-CN"/>
        </w:rPr>
        <w:t>产品质量、认证认可、</w:t>
      </w:r>
      <w:r>
        <w:rPr>
          <w:rFonts w:hint="eastAsia" w:ascii="仿宋_GB2312" w:hAnsi="仿宋_GB2312" w:eastAsia="仿宋_GB2312" w:cs="仿宋_GB2312"/>
          <w:sz w:val="32"/>
          <w:szCs w:val="32"/>
        </w:rPr>
        <w:t>化妆品监督管理等专业知识。202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年学法普法考试合格率100%。通过多种形式学习培训丰富了广大干部的知识素养，提升了干部职工的政策业务水平和履行岗位职责能力。</w:t>
      </w:r>
    </w:p>
    <w:p w14:paraId="494D203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加强法治宣教、法治实践和执法培训。</w:t>
      </w:r>
      <w:r>
        <w:rPr>
          <w:rFonts w:hint="eastAsia" w:ascii="仿宋_GB2312" w:hAnsi="仿宋_GB2312" w:eastAsia="仿宋_GB2312" w:cs="仿宋_GB2312"/>
          <w:sz w:val="32"/>
          <w:szCs w:val="32"/>
        </w:rPr>
        <w:t>开展以案释法，结合“3·15国际消费者权益日”“5·20世界计量日”“6·7世界食品安全日”“全国食品安全宣传周”“全国质量月”“电梯安全宣传周”等重要时间节点，通过举办法治宣传咨询活动、印制分发宣传资料、制作法治宣传栏等方式，利用公众号、新闻媒体等平台开展普法宣传活动</w:t>
      </w:r>
      <w:r>
        <w:rPr>
          <w:rFonts w:hint="eastAsia" w:ascii="仿宋_GB2312" w:hAnsi="仿宋_GB2312" w:eastAsia="仿宋_GB2312" w:cs="仿宋_GB2312"/>
          <w:sz w:val="32"/>
          <w:szCs w:val="32"/>
          <w:lang w:eastAsia="zh-CN"/>
        </w:rPr>
        <w:t>，</w:t>
      </w:r>
      <w:r>
        <w:rPr>
          <w:rFonts w:hint="eastAsia" w:ascii="方正仿宋_GBK" w:hAnsi="方正仿宋_GBK" w:eastAsia="方正仿宋_GBK" w:cs="方正仿宋_GBK"/>
          <w:sz w:val="32"/>
          <w:szCs w:val="32"/>
        </w:rPr>
        <w:t>全年共开展各类宣传活动</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次，悬挂条幅</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余条，发放各类宣传资料</w:t>
      </w:r>
      <w:r>
        <w:rPr>
          <w:rFonts w:hint="eastAsia" w:ascii="方正仿宋_GBK" w:hAnsi="方正仿宋_GBK" w:eastAsia="方正仿宋_GBK" w:cs="方正仿宋_GBK"/>
          <w:sz w:val="32"/>
          <w:szCs w:val="32"/>
          <w:lang w:val="en-US" w:eastAsia="zh-CN"/>
        </w:rPr>
        <w:t>3000</w:t>
      </w:r>
      <w:r>
        <w:rPr>
          <w:rFonts w:hint="eastAsia" w:ascii="方正仿宋_GBK" w:hAnsi="方正仿宋_GBK" w:eastAsia="方正仿宋_GBK" w:cs="方正仿宋_GBK"/>
          <w:sz w:val="32"/>
          <w:szCs w:val="32"/>
        </w:rPr>
        <w:t>余份</w:t>
      </w:r>
      <w:r>
        <w:rPr>
          <w:rFonts w:hint="eastAsia" w:ascii="仿宋_GB2312" w:hAnsi="仿宋_GB2312" w:eastAsia="仿宋_GB2312" w:cs="仿宋_GB2312"/>
          <w:sz w:val="32"/>
          <w:szCs w:val="32"/>
        </w:rPr>
        <w:t>。</w:t>
      </w:r>
    </w:p>
    <w:p w14:paraId="45573FD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、存在的问题</w:t>
      </w:r>
      <w:r>
        <w:rPr>
          <w:rFonts w:hint="eastAsia" w:ascii="黑体" w:hAnsi="黑体" w:eastAsia="黑体" w:cs="黑体"/>
          <w:b/>
          <w:bCs/>
          <w:sz w:val="32"/>
          <w:szCs w:val="32"/>
          <w:lang w:eastAsia="zh-CN"/>
        </w:rPr>
        <w:t>和原因</w:t>
      </w:r>
    </w:p>
    <w:p w14:paraId="024FEF9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（一）存在问题</w:t>
      </w:r>
    </w:p>
    <w:p w14:paraId="32EAF1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1、</w:t>
      </w:r>
      <w:r>
        <w:rPr>
          <w:rFonts w:hint="eastAsia" w:ascii="楷体" w:hAnsi="楷体" w:eastAsia="楷体"/>
          <w:b/>
          <w:bCs/>
          <w:sz w:val="32"/>
          <w:szCs w:val="32"/>
        </w:rPr>
        <w:t>监管力量有待加强。</w:t>
      </w:r>
      <w:r>
        <w:rPr>
          <w:rFonts w:hint="eastAsia" w:ascii="仿宋_GB2312" w:eastAsia="仿宋_GB2312"/>
          <w:sz w:val="32"/>
          <w:szCs w:val="32"/>
        </w:rPr>
        <w:t>网络订餐、直播带货、网络售药等新兴产业发展带来新的风险隐患和监管难题。基层市场监管部门人员结构老化，特种设备安全监察、食品安全监管、药品医疗器械监管等专业人才匮乏，执法装备、执法车辆、经费资金缺少保障，影响了监管能力提升。部门联合监管、联合惩戒机制尚未健全完善，在一定程度上制约了监管效能</w:t>
      </w:r>
      <w:r>
        <w:rPr>
          <w:rFonts w:hint="eastAsia" w:ascii="仿宋_GB2312" w:hAnsi="仿宋_GB2312" w:eastAsia="仿宋_GB2312" w:cs="仿宋_GB2312"/>
          <w:sz w:val="32"/>
          <w:szCs w:val="32"/>
          <w:lang w:eastAsia="zh-CN"/>
        </w:rPr>
        <w:t>。</w:t>
      </w:r>
    </w:p>
    <w:p w14:paraId="36C068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楷体" w:hAnsi="楷体" w:eastAsia="楷体"/>
          <w:b/>
          <w:bCs/>
          <w:sz w:val="32"/>
          <w:szCs w:val="32"/>
        </w:rPr>
        <w:t>智能监管建设滞后。</w:t>
      </w:r>
      <w:r>
        <w:rPr>
          <w:rFonts w:hint="eastAsia" w:ascii="仿宋_GB2312" w:hAnsi="仿宋_GB2312" w:eastAsia="仿宋_GB2312" w:cs="仿宋_GB2312"/>
          <w:sz w:val="32"/>
          <w:szCs w:val="32"/>
        </w:rPr>
        <w:t>监管人员能力素质不均衡，市场监管工作新形势与队伍监管能力建设相对滞后的矛盾一直存在。监管能力不够深入。同时基层所人少事多矛盾依然突出，专项整治过多导致疲于应付，整治效果不佳。</w:t>
      </w:r>
    </w:p>
    <w:p w14:paraId="367F5B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bCs/>
          <w:sz w:val="32"/>
          <w:szCs w:val="32"/>
          <w:lang w:eastAsia="zh-CN"/>
        </w:rPr>
        <w:t>原因分析</w:t>
      </w:r>
    </w:p>
    <w:p w14:paraId="0E89F2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基层法治基础不扎实、能力不适应</w:t>
      </w:r>
      <w:r>
        <w:rPr>
          <w:rFonts w:hint="eastAsia" w:ascii="仿宋_GB2312" w:hAnsi="仿宋_GB2312" w:eastAsia="仿宋_GB2312" w:cs="仿宋_GB2312"/>
          <w:sz w:val="32"/>
          <w:szCs w:val="32"/>
          <w:lang w:val="en-US" w:eastAsia="zh-CN"/>
        </w:rPr>
        <w:t>，监管队伍的业务水平和综合素质有待提升，尤其是基层监管所工作人员较少，执法力量严重不足，市场监管领域难以做到全覆盖、无盲区。</w:t>
      </w:r>
    </w:p>
    <w:p w14:paraId="12EB48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eastAsia="zh-CN"/>
        </w:rPr>
        <w:t>监管执法业务能力不高。</w:t>
      </w:r>
      <w:r>
        <w:rPr>
          <w:rFonts w:hint="eastAsia" w:ascii="仿宋_GB2312" w:hAnsi="仿宋_GB2312" w:eastAsia="仿宋_GB2312" w:cs="仿宋_GB2312"/>
          <w:sz w:val="32"/>
          <w:szCs w:val="32"/>
          <w:lang w:eastAsia="zh-CN"/>
        </w:rPr>
        <w:t>全县市场监管部门监管人员业务能力与新形势要求还有差距，特别是全县经济社会发展需求同市场监管服务与监管能力不平衡的矛盾日趋明显，亟待充实监管队伍力量和强化监管能力建设，进一步提升部门法治建设能力和水平。</w:t>
      </w:r>
    </w:p>
    <w:p w14:paraId="56669E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w:t>
      </w:r>
      <w:r>
        <w:rPr>
          <w:rFonts w:hint="eastAsia" w:ascii="黑体" w:hAnsi="黑体" w:eastAsia="黑体" w:cs="黑体"/>
          <w:b/>
          <w:bCs/>
          <w:sz w:val="32"/>
          <w:szCs w:val="32"/>
          <w:lang w:eastAsia="zh-CN"/>
        </w:rPr>
        <w:t>下一年度推进法治建设的打算</w:t>
      </w:r>
    </w:p>
    <w:p w14:paraId="7A47F04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（一）提升政治站位。</w:t>
      </w:r>
      <w:r>
        <w:rPr>
          <w:rFonts w:hint="eastAsia" w:ascii="仿宋_GB2312" w:hAnsi="仿宋_GB2312" w:eastAsia="仿宋_GB2312" w:cs="仿宋_GB2312"/>
          <w:sz w:val="32"/>
          <w:szCs w:val="32"/>
          <w:lang w:val="en-US" w:eastAsia="zh-CN"/>
        </w:rPr>
        <w:t>在深入学习宣传贯彻习近平法治思想上持续加力。把习近平法治思想贯穿到法治政府建设全过程，不断推动市场监管法治政府建设实现新突破。充分发挥党组理论学习中心组常态化学习习近平法治思想，使“关键少数”“关键岗位”“关键领域”的领导干部和工作人员切实把握习近平法治思想的丰富内涵与核心要义。</w:t>
      </w:r>
    </w:p>
    <w:p w14:paraId="6E57D7D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val="en-US" w:eastAsia="zh-CN"/>
        </w:rPr>
        <w:t>强化学习培训。</w:t>
      </w:r>
      <w:r>
        <w:rPr>
          <w:rFonts w:hint="eastAsia" w:ascii="仿宋_GB2312" w:hAnsi="仿宋_GB2312" w:eastAsia="仿宋_GB2312" w:cs="仿宋_GB2312"/>
          <w:sz w:val="32"/>
          <w:szCs w:val="32"/>
          <w:lang w:val="en-US" w:eastAsia="zh-CN"/>
        </w:rPr>
        <w:t>继续推进学法用法工作机制，组织开展市场监管相关法律法规知识和执法技能培训，不断提升执法人员运用法治思维与法治方式思考问题和解决问题的能力，进一步提升执法规范化水平。优化执法队伍建设，充实法治机构和一线执法人员力量，加快法治人才培养，提升市场监管法治队伍和执法队伍的整体素质及专业化水平。</w:t>
      </w:r>
    </w:p>
    <w:p w14:paraId="12A4BF7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（三）强化普法力度。</w:t>
      </w:r>
      <w:r>
        <w:rPr>
          <w:rFonts w:hint="eastAsia" w:ascii="仿宋_GB2312" w:hAnsi="仿宋_GB2312" w:eastAsia="仿宋_GB2312" w:cs="仿宋_GB2312"/>
          <w:b w:val="0"/>
          <w:bCs w:val="0"/>
          <w:sz w:val="32"/>
          <w:szCs w:val="32"/>
          <w:lang w:val="en-US" w:eastAsia="zh-CN"/>
        </w:rPr>
        <w:t>认真落实“谁执法谁普法”责任制，以线上线下指导为抓手，将普法融合于监管执法和市场经济发展中，以多形式、多渠道、多维度大力开展普法宣传活动，督促经营单位落实主体责任，不断强化广大人民群众的法治意识，增强普法依法治理的实效性，以法治化市场监管助力市场经济高质量发展。</w:t>
      </w:r>
    </w:p>
    <w:p w14:paraId="625D132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（四）提升执法质效。</w:t>
      </w:r>
      <w:r>
        <w:rPr>
          <w:rFonts w:hint="eastAsia" w:ascii="仿宋_GB2312" w:hAnsi="仿宋_GB2312" w:eastAsia="仿宋_GB2312" w:cs="仿宋_GB2312"/>
          <w:sz w:val="32"/>
          <w:szCs w:val="32"/>
          <w:lang w:val="en-US" w:eastAsia="zh-CN"/>
        </w:rPr>
        <w:t>在推行行政执法责任制上持续加力。严格落实行政执法“三项制度”，加大重点领域执法监管力度，持续开展案卷评查、以案释法、等</w:t>
      </w:r>
      <w:bookmarkStart w:id="0" w:name="_GoBack"/>
      <w:bookmarkEnd w:id="0"/>
      <w:r>
        <w:rPr>
          <w:rFonts w:hint="eastAsia" w:ascii="仿宋_GB2312" w:hAnsi="仿宋_GB2312" w:eastAsia="仿宋_GB2312" w:cs="仿宋_GB2312"/>
          <w:sz w:val="32"/>
          <w:szCs w:val="32"/>
          <w:lang w:val="en-US" w:eastAsia="zh-CN"/>
        </w:rPr>
        <w:t>行政执法业务培训等工作，不断提高执法水平和执法队伍整体素质。全面推进执法规范化建设提档升级。全面落实包容审慎监管执法和柔性执法，让市场监管执法更有力度、更有温度。</w:t>
      </w:r>
    </w:p>
    <w:p w14:paraId="74D3E4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C222A"/>
    <w:rsid w:val="06EC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2025-03-25T08:33:00Z</dcterms:created>
  <dc:creator>银华</dc:creator>
  <cp:lastModifiedBy>银华</cp:lastModifiedBy>
  <dcterms:modified xsi:type="dcterms:W3CDTF">2025-03-25T09:01:30Z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9B478EA76FB54307AB3DFD256939E439_11</vt:lpwstr>
  </property>
  <property fmtid="{D5CDD505-2E9C-101B-9397-08002B2CF9AE}" pid="4" name="KSOTemplateDocerSaveRecord">
    <vt:lpwstr>eyJoZGlkIjoiNzAwNWVlOWNmNWEzMmI0ZWMxMTIzNTQzMjk4NTUzMjEiLCJ1c2VySWQiOiI2NTU0NTYyMTUifQ==</vt:lpwstr>
  </property>
</Properties>
</file>