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48501">
      <w:pPr>
        <w:jc w:val="center"/>
        <w:rPr>
          <w:rFonts w:hint="eastAsia" w:ascii="方正小标宋_GBK" w:hAnsi="方正小标宋_GBK" w:eastAsia="方正小标宋_GBK" w:cs="方正小标宋_GBK"/>
          <w:sz w:val="44"/>
          <w:szCs w:val="44"/>
        </w:rPr>
      </w:pPr>
      <w:r>
        <w:rPr>
          <w:rFonts w:hint="eastAsia" w:ascii="黑体" w:hAnsi="黑体" w:eastAsia="黑体" w:cs="黑体"/>
          <w:sz w:val="44"/>
          <w:szCs w:val="44"/>
          <w:lang w:eastAsia="zh-CN"/>
        </w:rPr>
        <w:t>白店</w:t>
      </w:r>
      <w:r>
        <w:rPr>
          <w:rFonts w:hint="eastAsia" w:ascii="黑体" w:hAnsi="黑体" w:eastAsia="黑体" w:cs="黑体"/>
          <w:sz w:val="44"/>
          <w:szCs w:val="44"/>
        </w:rPr>
        <w:t>乡202</w:t>
      </w:r>
      <w:r>
        <w:rPr>
          <w:rFonts w:hint="eastAsia" w:ascii="黑体" w:hAnsi="黑体" w:eastAsia="黑体" w:cs="黑体"/>
          <w:sz w:val="44"/>
          <w:szCs w:val="44"/>
          <w:lang w:val="en-US" w:eastAsia="zh-CN"/>
        </w:rPr>
        <w:t>4</w:t>
      </w:r>
      <w:r>
        <w:rPr>
          <w:rFonts w:hint="eastAsia" w:ascii="黑体" w:hAnsi="黑体" w:eastAsia="黑体" w:cs="黑体"/>
          <w:sz w:val="44"/>
          <w:szCs w:val="44"/>
        </w:rPr>
        <w:t>年</w:t>
      </w:r>
      <w:bookmarkStart w:id="0" w:name="_GoBack"/>
      <w:bookmarkEnd w:id="0"/>
      <w:r>
        <w:rPr>
          <w:rFonts w:hint="eastAsia" w:ascii="黑体" w:hAnsi="黑体" w:eastAsia="黑体" w:cs="黑体"/>
          <w:sz w:val="44"/>
          <w:szCs w:val="44"/>
        </w:rPr>
        <w:t>法治</w:t>
      </w:r>
      <w:r>
        <w:rPr>
          <w:rFonts w:hint="eastAsia" w:ascii="黑体" w:hAnsi="黑体" w:eastAsia="黑体" w:cs="黑体"/>
          <w:sz w:val="44"/>
          <w:szCs w:val="44"/>
          <w:lang w:eastAsia="zh-CN"/>
        </w:rPr>
        <w:t>政府</w:t>
      </w:r>
      <w:r>
        <w:rPr>
          <w:rFonts w:hint="eastAsia" w:ascii="黑体" w:hAnsi="黑体" w:eastAsia="黑体" w:cs="黑体"/>
          <w:sz w:val="44"/>
          <w:szCs w:val="44"/>
        </w:rPr>
        <w:t>建设工作报告</w:t>
      </w:r>
    </w:p>
    <w:p w14:paraId="6FEAF1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县委、县政府的坚强领导下，白店乡坚持以习近平新时代中国特色社会主义思想为指导，深入学习贯彻习近平法治思想，全面贯彻落实党的二十大精神及国家、省、市、县关于法治建设的决策部署。现将白店乡2024年度法治建设工作情况报告如下：</w:t>
      </w:r>
    </w:p>
    <w:p w14:paraId="1F5AA9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2024 年党政主要负责人履行推进法治建设第一责任人职责，加强法治政府建设的有关情况</w:t>
      </w:r>
    </w:p>
    <w:p w14:paraId="6F09F5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（一）强化组织领导，构建法治建设新格局</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白店乡党委、政府始终把法治建设作为中心工作，不断强化组织领导，明确党政主要负责人为全面依法治乡及法治政府建设的第一责任人。成立以乡党委书记为组长的法治建设工作领导小组，统筹部署安排法治建设各项工作，形成了党委统一领导、政府负责、人民群众广泛参与的法治建设新格局。全年召开法治建设专题会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次，确保法治建设工作有序推进。</w:t>
      </w:r>
    </w:p>
    <w:p w14:paraId="2A7789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（二）夯实理论武装，提升法治素养</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一是坚持知行合一，贯彻学习党的二十大精神。通过集中学习、交流研讨等形式，深刻领悟“两个确立”的决定性意义，增强“四个意识”、坚定“四个自信”、做到“两个维护”。二是加强习近平法治思想的学习贯彻，将法治思想转化为推动全面依法治乡的强大动力。全年共组织党员干部集中学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次，开展专题研讨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次，不断提升党员干部的法治素养和政治理论水平。</w:t>
      </w:r>
    </w:p>
    <w:p w14:paraId="47B812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）深入推进依法行政 强化行政执法监督</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坚持用法治理念指导工作实践，提高自身的依法决策能力，严格执行民主集中制，落实党务公开，“三重一大”事项一律提交班子会议研究决定，重大决策事项均有法律顾问参与，做到依法行政。坚持用制度管权、管事、管人，强化财政预算管理、财务监管。依法接受人大法律监督、工作监督、人民群众监督。</w:t>
      </w:r>
    </w:p>
    <w:p w14:paraId="581202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sz w:val="32"/>
          <w:szCs w:val="32"/>
        </w:rPr>
        <w:t>二、2024 年推进法治政府建设的主要举措和成效</w:t>
      </w:r>
    </w:p>
    <w:p w14:paraId="253E5A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）依法行政，提升政府治理能力</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一是加强行政执法队伍建设。严格落实行政执法人员持证上岗和资格管理制度，现有持证执法人员达到</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人。通过网络培训、集中学习等方式，组织行政执法培训</w:t>
      </w:r>
      <w:r>
        <w:rPr>
          <w:rFonts w:hint="eastAsia" w:ascii="仿宋_GB2312" w:hAnsi="仿宋_GB2312" w:eastAsia="仿宋_GB2312" w:cs="仿宋_GB2312"/>
          <w:sz w:val="32"/>
          <w:szCs w:val="32"/>
          <w:lang w:val="en-US" w:eastAsia="zh-CN"/>
        </w:rPr>
        <w:t>30次</w:t>
      </w:r>
      <w:r>
        <w:rPr>
          <w:rFonts w:hint="eastAsia" w:ascii="仿宋_GB2312" w:hAnsi="仿宋_GB2312" w:eastAsia="仿宋_GB2312" w:cs="仿宋_GB2312"/>
          <w:sz w:val="32"/>
          <w:szCs w:val="32"/>
        </w:rPr>
        <w:t>，切实提高了执法人员的业务水平和法律素养。二是规范执法行为，推进执法全过程记录制。明确要求执法人员在执法过程中，通过文字、音像等方式对执法程序的各个环节进行全程记录，确保执法过程的可追溯性。</w:t>
      </w:r>
    </w:p>
    <w:p w14:paraId="7C32F1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）创新普法宣传，营造浓厚法治氛围</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一是广泛开展法治宣传活动。结合“八五”普法规划，利用传统节日、赶集日等时机，通过发放宣传页、举办法律讲座、开展法律咨询等形式，向群众普及法律知识。全年共组织宣传活动</w:t>
      </w:r>
      <w:r>
        <w:rPr>
          <w:rFonts w:hint="eastAsia" w:ascii="仿宋_GB2312" w:hAnsi="仿宋_GB2312" w:eastAsia="仿宋_GB2312" w:cs="仿宋_GB2312"/>
          <w:sz w:val="32"/>
          <w:szCs w:val="32"/>
          <w:lang w:val="en-US" w:eastAsia="zh-CN"/>
        </w:rPr>
        <w:t>3万</w:t>
      </w:r>
      <w:r>
        <w:rPr>
          <w:rFonts w:hint="eastAsia" w:ascii="仿宋_GB2312" w:hAnsi="仿宋_GB2312" w:eastAsia="仿宋_GB2312" w:cs="仿宋_GB2312"/>
          <w:kern w:val="0"/>
          <w:sz w:val="32"/>
          <w:szCs w:val="32"/>
          <w:lang w:val="en-US" w:eastAsia="zh-CN" w:bidi="ar"/>
        </w:rPr>
        <w:t>人次</w:t>
      </w:r>
      <w:r>
        <w:rPr>
          <w:rFonts w:hint="eastAsia" w:ascii="仿宋_GB2312" w:hAnsi="仿宋_GB2312" w:eastAsia="仿宋_GB2312" w:cs="仿宋_GB2312"/>
          <w:sz w:val="32"/>
          <w:szCs w:val="32"/>
        </w:rPr>
        <w:t>。二是创新普法宣传载体。通过乡村广播、宣传栏等多种渠道，开展形式多样的普法宣传。如举办法律知识竞赛等，激发了群众学习法律知识的积极性，营造了浓厚的法治氛围。</w:t>
      </w:r>
    </w:p>
    <w:p w14:paraId="3F6974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）强化矛盾纠纷化解，维护社会稳定</w:t>
      </w:r>
      <w:r>
        <w:rPr>
          <w:rFonts w:hint="eastAsia" w:ascii="楷体" w:hAnsi="楷体" w:eastAsia="楷体" w:cs="楷体"/>
          <w:b/>
          <w:bCs/>
          <w:sz w:val="32"/>
          <w:szCs w:val="32"/>
          <w:lang w:eastAsia="zh-CN"/>
        </w:rPr>
        <w:t>。</w:t>
      </w:r>
      <w:r>
        <w:rPr>
          <w:rFonts w:hint="eastAsia" w:ascii="仿宋_GB2312" w:hAnsi="仿宋_GB2312" w:eastAsia="仿宋_GB2312" w:cs="仿宋_GB2312"/>
          <w:kern w:val="0"/>
          <w:sz w:val="32"/>
          <w:szCs w:val="32"/>
          <w:lang w:val="en-US" w:eastAsia="zh-CN" w:bidi="ar"/>
        </w:rPr>
        <w:t>把“治理对象”转化为“治理力量”。探索建设“村民碰头会”制度，变“干部定、群众干”为“群众定、干部干”。治理成果进一步显现，信访量明显减少，信访量下降了97%。深化“三零”创建，平安村达标率95%；化解矛盾纠纷186余件，提供法律类咨询200余人次，进行法律援助30余件；持续开展扫黑除恶整乡推进工作，打击违法犯罪4人、劝返反诈人员1人。调整优化网格52个，办结网上信访案件8件，办结率均为100%。</w:t>
      </w:r>
    </w:p>
    <w:p w14:paraId="4E956D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三、2024 年推进法治政府建设存在的不足、原因和问题整改情况</w:t>
      </w:r>
    </w:p>
    <w:p w14:paraId="4022EBAB">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2024年，尽管我国在推进法治政府建设方面取得了一定成效，但仍存在若干不足之处，主要体现在以下几个方面：</w:t>
      </w:r>
    </w:p>
    <w:p w14:paraId="328F4416">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1.法治宣传环境不够浓厚。部分领导干部及行政机关工作人员对法治政府建设的重要性认识不足，运用法治思维和法治方式解决问题的能力有待提升，依法行政的理念尚未深入人心。</w:t>
      </w:r>
    </w:p>
    <w:p w14:paraId="42F1FF0B">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2.依法科学决策体系化不足。在决策过程中，公众参与程度偏低，专家论证走过场，民主集体讨论决定往往被“一把手”意志所主导，科学、民主、依法决策的机制尚未健全。</w:t>
      </w:r>
    </w:p>
    <w:p w14:paraId="38B88F90">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3.行政执法不规范。执法机构设置不合理，执法主体不明晰，部分行政执法人员执法水平不高，执法公信力受到影响。同时，执法过程中存在程序不规范、证据意识不强等问题。</w:t>
      </w:r>
    </w:p>
    <w:p w14:paraId="5BE43724">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上述不足的存在，主要源于以下三个方面的原因：一是法治观念不强。部分领导干部及行政机关工作人员对法治政府建设的全局性、系统性、长期性认识不足，认为依法办事程序繁琐，会不便于开展行政工作；二是制度执行不严。尽管我国已经建立了较为完善的法治政府建设制度体系，但在实际执行过程中，部分制度过于简略、粗糙，缺乏可操作性，导致制度执行不力；三是监督机制不完善。行政监督偏重于事后监督，而鲜少有事前和事中监督，导致监督效果大打折扣。同时，行政执法监督也存在不力现象，形式主义严重。</w:t>
      </w:r>
    </w:p>
    <w:p w14:paraId="4E0C1AEF">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针对不足及原因，我们采取了一系列措施进行整改，取得了初步成效：</w:t>
      </w:r>
    </w:p>
    <w:p w14:paraId="521813E1">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1.加强法治宣传教育。深入开展习近平法治思想的学习宣传教育活动，提高领导干部及行政机关工作人员的法治素养和依法行政能力。同时，加强普法工作，扩大普法覆盖面，将普法宣传广泛拓展到服务对象。</w:t>
      </w:r>
    </w:p>
    <w:p w14:paraId="0C550329">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2.完善依法科学决策机制。建立健全公众参与、专家论证、风险评估、合法性审查、集体讨论等法定程序，确保决策的科学性、民主性和合法性。同时，加强决策执行的评估和监督，确保决策得到有效执行。</w:t>
      </w:r>
    </w:p>
    <w:p w14:paraId="4DCE91C4">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lang w:val="en-US" w:eastAsia="zh-CN"/>
        </w:rPr>
      </w:pPr>
      <w:r>
        <w:rPr>
          <w:rFonts w:hint="eastAsia" w:ascii="仿宋_GB2312" w:hAnsi="仿宋_GB2312" w:eastAsia="仿宋_GB2312" w:cs="仿宋_GB2312"/>
          <w:kern w:val="0"/>
          <w:sz w:val="32"/>
          <w:szCs w:val="32"/>
          <w:lang w:val="en-US" w:eastAsia="zh-CN" w:bidi="ar"/>
        </w:rPr>
        <w:t>3.规范行政执法行为。加强行政执法队伍建设，提高执法人员的法律素养和执法水平。同时，完善执法程序和证据制度，确保执法过程的合法性和规范性。对于违法执法行为，依法追究责任，严肃处理。</w:t>
      </w:r>
    </w:p>
    <w:p w14:paraId="052BEA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四、2025 年推进法治政府建设的初步安排</w:t>
      </w:r>
    </w:p>
    <w:p w14:paraId="549433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（一）加强组织领导，完善法治建设工作机制</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进一步强化对法治建设工作的领导，明确党政主要负责人的第一责任人职责，将法治建设工作纳入党委、政府的重要议事日程。定期召开法治建设工作专题会议，研究解决法治建设中的重大问题，确保法治建设工作有序推进。</w:t>
      </w:r>
    </w:p>
    <w:p w14:paraId="0240DD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（二）深化依法行政，提升政府治理能力</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继续加强行政执法队伍建设，提升执法人员的业务水平和法律素养。规范执法行为，推进执法全过程</w:t>
      </w:r>
      <w:r>
        <w:rPr>
          <w:rFonts w:hint="eastAsia" w:ascii="仿宋_GB2312" w:hAnsi="仿宋_GB2312" w:eastAsia="仿宋_GB2312" w:cs="仿宋_GB2312"/>
          <w:sz w:val="32"/>
          <w:szCs w:val="32"/>
          <w:lang w:eastAsia="zh-CN"/>
        </w:rPr>
        <w:t>记录</w:t>
      </w:r>
      <w:r>
        <w:rPr>
          <w:rFonts w:hint="eastAsia" w:ascii="仿宋_GB2312" w:hAnsi="仿宋_GB2312" w:eastAsia="仿宋_GB2312" w:cs="仿宋_GB2312"/>
          <w:sz w:val="32"/>
          <w:szCs w:val="32"/>
        </w:rPr>
        <w:t>，确保执法公正。同时，加强行政应诉工作人员法律教育培训，提高复议诉讼办理能力。</w:t>
      </w:r>
    </w:p>
    <w:p w14:paraId="5C40FD8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（三）优化普法宣传，营造浓厚法治氛围</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创新普法宣传载体和形式，利用新媒体平台渠道，开展形式多样的普法宣传活动。深入挖掘和宣传在抢险救灾、保护群众等方面的先进个人和感人事迹，传递正能量。同时，加强法治文化建设，营造尊法学法守法用法的良好氛围。</w:t>
      </w:r>
    </w:p>
    <w:p w14:paraId="67B955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（四）强化矛盾纠纷化解，维护社会稳定</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建立健全矛盾纠纷排查调解机制，加强人民调解员队伍建设，提高矛盾纠纷化解效率。加强特殊人群管理，做好心理疏导和帮扶工作，确保社会稳定和谐。</w:t>
      </w:r>
    </w:p>
    <w:p w14:paraId="4618CC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（五）加强队伍建设，提升法治工作水平</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继续组织干部职工法治培训工作，提高现有人员的法律素质。加强执法装备建设，为执法人员配备先进的执法设备，保障执法工作的顺利开展。同时，加强与其他</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的交流合作，学习借鉴先进经验，不断提升我乡法治工作水平。</w:t>
      </w:r>
    </w:p>
    <w:p w14:paraId="046B14DA"/>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D97FC1-D8CF-4CB9-A74C-2A5C454CC4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90E10E7-0EF7-44EC-BB3B-8D18A878DED8}"/>
  </w:font>
  <w:font w:name="方正小标宋_GBK">
    <w:panose1 w:val="02000000000000000000"/>
    <w:charset w:val="86"/>
    <w:family w:val="auto"/>
    <w:pitch w:val="default"/>
    <w:sig w:usb0="A00002BF" w:usb1="38CF7CFA" w:usb2="00082016" w:usb3="00000000" w:csb0="00040001" w:csb1="00000000"/>
    <w:embedRegular r:id="rId3" w:fontKey="{9A6DA70E-B015-4E33-BF46-9A5369332910}"/>
  </w:font>
  <w:font w:name="仿宋_GB2312">
    <w:panose1 w:val="02010609030101010101"/>
    <w:charset w:val="86"/>
    <w:family w:val="modern"/>
    <w:pitch w:val="default"/>
    <w:sig w:usb0="00000001" w:usb1="080E0000" w:usb2="00000000" w:usb3="00000000" w:csb0="00040000" w:csb1="00000000"/>
    <w:embedRegular r:id="rId4" w:fontKey="{CC03345F-0B4B-4B21-978F-BCF7410EB961}"/>
  </w:font>
  <w:font w:name="楷体">
    <w:panose1 w:val="02010609060101010101"/>
    <w:charset w:val="86"/>
    <w:family w:val="auto"/>
    <w:pitch w:val="default"/>
    <w:sig w:usb0="800002BF" w:usb1="38CF7CFA" w:usb2="00000016" w:usb3="00000000" w:csb0="00040001" w:csb1="00000000"/>
    <w:embedRegular r:id="rId5" w:fontKey="{62A5AD1D-88E3-45CD-AEEB-B62013A4A4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67D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65C9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665C9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23977"/>
    <w:rsid w:val="05E23977"/>
    <w:rsid w:val="222D671F"/>
    <w:rsid w:val="324B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2692</Words>
  <Characters>2733</Characters>
  <Lines>0</Lines>
  <Paragraphs>0</Paragraphs>
  <TotalTime>4</TotalTime>
  <ScaleCrop>false</ScaleCrop>
  <LinksUpToDate>false</LinksUpToDate>
  <CharactersWithSpaces>2739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2025-03-12T00:11:00Z</dcterms:created>
  <dc:creator>银华</dc:creator>
  <cp:lastModifiedBy>银华</cp:lastModifiedBy>
  <dcterms:modified xsi:type="dcterms:W3CDTF">2025-03-12T00:48:39Z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0C38A3AABFC04BBF9AE912455ADEA642_11</vt:lpwstr>
  </property>
  <property fmtid="{D5CDD505-2E9C-101B-9397-08002B2CF9AE}" pid="4" name="KSOTemplateDocerSaveRecord">
    <vt:lpwstr>eyJoZGlkIjoiNzAwNWVlOWNmNWEzMmI0ZWMxMTIzNTQzMjk4NTUzMjEiLCJ1c2VySWQiOiI2NTU0NTYyMTUifQ==</vt:lpwstr>
  </property>
</Properties>
</file>