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25B4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b/>
          <w:bCs/>
          <w:sz w:val="44"/>
          <w:szCs w:val="44"/>
          <w:highlight w:val="none"/>
        </w:rPr>
      </w:pPr>
      <w:r>
        <w:rPr>
          <w:rFonts w:hint="eastAsia" w:ascii="黑体" w:hAnsi="黑体" w:eastAsia="黑体" w:cs="黑体"/>
          <w:b w:val="0"/>
          <w:bCs w:val="0"/>
          <w:sz w:val="44"/>
          <w:szCs w:val="44"/>
          <w:highlight w:val="none"/>
          <w:lang w:val="en-US" w:eastAsia="zh-CN"/>
        </w:rPr>
        <w:t>仁和镇</w:t>
      </w:r>
      <w:r>
        <w:rPr>
          <w:rFonts w:hint="eastAsia" w:ascii="黑体" w:hAnsi="黑体" w:eastAsia="黑体" w:cs="黑体"/>
          <w:b w:val="0"/>
          <w:bCs w:val="0"/>
          <w:sz w:val="44"/>
          <w:szCs w:val="44"/>
          <w:highlight w:val="none"/>
        </w:rPr>
        <w:t>202</w:t>
      </w:r>
      <w:r>
        <w:rPr>
          <w:rFonts w:hint="eastAsia" w:ascii="黑体" w:hAnsi="黑体" w:eastAsia="黑体" w:cs="黑体"/>
          <w:b w:val="0"/>
          <w:bCs w:val="0"/>
          <w:sz w:val="44"/>
          <w:szCs w:val="44"/>
          <w:highlight w:val="none"/>
          <w:lang w:val="en-US" w:eastAsia="zh-CN"/>
        </w:rPr>
        <w:t>4</w:t>
      </w:r>
      <w:r>
        <w:rPr>
          <w:rFonts w:hint="eastAsia" w:ascii="黑体" w:hAnsi="黑体" w:eastAsia="黑体" w:cs="黑体"/>
          <w:b w:val="0"/>
          <w:bCs w:val="0"/>
          <w:sz w:val="44"/>
          <w:szCs w:val="44"/>
          <w:highlight w:val="none"/>
        </w:rPr>
        <w:t>年法治</w:t>
      </w:r>
      <w:r>
        <w:rPr>
          <w:rFonts w:hint="eastAsia" w:ascii="黑体" w:hAnsi="黑体" w:eastAsia="黑体" w:cs="黑体"/>
          <w:b w:val="0"/>
          <w:bCs w:val="0"/>
          <w:sz w:val="44"/>
          <w:szCs w:val="44"/>
          <w:highlight w:val="none"/>
          <w:lang w:val="en-US" w:eastAsia="zh-CN"/>
        </w:rPr>
        <w:t>政府</w:t>
      </w:r>
      <w:r>
        <w:rPr>
          <w:rFonts w:hint="eastAsia" w:ascii="黑体" w:hAnsi="黑体" w:eastAsia="黑体" w:cs="黑体"/>
          <w:b w:val="0"/>
          <w:bCs w:val="0"/>
          <w:sz w:val="44"/>
          <w:szCs w:val="44"/>
          <w:highlight w:val="none"/>
        </w:rPr>
        <w:t>建设</w:t>
      </w:r>
      <w:r>
        <w:rPr>
          <w:rFonts w:hint="eastAsia" w:ascii="黑体" w:hAnsi="黑体" w:eastAsia="黑体" w:cs="黑体"/>
          <w:b w:val="0"/>
          <w:bCs w:val="0"/>
          <w:sz w:val="44"/>
          <w:szCs w:val="44"/>
          <w:highlight w:val="none"/>
          <w:lang w:val="en-US" w:eastAsia="zh-CN"/>
        </w:rPr>
        <w:t>工作</w:t>
      </w:r>
      <w:r>
        <w:rPr>
          <w:rFonts w:hint="eastAsia" w:ascii="黑体" w:hAnsi="黑体" w:eastAsia="黑体" w:cs="黑体"/>
          <w:b w:val="0"/>
          <w:bCs w:val="0"/>
          <w:sz w:val="44"/>
          <w:szCs w:val="44"/>
          <w:highlight w:val="none"/>
        </w:rPr>
        <w:t>报告</w:t>
      </w:r>
    </w:p>
    <w:p w14:paraId="6F4A14C7">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p>
    <w:p w14:paraId="2C8DA69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仁和镇在县委、县政府的坚强领导下，坚持以习近平新时代中国特色社会主义思想为指导，全面贯彻落实党的二十届三中全会精神，深入贯彻习近平法治思想，紧紧围绕法治政府建设目标，多措并举，狠抓落实，现将法治政府建设报告如下。</w:t>
      </w:r>
    </w:p>
    <w:p w14:paraId="68444B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党政主要负责人履行推进法治建设第一责任人职责，加强法治政府建设的有关情况</w:t>
      </w:r>
    </w:p>
    <w:p w14:paraId="63BB431D">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为贯彻落实《党政主要负责人履行推进法治建设第一责任人职责的规定》的要求，我镇党政主要负责人始终坚持把依法行政工作牢牢抓在手上、扛在肩上。</w:t>
      </w:r>
      <w:r>
        <w:rPr>
          <w:rFonts w:hint="eastAsia" w:ascii="仿宋_GB2312" w:hAnsi="仿宋_GB2312" w:eastAsia="仿宋_GB2312" w:cs="仿宋_GB2312"/>
          <w:b/>
          <w:bCs/>
          <w:sz w:val="32"/>
          <w:szCs w:val="32"/>
          <w:highlight w:val="none"/>
          <w:lang w:eastAsia="zh-CN"/>
        </w:rPr>
        <w:t>一是切实</w:t>
      </w:r>
      <w:r>
        <w:rPr>
          <w:rFonts w:hint="eastAsia" w:ascii="仿宋_GB2312" w:hAnsi="仿宋_GB2312" w:eastAsia="仿宋_GB2312" w:cs="仿宋_GB2312"/>
          <w:b/>
          <w:bCs/>
          <w:sz w:val="32"/>
          <w:szCs w:val="32"/>
          <w:highlight w:val="none"/>
        </w:rPr>
        <w:t>履行职责</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深刻领悟并积极落实习近平法治思想，以社会主义法治精神为指引，在涉及“三重一大”事项上，严格监督把控依法行政，始终将法治理念贯穿其中，建立严谨的“三重一大”事项审核把关机制，加强程序的合法性审查、合规性检查，保障了工作的公正、合法、有效，为法治政府建设筑牢坚实防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b/>
          <w:bCs/>
          <w:sz w:val="32"/>
          <w:szCs w:val="32"/>
          <w:highlight w:val="none"/>
        </w:rPr>
        <w:t>带头学习法规</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通过组织领导班子集体学法活动，精心挑选涵盖宪法、行政法、经济法等与党政工作紧密相关的法律领域作为学习内容，促使领导班子成员不断加深对法律条文的理解与运用能力，提升依法决策、依法管理的意识与水平。</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b/>
          <w:bCs/>
          <w:sz w:val="32"/>
          <w:szCs w:val="32"/>
          <w:highlight w:val="none"/>
        </w:rPr>
        <w:t>定期召开会议</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围绕法治政府建设工作的核心要点、关键环节展开深入探讨，从完善行政决策到规范行政流程，从强化行政监督体系到提升政务服务法治水平，定期召开法治</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建设专题会议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将习近平法治思想全面融入每一个细节，逐一进行细致研究与精心部署，确保法治建设的各项举措能够精准落地、高效推进。</w:t>
      </w:r>
    </w:p>
    <w:p w14:paraId="0CFBDE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lang w:val="en-US" w:eastAsia="zh-CN"/>
        </w:rPr>
        <w:t>2024年</w:t>
      </w:r>
      <w:r>
        <w:rPr>
          <w:rFonts w:hint="eastAsia" w:ascii="黑体" w:hAnsi="黑体" w:eastAsia="黑体" w:cs="黑体"/>
          <w:sz w:val="32"/>
          <w:szCs w:val="32"/>
          <w:highlight w:val="none"/>
        </w:rPr>
        <w:t>推进法治政府建设的主要举措和成效</w:t>
      </w:r>
    </w:p>
    <w:p w14:paraId="54C2EDEE">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cs="仿宋"/>
          <w:sz w:val="32"/>
          <w:szCs w:val="32"/>
          <w:highlight w:val="none"/>
        </w:rPr>
      </w:pPr>
      <w:r>
        <w:rPr>
          <w:rFonts w:hint="eastAsia" w:ascii="楷体" w:hAnsi="楷体" w:eastAsia="楷体" w:cs="楷体"/>
          <w:b/>
          <w:bCs/>
          <w:sz w:val="32"/>
          <w:szCs w:val="32"/>
          <w:highlight w:val="none"/>
        </w:rPr>
        <w:t>（一）</w:t>
      </w:r>
      <w:r>
        <w:rPr>
          <w:rFonts w:hint="eastAsia" w:ascii="楷体" w:hAnsi="楷体" w:eastAsia="楷体" w:cs="楷体"/>
          <w:b/>
          <w:bCs/>
          <w:sz w:val="32"/>
          <w:szCs w:val="32"/>
          <w:highlight w:val="none"/>
          <w:lang w:eastAsia="zh-CN"/>
        </w:rPr>
        <w:t>加强组织领导</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eastAsia="zh-CN"/>
        </w:rPr>
        <w:t>抗牢政治责任。</w:t>
      </w:r>
      <w:r>
        <w:rPr>
          <w:rFonts w:hint="eastAsia" w:ascii="仿宋_GB2312" w:hAnsi="仿宋_GB2312" w:eastAsia="仿宋_GB2312" w:cs="仿宋_GB2312"/>
          <w:b/>
          <w:bCs/>
          <w:sz w:val="32"/>
          <w:szCs w:val="32"/>
          <w:highlight w:val="none"/>
        </w:rPr>
        <w:t>一是强化核心领导。</w:t>
      </w:r>
      <w:r>
        <w:rPr>
          <w:rFonts w:hint="eastAsia" w:ascii="仿宋_GB2312" w:hAnsi="仿宋_GB2312" w:eastAsia="仿宋_GB2312" w:cs="仿宋_GB2312"/>
          <w:sz w:val="32"/>
          <w:szCs w:val="32"/>
          <w:highlight w:val="none"/>
        </w:rPr>
        <w:t>充分发挥仁和镇党委在推进我镇法治</w:t>
      </w:r>
      <w:r>
        <w:rPr>
          <w:rFonts w:hint="eastAsia" w:ascii="仿宋_GB2312" w:hAnsi="仿宋_GB2312" w:eastAsia="仿宋_GB2312" w:cs="仿宋_GB2312"/>
          <w:sz w:val="32"/>
          <w:szCs w:val="32"/>
          <w:highlight w:val="none"/>
          <w:lang w:val="en-US" w:eastAsia="zh-CN"/>
        </w:rPr>
        <w:t>政府</w:t>
      </w:r>
      <w:r>
        <w:rPr>
          <w:rFonts w:hint="eastAsia" w:ascii="仿宋_GB2312" w:hAnsi="仿宋_GB2312" w:eastAsia="仿宋_GB2312" w:cs="仿宋_GB2312"/>
          <w:sz w:val="32"/>
          <w:szCs w:val="32"/>
          <w:highlight w:val="none"/>
        </w:rPr>
        <w:t>建设中的领导核心作用，坚持每半年主持召开镇党委专题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听取法治</w:t>
      </w:r>
      <w:r>
        <w:rPr>
          <w:rFonts w:hint="eastAsia" w:ascii="仿宋_GB2312" w:hAnsi="仿宋_GB2312" w:eastAsia="仿宋_GB2312" w:cs="仿宋_GB2312"/>
          <w:sz w:val="32"/>
          <w:szCs w:val="32"/>
          <w:highlight w:val="none"/>
          <w:lang w:val="en-US" w:eastAsia="zh-CN"/>
        </w:rPr>
        <w:t>政府</w:t>
      </w:r>
      <w:r>
        <w:rPr>
          <w:rFonts w:hint="eastAsia" w:ascii="仿宋_GB2312" w:hAnsi="仿宋_GB2312" w:eastAsia="仿宋_GB2312" w:cs="仿宋_GB2312"/>
          <w:sz w:val="32"/>
          <w:szCs w:val="32"/>
          <w:highlight w:val="none"/>
        </w:rPr>
        <w:t>建设工作</w:t>
      </w:r>
      <w:r>
        <w:rPr>
          <w:rFonts w:hint="eastAsia" w:ascii="仿宋_GB2312" w:hAnsi="仿宋_GB2312" w:eastAsia="仿宋_GB2312" w:cs="仿宋_GB2312"/>
          <w:sz w:val="32"/>
          <w:szCs w:val="32"/>
          <w:highlight w:val="none"/>
          <w:lang w:eastAsia="zh-CN"/>
        </w:rPr>
        <w:t>情况</w:t>
      </w:r>
      <w:r>
        <w:rPr>
          <w:rFonts w:hint="eastAsia" w:ascii="仿宋_GB2312" w:hAnsi="仿宋_GB2312" w:eastAsia="仿宋_GB2312" w:cs="仿宋_GB2312"/>
          <w:sz w:val="32"/>
          <w:szCs w:val="32"/>
          <w:highlight w:val="none"/>
        </w:rPr>
        <w:t>汇报，研究解决推进法治政府建设工作中遇到的困难和问题。</w:t>
      </w:r>
      <w:r>
        <w:rPr>
          <w:rFonts w:hint="eastAsia" w:ascii="仿宋_GB2312" w:hAnsi="仿宋_GB2312" w:eastAsia="仿宋_GB2312" w:cs="仿宋_GB2312"/>
          <w:sz w:val="32"/>
          <w:szCs w:val="32"/>
          <w:highlight w:val="none"/>
          <w:lang w:eastAsia="zh-CN"/>
        </w:rPr>
        <w:t>同时</w:t>
      </w:r>
      <w:r>
        <w:rPr>
          <w:rFonts w:hint="eastAsia" w:ascii="仿宋_GB2312" w:hAnsi="仿宋_GB2312" w:eastAsia="仿宋_GB2312" w:cs="仿宋_GB2312"/>
          <w:sz w:val="32"/>
          <w:szCs w:val="32"/>
          <w:highlight w:val="none"/>
        </w:rPr>
        <w:t>，把法治建设工作纳入我镇202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年度总体规划和年度工作要点，与优化营商环境、人居环境整治、乡村振兴等全镇中心工作同部署、同推进、同督促、同考核、同奖惩。</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b/>
          <w:bCs/>
          <w:sz w:val="32"/>
          <w:szCs w:val="32"/>
          <w:highlight w:val="none"/>
          <w:lang w:eastAsia="zh-CN"/>
        </w:rPr>
        <w:t>严格落实</w:t>
      </w:r>
      <w:r>
        <w:rPr>
          <w:rFonts w:hint="eastAsia" w:ascii="仿宋_GB2312" w:hAnsi="仿宋_GB2312" w:eastAsia="仿宋_GB2312" w:cs="仿宋_GB2312"/>
          <w:b/>
          <w:bCs/>
          <w:sz w:val="32"/>
          <w:szCs w:val="32"/>
          <w:highlight w:val="none"/>
        </w:rPr>
        <w:t>责任。</w:t>
      </w:r>
      <w:r>
        <w:rPr>
          <w:rFonts w:hint="eastAsia" w:ascii="仿宋_GB2312" w:hAnsi="仿宋_GB2312" w:eastAsia="仿宋_GB2312" w:cs="仿宋_GB2312"/>
          <w:sz w:val="32"/>
          <w:szCs w:val="32"/>
          <w:highlight w:val="none"/>
        </w:rPr>
        <w:t>将党政主要负责人履行推进法治建设第一责任人职责及法治政府建设督察工作纳入</w:t>
      </w:r>
      <w:r>
        <w:rPr>
          <w:rFonts w:hint="eastAsia" w:ascii="仿宋_GB2312" w:hAnsi="仿宋_GB2312" w:eastAsia="仿宋_GB2312" w:cs="仿宋_GB2312"/>
          <w:sz w:val="32"/>
          <w:szCs w:val="32"/>
          <w:highlight w:val="none"/>
          <w:lang w:eastAsia="zh-CN"/>
        </w:rPr>
        <w:t>镇</w:t>
      </w:r>
      <w:r>
        <w:rPr>
          <w:rFonts w:hint="eastAsia" w:ascii="仿宋_GB2312" w:hAnsi="仿宋_GB2312" w:eastAsia="仿宋_GB2312" w:cs="仿宋_GB2312"/>
          <w:sz w:val="32"/>
          <w:szCs w:val="32"/>
          <w:highlight w:val="none"/>
        </w:rPr>
        <w:t>重点</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任务。印发《仁和镇202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年度法治政府建设工作要点》，对年度重点工作进行安排部署，协调各</w:t>
      </w:r>
      <w:r>
        <w:rPr>
          <w:rFonts w:hint="eastAsia" w:ascii="仿宋_GB2312" w:hAnsi="仿宋_GB2312" w:eastAsia="仿宋_GB2312" w:cs="仿宋_GB2312"/>
          <w:sz w:val="32"/>
          <w:szCs w:val="32"/>
          <w:highlight w:val="none"/>
          <w:lang w:val="en-US" w:eastAsia="zh-CN"/>
        </w:rPr>
        <w:t>村</w:t>
      </w:r>
      <w:r>
        <w:rPr>
          <w:rFonts w:hint="eastAsia" w:ascii="仿宋_GB2312" w:hAnsi="仿宋_GB2312" w:eastAsia="仿宋_GB2312" w:cs="仿宋_GB2312"/>
          <w:sz w:val="32"/>
          <w:szCs w:val="32"/>
          <w:highlight w:val="none"/>
        </w:rPr>
        <w:t>各部门</w:t>
      </w:r>
      <w:r>
        <w:rPr>
          <w:rFonts w:hint="eastAsia" w:ascii="仿宋_GB2312" w:hAnsi="仿宋_GB2312" w:eastAsia="仿宋_GB2312" w:cs="仿宋_GB2312"/>
          <w:sz w:val="32"/>
          <w:szCs w:val="32"/>
          <w:highlight w:val="none"/>
          <w:lang w:val="en-US" w:eastAsia="zh-CN"/>
        </w:rPr>
        <w:t>信息共享</w:t>
      </w:r>
      <w:r>
        <w:rPr>
          <w:rFonts w:hint="eastAsia" w:ascii="仿宋_GB2312" w:hAnsi="仿宋_GB2312" w:eastAsia="仿宋_GB2312" w:cs="仿宋_GB2312"/>
          <w:sz w:val="32"/>
          <w:szCs w:val="32"/>
          <w:highlight w:val="none"/>
        </w:rPr>
        <w:t>，形成上下统一、部门联动的一体化工作格局，增强了各村（</w:t>
      </w:r>
      <w:r>
        <w:rPr>
          <w:rFonts w:hint="eastAsia" w:ascii="仿宋_GB2312" w:hAnsi="仿宋_GB2312" w:eastAsia="仿宋_GB2312" w:cs="仿宋_GB2312"/>
          <w:sz w:val="32"/>
          <w:szCs w:val="32"/>
          <w:highlight w:val="none"/>
          <w:lang w:val="en-US" w:eastAsia="zh-CN"/>
        </w:rPr>
        <w:t>街</w:t>
      </w:r>
      <w:r>
        <w:rPr>
          <w:rFonts w:hint="eastAsia" w:ascii="仿宋_GB2312" w:hAnsi="仿宋_GB2312" w:eastAsia="仿宋_GB2312" w:cs="仿宋_GB2312"/>
          <w:sz w:val="32"/>
          <w:szCs w:val="32"/>
          <w:highlight w:val="none"/>
        </w:rPr>
        <w:t>）、镇直各部门推进法治建设工作的自觉性和主动性。</w:t>
      </w:r>
    </w:p>
    <w:p w14:paraId="5AFF3446">
      <w:pPr>
        <w:pStyle w:val="7"/>
        <w:keepNext w:val="0"/>
        <w:keepLines w:val="0"/>
        <w:pageBreakBefore w:val="0"/>
        <w:widowControl/>
        <w:kinsoku/>
        <w:wordWrap/>
        <w:overflowPunct/>
        <w:topLinePunct w:val="0"/>
        <w:autoSpaceDE/>
        <w:autoSpaceDN/>
        <w:bidi w:val="0"/>
        <w:adjustRightInd/>
        <w:snapToGrid/>
        <w:spacing w:line="560" w:lineRule="exact"/>
        <w:ind w:left="0" w:leftChars="0" w:firstLine="634"/>
        <w:textAlignment w:val="auto"/>
        <w:rPr>
          <w:rFonts w:hint="eastAsia" w:eastAsia="仿宋_GB2312" w:cs="Times New Roman"/>
          <w:color w:val="333333"/>
          <w:kern w:val="0"/>
          <w:sz w:val="24"/>
          <w:highlight w:val="none"/>
          <w:lang w:eastAsia="zh-CN"/>
        </w:rPr>
      </w:pPr>
      <w:r>
        <w:rPr>
          <w:rFonts w:hint="eastAsia" w:ascii="楷体" w:hAnsi="楷体" w:eastAsia="楷体" w:cs="楷体"/>
          <w:b/>
          <w:bCs/>
          <w:sz w:val="32"/>
          <w:szCs w:val="32"/>
          <w:highlight w:val="none"/>
        </w:rPr>
        <w:t>（二）</w:t>
      </w:r>
      <w:r>
        <w:rPr>
          <w:rFonts w:hint="eastAsia" w:ascii="楷体" w:hAnsi="楷体" w:eastAsia="楷体" w:cs="楷体"/>
          <w:b/>
          <w:bCs/>
          <w:sz w:val="32"/>
          <w:szCs w:val="32"/>
          <w:highlight w:val="none"/>
          <w:lang w:eastAsia="zh-CN"/>
        </w:rPr>
        <w:t>加</w:t>
      </w:r>
      <w:r>
        <w:rPr>
          <w:rFonts w:hint="eastAsia" w:ascii="楷体" w:hAnsi="楷体" w:eastAsia="楷体" w:cs="楷体"/>
          <w:b/>
          <w:bCs/>
          <w:sz w:val="32"/>
          <w:szCs w:val="32"/>
          <w:highlight w:val="none"/>
        </w:rPr>
        <w:t>强宣传教育，提</w:t>
      </w:r>
      <w:r>
        <w:rPr>
          <w:rFonts w:hint="eastAsia" w:ascii="楷体" w:hAnsi="楷体" w:eastAsia="楷体" w:cs="楷体"/>
          <w:b/>
          <w:bCs/>
          <w:sz w:val="32"/>
          <w:szCs w:val="32"/>
          <w:highlight w:val="none"/>
          <w:lang w:eastAsia="zh-CN"/>
        </w:rPr>
        <w:t>升</w:t>
      </w:r>
      <w:r>
        <w:rPr>
          <w:rFonts w:hint="eastAsia" w:ascii="楷体" w:hAnsi="楷体" w:eastAsia="楷体" w:cs="楷体"/>
          <w:b/>
          <w:bCs/>
          <w:sz w:val="32"/>
          <w:szCs w:val="32"/>
          <w:highlight w:val="none"/>
        </w:rPr>
        <w:t>法治意识</w:t>
      </w:r>
      <w:r>
        <w:rPr>
          <w:rFonts w:hint="eastAsia" w:ascii="楷体" w:hAnsi="楷体" w:eastAsia="楷体" w:cs="楷体"/>
          <w:b/>
          <w:bCs/>
          <w:sz w:val="32"/>
          <w:szCs w:val="32"/>
          <w:highlight w:val="none"/>
          <w:lang w:eastAsia="zh-CN"/>
        </w:rPr>
        <w:t>。</w:t>
      </w:r>
      <w:r>
        <w:rPr>
          <w:rFonts w:ascii="仿宋_GB2312" w:eastAsia="仿宋_GB2312" w:cs="仿宋_GB2312"/>
          <w:b/>
          <w:bCs w:val="0"/>
          <w:color w:val="00000A"/>
          <w:kern w:val="0"/>
          <w:sz w:val="32"/>
          <w:szCs w:val="32"/>
          <w:highlight w:val="none"/>
        </w:rPr>
        <w:t>一是</w:t>
      </w:r>
      <w:r>
        <w:rPr>
          <w:rFonts w:hint="eastAsia" w:ascii="仿宋_GB2312" w:eastAsia="仿宋_GB2312" w:cs="仿宋_GB2312"/>
          <w:b/>
          <w:bCs w:val="0"/>
          <w:color w:val="00000A"/>
          <w:kern w:val="0"/>
          <w:sz w:val="32"/>
          <w:szCs w:val="32"/>
          <w:highlight w:val="none"/>
          <w:lang w:eastAsia="zh-CN"/>
        </w:rPr>
        <w:t>广泛</w:t>
      </w:r>
      <w:r>
        <w:rPr>
          <w:rFonts w:ascii="仿宋_GB2312" w:eastAsia="仿宋_GB2312" w:cs="仿宋_GB2312"/>
          <w:b/>
          <w:bCs w:val="0"/>
          <w:color w:val="00000A"/>
          <w:kern w:val="0"/>
          <w:sz w:val="32"/>
          <w:szCs w:val="32"/>
          <w:highlight w:val="none"/>
        </w:rPr>
        <w:t>开展</w:t>
      </w:r>
      <w:r>
        <w:rPr>
          <w:rFonts w:hint="eastAsia" w:ascii="仿宋_GB2312" w:eastAsia="仿宋_GB2312" w:cs="仿宋_GB2312"/>
          <w:b/>
          <w:bCs w:val="0"/>
          <w:color w:val="00000A"/>
          <w:kern w:val="0"/>
          <w:sz w:val="32"/>
          <w:szCs w:val="32"/>
          <w:highlight w:val="none"/>
          <w:lang w:eastAsia="zh-CN"/>
        </w:rPr>
        <w:t>普法</w:t>
      </w:r>
      <w:r>
        <w:rPr>
          <w:rFonts w:ascii="仿宋_GB2312" w:eastAsia="仿宋_GB2312" w:cs="仿宋_GB2312"/>
          <w:b/>
          <w:bCs w:val="0"/>
          <w:color w:val="00000A"/>
          <w:kern w:val="0"/>
          <w:sz w:val="32"/>
          <w:szCs w:val="32"/>
          <w:highlight w:val="none"/>
        </w:rPr>
        <w:t>宣传活动</w:t>
      </w:r>
      <w:r>
        <w:rPr>
          <w:rFonts w:hint="eastAsia" w:ascii="仿宋_GB2312" w:eastAsia="仿宋_GB2312" w:cs="仿宋_GB2312"/>
          <w:b/>
          <w:bCs w:val="0"/>
          <w:color w:val="00000A"/>
          <w:kern w:val="0"/>
          <w:sz w:val="32"/>
          <w:szCs w:val="32"/>
          <w:highlight w:val="none"/>
          <w:lang w:eastAsia="zh-CN"/>
        </w:rPr>
        <w:t>。</w:t>
      </w:r>
      <w:r>
        <w:rPr>
          <w:rFonts w:hint="eastAsia" w:ascii="仿宋_GB2312" w:eastAsia="仿宋_GB2312" w:cs="仿宋_GB2312"/>
          <w:b w:val="0"/>
          <w:bCs/>
          <w:color w:val="00000A"/>
          <w:kern w:val="0"/>
          <w:sz w:val="32"/>
          <w:szCs w:val="32"/>
          <w:highlight w:val="none"/>
          <w:lang w:eastAsia="zh-CN"/>
        </w:rPr>
        <w:t>采取群众喜闻乐见的形式，</w:t>
      </w:r>
      <w:r>
        <w:rPr>
          <w:rFonts w:ascii="仿宋_GB2312" w:eastAsia="仿宋_GB2312" w:cs="仿宋_GB2312"/>
          <w:bCs/>
          <w:color w:val="auto"/>
          <w:kern w:val="0"/>
          <w:sz w:val="32"/>
          <w:szCs w:val="32"/>
          <w:highlight w:val="none"/>
        </w:rPr>
        <w:t>在全镇机关、学校、村</w:t>
      </w:r>
      <w:r>
        <w:rPr>
          <w:rFonts w:hint="eastAsia" w:ascii="仿宋_GB2312" w:eastAsia="仿宋_GB2312" w:cs="仿宋_GB2312"/>
          <w:bCs/>
          <w:color w:val="auto"/>
          <w:kern w:val="0"/>
          <w:sz w:val="32"/>
          <w:szCs w:val="32"/>
          <w:highlight w:val="none"/>
          <w:lang w:val="en-US" w:eastAsia="zh-CN"/>
        </w:rPr>
        <w:t>街</w:t>
      </w:r>
      <w:r>
        <w:rPr>
          <w:rFonts w:ascii="仿宋_GB2312" w:eastAsia="仿宋_GB2312" w:cs="仿宋_GB2312"/>
          <w:bCs/>
          <w:color w:val="auto"/>
          <w:kern w:val="0"/>
          <w:sz w:val="32"/>
          <w:szCs w:val="32"/>
          <w:highlight w:val="none"/>
        </w:rPr>
        <w:t>和重要路口悬挂宣传横幅，发放法治宣传手册，</w:t>
      </w:r>
      <w:r>
        <w:rPr>
          <w:rFonts w:hint="eastAsia" w:ascii="仿宋_GB2312" w:eastAsia="仿宋_GB2312" w:cs="仿宋_GB2312"/>
          <w:bCs/>
          <w:color w:val="auto"/>
          <w:kern w:val="0"/>
          <w:sz w:val="32"/>
          <w:szCs w:val="32"/>
          <w:highlight w:val="none"/>
          <w:lang w:eastAsia="zh-CN"/>
        </w:rPr>
        <w:t>并</w:t>
      </w:r>
      <w:r>
        <w:rPr>
          <w:rFonts w:ascii="仿宋_GB2312" w:eastAsia="仿宋_GB2312" w:cs="仿宋_GB2312"/>
          <w:bCs/>
          <w:color w:val="auto"/>
          <w:kern w:val="0"/>
          <w:sz w:val="32"/>
          <w:szCs w:val="32"/>
          <w:highlight w:val="none"/>
        </w:rPr>
        <w:t>结合“宪法宣传周”等活动载体增强法治宣传互动性和教育效果，共开展普法活动</w:t>
      </w:r>
      <w:r>
        <w:rPr>
          <w:rFonts w:hint="eastAsia" w:ascii="仿宋_GB2312" w:eastAsia="仿宋_GB2312" w:cs="仿宋_GB2312"/>
          <w:bCs/>
          <w:color w:val="auto"/>
          <w:kern w:val="0"/>
          <w:sz w:val="32"/>
          <w:szCs w:val="32"/>
          <w:highlight w:val="none"/>
          <w:lang w:val="en-US" w:eastAsia="zh-CN"/>
        </w:rPr>
        <w:t>7</w:t>
      </w:r>
      <w:r>
        <w:rPr>
          <w:rFonts w:ascii="仿宋_GB2312" w:eastAsia="仿宋_GB2312" w:cs="仿宋_GB2312"/>
          <w:bCs/>
          <w:color w:val="auto"/>
          <w:kern w:val="0"/>
          <w:sz w:val="32"/>
          <w:szCs w:val="32"/>
          <w:highlight w:val="none"/>
        </w:rPr>
        <w:t>次，悬挂横幅</w:t>
      </w:r>
      <w:r>
        <w:rPr>
          <w:rFonts w:hint="eastAsia" w:ascii="仿宋_GB2312" w:eastAsia="仿宋_GB2312" w:cs="仿宋_GB2312"/>
          <w:bCs/>
          <w:color w:val="auto"/>
          <w:kern w:val="0"/>
          <w:sz w:val="32"/>
          <w:szCs w:val="32"/>
          <w:highlight w:val="none"/>
          <w:lang w:val="en-US" w:eastAsia="zh-CN"/>
        </w:rPr>
        <w:t>18余</w:t>
      </w:r>
      <w:r>
        <w:rPr>
          <w:rFonts w:ascii="仿宋_GB2312" w:eastAsia="仿宋_GB2312" w:cs="仿宋_GB2312"/>
          <w:bCs/>
          <w:color w:val="auto"/>
          <w:kern w:val="0"/>
          <w:sz w:val="32"/>
          <w:szCs w:val="32"/>
          <w:highlight w:val="none"/>
        </w:rPr>
        <w:t>条，发放宣传材料</w:t>
      </w:r>
      <w:r>
        <w:rPr>
          <w:rFonts w:hint="eastAsia" w:ascii="仿宋_GB2312" w:eastAsia="仿宋_GB2312" w:cs="仿宋_GB2312"/>
          <w:bCs/>
          <w:color w:val="auto"/>
          <w:kern w:val="0"/>
          <w:sz w:val="32"/>
          <w:szCs w:val="32"/>
          <w:highlight w:val="none"/>
          <w:lang w:val="en-US" w:eastAsia="zh-CN"/>
        </w:rPr>
        <w:t>920</w:t>
      </w:r>
      <w:r>
        <w:rPr>
          <w:rFonts w:ascii="仿宋_GB2312" w:eastAsia="仿宋_GB2312" w:cs="仿宋_GB2312"/>
          <w:bCs/>
          <w:color w:val="auto"/>
          <w:kern w:val="0"/>
          <w:sz w:val="32"/>
          <w:szCs w:val="32"/>
          <w:highlight w:val="none"/>
        </w:rPr>
        <w:t>余份</w:t>
      </w:r>
      <w:r>
        <w:rPr>
          <w:rFonts w:hint="eastAsia" w:ascii="仿宋_GB2312" w:eastAsia="仿宋_GB2312" w:cs="仿宋_GB2312"/>
          <w:bCs/>
          <w:color w:val="auto"/>
          <w:kern w:val="0"/>
          <w:sz w:val="32"/>
          <w:szCs w:val="32"/>
          <w:highlight w:val="none"/>
          <w:lang w:eastAsia="zh-CN"/>
        </w:rPr>
        <w:t>，提高了居民法律意识和素养。</w:t>
      </w:r>
      <w:r>
        <w:rPr>
          <w:rFonts w:ascii="仿宋_GB2312" w:eastAsia="仿宋_GB2312" w:cs="仿宋_GB2312"/>
          <w:b/>
          <w:bCs w:val="0"/>
          <w:color w:val="auto"/>
          <w:kern w:val="0"/>
          <w:sz w:val="32"/>
          <w:szCs w:val="32"/>
          <w:highlight w:val="none"/>
        </w:rPr>
        <w:t>二是加强青少年法</w:t>
      </w:r>
      <w:r>
        <w:rPr>
          <w:rFonts w:hint="eastAsia" w:ascii="仿宋_GB2312" w:eastAsia="仿宋_GB2312" w:cs="仿宋_GB2312"/>
          <w:b/>
          <w:bCs w:val="0"/>
          <w:color w:val="auto"/>
          <w:kern w:val="0"/>
          <w:sz w:val="32"/>
          <w:szCs w:val="32"/>
          <w:highlight w:val="none"/>
          <w:lang w:eastAsia="zh-CN"/>
        </w:rPr>
        <w:t>治</w:t>
      </w:r>
      <w:r>
        <w:rPr>
          <w:rFonts w:ascii="仿宋_GB2312" w:eastAsia="仿宋_GB2312" w:cs="仿宋_GB2312"/>
          <w:b/>
          <w:bCs w:val="0"/>
          <w:color w:val="auto"/>
          <w:kern w:val="0"/>
          <w:sz w:val="32"/>
          <w:szCs w:val="32"/>
          <w:highlight w:val="none"/>
        </w:rPr>
        <w:t>教育</w:t>
      </w:r>
      <w:r>
        <w:rPr>
          <w:rFonts w:hint="eastAsia" w:ascii="仿宋_GB2312" w:eastAsia="仿宋_GB2312" w:cs="仿宋_GB2312"/>
          <w:b/>
          <w:bCs w:val="0"/>
          <w:color w:val="auto"/>
          <w:kern w:val="0"/>
          <w:sz w:val="32"/>
          <w:szCs w:val="32"/>
          <w:highlight w:val="none"/>
          <w:lang w:eastAsia="zh-CN"/>
        </w:rPr>
        <w:t>力度</w:t>
      </w:r>
      <w:r>
        <w:rPr>
          <w:rFonts w:ascii="仿宋_GB2312" w:eastAsia="仿宋_GB2312" w:cs="仿宋_GB2312"/>
          <w:b/>
          <w:bCs w:val="0"/>
          <w:color w:val="auto"/>
          <w:kern w:val="0"/>
          <w:sz w:val="32"/>
          <w:szCs w:val="32"/>
          <w:highlight w:val="none"/>
        </w:rPr>
        <w:t>。</w:t>
      </w:r>
      <w:r>
        <w:rPr>
          <w:rFonts w:ascii="仿宋_GB2312" w:eastAsia="仿宋_GB2312" w:cs="仿宋_GB2312"/>
          <w:bCs/>
          <w:color w:val="auto"/>
          <w:kern w:val="0"/>
          <w:sz w:val="32"/>
          <w:szCs w:val="32"/>
          <w:highlight w:val="none"/>
        </w:rPr>
        <w:t>完善学校、家庭、社会三位一体的青少年学生法制教育体系，充分发挥青少年法制教育基地的作用，加大了对全镇小学生禁毒知识、宪法法律知识、道路交通安全知识的宣传力度，发放《未成年人保护法》、《预防未成年人犯罪法》等法律知识宣传单</w:t>
      </w:r>
      <w:r>
        <w:rPr>
          <w:rFonts w:hint="eastAsia" w:ascii="仿宋_GB2312" w:eastAsia="仿宋_GB2312" w:cs="仿宋_GB2312"/>
          <w:bCs/>
          <w:color w:val="auto"/>
          <w:kern w:val="0"/>
          <w:sz w:val="32"/>
          <w:szCs w:val="32"/>
          <w:highlight w:val="none"/>
          <w:lang w:val="en-US" w:eastAsia="zh-CN"/>
        </w:rPr>
        <w:t>3500</w:t>
      </w:r>
      <w:r>
        <w:rPr>
          <w:rFonts w:ascii="仿宋_GB2312" w:eastAsia="仿宋_GB2312" w:cs="仿宋_GB2312"/>
          <w:bCs/>
          <w:color w:val="auto"/>
          <w:kern w:val="0"/>
          <w:sz w:val="32"/>
          <w:szCs w:val="32"/>
          <w:highlight w:val="none"/>
        </w:rPr>
        <w:t>余份，进一步增强了青少年法</w:t>
      </w:r>
      <w:r>
        <w:rPr>
          <w:rFonts w:hint="eastAsia" w:ascii="仿宋_GB2312" w:eastAsia="仿宋_GB2312" w:cs="仿宋_GB2312"/>
          <w:bCs/>
          <w:color w:val="auto"/>
          <w:kern w:val="0"/>
          <w:sz w:val="32"/>
          <w:szCs w:val="32"/>
          <w:highlight w:val="none"/>
          <w:lang w:eastAsia="zh-CN"/>
        </w:rPr>
        <w:t>治</w:t>
      </w:r>
      <w:r>
        <w:rPr>
          <w:rFonts w:ascii="仿宋_GB2312" w:eastAsia="仿宋_GB2312" w:cs="仿宋_GB2312"/>
          <w:bCs/>
          <w:color w:val="auto"/>
          <w:kern w:val="0"/>
          <w:sz w:val="32"/>
          <w:szCs w:val="32"/>
          <w:highlight w:val="none"/>
        </w:rPr>
        <w:t>观念和</w:t>
      </w:r>
      <w:r>
        <w:rPr>
          <w:rFonts w:hint="eastAsia" w:ascii="仿宋_GB2312" w:eastAsia="仿宋_GB2312" w:cs="仿宋_GB2312"/>
          <w:bCs/>
          <w:color w:val="auto"/>
          <w:kern w:val="0"/>
          <w:sz w:val="32"/>
          <w:szCs w:val="32"/>
          <w:highlight w:val="none"/>
          <w:lang w:eastAsia="zh-CN"/>
        </w:rPr>
        <w:t>维权</w:t>
      </w:r>
      <w:r>
        <w:rPr>
          <w:rFonts w:ascii="仿宋_GB2312" w:eastAsia="仿宋_GB2312" w:cs="仿宋_GB2312"/>
          <w:bCs/>
          <w:color w:val="auto"/>
          <w:kern w:val="0"/>
          <w:sz w:val="32"/>
          <w:szCs w:val="32"/>
          <w:highlight w:val="none"/>
        </w:rPr>
        <w:t>意识</w:t>
      </w:r>
      <w:r>
        <w:rPr>
          <w:rFonts w:hint="eastAsia" w:ascii="仿宋_GB2312" w:eastAsia="仿宋_GB2312" w:cs="仿宋_GB2312"/>
          <w:bCs/>
          <w:color w:val="auto"/>
          <w:kern w:val="0"/>
          <w:sz w:val="32"/>
          <w:szCs w:val="32"/>
          <w:highlight w:val="none"/>
          <w:lang w:eastAsia="zh-CN"/>
        </w:rPr>
        <w:t>。</w:t>
      </w:r>
      <w:r>
        <w:rPr>
          <w:rFonts w:ascii="仿宋_GB2312" w:eastAsia="仿宋_GB2312" w:cs="仿宋_GB2312"/>
          <w:b/>
          <w:bCs w:val="0"/>
          <w:color w:val="00000A"/>
          <w:kern w:val="0"/>
          <w:sz w:val="32"/>
          <w:szCs w:val="32"/>
          <w:highlight w:val="none"/>
        </w:rPr>
        <w:t>三是加大</w:t>
      </w:r>
      <w:r>
        <w:rPr>
          <w:rFonts w:hint="eastAsia" w:ascii="仿宋_GB2312" w:eastAsia="仿宋_GB2312" w:cs="仿宋_GB2312"/>
          <w:b/>
          <w:bCs w:val="0"/>
          <w:color w:val="00000A"/>
          <w:kern w:val="0"/>
          <w:sz w:val="32"/>
          <w:szCs w:val="32"/>
          <w:highlight w:val="none"/>
          <w:lang w:val="en-US" w:eastAsia="zh-CN"/>
        </w:rPr>
        <w:t>全体干部法治</w:t>
      </w:r>
      <w:r>
        <w:rPr>
          <w:rFonts w:ascii="仿宋_GB2312" w:eastAsia="仿宋_GB2312" w:cs="仿宋_GB2312"/>
          <w:b/>
          <w:bCs w:val="0"/>
          <w:color w:val="00000A"/>
          <w:kern w:val="0"/>
          <w:sz w:val="32"/>
          <w:szCs w:val="32"/>
          <w:highlight w:val="none"/>
        </w:rPr>
        <w:t>培训</w:t>
      </w:r>
      <w:r>
        <w:rPr>
          <w:rFonts w:hint="eastAsia" w:ascii="仿宋_GB2312" w:eastAsia="仿宋_GB2312" w:cs="仿宋_GB2312"/>
          <w:b/>
          <w:bCs w:val="0"/>
          <w:color w:val="00000A"/>
          <w:kern w:val="0"/>
          <w:sz w:val="32"/>
          <w:szCs w:val="32"/>
          <w:highlight w:val="none"/>
          <w:lang w:eastAsia="zh-CN"/>
        </w:rPr>
        <w:t>广</w:t>
      </w:r>
      <w:r>
        <w:rPr>
          <w:rFonts w:ascii="仿宋_GB2312" w:eastAsia="仿宋_GB2312" w:cs="仿宋_GB2312"/>
          <w:b/>
          <w:bCs w:val="0"/>
          <w:color w:val="00000A"/>
          <w:kern w:val="0"/>
          <w:sz w:val="32"/>
          <w:szCs w:val="32"/>
          <w:highlight w:val="none"/>
        </w:rPr>
        <w:t>度</w:t>
      </w:r>
      <w:r>
        <w:rPr>
          <w:rFonts w:hint="eastAsia" w:ascii="仿宋_GB2312" w:eastAsia="仿宋_GB2312" w:cs="仿宋_GB2312"/>
          <w:b/>
          <w:bCs w:val="0"/>
          <w:color w:val="00000A"/>
          <w:kern w:val="0"/>
          <w:sz w:val="32"/>
          <w:szCs w:val="32"/>
          <w:highlight w:val="none"/>
          <w:lang w:eastAsia="zh-CN"/>
        </w:rPr>
        <w:t>。</w:t>
      </w:r>
      <w:r>
        <w:rPr>
          <w:rFonts w:ascii="仿宋_GB2312" w:eastAsia="仿宋_GB2312" w:cs="仿宋_GB2312"/>
          <w:bCs/>
          <w:color w:val="00000A"/>
          <w:kern w:val="0"/>
          <w:sz w:val="32"/>
          <w:szCs w:val="32"/>
          <w:highlight w:val="none"/>
        </w:rPr>
        <w:t>通过</w:t>
      </w:r>
      <w:r>
        <w:rPr>
          <w:rFonts w:hint="eastAsia" w:ascii="仿宋_GB2312" w:eastAsia="仿宋_GB2312" w:cs="仿宋_GB2312"/>
          <w:bCs/>
          <w:color w:val="00000A"/>
          <w:kern w:val="0"/>
          <w:sz w:val="32"/>
          <w:szCs w:val="32"/>
          <w:highlight w:val="none"/>
          <w:lang w:eastAsia="zh-CN"/>
        </w:rPr>
        <w:t>“</w:t>
      </w:r>
      <w:r>
        <w:rPr>
          <w:rFonts w:hint="eastAsia" w:ascii="仿宋_GB2312" w:eastAsia="仿宋_GB2312" w:cs="仿宋_GB2312"/>
          <w:bCs/>
          <w:color w:val="00000A"/>
          <w:kern w:val="0"/>
          <w:sz w:val="32"/>
          <w:szCs w:val="32"/>
          <w:highlight w:val="none"/>
          <w:lang w:val="en-US" w:eastAsia="zh-CN"/>
        </w:rPr>
        <w:t>周四大学堂</w:t>
      </w:r>
      <w:r>
        <w:rPr>
          <w:rFonts w:hint="eastAsia" w:ascii="仿宋_GB2312" w:eastAsia="仿宋_GB2312" w:cs="仿宋_GB2312"/>
          <w:bCs/>
          <w:color w:val="00000A"/>
          <w:kern w:val="0"/>
          <w:sz w:val="32"/>
          <w:szCs w:val="32"/>
          <w:highlight w:val="none"/>
          <w:lang w:eastAsia="zh-CN"/>
        </w:rPr>
        <w:t>”</w:t>
      </w:r>
      <w:r>
        <w:rPr>
          <w:rFonts w:ascii="仿宋_GB2312" w:eastAsia="仿宋_GB2312" w:cs="仿宋_GB2312"/>
          <w:bCs/>
          <w:color w:val="00000A"/>
          <w:kern w:val="0"/>
          <w:sz w:val="32"/>
          <w:szCs w:val="32"/>
          <w:highlight w:val="none"/>
        </w:rPr>
        <w:t>集中学习、组织专题培训等方式，先后组织全镇干部职工及村两委干部，对《宪法》、《法治政府建设实施纲要》、《国家安全法》、《反间谍法》、《保密法》、《安全生产法》等法律法规制度和会议精神进行了系统学习</w:t>
      </w:r>
      <w:r>
        <w:rPr>
          <w:rFonts w:hint="eastAsia" w:ascii="仿宋_GB2312" w:eastAsia="仿宋_GB2312" w:cs="仿宋_GB2312"/>
          <w:bCs/>
          <w:color w:val="00000A"/>
          <w:kern w:val="0"/>
          <w:sz w:val="32"/>
          <w:szCs w:val="32"/>
          <w:highlight w:val="none"/>
          <w:lang w:eastAsia="zh-CN"/>
        </w:rPr>
        <w:t>，有效</w:t>
      </w:r>
      <w:r>
        <w:rPr>
          <w:rFonts w:hint="eastAsia" w:ascii="仿宋_GB2312" w:eastAsia="仿宋_GB2312" w:cs="仿宋_GB2312"/>
          <w:bCs/>
          <w:color w:val="00000A"/>
          <w:kern w:val="0"/>
          <w:sz w:val="32"/>
          <w:szCs w:val="32"/>
          <w:highlight w:val="none"/>
        </w:rPr>
        <w:t>提升干部职工的法治意识和解决问题的能力</w:t>
      </w:r>
      <w:r>
        <w:rPr>
          <w:rFonts w:hint="eastAsia" w:ascii="仿宋_GB2312" w:eastAsia="仿宋_GB2312" w:cs="仿宋_GB2312"/>
          <w:bCs/>
          <w:color w:val="00000A"/>
          <w:kern w:val="0"/>
          <w:sz w:val="32"/>
          <w:szCs w:val="32"/>
          <w:highlight w:val="none"/>
          <w:lang w:eastAsia="zh-CN"/>
        </w:rPr>
        <w:t>。</w:t>
      </w:r>
    </w:p>
    <w:p w14:paraId="60E3C96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color w:val="auto"/>
          <w:highlight w:val="none"/>
        </w:rPr>
      </w:pPr>
      <w:r>
        <w:rPr>
          <w:rFonts w:hint="eastAsia" w:ascii="楷体" w:hAnsi="楷体" w:eastAsia="楷体" w:cs="楷体"/>
          <w:b/>
          <w:bCs/>
          <w:color w:val="00000A"/>
          <w:kern w:val="0"/>
          <w:sz w:val="32"/>
          <w:szCs w:val="32"/>
          <w:highlight w:val="none"/>
          <w:lang w:eastAsia="zh-CN"/>
        </w:rPr>
        <w:t>（</w:t>
      </w:r>
      <w:r>
        <w:rPr>
          <w:rFonts w:hint="eastAsia" w:ascii="楷体" w:hAnsi="楷体" w:eastAsia="楷体" w:cs="楷体"/>
          <w:b/>
          <w:bCs/>
          <w:color w:val="00000A"/>
          <w:kern w:val="0"/>
          <w:sz w:val="32"/>
          <w:szCs w:val="32"/>
          <w:highlight w:val="none"/>
          <w:lang w:val="en-US" w:eastAsia="zh-CN"/>
        </w:rPr>
        <w:t>三</w:t>
      </w:r>
      <w:r>
        <w:rPr>
          <w:rFonts w:hint="eastAsia" w:ascii="楷体" w:hAnsi="楷体" w:eastAsia="楷体" w:cs="楷体"/>
          <w:b/>
          <w:bCs/>
          <w:color w:val="00000A"/>
          <w:kern w:val="0"/>
          <w:sz w:val="32"/>
          <w:szCs w:val="32"/>
          <w:highlight w:val="none"/>
          <w:lang w:eastAsia="zh-CN"/>
        </w:rPr>
        <w:t>）深化</w:t>
      </w:r>
      <w:r>
        <w:rPr>
          <w:rFonts w:hint="eastAsia" w:ascii="楷体" w:hAnsi="楷体" w:eastAsia="楷体" w:cs="楷体"/>
          <w:b/>
          <w:bCs/>
          <w:color w:val="00000A"/>
          <w:kern w:val="0"/>
          <w:sz w:val="32"/>
          <w:szCs w:val="32"/>
          <w:highlight w:val="none"/>
        </w:rPr>
        <w:t>依法行政，</w:t>
      </w:r>
      <w:r>
        <w:rPr>
          <w:rFonts w:hint="eastAsia" w:ascii="楷体" w:hAnsi="楷体" w:eastAsia="楷体" w:cs="楷体"/>
          <w:b/>
          <w:bCs/>
          <w:color w:val="00000A"/>
          <w:kern w:val="0"/>
          <w:sz w:val="32"/>
          <w:szCs w:val="32"/>
          <w:highlight w:val="none"/>
          <w:lang w:eastAsia="zh-CN"/>
        </w:rPr>
        <w:t>规范行政行为。</w:t>
      </w:r>
      <w:r>
        <w:rPr>
          <w:rFonts w:ascii="仿宋_GB2312" w:eastAsia="仿宋_GB2312" w:cs="仿宋_GB2312"/>
          <w:b/>
          <w:bCs/>
          <w:color w:val="00000A"/>
          <w:kern w:val="0"/>
          <w:sz w:val="32"/>
          <w:szCs w:val="32"/>
          <w:highlight w:val="none"/>
        </w:rPr>
        <w:t>一是制定“谁执法谁普法”责任制制度和普法责任清单</w:t>
      </w:r>
      <w:r>
        <w:rPr>
          <w:rFonts w:hint="eastAsia" w:ascii="仿宋_GB2312" w:eastAsia="仿宋_GB2312" w:cs="仿宋_GB2312"/>
          <w:b/>
          <w:bCs/>
          <w:color w:val="00000A"/>
          <w:kern w:val="0"/>
          <w:sz w:val="32"/>
          <w:szCs w:val="32"/>
          <w:highlight w:val="none"/>
          <w:lang w:eastAsia="zh-CN"/>
        </w:rPr>
        <w:t>。</w:t>
      </w:r>
      <w:r>
        <w:rPr>
          <w:rFonts w:ascii="仿宋_GB2312" w:eastAsia="仿宋_GB2312" w:cs="仿宋_GB2312"/>
          <w:color w:val="00000A"/>
          <w:kern w:val="0"/>
          <w:sz w:val="32"/>
          <w:szCs w:val="32"/>
          <w:highlight w:val="none"/>
        </w:rPr>
        <w:t>坚持落实“一岗双责”，一把手、班子成员和各站所之间层层签订目标责任书，积极落实责任，推进法治工作和业务工作在相融互动中深化提升</w:t>
      </w:r>
      <w:r>
        <w:rPr>
          <w:rFonts w:hint="eastAsia" w:ascii="仿宋_GB2312" w:eastAsia="仿宋_GB2312" w:cs="仿宋_GB2312"/>
          <w:color w:val="00000A"/>
          <w:kern w:val="0"/>
          <w:sz w:val="32"/>
          <w:szCs w:val="32"/>
          <w:highlight w:val="none"/>
          <w:lang w:eastAsia="zh-CN"/>
        </w:rPr>
        <w:t>。</w:t>
      </w:r>
      <w:r>
        <w:rPr>
          <w:rFonts w:ascii="仿宋_GB2312" w:eastAsia="仿宋_GB2312" w:cs="仿宋_GB2312"/>
          <w:b/>
          <w:bCs/>
          <w:color w:val="00000A"/>
          <w:kern w:val="0"/>
          <w:sz w:val="32"/>
          <w:szCs w:val="32"/>
          <w:highlight w:val="none"/>
        </w:rPr>
        <w:t>二是建立</w:t>
      </w:r>
      <w:r>
        <w:rPr>
          <w:rFonts w:hint="eastAsia" w:ascii="仿宋_GB2312" w:eastAsia="仿宋_GB2312" w:cs="仿宋_GB2312"/>
          <w:b/>
          <w:bCs/>
          <w:color w:val="00000A"/>
          <w:kern w:val="0"/>
          <w:sz w:val="32"/>
          <w:szCs w:val="32"/>
          <w:highlight w:val="none"/>
          <w:lang w:eastAsia="zh-CN"/>
        </w:rPr>
        <w:t>健全</w:t>
      </w:r>
      <w:r>
        <w:rPr>
          <w:rFonts w:ascii="仿宋_GB2312" w:eastAsia="仿宋_GB2312" w:cs="仿宋_GB2312"/>
          <w:b/>
          <w:bCs/>
          <w:color w:val="00000A"/>
          <w:kern w:val="0"/>
          <w:sz w:val="32"/>
          <w:szCs w:val="32"/>
          <w:highlight w:val="none"/>
        </w:rPr>
        <w:t>法律顾问</w:t>
      </w:r>
      <w:r>
        <w:rPr>
          <w:rFonts w:hint="eastAsia" w:ascii="仿宋_GB2312" w:eastAsia="仿宋_GB2312" w:cs="仿宋_GB2312"/>
          <w:b/>
          <w:bCs/>
          <w:color w:val="00000A"/>
          <w:kern w:val="0"/>
          <w:sz w:val="32"/>
          <w:szCs w:val="32"/>
          <w:highlight w:val="none"/>
          <w:lang w:eastAsia="zh-CN"/>
        </w:rPr>
        <w:t>体系。</w:t>
      </w:r>
      <w:r>
        <w:rPr>
          <w:rFonts w:ascii="仿宋_GB2312" w:eastAsia="仿宋_GB2312" w:cs="仿宋_GB2312"/>
          <w:color w:val="00000A"/>
          <w:kern w:val="0"/>
          <w:sz w:val="32"/>
          <w:szCs w:val="32"/>
          <w:highlight w:val="none"/>
        </w:rPr>
        <w:t>我镇与</w:t>
      </w:r>
      <w:r>
        <w:rPr>
          <w:rFonts w:hint="eastAsia" w:ascii="仿宋_GB2312" w:eastAsia="仿宋_GB2312" w:cs="仿宋_GB2312"/>
          <w:color w:val="00000A"/>
          <w:kern w:val="0"/>
          <w:sz w:val="32"/>
          <w:szCs w:val="32"/>
          <w:highlight w:val="none"/>
          <w:lang w:val="en-US" w:eastAsia="zh-CN"/>
        </w:rPr>
        <w:t>15</w:t>
      </w:r>
      <w:r>
        <w:rPr>
          <w:rFonts w:ascii="仿宋_GB2312" w:eastAsia="仿宋_GB2312" w:cs="仿宋_GB2312"/>
          <w:color w:val="00000A"/>
          <w:kern w:val="0"/>
          <w:sz w:val="32"/>
          <w:szCs w:val="32"/>
          <w:highlight w:val="none"/>
        </w:rPr>
        <w:t>个行政村</w:t>
      </w:r>
      <w:r>
        <w:rPr>
          <w:rFonts w:hint="eastAsia" w:ascii="仿宋_GB2312" w:eastAsia="仿宋_GB2312" w:cs="仿宋_GB2312"/>
          <w:color w:val="00000A"/>
          <w:kern w:val="0"/>
          <w:sz w:val="32"/>
          <w:szCs w:val="32"/>
          <w:highlight w:val="none"/>
          <w:lang w:eastAsia="zh-CN"/>
        </w:rPr>
        <w:t>（街）</w:t>
      </w:r>
      <w:r>
        <w:rPr>
          <w:rFonts w:ascii="仿宋_GB2312" w:eastAsia="仿宋_GB2312" w:cs="仿宋_GB2312"/>
          <w:color w:val="00000A"/>
          <w:kern w:val="0"/>
          <w:sz w:val="32"/>
          <w:szCs w:val="32"/>
          <w:highlight w:val="none"/>
        </w:rPr>
        <w:t>均签订了法律顾问协议书，</w:t>
      </w:r>
      <w:r>
        <w:rPr>
          <w:rFonts w:hint="eastAsia" w:ascii="仿宋_GB2312" w:eastAsia="仿宋_GB2312" w:cs="仿宋_GB2312"/>
          <w:color w:val="00000A"/>
          <w:kern w:val="0"/>
          <w:sz w:val="32"/>
          <w:szCs w:val="32"/>
          <w:highlight w:val="none"/>
        </w:rPr>
        <w:t>实现了法律顾问全覆盖，</w:t>
      </w:r>
      <w:r>
        <w:rPr>
          <w:rFonts w:hint="eastAsia" w:ascii="仿宋_GB2312" w:eastAsia="仿宋_GB2312" w:cs="仿宋_GB2312"/>
          <w:color w:val="00000A"/>
          <w:kern w:val="0"/>
          <w:sz w:val="32"/>
          <w:szCs w:val="32"/>
          <w:highlight w:val="none"/>
          <w:lang w:eastAsia="zh-CN"/>
        </w:rPr>
        <w:t>切实发挥</w:t>
      </w:r>
      <w:r>
        <w:rPr>
          <w:rFonts w:hint="eastAsia" w:ascii="仿宋_GB2312" w:eastAsia="仿宋_GB2312" w:cs="仿宋_GB2312"/>
          <w:color w:val="00000A"/>
          <w:kern w:val="0"/>
          <w:sz w:val="32"/>
          <w:szCs w:val="32"/>
          <w:highlight w:val="none"/>
        </w:rPr>
        <w:t>法律顾问自身法律专业优势，为群众提供法律咨询、法律服务和法治宣传。</w:t>
      </w:r>
      <w:r>
        <w:rPr>
          <w:rFonts w:hint="eastAsia" w:ascii="仿宋_GB2312" w:hAnsi="微软雅黑" w:eastAsia="仿宋_GB2312" w:cs="仿宋_GB2312"/>
          <w:b/>
          <w:bCs/>
          <w:color w:val="00000A"/>
          <w:kern w:val="0"/>
          <w:sz w:val="32"/>
          <w:szCs w:val="32"/>
          <w:highlight w:val="none"/>
          <w:lang w:val="en-US" w:eastAsia="zh-CN"/>
        </w:rPr>
        <w:t>三是</w:t>
      </w:r>
      <w:r>
        <w:rPr>
          <w:rFonts w:ascii="仿宋_GB2312" w:hAnsi="微软雅黑" w:eastAsia="仿宋_GB2312" w:cs="仿宋_GB2312"/>
          <w:b/>
          <w:bCs/>
          <w:color w:val="00000A"/>
          <w:kern w:val="0"/>
          <w:sz w:val="32"/>
          <w:szCs w:val="32"/>
          <w:highlight w:val="none"/>
        </w:rPr>
        <w:t>着力提升乡村治理法治化水平</w:t>
      </w:r>
      <w:r>
        <w:rPr>
          <w:rFonts w:hint="eastAsia" w:ascii="仿宋_GB2312" w:hAnsi="微软雅黑" w:eastAsia="仿宋_GB2312" w:cs="仿宋_GB2312"/>
          <w:b/>
          <w:bCs/>
          <w:color w:val="00000A"/>
          <w:kern w:val="0"/>
          <w:sz w:val="32"/>
          <w:szCs w:val="32"/>
          <w:highlight w:val="none"/>
          <w:lang w:eastAsia="zh-CN"/>
        </w:rPr>
        <w:t>。</w:t>
      </w:r>
      <w:r>
        <w:rPr>
          <w:rFonts w:ascii="仿宋_GB2312" w:hAnsi="微软雅黑" w:eastAsia="仿宋_GB2312" w:cs="仿宋_GB2312"/>
          <w:color w:val="00000A"/>
          <w:kern w:val="0"/>
          <w:sz w:val="32"/>
          <w:szCs w:val="32"/>
          <w:highlight w:val="none"/>
        </w:rPr>
        <w:t>以民主法治示范村</w:t>
      </w:r>
      <w:r>
        <w:rPr>
          <w:rFonts w:hint="eastAsia" w:ascii="仿宋_GB2312" w:hAnsi="微软雅黑" w:eastAsia="仿宋_GB2312" w:cs="仿宋_GB2312"/>
          <w:color w:val="00000A"/>
          <w:kern w:val="0"/>
          <w:sz w:val="32"/>
          <w:szCs w:val="32"/>
          <w:highlight w:val="none"/>
          <w:lang w:val="en-US" w:eastAsia="zh-CN"/>
        </w:rPr>
        <w:t>创建</w:t>
      </w:r>
      <w:r>
        <w:rPr>
          <w:rFonts w:ascii="仿宋_GB2312" w:hAnsi="微软雅黑" w:eastAsia="仿宋_GB2312" w:cs="仿宋_GB2312"/>
          <w:color w:val="00000A"/>
          <w:kern w:val="0"/>
          <w:sz w:val="32"/>
          <w:szCs w:val="32"/>
          <w:highlight w:val="none"/>
        </w:rPr>
        <w:t>为载体</w:t>
      </w:r>
      <w:r>
        <w:rPr>
          <w:rFonts w:hint="eastAsia" w:ascii="仿宋_GB2312" w:hAnsi="微软雅黑" w:eastAsia="仿宋_GB2312" w:cs="仿宋_GB2312"/>
          <w:color w:val="00000A"/>
          <w:kern w:val="0"/>
          <w:sz w:val="32"/>
          <w:szCs w:val="32"/>
          <w:highlight w:val="none"/>
          <w:lang w:eastAsia="zh-CN"/>
        </w:rPr>
        <w:t>，</w:t>
      </w:r>
      <w:r>
        <w:rPr>
          <w:rFonts w:ascii="仿宋_GB2312" w:hAnsi="微软雅黑" w:eastAsia="仿宋_GB2312" w:cs="仿宋_GB2312"/>
          <w:color w:val="00000A"/>
          <w:kern w:val="0"/>
          <w:sz w:val="32"/>
          <w:szCs w:val="32"/>
          <w:highlight w:val="none"/>
        </w:rPr>
        <w:t>营造全民学法用法守法的浓厚氛围。</w:t>
      </w:r>
      <w:r>
        <w:rPr>
          <w:rFonts w:ascii="仿宋_GB2312" w:hAnsi="微软雅黑" w:eastAsia="仿宋_GB2312" w:cs="仿宋_GB2312"/>
          <w:color w:val="auto"/>
          <w:kern w:val="0"/>
          <w:sz w:val="32"/>
          <w:szCs w:val="32"/>
          <w:highlight w:val="none"/>
        </w:rPr>
        <w:t>截止</w:t>
      </w:r>
      <w:r>
        <w:rPr>
          <w:rFonts w:hint="eastAsia" w:ascii="仿宋_GB2312" w:hAnsi="微软雅黑" w:eastAsia="仿宋_GB2312" w:cs="仿宋_GB2312"/>
          <w:color w:val="auto"/>
          <w:kern w:val="0"/>
          <w:sz w:val="32"/>
          <w:szCs w:val="32"/>
          <w:highlight w:val="none"/>
        </w:rPr>
        <w:t>目前，连岗村</w:t>
      </w:r>
      <w:r>
        <w:rPr>
          <w:rFonts w:hint="eastAsia" w:ascii="仿宋_GB2312" w:hAnsi="微软雅黑" w:eastAsia="仿宋_GB2312" w:cs="仿宋_GB2312"/>
          <w:color w:val="auto"/>
          <w:kern w:val="0"/>
          <w:sz w:val="32"/>
          <w:szCs w:val="32"/>
          <w:highlight w:val="none"/>
          <w:lang w:val="en-US" w:eastAsia="zh-CN"/>
        </w:rPr>
        <w:t>被</w:t>
      </w:r>
      <w:r>
        <w:rPr>
          <w:rFonts w:hint="eastAsia" w:ascii="仿宋_GB2312" w:hAnsi="微软雅黑" w:eastAsia="仿宋_GB2312" w:cs="仿宋_GB2312"/>
          <w:color w:val="auto"/>
          <w:kern w:val="0"/>
          <w:sz w:val="32"/>
          <w:szCs w:val="32"/>
          <w:highlight w:val="none"/>
        </w:rPr>
        <w:t>评为全省</w:t>
      </w:r>
      <w:r>
        <w:rPr>
          <w:rFonts w:ascii="仿宋_GB2312" w:hAnsi="微软雅黑" w:eastAsia="仿宋_GB2312" w:cs="仿宋_GB2312"/>
          <w:color w:val="auto"/>
          <w:kern w:val="0"/>
          <w:sz w:val="32"/>
          <w:szCs w:val="32"/>
          <w:highlight w:val="none"/>
        </w:rPr>
        <w:t>“民主法治示范村”</w:t>
      </w:r>
      <w:r>
        <w:rPr>
          <w:rFonts w:hint="eastAsia" w:ascii="仿宋_GB2312" w:hAnsi="微软雅黑" w:eastAsia="仿宋_GB2312" w:cs="仿宋_GB2312"/>
          <w:color w:val="auto"/>
          <w:kern w:val="0"/>
          <w:sz w:val="32"/>
          <w:szCs w:val="32"/>
          <w:highlight w:val="none"/>
        </w:rPr>
        <w:t>，四里村、仁和村和街道居委会被评为全市</w:t>
      </w:r>
      <w:r>
        <w:rPr>
          <w:rFonts w:ascii="仿宋_GB2312" w:hAnsi="微软雅黑" w:eastAsia="仿宋_GB2312" w:cs="仿宋_GB2312"/>
          <w:color w:val="auto"/>
          <w:kern w:val="0"/>
          <w:sz w:val="32"/>
          <w:szCs w:val="32"/>
          <w:highlight w:val="none"/>
        </w:rPr>
        <w:t>“民主法治示范村”，为各村（</w:t>
      </w:r>
      <w:r>
        <w:rPr>
          <w:rFonts w:hint="eastAsia" w:ascii="仿宋_GB2312" w:hAnsi="微软雅黑" w:eastAsia="仿宋_GB2312" w:cs="仿宋_GB2312"/>
          <w:color w:val="auto"/>
          <w:kern w:val="0"/>
          <w:sz w:val="32"/>
          <w:szCs w:val="32"/>
          <w:highlight w:val="none"/>
          <w:lang w:val="en-US" w:eastAsia="zh-CN"/>
        </w:rPr>
        <w:t>街</w:t>
      </w:r>
      <w:r>
        <w:rPr>
          <w:rFonts w:ascii="仿宋_GB2312" w:hAnsi="微软雅黑" w:eastAsia="仿宋_GB2312" w:cs="仿宋_GB2312"/>
          <w:color w:val="auto"/>
          <w:kern w:val="0"/>
          <w:sz w:val="32"/>
          <w:szCs w:val="32"/>
          <w:highlight w:val="none"/>
        </w:rPr>
        <w:t>）委会推行法治示范村树立了良好的模范作用，为全面实施乡村振兴提供了良好的法治环境。</w:t>
      </w:r>
    </w:p>
    <w:p w14:paraId="47DBEA06">
      <w:pPr>
        <w:keepNext w:val="0"/>
        <w:keepLines w:val="0"/>
        <w:pageBreakBefore w:val="0"/>
        <w:widowControl/>
        <w:kinsoku/>
        <w:wordWrap/>
        <w:overflowPunct/>
        <w:topLinePunct w:val="0"/>
        <w:autoSpaceDE/>
        <w:autoSpaceDN/>
        <w:bidi w:val="0"/>
        <w:adjustRightInd/>
        <w:snapToGrid/>
        <w:spacing w:line="560" w:lineRule="exact"/>
        <w:ind w:left="0" w:leftChars="0" w:firstLine="634"/>
        <w:jc w:val="left"/>
        <w:textAlignment w:val="auto"/>
        <w:outlineLvl w:val="0"/>
        <w:rPr>
          <w:rFonts w:hint="eastAsia" w:ascii="仿宋_GB2312" w:eastAsia="仿宋_GB2312" w:cs="仿宋_GB2312"/>
          <w:color w:val="00000A"/>
          <w:kern w:val="0"/>
          <w:sz w:val="32"/>
          <w:szCs w:val="32"/>
          <w:highlight w:val="none"/>
        </w:rPr>
      </w:pPr>
      <w:r>
        <w:rPr>
          <w:rFonts w:hint="eastAsia" w:ascii="楷体" w:hAnsi="楷体" w:eastAsia="楷体" w:cs="楷体"/>
          <w:b/>
          <w:bCs/>
          <w:color w:val="00000A"/>
          <w:kern w:val="44"/>
          <w:sz w:val="32"/>
          <w:szCs w:val="32"/>
          <w:highlight w:val="none"/>
        </w:rPr>
        <w:t>（四）</w:t>
      </w:r>
      <w:r>
        <w:rPr>
          <w:rFonts w:hint="eastAsia" w:ascii="楷体" w:hAnsi="楷体" w:eastAsia="楷体" w:cs="楷体"/>
          <w:b/>
          <w:bCs/>
          <w:color w:val="00000A"/>
          <w:kern w:val="44"/>
          <w:sz w:val="32"/>
          <w:szCs w:val="32"/>
          <w:highlight w:val="none"/>
          <w:lang w:eastAsia="zh-CN"/>
        </w:rPr>
        <w:t>依法处理纠纷，有效化解矛盾。</w:t>
      </w:r>
      <w:r>
        <w:rPr>
          <w:rFonts w:hint="eastAsia" w:ascii="仿宋_GB2312" w:eastAsia="仿宋_GB2312" w:cs="仿宋_GB2312"/>
          <w:color w:val="00000A"/>
          <w:kern w:val="0"/>
          <w:sz w:val="32"/>
          <w:szCs w:val="32"/>
          <w:highlight w:val="none"/>
        </w:rPr>
        <w:t>积极构建多元化的矛盾纠纷化解机制，大力开展矛盾纠纷大排查大化解活动，建立以</w:t>
      </w:r>
      <w:r>
        <w:rPr>
          <w:rFonts w:hint="eastAsia" w:ascii="仿宋_GB2312" w:eastAsia="仿宋_GB2312" w:cs="仿宋_GB2312"/>
          <w:color w:val="00000A"/>
          <w:kern w:val="0"/>
          <w:sz w:val="32"/>
          <w:szCs w:val="32"/>
          <w:highlight w:val="none"/>
          <w:lang w:eastAsia="zh-CN"/>
        </w:rPr>
        <w:t>镇</w:t>
      </w:r>
      <w:r>
        <w:rPr>
          <w:rFonts w:hint="eastAsia" w:ascii="仿宋_GB2312" w:eastAsia="仿宋_GB2312" w:cs="仿宋_GB2312"/>
          <w:color w:val="00000A"/>
          <w:kern w:val="0"/>
          <w:sz w:val="32"/>
          <w:szCs w:val="32"/>
          <w:highlight w:val="none"/>
        </w:rPr>
        <w:t>政府为“龙头”，司法所为“主阵地”，村委会为基础的人民调解组织网格体系，切实发挥好人民调解、行政调解在调处矛盾和纠纷的重要作用。同时，认真落实国务院《信访条例》和《</w:t>
      </w:r>
      <w:r>
        <w:rPr>
          <w:rFonts w:hint="eastAsia" w:ascii="仿宋_GB2312" w:eastAsia="仿宋_GB2312" w:cs="仿宋_GB2312"/>
          <w:color w:val="00000A"/>
          <w:kern w:val="0"/>
          <w:sz w:val="32"/>
          <w:szCs w:val="32"/>
          <w:highlight w:val="none"/>
          <w:lang w:eastAsia="zh-CN"/>
        </w:rPr>
        <w:t>河南</w:t>
      </w:r>
      <w:r>
        <w:rPr>
          <w:rFonts w:hint="eastAsia" w:ascii="仿宋_GB2312" w:eastAsia="仿宋_GB2312" w:cs="仿宋_GB2312"/>
          <w:color w:val="00000A"/>
          <w:kern w:val="0"/>
          <w:sz w:val="32"/>
          <w:szCs w:val="32"/>
          <w:highlight w:val="none"/>
        </w:rPr>
        <w:t>省信访条例》，强化属地责任，畅通信访渠道，健全网上信访机制，及时就地解决群众合理诉求，努力从源头上预防和减少信访问题发</w:t>
      </w:r>
      <w:r>
        <w:rPr>
          <w:rFonts w:hint="eastAsia" w:ascii="仿宋_GB2312" w:eastAsia="仿宋_GB2312" w:cs="仿宋_GB2312"/>
          <w:color w:val="auto"/>
          <w:kern w:val="0"/>
          <w:sz w:val="32"/>
          <w:szCs w:val="32"/>
          <w:highlight w:val="none"/>
        </w:rPr>
        <w:t>生。截至目前，共开展各类矛盾纠纷排查</w:t>
      </w:r>
      <w:r>
        <w:rPr>
          <w:rFonts w:hint="eastAsia" w:ascii="仿宋_GB2312" w:eastAsia="仿宋_GB2312" w:cs="仿宋_GB2312"/>
          <w:color w:val="auto"/>
          <w:kern w:val="0"/>
          <w:sz w:val="32"/>
          <w:szCs w:val="32"/>
          <w:highlight w:val="none"/>
          <w:lang w:val="en-US" w:eastAsia="zh-CN"/>
        </w:rPr>
        <w:t>700</w:t>
      </w:r>
      <w:r>
        <w:rPr>
          <w:rFonts w:hint="eastAsia" w:ascii="仿宋_GB2312" w:eastAsia="仿宋_GB2312" w:cs="仿宋_GB2312"/>
          <w:color w:val="auto"/>
          <w:kern w:val="0"/>
          <w:sz w:val="32"/>
          <w:szCs w:val="32"/>
          <w:highlight w:val="none"/>
        </w:rPr>
        <w:t>余次，接待信访群众</w:t>
      </w:r>
      <w:r>
        <w:rPr>
          <w:rFonts w:hint="eastAsia" w:ascii="仿宋_GB2312" w:eastAsia="仿宋_GB2312" w:cs="仿宋_GB2312"/>
          <w:color w:val="auto"/>
          <w:kern w:val="0"/>
          <w:sz w:val="32"/>
          <w:szCs w:val="32"/>
          <w:highlight w:val="none"/>
          <w:lang w:val="en-US" w:eastAsia="zh-CN"/>
        </w:rPr>
        <w:t>52批104</w:t>
      </w:r>
      <w:r>
        <w:rPr>
          <w:rFonts w:hint="eastAsia" w:ascii="仿宋_GB2312" w:eastAsia="仿宋_GB2312" w:cs="仿宋_GB2312"/>
          <w:color w:val="auto"/>
          <w:kern w:val="0"/>
          <w:sz w:val="32"/>
          <w:szCs w:val="32"/>
          <w:highlight w:val="none"/>
        </w:rPr>
        <w:t>人次，解答问题</w:t>
      </w:r>
      <w:r>
        <w:rPr>
          <w:rFonts w:hint="eastAsia" w:ascii="仿宋_GB2312" w:eastAsia="仿宋_GB2312" w:cs="仿宋_GB2312"/>
          <w:color w:val="auto"/>
          <w:kern w:val="0"/>
          <w:sz w:val="32"/>
          <w:szCs w:val="32"/>
          <w:highlight w:val="none"/>
          <w:lang w:val="en-US" w:eastAsia="zh-CN"/>
        </w:rPr>
        <w:t>286</w:t>
      </w:r>
      <w:r>
        <w:rPr>
          <w:rFonts w:hint="eastAsia" w:ascii="仿宋_GB2312" w:eastAsia="仿宋_GB2312" w:cs="仿宋_GB2312"/>
          <w:color w:val="auto"/>
          <w:kern w:val="0"/>
          <w:sz w:val="32"/>
          <w:szCs w:val="32"/>
          <w:highlight w:val="none"/>
        </w:rPr>
        <w:t>次，调处矛盾纠纷</w:t>
      </w:r>
      <w:r>
        <w:rPr>
          <w:rFonts w:hint="eastAsia" w:ascii="仿宋_GB2312" w:eastAsia="仿宋_GB2312" w:cs="仿宋_GB2312"/>
          <w:color w:val="auto"/>
          <w:kern w:val="0"/>
          <w:sz w:val="32"/>
          <w:szCs w:val="32"/>
          <w:highlight w:val="none"/>
          <w:lang w:val="en-US" w:eastAsia="zh-CN"/>
        </w:rPr>
        <w:t>96</w:t>
      </w:r>
      <w:r>
        <w:rPr>
          <w:rFonts w:hint="eastAsia" w:ascii="仿宋_GB2312" w:eastAsia="仿宋_GB2312" w:cs="仿宋_GB2312"/>
          <w:color w:val="auto"/>
          <w:kern w:val="0"/>
          <w:sz w:val="32"/>
          <w:szCs w:val="32"/>
          <w:highlight w:val="none"/>
        </w:rPr>
        <w:t>件，受理123</w:t>
      </w:r>
      <w:r>
        <w:rPr>
          <w:rFonts w:hint="eastAsia" w:ascii="仿宋_GB2312" w:eastAsia="仿宋_GB2312" w:cs="仿宋_GB2312"/>
          <w:color w:val="00000A"/>
          <w:kern w:val="0"/>
          <w:sz w:val="32"/>
          <w:szCs w:val="32"/>
          <w:highlight w:val="none"/>
        </w:rPr>
        <w:t>45热线</w:t>
      </w:r>
      <w:r>
        <w:rPr>
          <w:rFonts w:hint="eastAsia" w:ascii="仿宋_GB2312" w:eastAsia="仿宋_GB2312" w:cs="仿宋_GB2312"/>
          <w:color w:val="00000A"/>
          <w:kern w:val="0"/>
          <w:sz w:val="32"/>
          <w:szCs w:val="32"/>
          <w:highlight w:val="none"/>
          <w:lang w:val="en-US" w:eastAsia="zh-CN"/>
        </w:rPr>
        <w:t>167件、</w:t>
      </w:r>
      <w:r>
        <w:rPr>
          <w:rFonts w:hint="eastAsia" w:ascii="仿宋_GB2312" w:eastAsia="仿宋_GB2312" w:cs="仿宋_GB2312"/>
          <w:color w:val="00000A"/>
          <w:kern w:val="0"/>
          <w:sz w:val="32"/>
          <w:szCs w:val="32"/>
          <w:highlight w:val="none"/>
        </w:rPr>
        <w:t>信访案</w:t>
      </w:r>
      <w:r>
        <w:rPr>
          <w:rFonts w:hint="eastAsia" w:ascii="仿宋_GB2312" w:eastAsia="仿宋_GB2312" w:cs="仿宋_GB2312"/>
          <w:color w:val="auto"/>
          <w:kern w:val="0"/>
          <w:sz w:val="32"/>
          <w:szCs w:val="32"/>
          <w:highlight w:val="none"/>
        </w:rPr>
        <w:t>件</w:t>
      </w:r>
      <w:r>
        <w:rPr>
          <w:rFonts w:hint="eastAsia" w:ascii="仿宋_GB2312" w:eastAsia="仿宋_GB2312" w:cs="仿宋_GB2312"/>
          <w:color w:val="auto"/>
          <w:kern w:val="0"/>
          <w:sz w:val="32"/>
          <w:szCs w:val="32"/>
          <w:highlight w:val="none"/>
          <w:lang w:val="en-US" w:eastAsia="zh-CN"/>
        </w:rPr>
        <w:t>89</w:t>
      </w:r>
      <w:r>
        <w:rPr>
          <w:rFonts w:hint="eastAsia" w:ascii="仿宋_GB2312" w:eastAsia="仿宋_GB2312" w:cs="仿宋_GB2312"/>
          <w:color w:val="auto"/>
          <w:kern w:val="0"/>
          <w:sz w:val="32"/>
          <w:szCs w:val="32"/>
          <w:highlight w:val="none"/>
        </w:rPr>
        <w:t>件</w:t>
      </w:r>
      <w:r>
        <w:rPr>
          <w:rFonts w:hint="eastAsia" w:ascii="仿宋_GB2312" w:eastAsia="仿宋_GB2312" w:cs="仿宋_GB2312"/>
          <w:color w:val="00000A"/>
          <w:kern w:val="0"/>
          <w:sz w:val="32"/>
          <w:szCs w:val="32"/>
          <w:highlight w:val="none"/>
        </w:rPr>
        <w:t>，受理</w:t>
      </w:r>
      <w:r>
        <w:rPr>
          <w:rFonts w:hint="eastAsia" w:ascii="仿宋_GB2312" w:eastAsia="仿宋_GB2312" w:cs="仿宋_GB2312"/>
          <w:color w:val="00000A"/>
          <w:kern w:val="0"/>
          <w:sz w:val="32"/>
          <w:szCs w:val="32"/>
          <w:highlight w:val="none"/>
          <w:lang w:eastAsia="zh-CN"/>
        </w:rPr>
        <w:t>及办结</w:t>
      </w:r>
      <w:r>
        <w:rPr>
          <w:rFonts w:hint="eastAsia" w:ascii="仿宋_GB2312" w:eastAsia="仿宋_GB2312" w:cs="仿宋_GB2312"/>
          <w:color w:val="00000A"/>
          <w:kern w:val="0"/>
          <w:sz w:val="32"/>
          <w:szCs w:val="32"/>
          <w:highlight w:val="none"/>
        </w:rPr>
        <w:t>率100%。</w:t>
      </w:r>
    </w:p>
    <w:p w14:paraId="36600D14">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color w:val="00000A"/>
          <w:kern w:val="0"/>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2024年推进法治政府建设存在的不足、原因和问题整改情况</w:t>
      </w:r>
    </w:p>
    <w:p w14:paraId="2A15E391">
      <w:pPr>
        <w:keepNext w:val="0"/>
        <w:keepLines w:val="0"/>
        <w:pageBreakBefore w:val="0"/>
        <w:widowControl/>
        <w:pBdr>
          <w:bottom w:val="single" w:color="FFFFFF" w:sz="8" w:space="30"/>
        </w:pBdr>
        <w:shd w:val="clear" w:color="auto" w:fill="FFFFFF"/>
        <w:kinsoku/>
        <w:wordWrap/>
        <w:overflowPunct/>
        <w:topLinePunct w:val="0"/>
        <w:autoSpaceDE/>
        <w:autoSpaceDN/>
        <w:bidi w:val="0"/>
        <w:adjustRightInd/>
        <w:snapToGrid/>
        <w:spacing w:line="560" w:lineRule="exact"/>
        <w:ind w:left="0" w:leftChars="0" w:firstLine="634"/>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2024年，我</w:t>
      </w:r>
      <w:r>
        <w:rPr>
          <w:rFonts w:hint="eastAsia" w:ascii="仿宋_GB2312" w:hAnsi="仿宋_GB2312" w:eastAsia="仿宋_GB2312" w:cs="仿宋_GB2312"/>
          <w:sz w:val="32"/>
          <w:szCs w:val="32"/>
          <w:highlight w:val="none"/>
          <w:lang w:eastAsia="zh-CN"/>
        </w:rPr>
        <w:t>镇</w:t>
      </w:r>
      <w:r>
        <w:rPr>
          <w:rFonts w:hint="eastAsia" w:ascii="仿宋_GB2312" w:hAnsi="仿宋_GB2312" w:eastAsia="仿宋_GB2312" w:cs="仿宋_GB2312"/>
          <w:sz w:val="32"/>
          <w:szCs w:val="32"/>
          <w:highlight w:val="none"/>
        </w:rPr>
        <w:t>法治政府建设工作虽取得一些成绩，但仍存在一些薄弱环节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rPr>
        <w:t>一是普法宣传不深入。</w:t>
      </w:r>
      <w:r>
        <w:rPr>
          <w:rFonts w:hint="eastAsia" w:ascii="仿宋_GB2312" w:hAnsi="仿宋_GB2312" w:eastAsia="仿宋_GB2312" w:cs="仿宋_GB2312"/>
          <w:sz w:val="32"/>
          <w:szCs w:val="32"/>
          <w:highlight w:val="none"/>
        </w:rPr>
        <w:t>普法宣传采用老办法、硬方式较多，大多采用张贴横幅、发放手册等方式硬性宣传，宣传举措不够灵活，与群众互动较少。</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b/>
          <w:bCs/>
          <w:sz w:val="32"/>
          <w:szCs w:val="32"/>
          <w:highlight w:val="none"/>
          <w:lang w:val="en-US" w:eastAsia="zh-CN"/>
        </w:rPr>
        <w:t>执法监督力度有待提高。</w:t>
      </w:r>
      <w:r>
        <w:rPr>
          <w:rFonts w:hint="eastAsia" w:ascii="仿宋_GB2312" w:hAnsi="仿宋_GB2312" w:eastAsia="仿宋_GB2312" w:cs="仿宋_GB2312"/>
          <w:sz w:val="32"/>
          <w:szCs w:val="32"/>
          <w:highlight w:val="none"/>
        </w:rPr>
        <w:t>行政执法</w:t>
      </w:r>
      <w:r>
        <w:rPr>
          <w:rFonts w:hint="eastAsia" w:ascii="仿宋_GB2312" w:hAnsi="仿宋_GB2312" w:eastAsia="仿宋_GB2312" w:cs="仿宋_GB2312"/>
          <w:sz w:val="32"/>
          <w:szCs w:val="32"/>
          <w:highlight w:val="none"/>
          <w:lang w:eastAsia="zh-CN"/>
        </w:rPr>
        <w:t>监督专业化强，涉及的内容广泛，</w:t>
      </w:r>
      <w:r>
        <w:rPr>
          <w:rFonts w:hint="eastAsia" w:ascii="仿宋_GB2312" w:hAnsi="仿宋_GB2312" w:eastAsia="仿宋_GB2312" w:cs="仿宋_GB2312"/>
          <w:sz w:val="32"/>
          <w:szCs w:val="32"/>
          <w:highlight w:val="none"/>
        </w:rPr>
        <w:t>过程规范化建设</w:t>
      </w:r>
      <w:r>
        <w:rPr>
          <w:rFonts w:hint="eastAsia" w:ascii="仿宋_GB2312" w:hAnsi="仿宋_GB2312" w:eastAsia="仿宋_GB2312" w:cs="仿宋_GB2312"/>
          <w:sz w:val="32"/>
          <w:szCs w:val="32"/>
          <w:highlight w:val="none"/>
          <w:lang w:eastAsia="zh-CN"/>
        </w:rPr>
        <w:t>仍需</w:t>
      </w:r>
      <w:r>
        <w:rPr>
          <w:rFonts w:hint="eastAsia" w:ascii="仿宋_GB2312" w:hAnsi="仿宋_GB2312" w:eastAsia="仿宋_GB2312" w:cs="仿宋_GB2312"/>
          <w:sz w:val="32"/>
          <w:szCs w:val="32"/>
          <w:highlight w:val="none"/>
        </w:rPr>
        <w:t>强化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三是执法队伍执法能力有待加强。</w:t>
      </w:r>
      <w:r>
        <w:rPr>
          <w:rFonts w:hint="eastAsia" w:ascii="仿宋_GB2312" w:hAnsi="仿宋_GB2312" w:eastAsia="仿宋_GB2312" w:cs="仿宋_GB2312"/>
          <w:sz w:val="32"/>
          <w:szCs w:val="32"/>
          <w:highlight w:val="none"/>
          <w:lang w:val="en-US" w:eastAsia="zh-CN"/>
        </w:rPr>
        <w:t>目前从事行政执法的工作人员中，存在部分人员担当精神不强，法律专业知识欠缺，执法能力不足，所办理案件质量较差的情况。特别是当前新一轮机构改革人员分流后，新调整到一线专门执法大队的人员年龄偏大，专业法律素养缺乏，与严格规范公正文明执法的要求差距较大。</w:t>
      </w:r>
    </w:p>
    <w:p w14:paraId="35815347">
      <w:pPr>
        <w:keepNext w:val="0"/>
        <w:keepLines w:val="0"/>
        <w:pageBreakBefore w:val="0"/>
        <w:widowControl/>
        <w:pBdr>
          <w:bottom w:val="single" w:color="FFFFFF" w:sz="8" w:space="30"/>
        </w:pBdr>
        <w:shd w:val="clear" w:color="auto" w:fill="FFFFFF"/>
        <w:kinsoku/>
        <w:wordWrap/>
        <w:overflowPunct/>
        <w:topLinePunct w:val="0"/>
        <w:autoSpaceDE/>
        <w:autoSpaceDN/>
        <w:bidi w:val="0"/>
        <w:adjustRightInd/>
        <w:snapToGrid/>
        <w:spacing w:line="560" w:lineRule="exact"/>
        <w:ind w:left="0" w:leftChars="0" w:firstLine="634"/>
        <w:jc w:val="left"/>
        <w:textAlignment w:val="auto"/>
        <w:rPr>
          <w:rFonts w:hint="default" w:ascii="仿宋" w:hAnsi="仿宋" w:eastAsia="仿宋_GB2312" w:cs="仿宋"/>
          <w:sz w:val="32"/>
          <w:szCs w:val="32"/>
          <w:highlight w:val="none"/>
          <w:lang w:val="en-US" w:eastAsia="zh-CN"/>
        </w:rPr>
      </w:pPr>
      <w:r>
        <w:rPr>
          <w:rFonts w:hint="eastAsia" w:ascii="仿宋_GB2312" w:hAnsi="仿宋_GB2312" w:eastAsia="仿宋_GB2312" w:cs="仿宋_GB2312"/>
          <w:sz w:val="32"/>
          <w:szCs w:val="32"/>
          <w:highlight w:val="none"/>
          <w:lang w:val="en-US" w:eastAsia="zh-CN"/>
        </w:rPr>
        <w:t>针对存在的问题</w:t>
      </w:r>
      <w:r>
        <w:rPr>
          <w:rFonts w:hint="eastAsia" w:ascii="仿宋_GB2312" w:eastAsia="仿宋_GB2312" w:cs="仿宋_GB2312"/>
          <w:color w:val="00000A"/>
          <w:kern w:val="0"/>
          <w:sz w:val="32"/>
          <w:szCs w:val="32"/>
          <w:highlight w:val="none"/>
          <w:lang w:eastAsia="zh-CN"/>
        </w:rPr>
        <w:t>仁和镇将持续贯彻落实上级部门关于法治政府建设的各项决策部署，按照县委、县政府全面依法治县的统一安排，扎实开展好各项基层法治政府建设工作，努力推动工作再上新台阶。</w:t>
      </w:r>
    </w:p>
    <w:p w14:paraId="3708CF67">
      <w:pPr>
        <w:keepNext w:val="0"/>
        <w:keepLines w:val="0"/>
        <w:pageBreakBefore w:val="0"/>
        <w:widowControl/>
        <w:pBdr>
          <w:bottom w:val="single" w:color="FFFFFF" w:sz="8" w:space="30"/>
        </w:pBdr>
        <w:shd w:val="clear" w:color="auto" w:fill="FFFFFF"/>
        <w:kinsoku/>
        <w:wordWrap/>
        <w:overflowPunct/>
        <w:topLinePunct w:val="0"/>
        <w:autoSpaceDE/>
        <w:autoSpaceDN/>
        <w:bidi w:val="0"/>
        <w:adjustRightInd/>
        <w:snapToGrid/>
        <w:spacing w:line="560" w:lineRule="exact"/>
        <w:ind w:left="0" w:leftChars="0" w:firstLine="648"/>
        <w:jc w:val="left"/>
        <w:textAlignment w:val="auto"/>
        <w:rPr>
          <w:rFonts w:hint="default" w:ascii="黑体" w:hAnsi="宋体" w:eastAsia="黑体" w:cs="黑体"/>
          <w:color w:val="00000A"/>
          <w:kern w:val="0"/>
          <w:sz w:val="32"/>
          <w:szCs w:val="32"/>
          <w:highlight w:val="none"/>
          <w:lang w:val="en-US" w:eastAsia="zh-CN"/>
        </w:rPr>
      </w:pPr>
      <w:r>
        <w:rPr>
          <w:rFonts w:hint="eastAsia" w:ascii="黑体" w:hAnsi="宋体" w:eastAsia="黑体" w:cs="黑体"/>
          <w:color w:val="00000A"/>
          <w:kern w:val="0"/>
          <w:sz w:val="32"/>
          <w:szCs w:val="32"/>
          <w:highlight w:val="none"/>
          <w:lang w:val="en-US" w:eastAsia="zh-CN"/>
        </w:rPr>
        <w:t>四、2025年推进法治政府建设的初步安排</w:t>
      </w:r>
    </w:p>
    <w:p w14:paraId="53FF0604">
      <w:pPr>
        <w:keepNext w:val="0"/>
        <w:keepLines w:val="0"/>
        <w:pageBreakBefore w:val="0"/>
        <w:widowControl/>
        <w:numPr>
          <w:ilvl w:val="0"/>
          <w:numId w:val="1"/>
        </w:numPr>
        <w:pBdr>
          <w:bottom w:val="single" w:color="FFFFFF" w:sz="8" w:space="30"/>
        </w:pBdr>
        <w:shd w:val="clear" w:color="auto" w:fill="FFFFFF"/>
        <w:kinsoku/>
        <w:wordWrap/>
        <w:overflowPunct/>
        <w:topLinePunct w:val="0"/>
        <w:autoSpaceDE/>
        <w:autoSpaceDN/>
        <w:bidi w:val="0"/>
        <w:adjustRightInd/>
        <w:snapToGrid/>
        <w:spacing w:line="560" w:lineRule="exact"/>
        <w:ind w:left="0" w:leftChars="0" w:firstLine="634"/>
        <w:jc w:val="left"/>
        <w:textAlignment w:val="auto"/>
        <w:rPr>
          <w:rFonts w:ascii="仿宋_GB2312" w:eastAsia="仿宋_GB2312" w:cs="仿宋_GB2312"/>
          <w:color w:val="00000A"/>
          <w:kern w:val="0"/>
          <w:sz w:val="32"/>
          <w:szCs w:val="32"/>
          <w:highlight w:val="none"/>
        </w:rPr>
      </w:pPr>
      <w:r>
        <w:rPr>
          <w:rFonts w:hint="eastAsia" w:ascii="楷体" w:hAnsi="楷体" w:eastAsia="楷体" w:cs="楷体"/>
          <w:b/>
          <w:bCs/>
          <w:color w:val="00000A"/>
          <w:kern w:val="0"/>
          <w:sz w:val="32"/>
          <w:szCs w:val="32"/>
          <w:highlight w:val="none"/>
        </w:rPr>
        <w:t>创新法治宣传形式，丰富法治教育内涵。</w:t>
      </w:r>
      <w:r>
        <w:rPr>
          <w:rFonts w:hint="eastAsia" w:ascii="仿宋_GB2312" w:eastAsia="仿宋_GB2312" w:cs="仿宋_GB2312"/>
          <w:color w:val="00000A"/>
          <w:kern w:val="0"/>
          <w:sz w:val="32"/>
          <w:szCs w:val="32"/>
          <w:highlight w:val="none"/>
        </w:rPr>
        <w:t>充分利用广告展架、海报、宣传栏、墙绘、视频、网站等方式广泛宣传法治政府建设的政策与法律法规，开展各种形式的法治宣传活动，抓好法律法规咨询和解答工作，进一步提高全镇群众知法懂法用法的思想素质。切实加强依法行政宣传，增强全镇上下尊重法律、遵守法律的观念和意识，推进法治政府、法治社会一体建设。</w:t>
      </w:r>
    </w:p>
    <w:p w14:paraId="43064174">
      <w:pPr>
        <w:keepNext w:val="0"/>
        <w:keepLines w:val="0"/>
        <w:pageBreakBefore w:val="0"/>
        <w:widowControl/>
        <w:numPr>
          <w:ilvl w:val="0"/>
          <w:numId w:val="1"/>
        </w:numPr>
        <w:pBdr>
          <w:bottom w:val="single" w:color="FFFFFF" w:sz="8" w:space="30"/>
        </w:pBdr>
        <w:shd w:val="clear" w:color="auto" w:fill="FFFFFF"/>
        <w:kinsoku/>
        <w:wordWrap/>
        <w:overflowPunct/>
        <w:topLinePunct w:val="0"/>
        <w:autoSpaceDE/>
        <w:autoSpaceDN/>
        <w:bidi w:val="0"/>
        <w:adjustRightInd/>
        <w:snapToGrid/>
        <w:spacing w:line="560" w:lineRule="exact"/>
        <w:ind w:left="0" w:leftChars="0" w:firstLine="634"/>
        <w:jc w:val="left"/>
        <w:textAlignment w:val="auto"/>
        <w:rPr>
          <w:rFonts w:ascii="仿宋_GB2312" w:eastAsia="仿宋_GB2312" w:cs="仿宋_GB2312"/>
          <w:color w:val="00000A"/>
          <w:kern w:val="0"/>
          <w:sz w:val="32"/>
          <w:szCs w:val="32"/>
          <w:highlight w:val="none"/>
        </w:rPr>
      </w:pPr>
      <w:r>
        <w:rPr>
          <w:rFonts w:hint="eastAsia" w:ascii="楷体" w:hAnsi="楷体" w:eastAsia="楷体" w:cs="楷体"/>
          <w:b/>
          <w:bCs/>
          <w:color w:val="00000A"/>
          <w:kern w:val="0"/>
          <w:sz w:val="32"/>
          <w:szCs w:val="32"/>
          <w:highlight w:val="none"/>
        </w:rPr>
        <w:t>完善监督体系建设，保证权力阳光运行。</w:t>
      </w:r>
      <w:r>
        <w:rPr>
          <w:rFonts w:hint="eastAsia" w:ascii="仿宋_GB2312" w:eastAsia="仿宋_GB2312" w:cs="仿宋_GB2312"/>
          <w:color w:val="00000A"/>
          <w:kern w:val="0"/>
          <w:sz w:val="32"/>
          <w:szCs w:val="32"/>
          <w:highlight w:val="none"/>
        </w:rPr>
        <w:t>严格规范信息公开流程，强化制度建设，确保政府信息公开工作依规有序进行，推进落实常态化、制度化。及时完善更新政府公开信息目录，保证公开信息的完整性和准确性。突出重点，将全镇的重点事项、重大工程项目、群众关心关切作为公开重点，提高政务公开工作的质量和水平。积极与上级部门对接联系，加强工作信息报送，提高信息质量。</w:t>
      </w:r>
    </w:p>
    <w:p w14:paraId="2FE57949">
      <w:pPr>
        <w:keepNext w:val="0"/>
        <w:keepLines w:val="0"/>
        <w:pageBreakBefore w:val="0"/>
        <w:widowControl/>
        <w:numPr>
          <w:ilvl w:val="0"/>
          <w:numId w:val="1"/>
        </w:numPr>
        <w:pBdr>
          <w:bottom w:val="single" w:color="FFFFFF" w:sz="8" w:space="30"/>
        </w:pBdr>
        <w:shd w:val="clear" w:color="auto" w:fill="FFFFFF"/>
        <w:kinsoku/>
        <w:wordWrap/>
        <w:overflowPunct/>
        <w:topLinePunct w:val="0"/>
        <w:autoSpaceDE/>
        <w:autoSpaceDN/>
        <w:bidi w:val="0"/>
        <w:adjustRightInd/>
        <w:snapToGrid/>
        <w:spacing w:line="560" w:lineRule="exact"/>
        <w:ind w:left="0" w:leftChars="0" w:firstLine="634"/>
        <w:jc w:val="left"/>
        <w:textAlignment w:val="auto"/>
        <w:rPr>
          <w:rFonts w:ascii="仿宋_GB2312" w:eastAsia="仿宋_GB2312" w:cs="仿宋_GB2312"/>
          <w:color w:val="00000A"/>
          <w:kern w:val="0"/>
          <w:sz w:val="32"/>
          <w:szCs w:val="32"/>
          <w:highlight w:val="none"/>
        </w:rPr>
      </w:pPr>
      <w:r>
        <w:rPr>
          <w:rFonts w:hint="eastAsia" w:ascii="楷体" w:hAnsi="楷体" w:eastAsia="楷体" w:cs="楷体"/>
          <w:b/>
          <w:bCs/>
          <w:color w:val="00000A"/>
          <w:kern w:val="0"/>
          <w:sz w:val="32"/>
          <w:szCs w:val="32"/>
          <w:highlight w:val="none"/>
        </w:rPr>
        <w:t>规范行政执法行为，加强法治政府建设</w:t>
      </w:r>
      <w:r>
        <w:rPr>
          <w:rFonts w:hint="eastAsia" w:ascii="楷体" w:hAnsi="楷体" w:eastAsia="楷体" w:cs="楷体"/>
          <w:b/>
          <w:bCs/>
          <w:color w:val="00000A"/>
          <w:kern w:val="0"/>
          <w:sz w:val="32"/>
          <w:szCs w:val="32"/>
          <w:highlight w:val="none"/>
          <w:lang w:eastAsia="zh-CN"/>
        </w:rPr>
        <w:t>。</w:t>
      </w:r>
      <w:r>
        <w:rPr>
          <w:rFonts w:ascii="仿宋_GB2312" w:eastAsia="仿宋_GB2312" w:cs="仿宋_GB2312"/>
          <w:color w:val="00000A"/>
          <w:kern w:val="0"/>
          <w:sz w:val="32"/>
          <w:szCs w:val="32"/>
          <w:highlight w:val="none"/>
        </w:rPr>
        <w:t>深入抓好领导干部学法用法，不断提高依法执政能力，进一步加大对《宪法》</w:t>
      </w:r>
      <w:r>
        <w:rPr>
          <w:rFonts w:hint="eastAsia" w:ascii="仿宋_GB2312" w:eastAsia="仿宋_GB2312" w:cs="仿宋_GB2312"/>
          <w:color w:val="00000A"/>
          <w:kern w:val="0"/>
          <w:sz w:val="32"/>
          <w:szCs w:val="32"/>
          <w:highlight w:val="none"/>
          <w:lang w:eastAsia="zh-CN"/>
        </w:rPr>
        <w:t>、</w:t>
      </w:r>
      <w:r>
        <w:rPr>
          <w:rFonts w:ascii="仿宋_GB2312" w:eastAsia="仿宋_GB2312" w:cs="仿宋_GB2312"/>
          <w:color w:val="00000A"/>
          <w:kern w:val="0"/>
          <w:sz w:val="32"/>
          <w:szCs w:val="32"/>
          <w:highlight w:val="none"/>
        </w:rPr>
        <w:t>《监察法》</w:t>
      </w:r>
      <w:r>
        <w:rPr>
          <w:rFonts w:hint="eastAsia" w:ascii="仿宋_GB2312" w:eastAsia="仿宋_GB2312" w:cs="仿宋_GB2312"/>
          <w:color w:val="00000A"/>
          <w:kern w:val="0"/>
          <w:sz w:val="32"/>
          <w:szCs w:val="32"/>
          <w:highlight w:val="none"/>
          <w:lang w:eastAsia="zh-CN"/>
        </w:rPr>
        <w:t>、</w:t>
      </w:r>
      <w:r>
        <w:rPr>
          <w:rFonts w:ascii="仿宋_GB2312" w:eastAsia="仿宋_GB2312" w:cs="仿宋_GB2312"/>
          <w:color w:val="00000A"/>
          <w:kern w:val="0"/>
          <w:sz w:val="32"/>
          <w:szCs w:val="32"/>
          <w:highlight w:val="none"/>
        </w:rPr>
        <w:t>《治安处罚法》等法律法规的学习培训和贯彻执行，重点加强对党政领导干部和工作人员的宣传教育，增强对法律法规的敬畏意识和遵守、执行意识，增强运用法治思维和法治方式解决工作难题的自觉性和主动性，增强政府公信力的责任感和使命感，为我镇营造良好的法治环境。</w:t>
      </w:r>
    </w:p>
    <w:p w14:paraId="3F6345B7">
      <w:pPr>
        <w:keepNext w:val="0"/>
        <w:keepLines w:val="0"/>
        <w:pageBreakBefore w:val="0"/>
        <w:widowControl/>
        <w:numPr>
          <w:ilvl w:val="0"/>
          <w:numId w:val="0"/>
        </w:numPr>
        <w:pBdr>
          <w:bottom w:val="single" w:color="FFFFFF" w:sz="8" w:space="30"/>
        </w:pBd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s="仿宋_GB2312"/>
          <w:color w:val="00000A"/>
          <w:kern w:val="0"/>
          <w:sz w:val="32"/>
          <w:szCs w:val="32"/>
          <w:highlight w:val="none"/>
        </w:rPr>
      </w:pPr>
    </w:p>
    <w:p w14:paraId="443B02F6">
      <w:pPr>
        <w:keepNext w:val="0"/>
        <w:keepLines w:val="0"/>
        <w:pageBreakBefore w:val="0"/>
        <w:widowControl/>
        <w:pBdr>
          <w:bottom w:val="single" w:color="FFFFFF" w:sz="8" w:space="30"/>
        </w:pBdr>
        <w:shd w:val="clear" w:color="auto" w:fill="FFFFFF"/>
        <w:kinsoku/>
        <w:wordWrap/>
        <w:overflowPunct/>
        <w:topLinePunct w:val="0"/>
        <w:autoSpaceDE/>
        <w:autoSpaceDN/>
        <w:bidi w:val="0"/>
        <w:adjustRightInd/>
        <w:snapToGrid/>
        <w:spacing w:line="560" w:lineRule="exact"/>
        <w:ind w:left="0" w:leftChars="0" w:firstLine="5280" w:firstLineChars="1650"/>
        <w:jc w:val="left"/>
        <w:textAlignment w:val="auto"/>
        <w:rPr>
          <w:rFonts w:hint="eastAsia" w:ascii="仿宋_GB2312" w:eastAsia="仿宋_GB2312" w:cs="仿宋_GB2312"/>
          <w:color w:val="00000A"/>
          <w:kern w:val="0"/>
          <w:sz w:val="32"/>
          <w:szCs w:val="32"/>
          <w:highlight w:val="none"/>
        </w:rPr>
      </w:pPr>
    </w:p>
    <w:p w14:paraId="034E4D45">
      <w:pPr>
        <w:pStyle w:val="2"/>
        <w:rPr>
          <w:rFonts w:hint="eastAsia"/>
          <w:highlight w:val="none"/>
        </w:rPr>
      </w:pPr>
    </w:p>
    <w:p w14:paraId="4FF0FDD3">
      <w:pPr>
        <w:keepNext w:val="0"/>
        <w:keepLines w:val="0"/>
        <w:pageBreakBefore w:val="0"/>
        <w:widowControl/>
        <w:pBdr>
          <w:bottom w:val="single" w:color="FFFFFF" w:sz="8" w:space="30"/>
        </w:pBdr>
        <w:shd w:val="clear" w:color="auto" w:fill="FFFFFF"/>
        <w:kinsoku/>
        <w:wordWrap w:val="0"/>
        <w:overflowPunct/>
        <w:topLinePunct w:val="0"/>
        <w:autoSpaceDE/>
        <w:autoSpaceDN/>
        <w:bidi w:val="0"/>
        <w:adjustRightInd/>
        <w:snapToGrid/>
        <w:spacing w:line="560" w:lineRule="exact"/>
        <w:ind w:left="0" w:leftChars="0" w:firstLine="0" w:firstLineChars="0"/>
        <w:jc w:val="right"/>
        <w:textAlignment w:val="auto"/>
        <w:rPr>
          <w:rFonts w:hint="default" w:eastAsia="仿宋_GB2312" w:cs="Times New Roman"/>
          <w:color w:val="333333"/>
          <w:kern w:val="0"/>
          <w:sz w:val="24"/>
          <w:highlight w:val="none"/>
          <w:lang w:val="en-US" w:eastAsia="zh-CN"/>
        </w:rPr>
      </w:pPr>
      <w:bookmarkStart w:id="0" w:name="_GoBack"/>
      <w:bookmarkEnd w:id="0"/>
      <w:r>
        <w:rPr>
          <w:rFonts w:hint="eastAsia" w:ascii="仿宋_GB2312" w:hAnsi="仿宋_GB2312" w:eastAsia="仿宋_GB2312" w:cs="仿宋_GB2312"/>
          <w:color w:val="00000A"/>
          <w:kern w:val="0"/>
          <w:sz w:val="32"/>
          <w:szCs w:val="32"/>
          <w:highlight w:val="none"/>
          <w:lang w:val="en-US" w:eastAsia="zh-CN"/>
        </w:rPr>
        <w:t xml:space="preserve"> </w:t>
      </w:r>
    </w:p>
    <w:sectPr>
      <w:footerReference r:id="rId3" w:type="default"/>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1A5CEB-B9BE-49E3-B2C4-3F9B6AFF0B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2" w:fontKey="{BC1CB5A4-2B91-4131-9847-64DF8028989A}"/>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9DE1DDA0-AD19-4BCB-8A71-B244FEBCD3CE}"/>
  </w:font>
  <w:font w:name="楷体">
    <w:panose1 w:val="02010609060101010101"/>
    <w:charset w:val="86"/>
    <w:family w:val="modern"/>
    <w:pitch w:val="default"/>
    <w:sig w:usb0="800002BF" w:usb1="38CF7CFA" w:usb2="00000016" w:usb3="00000000" w:csb0="00040001" w:csb1="00000000"/>
    <w:embedRegular r:id="rId4" w:fontKey="{3BB8012A-F536-41F6-90BF-3BDE9C5DD6DD}"/>
  </w:font>
  <w:font w:name="仿宋">
    <w:panose1 w:val="02010609060101010101"/>
    <w:charset w:val="86"/>
    <w:family w:val="modern"/>
    <w:pitch w:val="default"/>
    <w:sig w:usb0="800002BF" w:usb1="38CF7CFA" w:usb2="00000016" w:usb3="00000000" w:csb0="00040001" w:csb1="00000000"/>
    <w:embedRegular r:id="rId5" w:fontKey="{A7693560-63B2-4601-B906-79E91C853E65}"/>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1C1F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3893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853893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48912"/>
    <w:multiLevelType w:val="singleLevel"/>
    <w:tmpl w:val="0BE48912"/>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NmFiMTEyNDc4ZjAzZDRjOTBlNjkwNTVmMDQwOTMifQ=="/>
  </w:docVars>
  <w:rsids>
    <w:rsidRoot w:val="2CAE72B5"/>
    <w:rsid w:val="00010B77"/>
    <w:rsid w:val="00092B7A"/>
    <w:rsid w:val="000F519B"/>
    <w:rsid w:val="001429BA"/>
    <w:rsid w:val="0014703E"/>
    <w:rsid w:val="001801EF"/>
    <w:rsid w:val="001D699D"/>
    <w:rsid w:val="001F0D71"/>
    <w:rsid w:val="002F59EB"/>
    <w:rsid w:val="004015A2"/>
    <w:rsid w:val="00557FDD"/>
    <w:rsid w:val="0071039C"/>
    <w:rsid w:val="00743479"/>
    <w:rsid w:val="00765488"/>
    <w:rsid w:val="00971CD8"/>
    <w:rsid w:val="009A709D"/>
    <w:rsid w:val="009C0F0B"/>
    <w:rsid w:val="00AE7F7F"/>
    <w:rsid w:val="00C60741"/>
    <w:rsid w:val="00D2439C"/>
    <w:rsid w:val="00DB6A77"/>
    <w:rsid w:val="00DD1753"/>
    <w:rsid w:val="00DD6F56"/>
    <w:rsid w:val="00EF51A1"/>
    <w:rsid w:val="00F2007E"/>
    <w:rsid w:val="01EC2732"/>
    <w:rsid w:val="04D70E27"/>
    <w:rsid w:val="08C039E9"/>
    <w:rsid w:val="0B2B77D7"/>
    <w:rsid w:val="0C403756"/>
    <w:rsid w:val="0D991CC9"/>
    <w:rsid w:val="10305890"/>
    <w:rsid w:val="14587163"/>
    <w:rsid w:val="14E90674"/>
    <w:rsid w:val="14FB5186"/>
    <w:rsid w:val="162F6CBD"/>
    <w:rsid w:val="18D55226"/>
    <w:rsid w:val="19192351"/>
    <w:rsid w:val="1A7E04D6"/>
    <w:rsid w:val="1D5F54FE"/>
    <w:rsid w:val="1DDE02E0"/>
    <w:rsid w:val="1E95165B"/>
    <w:rsid w:val="1EBF3D51"/>
    <w:rsid w:val="1EFA7794"/>
    <w:rsid w:val="23CA0C99"/>
    <w:rsid w:val="241D7AEA"/>
    <w:rsid w:val="27B85A34"/>
    <w:rsid w:val="2A07686E"/>
    <w:rsid w:val="2B22254D"/>
    <w:rsid w:val="2BAC27C7"/>
    <w:rsid w:val="2C924C4A"/>
    <w:rsid w:val="2CAE72B5"/>
    <w:rsid w:val="2D0E42D1"/>
    <w:rsid w:val="2D377E06"/>
    <w:rsid w:val="2D6F75A0"/>
    <w:rsid w:val="2DB43204"/>
    <w:rsid w:val="2F9D0B90"/>
    <w:rsid w:val="318268FB"/>
    <w:rsid w:val="31BB30A3"/>
    <w:rsid w:val="338F300E"/>
    <w:rsid w:val="37026374"/>
    <w:rsid w:val="39137979"/>
    <w:rsid w:val="3941687A"/>
    <w:rsid w:val="3A9F4C9C"/>
    <w:rsid w:val="3E5E3444"/>
    <w:rsid w:val="40B94B83"/>
    <w:rsid w:val="41121A65"/>
    <w:rsid w:val="41837C0C"/>
    <w:rsid w:val="43961861"/>
    <w:rsid w:val="449776B0"/>
    <w:rsid w:val="44FE0F8A"/>
    <w:rsid w:val="4752390A"/>
    <w:rsid w:val="47C97614"/>
    <w:rsid w:val="47DC187E"/>
    <w:rsid w:val="48561B3A"/>
    <w:rsid w:val="49077B26"/>
    <w:rsid w:val="4C97665E"/>
    <w:rsid w:val="4DD04403"/>
    <w:rsid w:val="4F5166AD"/>
    <w:rsid w:val="4FFA60E5"/>
    <w:rsid w:val="507B7E86"/>
    <w:rsid w:val="51FB7581"/>
    <w:rsid w:val="5ED4433C"/>
    <w:rsid w:val="5EF92212"/>
    <w:rsid w:val="5FCD4188"/>
    <w:rsid w:val="60844AE7"/>
    <w:rsid w:val="60E779F8"/>
    <w:rsid w:val="61974B33"/>
    <w:rsid w:val="61E76E94"/>
    <w:rsid w:val="673D77EB"/>
    <w:rsid w:val="68264A5A"/>
    <w:rsid w:val="6917697D"/>
    <w:rsid w:val="6E713F3E"/>
    <w:rsid w:val="6F7E6D13"/>
    <w:rsid w:val="70B573CD"/>
    <w:rsid w:val="713D5351"/>
    <w:rsid w:val="72B34870"/>
    <w:rsid w:val="75512852"/>
    <w:rsid w:val="77163BB5"/>
    <w:rsid w:val="77B71EFC"/>
    <w:rsid w:val="78EF0B61"/>
    <w:rsid w:val="7CA659DB"/>
    <w:rsid w:val="7CDE0635"/>
    <w:rsid w:val="7D13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zh-CN" w:bidi="zh-CN"/>
    </w:rPr>
  </w:style>
  <w:style w:type="paragraph" w:styleId="3">
    <w:name w:val="toc 3"/>
    <w:basedOn w:val="1"/>
    <w:next w:val="1"/>
    <w:unhideWhenUsed/>
    <w:qFormat/>
    <w:uiPriority w:val="99"/>
    <w:pPr>
      <w:spacing w:before="100" w:beforeAutospacing="1" w:after="100" w:afterAutospacing="1"/>
      <w:ind w:left="420"/>
    </w:pPr>
    <w:rPr>
      <w:rFonts w:ascii="等线" w:hAnsi="等线" w:eastAsia="等线"/>
      <w:b/>
      <w:bCs/>
      <w:sz w:val="30"/>
      <w:szCs w:val="30"/>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rFonts w:ascii="Times New Roman" w:hAnsi="Times New Roman" w:cs="Times New Roman"/>
      <w:sz w:val="24"/>
    </w:rPr>
  </w:style>
  <w:style w:type="character" w:styleId="10">
    <w:name w:val="Strong"/>
    <w:basedOn w:val="9"/>
    <w:qFormat/>
    <w:uiPriority w:val="0"/>
    <w:rPr>
      <w:b/>
    </w:rPr>
  </w:style>
  <w:style w:type="character" w:customStyle="1" w:styleId="11">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3089</Words>
  <Characters>3142</Characters>
  <Lines>16</Lines>
  <Paragraphs>4</Paragraphs>
  <TotalTime>5</TotalTime>
  <ScaleCrop>false</ScaleCrop>
  <LinksUpToDate>false</LinksUpToDate>
  <CharactersWithSpaces>3144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2023-01-19T01:38:00Z</dcterms:created>
  <dc:creator>蹦蹦</dc:creator>
  <cp:lastModifiedBy>银华</cp:lastModifiedBy>
  <cp:lastPrinted>2024-12-02T09:27:00Z</cp:lastPrinted>
  <dcterms:modified xsi:type="dcterms:W3CDTF">2025-03-12T06:55:04Z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4CC7FAF2AF6C442EB935F317A25294F8_13</vt:lpwstr>
  </property>
  <property fmtid="{D5CDD505-2E9C-101B-9397-08002B2CF9AE}" pid="4" name="KSOTemplateDocerSaveRecord">
    <vt:lpwstr>eyJoZGlkIjoiNzAwNWVlOWNmNWEzMmI0ZWMxMTIzNTQzMjk4NTUzMjEiLCJ1c2VySWQiOiI2NTU0NTYyMTUifQ==</vt:lpwstr>
  </property>
</Properties>
</file>