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A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60" w:lineRule="exact"/>
        <w:ind w:left="0" w:right="0" w:firstLine="880" w:firstLineChars="200"/>
        <w:jc w:val="center"/>
        <w:textAlignment w:val="auto"/>
        <w:rPr>
          <w:rFonts w:hint="eastAsia" w:ascii="黑体" w:hAnsi="黑体" w:eastAsia="黑体" w:cs="黑体"/>
          <w:b w:val="0"/>
          <w:bCs w:val="0"/>
          <w:i w:val="0"/>
          <w:iCs w:val="0"/>
          <w:caps w:val="0"/>
          <w:color w:val="333333"/>
          <w:spacing w:val="0"/>
          <w:sz w:val="44"/>
          <w:szCs w:val="44"/>
          <w:u w:val="none"/>
          <w:shd w:val="clear" w:fill="FFFFFF"/>
          <w:lang w:val="en-US" w:eastAsia="zh-CN"/>
        </w:rPr>
      </w:pPr>
      <w:r>
        <w:rPr>
          <w:rFonts w:hint="eastAsia" w:ascii="黑体" w:hAnsi="黑体" w:eastAsia="黑体" w:cs="黑体"/>
          <w:b w:val="0"/>
          <w:bCs w:val="0"/>
          <w:i w:val="0"/>
          <w:iCs w:val="0"/>
          <w:caps w:val="0"/>
          <w:color w:val="333333"/>
          <w:spacing w:val="0"/>
          <w:sz w:val="44"/>
          <w:szCs w:val="44"/>
          <w:u w:val="none"/>
          <w:shd w:val="clear" w:fill="FFFFFF"/>
          <w:lang w:val="en-US" w:eastAsia="zh-CN"/>
        </w:rPr>
        <w:t>潢川县民政局</w:t>
      </w:r>
    </w:p>
    <w:p w14:paraId="2B006A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60" w:lineRule="exact"/>
        <w:ind w:left="0" w:right="0" w:firstLine="880" w:firstLineChars="200"/>
        <w:jc w:val="center"/>
        <w:textAlignment w:val="auto"/>
        <w:rPr>
          <w:rFonts w:hint="default" w:ascii="方正仿宋_GB2312" w:hAnsi="方正仿宋_GB2312" w:eastAsia="方正仿宋_GB2312" w:cs="方正仿宋_GB2312"/>
          <w:i w:val="0"/>
          <w:iCs w:val="0"/>
          <w:caps w:val="0"/>
          <w:color w:val="333333"/>
          <w:spacing w:val="0"/>
          <w:sz w:val="32"/>
          <w:szCs w:val="32"/>
          <w:u w:val="none"/>
          <w:shd w:val="clear" w:fill="FFFFFF"/>
          <w:lang w:val="en-US" w:eastAsia="zh-CN"/>
        </w:rPr>
      </w:pPr>
      <w:bookmarkStart w:id="0" w:name="_GoBack"/>
      <w:bookmarkEnd w:id="0"/>
      <w:r>
        <w:rPr>
          <w:rFonts w:hint="eastAsia" w:ascii="黑体" w:hAnsi="黑体" w:eastAsia="黑体" w:cs="黑体"/>
          <w:b w:val="0"/>
          <w:bCs w:val="0"/>
          <w:i w:val="0"/>
          <w:iCs w:val="0"/>
          <w:caps w:val="0"/>
          <w:color w:val="333333"/>
          <w:spacing w:val="0"/>
          <w:sz w:val="44"/>
          <w:szCs w:val="44"/>
          <w:u w:val="none"/>
          <w:shd w:val="clear" w:fill="FFFFFF"/>
          <w:lang w:val="en-US" w:eastAsia="zh-CN"/>
        </w:rPr>
        <w:t>2024年法治政府建设工作报告</w:t>
      </w:r>
    </w:p>
    <w:p w14:paraId="6AC2E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202</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u w:val="none"/>
          <w:shd w:val="clear" w:fill="FFFFFF"/>
        </w:rPr>
        <w:t>年，</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潢川县</w:t>
      </w:r>
      <w:r>
        <w:rPr>
          <w:rFonts w:hint="eastAsia" w:ascii="仿宋_GB2312" w:hAnsi="仿宋_GB2312" w:eastAsia="仿宋_GB2312" w:cs="仿宋_GB2312"/>
          <w:i w:val="0"/>
          <w:iCs w:val="0"/>
          <w:caps w:val="0"/>
          <w:color w:val="333333"/>
          <w:spacing w:val="0"/>
          <w:sz w:val="32"/>
          <w:szCs w:val="32"/>
          <w:u w:val="none"/>
          <w:shd w:val="clear" w:fill="FFFFFF"/>
        </w:rPr>
        <w:t>民政局坚持以习近平新时代中国特色社会主义思想为指导，按照</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rPr>
        <w:t>委、</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rPr>
        <w:t>政府部署安排，深入学习贯彻党的二十大精神</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二十届三中全会精神</w:t>
      </w:r>
      <w:r>
        <w:rPr>
          <w:rFonts w:hint="eastAsia" w:ascii="仿宋_GB2312" w:hAnsi="仿宋_GB2312" w:eastAsia="仿宋_GB2312" w:cs="仿宋_GB2312"/>
          <w:i w:val="0"/>
          <w:iCs w:val="0"/>
          <w:caps w:val="0"/>
          <w:color w:val="333333"/>
          <w:spacing w:val="0"/>
          <w:sz w:val="32"/>
          <w:szCs w:val="32"/>
          <w:u w:val="none"/>
          <w:shd w:val="clear" w:fill="FFFFFF"/>
        </w:rPr>
        <w:t>和中央全面依法治国的基本要求，民政局紧紧围绕“扶老、助残、救孤、济困”的工作宗旨，全面落实依法行政各项目标任务，积极提升民政系统依法行政能力，推进民政法治建设。现将有关情况报告如下：</w:t>
      </w:r>
    </w:p>
    <w:p w14:paraId="753FC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firstLineChars="200"/>
        <w:jc w:val="both"/>
        <w:textAlignment w:val="auto"/>
        <w:rPr>
          <w:rFonts w:hint="eastAsia" w:ascii="黑体" w:hAnsi="黑体" w:eastAsia="黑体" w:cs="黑体"/>
          <w:i w:val="0"/>
          <w:iCs w:val="0"/>
          <w:caps w:val="0"/>
          <w:color w:val="333333"/>
          <w:spacing w:val="0"/>
          <w:sz w:val="32"/>
          <w:szCs w:val="32"/>
          <w:u w:val="none"/>
          <w:shd w:val="clear" w:fill="FFFFFF"/>
          <w:lang w:val="en-US" w:eastAsia="zh-CN"/>
        </w:rPr>
      </w:pPr>
      <w:r>
        <w:rPr>
          <w:rFonts w:hint="eastAsia" w:ascii="黑体" w:hAnsi="黑体" w:eastAsia="黑体" w:cs="黑体"/>
          <w:i w:val="0"/>
          <w:iCs w:val="0"/>
          <w:caps w:val="0"/>
          <w:color w:val="333333"/>
          <w:spacing w:val="0"/>
          <w:sz w:val="32"/>
          <w:szCs w:val="32"/>
          <w:u w:val="none"/>
          <w:shd w:val="clear" w:fill="FFFFFF"/>
        </w:rPr>
        <w:t>一、202</w:t>
      </w:r>
      <w:r>
        <w:rPr>
          <w:rFonts w:hint="eastAsia" w:ascii="黑体" w:hAnsi="黑体" w:eastAsia="黑体" w:cs="黑体"/>
          <w:i w:val="0"/>
          <w:iCs w:val="0"/>
          <w:caps w:val="0"/>
          <w:color w:val="333333"/>
          <w:spacing w:val="0"/>
          <w:sz w:val="32"/>
          <w:szCs w:val="32"/>
          <w:u w:val="none"/>
          <w:shd w:val="clear" w:fill="FFFFFF"/>
          <w:lang w:val="en-US" w:eastAsia="zh-CN"/>
        </w:rPr>
        <w:t>4</w:t>
      </w:r>
      <w:r>
        <w:rPr>
          <w:rFonts w:hint="eastAsia" w:ascii="黑体" w:hAnsi="黑体" w:eastAsia="黑体" w:cs="黑体"/>
          <w:i w:val="0"/>
          <w:iCs w:val="0"/>
          <w:caps w:val="0"/>
          <w:color w:val="333333"/>
          <w:spacing w:val="0"/>
          <w:sz w:val="32"/>
          <w:szCs w:val="32"/>
          <w:u w:val="none"/>
          <w:shd w:val="clear" w:fill="FFFFFF"/>
        </w:rPr>
        <w:t>年</w:t>
      </w:r>
      <w:r>
        <w:rPr>
          <w:rFonts w:hint="eastAsia" w:ascii="黑体" w:hAnsi="黑体" w:eastAsia="黑体" w:cs="黑体"/>
          <w:i w:val="0"/>
          <w:iCs w:val="0"/>
          <w:caps w:val="0"/>
          <w:color w:val="333333"/>
          <w:spacing w:val="0"/>
          <w:sz w:val="32"/>
          <w:szCs w:val="32"/>
          <w:u w:val="none"/>
          <w:shd w:val="clear" w:fill="FFFFFF"/>
          <w:lang w:val="en-US" w:eastAsia="zh-CN"/>
        </w:rPr>
        <w:t>党政主要负责人履行推进法治建设第一责任人职责，加强法治政府建设的有关情况</w:t>
      </w:r>
    </w:p>
    <w:p w14:paraId="409F7B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（一）认真落实第一责任人职责。</w:t>
      </w:r>
      <w:r>
        <w:rPr>
          <w:rFonts w:hint="eastAsia" w:ascii="仿宋_GB2312" w:hAnsi="仿宋_GB2312" w:eastAsia="仿宋_GB2312" w:cs="仿宋_GB2312"/>
          <w:i w:val="0"/>
          <w:iCs w:val="0"/>
          <w:caps w:val="0"/>
          <w:color w:val="333333"/>
          <w:spacing w:val="0"/>
          <w:sz w:val="32"/>
          <w:szCs w:val="32"/>
          <w:shd w:val="clear" w:fill="FFFFFF"/>
        </w:rPr>
        <w:t>严格按照文件要求执行法治政府建设第一责任人制度</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rPr>
        <w:t>把法治政府建设工作列入重要议事日程，履行法治政府建设工作领导小组职责，确保该项工作有人抓，有人管。明确年度工作目标任务。局党组专题研究部署法治政府建设工作，做到有部署、有检查、有总结，形成“一把手”亲自抓、分管领导具体抓、业务部门协同抓，全局干部职工齐力抓的工作格局。</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积极发挥“头雁”作用，带头学习法律法规，把深入学习宣传贯彻习近平法治思想作为局党组会议“第一议题”，提高领导班子和领导干部法治思维和法治能力。</w:t>
      </w:r>
    </w:p>
    <w:p w14:paraId="7695C3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（二）严格规范民政事项依法民主决策。</w:t>
      </w:r>
      <w:r>
        <w:rPr>
          <w:rFonts w:hint="eastAsia" w:ascii="仿宋_GB2312" w:hAnsi="仿宋_GB2312" w:eastAsia="仿宋_GB2312" w:cs="仿宋_GB2312"/>
          <w:i w:val="0"/>
          <w:iCs w:val="0"/>
          <w:caps w:val="0"/>
          <w:color w:val="333333"/>
          <w:spacing w:val="0"/>
          <w:sz w:val="32"/>
          <w:szCs w:val="32"/>
          <w:shd w:val="clear" w:fill="FFFFFF"/>
        </w:rPr>
        <w:t>局主要负责人在工作中严格执行重大行政决策法定程序，落实民主集中制，认真贯彻执行“三重一大”事项集体决策制度，凡属重大事项均经局党组集体研究决定，有效防范行政风险的发生。</w:t>
      </w:r>
    </w:p>
    <w:p w14:paraId="64DBC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楷体" w:hAnsi="楷体" w:eastAsia="楷体" w:cs="楷体"/>
          <w:b/>
          <w:bCs/>
          <w:i w:val="0"/>
          <w:iCs w:val="0"/>
          <w:caps w:val="0"/>
          <w:color w:val="333333"/>
          <w:spacing w:val="0"/>
          <w:sz w:val="32"/>
          <w:szCs w:val="32"/>
          <w:shd w:val="clear" w:fill="FFFFFF"/>
        </w:rPr>
        <w:t>（三）全面推进民政领域工作依法行政。</w:t>
      </w:r>
      <w:r>
        <w:rPr>
          <w:rFonts w:hint="eastAsia" w:ascii="仿宋_GB2312" w:hAnsi="仿宋_GB2312" w:eastAsia="仿宋_GB2312" w:cs="仿宋_GB2312"/>
          <w:i w:val="0"/>
          <w:iCs w:val="0"/>
          <w:caps w:val="0"/>
          <w:color w:val="333333"/>
          <w:spacing w:val="0"/>
          <w:sz w:val="32"/>
          <w:szCs w:val="32"/>
          <w:shd w:val="clear" w:fill="FFFFFF"/>
        </w:rPr>
        <w:t>局主要负责人在工作中加强社会救助综合服务能力建设，强化“一老一小”关爱保护，加强社会组织监督管理，严格按照《中华人民共和国慈善法》开展慈善活动，深化殡葬和婚俗改革，规范地名管理。聚焦</w:t>
      </w:r>
      <w:r>
        <w:rPr>
          <w:rFonts w:hint="eastAsia" w:ascii="仿宋_GB2312" w:hAnsi="仿宋_GB2312" w:eastAsia="仿宋_GB2312" w:cs="仿宋_GB2312"/>
          <w:i w:val="0"/>
          <w:iCs w:val="0"/>
          <w:caps w:val="0"/>
          <w:color w:val="333333"/>
          <w:spacing w:val="0"/>
          <w:sz w:val="32"/>
          <w:szCs w:val="32"/>
          <w:shd w:val="clear" w:fill="FFFFFF"/>
          <w:lang w:val="en-US" w:eastAsia="zh-CN"/>
        </w:rPr>
        <w:t>社会救助</w:t>
      </w:r>
      <w:r>
        <w:rPr>
          <w:rFonts w:hint="eastAsia" w:ascii="仿宋_GB2312" w:hAnsi="仿宋_GB2312" w:eastAsia="仿宋_GB2312" w:cs="仿宋_GB2312"/>
          <w:i w:val="0"/>
          <w:iCs w:val="0"/>
          <w:caps w:val="0"/>
          <w:color w:val="333333"/>
          <w:spacing w:val="0"/>
          <w:sz w:val="32"/>
          <w:szCs w:val="32"/>
          <w:shd w:val="clear" w:fill="FFFFFF"/>
        </w:rPr>
        <w:t>、社会组织管理</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殡葬事务</w:t>
      </w:r>
      <w:r>
        <w:rPr>
          <w:rFonts w:hint="eastAsia" w:ascii="仿宋_GB2312" w:hAnsi="仿宋_GB2312" w:eastAsia="仿宋_GB2312" w:cs="仿宋_GB2312"/>
          <w:i w:val="0"/>
          <w:iCs w:val="0"/>
          <w:caps w:val="0"/>
          <w:color w:val="333333"/>
          <w:spacing w:val="0"/>
          <w:sz w:val="32"/>
          <w:szCs w:val="32"/>
          <w:shd w:val="clear" w:fill="FFFFFF"/>
        </w:rPr>
        <w:t>等关系群众切身利益的重点领域，加大执法力度，严肃查处违法违规行为。</w:t>
      </w:r>
    </w:p>
    <w:p w14:paraId="53FE4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firstLineChars="200"/>
        <w:jc w:val="both"/>
        <w:textAlignment w:val="auto"/>
        <w:rPr>
          <w:rFonts w:hint="eastAsia" w:ascii="黑体" w:hAnsi="宋体" w:eastAsia="方正仿宋_GB2312" w:cs="方正仿宋_GB2312"/>
          <w:i w:val="0"/>
          <w:iCs w:val="0"/>
          <w:caps w:val="0"/>
          <w:color w:val="333333"/>
          <w:spacing w:val="0"/>
          <w:sz w:val="32"/>
          <w:szCs w:val="32"/>
          <w:u w:val="none"/>
          <w:shd w:val="clear" w:fill="FFFFFF"/>
        </w:rPr>
      </w:pPr>
      <w:r>
        <w:rPr>
          <w:rFonts w:hint="eastAsia" w:ascii="黑体" w:hAnsi="黑体" w:eastAsia="黑体" w:cs="黑体"/>
          <w:i w:val="0"/>
          <w:iCs w:val="0"/>
          <w:caps w:val="0"/>
          <w:color w:val="333333"/>
          <w:spacing w:val="0"/>
          <w:sz w:val="32"/>
          <w:szCs w:val="32"/>
          <w:u w:val="none"/>
          <w:shd w:val="clear" w:fill="FFFFFF"/>
          <w:lang w:val="en-US" w:eastAsia="zh-CN"/>
        </w:rPr>
        <w:t>二、2024年</w:t>
      </w:r>
      <w:r>
        <w:rPr>
          <w:rFonts w:hint="eastAsia" w:ascii="黑体" w:hAnsi="黑体" w:eastAsia="黑体" w:cs="黑体"/>
          <w:i w:val="0"/>
          <w:iCs w:val="0"/>
          <w:caps w:val="0"/>
          <w:color w:val="333333"/>
          <w:spacing w:val="0"/>
          <w:sz w:val="32"/>
          <w:szCs w:val="32"/>
          <w:u w:val="none"/>
          <w:shd w:val="clear" w:fill="FFFFFF"/>
        </w:rPr>
        <w:t>推进法治政府建设的主要举措和成效　</w:t>
      </w:r>
      <w:r>
        <w:rPr>
          <w:rFonts w:hint="eastAsia" w:ascii="黑体" w:hAnsi="宋体" w:eastAsia="方正仿宋_GB2312" w:cs="方正仿宋_GB2312"/>
          <w:i w:val="0"/>
          <w:iCs w:val="0"/>
          <w:caps w:val="0"/>
          <w:color w:val="333333"/>
          <w:spacing w:val="0"/>
          <w:sz w:val="32"/>
          <w:szCs w:val="32"/>
          <w:u w:val="none"/>
          <w:shd w:val="clear" w:fill="FFFFFF"/>
        </w:rPr>
        <w:t>　</w:t>
      </w:r>
    </w:p>
    <w:p w14:paraId="5D0D9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楷体" w:hAnsi="楷体" w:eastAsia="楷体" w:cs="楷体"/>
          <w:b/>
          <w:bCs/>
          <w:i w:val="0"/>
          <w:iCs w:val="0"/>
          <w:caps w:val="0"/>
          <w:color w:val="333333"/>
          <w:spacing w:val="0"/>
          <w:sz w:val="32"/>
          <w:szCs w:val="32"/>
          <w:u w:val="none"/>
          <w:shd w:val="clear" w:fill="FFFFFF"/>
        </w:rPr>
        <w:t>(</w:t>
      </w:r>
      <w:r>
        <w:rPr>
          <w:rFonts w:hint="eastAsia" w:ascii="楷体" w:hAnsi="楷体" w:eastAsia="楷体" w:cs="楷体"/>
          <w:b/>
          <w:bCs/>
          <w:i w:val="0"/>
          <w:iCs w:val="0"/>
          <w:caps w:val="0"/>
          <w:color w:val="333333"/>
          <w:spacing w:val="0"/>
          <w:sz w:val="32"/>
          <w:szCs w:val="32"/>
          <w:u w:val="none"/>
          <w:shd w:val="clear" w:fill="FFFFFF"/>
          <w:lang w:val="en-US" w:eastAsia="zh-CN"/>
        </w:rPr>
        <w:t>一</w:t>
      </w:r>
      <w:r>
        <w:rPr>
          <w:rFonts w:hint="eastAsia" w:ascii="楷体" w:hAnsi="楷体" w:eastAsia="楷体" w:cs="楷体"/>
          <w:b/>
          <w:bCs/>
          <w:i w:val="0"/>
          <w:iCs w:val="0"/>
          <w:caps w:val="0"/>
          <w:color w:val="333333"/>
          <w:spacing w:val="0"/>
          <w:sz w:val="32"/>
          <w:szCs w:val="32"/>
          <w:u w:val="none"/>
          <w:shd w:val="clear" w:fill="FFFFFF"/>
        </w:rPr>
        <w:t>)加强法治学习，提高执法水准</w:t>
      </w:r>
      <w:r>
        <w:rPr>
          <w:rFonts w:hint="eastAsia" w:ascii="楷体" w:hAnsi="楷体" w:eastAsia="楷体" w:cs="楷体"/>
          <w:b/>
          <w:bCs/>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rPr>
        <w:t>我局将法治宣传教育作为法治建设的一项重要工作来抓，以此推动机关管理方式的改进和依法行政水平的提高。</w:t>
      </w:r>
      <w:r>
        <w:rPr>
          <w:rFonts w:hint="eastAsia" w:ascii="仿宋_GB2312" w:hAnsi="仿宋_GB2312" w:eastAsia="仿宋_GB2312" w:cs="仿宋_GB2312"/>
          <w:b/>
          <w:bCs/>
          <w:i w:val="0"/>
          <w:iCs w:val="0"/>
          <w:caps w:val="0"/>
          <w:color w:val="333333"/>
          <w:spacing w:val="0"/>
          <w:sz w:val="32"/>
          <w:szCs w:val="32"/>
          <w:u w:val="none"/>
          <w:shd w:val="clear" w:fill="FFFFFF"/>
        </w:rPr>
        <w:t>一是</w:t>
      </w:r>
      <w:r>
        <w:rPr>
          <w:rFonts w:hint="eastAsia" w:ascii="仿宋_GB2312" w:hAnsi="仿宋_GB2312" w:eastAsia="仿宋_GB2312" w:cs="仿宋_GB2312"/>
          <w:b w:val="0"/>
          <w:bCs w:val="0"/>
          <w:i w:val="0"/>
          <w:iCs w:val="0"/>
          <w:caps w:val="0"/>
          <w:color w:val="333333"/>
          <w:spacing w:val="0"/>
          <w:sz w:val="32"/>
          <w:szCs w:val="32"/>
          <w:u w:val="none"/>
          <w:shd w:val="clear" w:fill="FFFFFF"/>
        </w:rPr>
        <w:t>完善局党组学法制度，</w:t>
      </w:r>
      <w:r>
        <w:rPr>
          <w:rFonts w:hint="eastAsia" w:ascii="仿宋_GB2312" w:hAnsi="仿宋_GB2312" w:eastAsia="仿宋_GB2312" w:cs="仿宋_GB2312"/>
          <w:i w:val="0"/>
          <w:iCs w:val="0"/>
          <w:caps w:val="0"/>
          <w:color w:val="333333"/>
          <w:spacing w:val="0"/>
          <w:sz w:val="32"/>
          <w:szCs w:val="32"/>
          <w:u w:val="none"/>
          <w:shd w:val="clear" w:fill="FFFFFF"/>
        </w:rPr>
        <w:t>将政治学习与国家法律法规和规章制度，特别是与民政工作相关的法规制度学习相结合，有效提升领导干部综合素质和领导能力。</w:t>
      </w:r>
      <w:r>
        <w:rPr>
          <w:rFonts w:hint="eastAsia" w:ascii="仿宋_GB2312" w:hAnsi="仿宋_GB2312" w:eastAsia="仿宋_GB2312" w:cs="仿宋_GB2312"/>
          <w:b/>
          <w:bCs/>
          <w:i w:val="0"/>
          <w:iCs w:val="0"/>
          <w:caps w:val="0"/>
          <w:color w:val="333333"/>
          <w:spacing w:val="0"/>
          <w:sz w:val="32"/>
          <w:szCs w:val="32"/>
          <w:u w:val="none"/>
          <w:shd w:val="clear" w:fill="FFFFFF"/>
        </w:rPr>
        <w:t>二是</w:t>
      </w:r>
      <w:r>
        <w:rPr>
          <w:rFonts w:hint="eastAsia" w:ascii="仿宋_GB2312" w:hAnsi="仿宋_GB2312" w:eastAsia="仿宋_GB2312" w:cs="仿宋_GB2312"/>
          <w:b w:val="0"/>
          <w:bCs w:val="0"/>
          <w:i w:val="0"/>
          <w:iCs w:val="0"/>
          <w:caps w:val="0"/>
          <w:color w:val="333333"/>
          <w:spacing w:val="0"/>
          <w:sz w:val="32"/>
          <w:szCs w:val="32"/>
          <w:u w:val="none"/>
          <w:shd w:val="clear" w:fill="FFFFFF"/>
        </w:rPr>
        <w:t>结合民政工作实际与特点，</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举办</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每月一法</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股长上讲台</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等宣讲活动，</w:t>
      </w:r>
      <w:r>
        <w:rPr>
          <w:rFonts w:hint="eastAsia" w:ascii="仿宋_GB2312" w:hAnsi="仿宋_GB2312" w:eastAsia="仿宋_GB2312" w:cs="仿宋_GB2312"/>
          <w:i w:val="0"/>
          <w:iCs w:val="0"/>
          <w:caps w:val="0"/>
          <w:color w:val="333333"/>
          <w:spacing w:val="0"/>
          <w:sz w:val="32"/>
          <w:szCs w:val="32"/>
          <w:u w:val="none"/>
          <w:shd w:val="clear" w:fill="FFFFFF"/>
        </w:rPr>
        <w:t>开展民政法律、法规、规章及规范性文件等学习，加强依法行政宣传教育，切实做到有组织、有计划地提高民政干部职工的法律意识和依法行政水平，</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并</w:t>
      </w: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积极落实谁执法谁普法责任制</w:t>
      </w: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w:t>
      </w:r>
      <w:r>
        <w:rPr>
          <w:rFonts w:hint="eastAsia" w:ascii="仿宋_GB2312" w:hAnsi="仿宋_GB2312" w:eastAsia="仿宋_GB2312" w:cs="仿宋_GB2312"/>
          <w:i w:val="0"/>
          <w:iCs w:val="0"/>
          <w:caps w:val="0"/>
          <w:color w:val="333333"/>
          <w:spacing w:val="0"/>
          <w:sz w:val="32"/>
          <w:szCs w:val="32"/>
          <w:u w:val="none"/>
          <w:shd w:val="clear" w:fill="FFFFFF"/>
        </w:rPr>
        <w:t>切实增强了广大干部职工依法履职能力，做到学法、懂法、守法。</w:t>
      </w:r>
    </w:p>
    <w:p w14:paraId="1CD15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楷体" w:hAnsi="楷体" w:eastAsia="楷体" w:cs="楷体"/>
          <w:b/>
          <w:bCs/>
          <w:i w:val="0"/>
          <w:iCs w:val="0"/>
          <w:caps w:val="0"/>
          <w:color w:val="333333"/>
          <w:spacing w:val="0"/>
          <w:sz w:val="32"/>
          <w:szCs w:val="32"/>
          <w:u w:val="none"/>
          <w:shd w:val="clear" w:fill="FFFFFF"/>
        </w:rPr>
        <w:t>(</w:t>
      </w:r>
      <w:r>
        <w:rPr>
          <w:rFonts w:hint="eastAsia" w:ascii="楷体" w:hAnsi="楷体" w:eastAsia="楷体" w:cs="楷体"/>
          <w:b/>
          <w:bCs/>
          <w:i w:val="0"/>
          <w:iCs w:val="0"/>
          <w:caps w:val="0"/>
          <w:color w:val="333333"/>
          <w:spacing w:val="0"/>
          <w:sz w:val="32"/>
          <w:szCs w:val="32"/>
          <w:u w:val="none"/>
          <w:shd w:val="clear" w:fill="FFFFFF"/>
          <w:lang w:val="en-US" w:eastAsia="zh-CN"/>
        </w:rPr>
        <w:t>二</w:t>
      </w:r>
      <w:r>
        <w:rPr>
          <w:rFonts w:hint="eastAsia" w:ascii="楷体" w:hAnsi="楷体" w:eastAsia="楷体" w:cs="楷体"/>
          <w:b/>
          <w:bCs/>
          <w:i w:val="0"/>
          <w:iCs w:val="0"/>
          <w:caps w:val="0"/>
          <w:color w:val="333333"/>
          <w:spacing w:val="0"/>
          <w:sz w:val="32"/>
          <w:szCs w:val="32"/>
          <w:u w:val="none"/>
          <w:shd w:val="clear" w:fill="FFFFFF"/>
        </w:rPr>
        <w:t>)创新履职载体，规范行政工作</w:t>
      </w:r>
      <w:r>
        <w:rPr>
          <w:rFonts w:hint="eastAsia" w:ascii="楷体" w:hAnsi="楷体" w:eastAsia="楷体" w:cs="楷体"/>
          <w:b/>
          <w:bCs/>
          <w:i w:val="0"/>
          <w:iCs w:val="0"/>
          <w:caps w:val="0"/>
          <w:color w:val="333333"/>
          <w:spacing w:val="0"/>
          <w:sz w:val="32"/>
          <w:szCs w:val="32"/>
          <w:u w:val="none"/>
          <w:shd w:val="clear" w:fill="FFFFFF"/>
          <w:lang w:eastAsia="zh-CN"/>
        </w:rPr>
        <w:t>。</w:t>
      </w:r>
      <w:r>
        <w:rPr>
          <w:rFonts w:hint="eastAsia" w:ascii="仿宋_GB2312" w:hAnsi="仿宋_GB2312" w:eastAsia="仿宋_GB2312" w:cs="仿宋_GB2312"/>
          <w:b/>
          <w:bCs/>
          <w:i w:val="0"/>
          <w:iCs w:val="0"/>
          <w:caps w:val="0"/>
          <w:color w:val="333333"/>
          <w:spacing w:val="0"/>
          <w:sz w:val="32"/>
          <w:szCs w:val="32"/>
          <w:u w:val="none"/>
          <w:shd w:val="clear" w:fill="FFFFFF"/>
        </w:rPr>
        <w:t>一是严格执行依法决策制度。</w:t>
      </w:r>
      <w:r>
        <w:rPr>
          <w:rFonts w:hint="eastAsia" w:ascii="仿宋_GB2312" w:hAnsi="仿宋_GB2312" w:eastAsia="仿宋_GB2312" w:cs="仿宋_GB2312"/>
          <w:i w:val="0"/>
          <w:iCs w:val="0"/>
          <w:caps w:val="0"/>
          <w:color w:val="333333"/>
          <w:spacing w:val="0"/>
          <w:sz w:val="32"/>
          <w:szCs w:val="32"/>
          <w:u w:val="none"/>
          <w:shd w:val="clear" w:fill="FFFFFF"/>
        </w:rPr>
        <w:t>继续完善重大决策合法性审查、听取公众意见、防风险评估、专家咨询论证、结果公示等制度，从而提高行政决策质量。对涉及项目建设，党建工作、干部考核、任免奖惩等重要事宜，严格执行民主审定程序。强化落实重大具体行政行为的决策程序，做到了依法行政工作有章可循、按章办事、规范操作 。</w:t>
      </w:r>
      <w:r>
        <w:rPr>
          <w:rFonts w:hint="eastAsia" w:ascii="仿宋_GB2312" w:hAnsi="仿宋_GB2312" w:eastAsia="仿宋_GB2312" w:cs="仿宋_GB2312"/>
          <w:b/>
          <w:bCs/>
          <w:i w:val="0"/>
          <w:iCs w:val="0"/>
          <w:caps w:val="0"/>
          <w:color w:val="333333"/>
          <w:spacing w:val="0"/>
          <w:sz w:val="32"/>
          <w:szCs w:val="32"/>
          <w:u w:val="none"/>
          <w:shd w:val="clear" w:fill="FFFFFF"/>
        </w:rPr>
        <w:t>二是落实执法人员考试制度。</w:t>
      </w:r>
      <w:r>
        <w:rPr>
          <w:rFonts w:hint="eastAsia" w:ascii="仿宋_GB2312" w:hAnsi="仿宋_GB2312" w:eastAsia="仿宋_GB2312" w:cs="仿宋_GB2312"/>
          <w:i w:val="0"/>
          <w:iCs w:val="0"/>
          <w:caps w:val="0"/>
          <w:color w:val="333333"/>
          <w:spacing w:val="0"/>
          <w:sz w:val="32"/>
          <w:szCs w:val="32"/>
          <w:u w:val="none"/>
          <w:shd w:val="clear" w:fill="FFFFFF"/>
        </w:rPr>
        <w:t>为加强民政工作人员依法持证执法，及时组织对履行执法职责的工作人员参加了全省行政执法资格统一考试，确保了依法行政稳步推进，进一步助推了此项工作步入规范化、法制化轨道，提升了民政干部依法行政能力。</w:t>
      </w:r>
      <w:r>
        <w:rPr>
          <w:rFonts w:hint="eastAsia" w:ascii="仿宋_GB2312" w:hAnsi="仿宋_GB2312" w:eastAsia="仿宋_GB2312" w:cs="仿宋_GB2312"/>
          <w:b/>
          <w:bCs/>
          <w:i w:val="0"/>
          <w:iCs w:val="0"/>
          <w:caps w:val="0"/>
          <w:color w:val="333333"/>
          <w:spacing w:val="0"/>
          <w:sz w:val="32"/>
          <w:szCs w:val="32"/>
          <w:u w:val="none"/>
          <w:shd w:val="clear" w:fill="FFFFFF"/>
        </w:rPr>
        <w:t>三是强化政务信息公开工作。</w:t>
      </w:r>
      <w:r>
        <w:rPr>
          <w:rFonts w:hint="eastAsia" w:ascii="仿宋_GB2312" w:hAnsi="仿宋_GB2312" w:eastAsia="仿宋_GB2312" w:cs="仿宋_GB2312"/>
          <w:i w:val="0"/>
          <w:iCs w:val="0"/>
          <w:caps w:val="0"/>
          <w:color w:val="333333"/>
          <w:spacing w:val="0"/>
          <w:sz w:val="32"/>
          <w:szCs w:val="32"/>
          <w:u w:val="none"/>
          <w:shd w:val="clear" w:fill="FFFFFF"/>
        </w:rPr>
        <w:t>严格执行《中华人民共和国政府信息公开条例》，狠抓全局政务公开，及时更新工作动态，按时将民政系列惠民政策、办事指南、规章制度等在</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河南省政务网、</w:t>
      </w:r>
      <w:r>
        <w:rPr>
          <w:rFonts w:hint="eastAsia" w:ascii="仿宋_GB2312" w:hAnsi="仿宋_GB2312" w:eastAsia="仿宋_GB2312" w:cs="仿宋_GB2312"/>
          <w:i w:val="0"/>
          <w:iCs w:val="0"/>
          <w:caps w:val="0"/>
          <w:color w:val="333333"/>
          <w:spacing w:val="0"/>
          <w:sz w:val="32"/>
          <w:szCs w:val="32"/>
          <w:u w:val="none"/>
          <w:shd w:val="clear" w:fill="FFFFFF"/>
        </w:rPr>
        <w:t>民政局微信公众号以及印发宣传资料等媒介及时向社会和公众公布。</w:t>
      </w:r>
      <w:r>
        <w:rPr>
          <w:rFonts w:hint="eastAsia" w:ascii="仿宋_GB2312" w:hAnsi="仿宋_GB2312" w:eastAsia="仿宋_GB2312" w:cs="仿宋_GB2312"/>
          <w:b/>
          <w:bCs/>
          <w:i w:val="0"/>
          <w:iCs w:val="0"/>
          <w:caps w:val="0"/>
          <w:color w:val="333333"/>
          <w:spacing w:val="0"/>
          <w:sz w:val="32"/>
          <w:szCs w:val="32"/>
          <w:u w:val="none"/>
          <w:shd w:val="clear" w:fill="FFFFFF"/>
        </w:rPr>
        <w:t>四是组织开展了202</w:t>
      </w: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4</w:t>
      </w:r>
      <w:r>
        <w:rPr>
          <w:rFonts w:hint="eastAsia" w:ascii="仿宋_GB2312" w:hAnsi="仿宋_GB2312" w:eastAsia="仿宋_GB2312" w:cs="仿宋_GB2312"/>
          <w:b/>
          <w:bCs/>
          <w:i w:val="0"/>
          <w:iCs w:val="0"/>
          <w:caps w:val="0"/>
          <w:color w:val="333333"/>
          <w:spacing w:val="0"/>
          <w:sz w:val="32"/>
          <w:szCs w:val="32"/>
          <w:u w:val="none"/>
          <w:shd w:val="clear" w:fill="FFFFFF"/>
        </w:rPr>
        <w:t>年民政系统“双随机、一公开”专项行政执法检查工作,</w:t>
      </w:r>
      <w:r>
        <w:rPr>
          <w:rFonts w:hint="eastAsia" w:ascii="仿宋_GB2312" w:hAnsi="仿宋_GB2312" w:eastAsia="仿宋_GB2312" w:cs="仿宋_GB2312"/>
          <w:i w:val="0"/>
          <w:iCs w:val="0"/>
          <w:caps w:val="0"/>
          <w:color w:val="333333"/>
          <w:spacing w:val="0"/>
          <w:sz w:val="32"/>
          <w:szCs w:val="32"/>
          <w:u w:val="none"/>
          <w:shd w:val="clear" w:fill="FFFFFF"/>
        </w:rPr>
        <w:t>按照养老机构40%和社会组织5%的比例从</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我县</w:t>
      </w:r>
      <w:r>
        <w:rPr>
          <w:rFonts w:hint="eastAsia" w:ascii="仿宋_GB2312" w:hAnsi="仿宋_GB2312" w:eastAsia="仿宋_GB2312" w:cs="仿宋_GB2312"/>
          <w:i w:val="0"/>
          <w:iCs w:val="0"/>
          <w:caps w:val="0"/>
          <w:color w:val="333333"/>
          <w:spacing w:val="0"/>
          <w:sz w:val="32"/>
          <w:szCs w:val="32"/>
          <w:u w:val="none"/>
          <w:shd w:val="clear" w:fill="FFFFFF"/>
        </w:rPr>
        <w:t>检查对象库中随机抽取社会组织和养老机构,通过采取资料审阅、实地查验、现场询问的方式开展执法检查,对检查中存在问题下发整改通知,要求限期整改到位。</w:t>
      </w:r>
      <w:r>
        <w:rPr>
          <w:rFonts w:hint="eastAsia" w:ascii="仿宋_GB2312" w:hAnsi="仿宋_GB2312" w:eastAsia="仿宋_GB2312" w:cs="仿宋_GB2312"/>
          <w:b/>
          <w:bCs/>
          <w:i w:val="0"/>
          <w:iCs w:val="0"/>
          <w:caps w:val="0"/>
          <w:color w:val="333333"/>
          <w:spacing w:val="0"/>
          <w:sz w:val="32"/>
          <w:szCs w:val="32"/>
          <w:u w:val="none"/>
          <w:shd w:val="clear" w:fill="FFFFFF"/>
        </w:rPr>
        <w:t>五是做好规范性文件清理。</w:t>
      </w:r>
      <w:r>
        <w:rPr>
          <w:rFonts w:hint="eastAsia" w:ascii="仿宋_GB2312" w:hAnsi="仿宋_GB2312" w:eastAsia="仿宋_GB2312" w:cs="仿宋_GB2312"/>
          <w:i w:val="0"/>
          <w:iCs w:val="0"/>
          <w:caps w:val="0"/>
          <w:color w:val="333333"/>
          <w:spacing w:val="0"/>
          <w:sz w:val="32"/>
          <w:szCs w:val="32"/>
          <w:u w:val="none"/>
          <w:shd w:val="clear" w:fill="FFFFFF"/>
        </w:rPr>
        <w:t>切实加强依法行政制度体系建设，严格按照相关规范性文件规定，认真开展规范性文件清理，对规范性文件按程序报批备案并及时予以公开，接受社会各界监督。</w:t>
      </w:r>
    </w:p>
    <w:p w14:paraId="3CDD9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楷体" w:hAnsi="楷体" w:eastAsia="楷体" w:cs="楷体"/>
          <w:b/>
          <w:bCs/>
          <w:i w:val="0"/>
          <w:iCs w:val="0"/>
          <w:caps w:val="0"/>
          <w:color w:val="333333"/>
          <w:spacing w:val="0"/>
          <w:sz w:val="32"/>
          <w:szCs w:val="32"/>
          <w:u w:val="none"/>
          <w:shd w:val="clear" w:fill="FFFFFF"/>
          <w:lang w:eastAsia="zh-CN"/>
        </w:rPr>
        <w:t>（</w:t>
      </w:r>
      <w:r>
        <w:rPr>
          <w:rFonts w:hint="eastAsia" w:ascii="楷体" w:hAnsi="楷体" w:eastAsia="楷体" w:cs="楷体"/>
          <w:b/>
          <w:bCs/>
          <w:i w:val="0"/>
          <w:iCs w:val="0"/>
          <w:caps w:val="0"/>
          <w:color w:val="333333"/>
          <w:spacing w:val="0"/>
          <w:sz w:val="32"/>
          <w:szCs w:val="32"/>
          <w:u w:val="none"/>
          <w:shd w:val="clear" w:fill="FFFFFF"/>
          <w:lang w:val="en-US" w:eastAsia="zh-CN"/>
        </w:rPr>
        <w:t>三</w:t>
      </w:r>
      <w:r>
        <w:rPr>
          <w:rFonts w:hint="eastAsia" w:ascii="楷体" w:hAnsi="楷体" w:eastAsia="楷体" w:cs="楷体"/>
          <w:b/>
          <w:bCs/>
          <w:i w:val="0"/>
          <w:iCs w:val="0"/>
          <w:caps w:val="0"/>
          <w:color w:val="333333"/>
          <w:spacing w:val="0"/>
          <w:sz w:val="32"/>
          <w:szCs w:val="32"/>
          <w:u w:val="none"/>
          <w:shd w:val="clear" w:fill="FFFFFF"/>
          <w:lang w:eastAsia="zh-CN"/>
        </w:rPr>
        <w:t>）</w:t>
      </w:r>
      <w:r>
        <w:rPr>
          <w:rFonts w:hint="eastAsia" w:ascii="楷体" w:hAnsi="楷体" w:eastAsia="楷体" w:cs="楷体"/>
          <w:b/>
          <w:bCs/>
          <w:i w:val="0"/>
          <w:iCs w:val="0"/>
          <w:caps w:val="0"/>
          <w:color w:val="333333"/>
          <w:spacing w:val="0"/>
          <w:sz w:val="32"/>
          <w:szCs w:val="32"/>
          <w:u w:val="none"/>
          <w:shd w:val="clear" w:fill="FFFFFF"/>
        </w:rPr>
        <w:t>依法化解各类社会矛盾纠纷</w:t>
      </w:r>
      <w:r>
        <w:rPr>
          <w:rFonts w:hint="eastAsia" w:ascii="楷体" w:hAnsi="楷体" w:eastAsia="楷体" w:cs="楷体"/>
          <w:b/>
          <w:bCs/>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rPr>
        <w:t>在实际工作中，我局认真贯彻落实行政调解相关法律法规和政策，积极通过行政调解化解行政争议，力争把行政争议化解在基层、化解在初发阶段、化解在行政程序中，</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我局</w:t>
      </w:r>
      <w:r>
        <w:rPr>
          <w:rFonts w:hint="eastAsia" w:ascii="仿宋_GB2312" w:hAnsi="仿宋_GB2312" w:eastAsia="仿宋_GB2312" w:cs="仿宋_GB2312"/>
          <w:i w:val="0"/>
          <w:iCs w:val="0"/>
          <w:caps w:val="0"/>
          <w:color w:val="333333"/>
          <w:spacing w:val="0"/>
          <w:sz w:val="32"/>
          <w:szCs w:val="32"/>
          <w:u w:val="none"/>
          <w:shd w:val="clear" w:fill="FFFFFF"/>
        </w:rPr>
        <w:t>全年无行政复议案件。</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依法依规处理以冒名顶替或弄虚作假方式办理婚姻登记问题，更好的维护婚姻登记当事人的合法权益。</w:t>
      </w:r>
      <w:r>
        <w:rPr>
          <w:rFonts w:hint="eastAsia" w:ascii="仿宋_GB2312" w:hAnsi="仿宋_GB2312" w:eastAsia="仿宋_GB2312" w:cs="仿宋_GB2312"/>
          <w:i w:val="0"/>
          <w:iCs w:val="0"/>
          <w:caps w:val="0"/>
          <w:color w:val="333333"/>
          <w:spacing w:val="0"/>
          <w:sz w:val="32"/>
          <w:szCs w:val="32"/>
          <w:u w:val="none"/>
          <w:shd w:val="clear" w:fill="FFFFFF"/>
        </w:rPr>
        <w:t>认真贯彻落实《信访条例》及时排查化解矛盾纠纷，对各类来信来访者，做好政策解答和说服教育工作。紧紧围绕民政中心工作，通过开展领导包案，重信重访专项治理等活动，坚持认真办信、文明接访，做到件件有答复、有回音、有落实。</w:t>
      </w:r>
    </w:p>
    <w:p w14:paraId="5E5B4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val="en-US" w:eastAsia="zh-CN"/>
        </w:rPr>
      </w:pPr>
      <w:r>
        <w:rPr>
          <w:rFonts w:hint="eastAsia" w:ascii="黑体" w:hAnsi="黑体" w:eastAsia="黑体" w:cs="黑体"/>
          <w:b w:val="0"/>
          <w:bCs w:val="0"/>
          <w:i w:val="0"/>
          <w:iCs w:val="0"/>
          <w:caps w:val="0"/>
          <w:color w:val="333333"/>
          <w:spacing w:val="0"/>
          <w:sz w:val="32"/>
          <w:szCs w:val="32"/>
          <w:u w:val="none"/>
          <w:shd w:val="clear" w:fill="FFFFFF"/>
          <w:lang w:val="en-US" w:eastAsia="zh-CN"/>
        </w:rPr>
        <w:t>三</w:t>
      </w:r>
      <w:r>
        <w:rPr>
          <w:rFonts w:hint="eastAsia" w:ascii="黑体" w:hAnsi="黑体" w:eastAsia="黑体" w:cs="黑体"/>
          <w:b w:val="0"/>
          <w:bCs w:val="0"/>
          <w:i w:val="0"/>
          <w:iCs w:val="0"/>
          <w:caps w:val="0"/>
          <w:color w:val="333333"/>
          <w:spacing w:val="0"/>
          <w:sz w:val="32"/>
          <w:szCs w:val="32"/>
          <w:u w:val="none"/>
          <w:shd w:val="clear" w:fill="FFFFFF"/>
        </w:rPr>
        <w:t>、</w:t>
      </w:r>
      <w:r>
        <w:rPr>
          <w:rFonts w:hint="eastAsia" w:ascii="黑体" w:hAnsi="黑体" w:eastAsia="黑体" w:cs="黑体"/>
          <w:b w:val="0"/>
          <w:bCs w:val="0"/>
          <w:i w:val="0"/>
          <w:iCs w:val="0"/>
          <w:caps w:val="0"/>
          <w:color w:val="333333"/>
          <w:spacing w:val="0"/>
          <w:sz w:val="32"/>
          <w:szCs w:val="32"/>
          <w:u w:val="none"/>
          <w:shd w:val="clear" w:fill="FFFFFF"/>
          <w:lang w:val="en-US" w:eastAsia="zh-CN"/>
        </w:rPr>
        <w:t>2024年推进法治政府建设</w:t>
      </w:r>
      <w:r>
        <w:rPr>
          <w:rFonts w:hint="eastAsia" w:ascii="黑体" w:hAnsi="黑体" w:eastAsia="黑体" w:cs="黑体"/>
          <w:b w:val="0"/>
          <w:bCs w:val="0"/>
          <w:i w:val="0"/>
          <w:iCs w:val="0"/>
          <w:caps w:val="0"/>
          <w:color w:val="333333"/>
          <w:spacing w:val="0"/>
          <w:sz w:val="32"/>
          <w:szCs w:val="32"/>
          <w:u w:val="none"/>
          <w:shd w:val="clear" w:fill="FFFFFF"/>
        </w:rPr>
        <w:t>存在</w:t>
      </w:r>
      <w:r>
        <w:rPr>
          <w:rFonts w:hint="eastAsia" w:ascii="黑体" w:hAnsi="黑体" w:eastAsia="黑体" w:cs="黑体"/>
          <w:b w:val="0"/>
          <w:bCs w:val="0"/>
          <w:i w:val="0"/>
          <w:iCs w:val="0"/>
          <w:caps w:val="0"/>
          <w:color w:val="333333"/>
          <w:spacing w:val="0"/>
          <w:sz w:val="32"/>
          <w:szCs w:val="32"/>
          <w:u w:val="none"/>
          <w:shd w:val="clear" w:fill="FFFFFF"/>
          <w:lang w:val="en-US" w:eastAsia="zh-CN"/>
        </w:rPr>
        <w:t>的不足</w:t>
      </w:r>
    </w:p>
    <w:p w14:paraId="022CB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我局法治政府建设工作取得了一定的成绩，但还存在一些不足和薄弱环节，主要</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有以下</w:t>
      </w:r>
      <w:r>
        <w:rPr>
          <w:rFonts w:hint="eastAsia" w:ascii="仿宋_GB2312" w:hAnsi="仿宋_GB2312" w:eastAsia="仿宋_GB2312" w:cs="仿宋_GB2312"/>
          <w:i w:val="0"/>
          <w:iCs w:val="0"/>
          <w:caps w:val="0"/>
          <w:color w:val="333333"/>
          <w:spacing w:val="0"/>
          <w:sz w:val="32"/>
          <w:szCs w:val="32"/>
          <w:u w:val="none"/>
          <w:shd w:val="clear" w:fill="FFFFFF"/>
        </w:rPr>
        <w:t>表现</w:t>
      </w:r>
      <w:r>
        <w:rPr>
          <w:rFonts w:hint="eastAsia" w:ascii="仿宋_GB2312" w:hAnsi="仿宋_GB2312" w:eastAsia="仿宋_GB2312" w:cs="仿宋_GB2312"/>
          <w:i w:val="0"/>
          <w:iCs w:val="0"/>
          <w:caps w:val="0"/>
          <w:color w:val="333333"/>
          <w:spacing w:val="0"/>
          <w:sz w:val="32"/>
          <w:szCs w:val="32"/>
          <w:u w:val="none"/>
          <w:shd w:val="clear" w:fill="FFFFFF"/>
          <w:lang w:eastAsia="zh-CN"/>
        </w:rPr>
        <w:t>：</w:t>
      </w:r>
    </w:p>
    <w:p w14:paraId="60E83F0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kern w:val="0"/>
          <w:sz w:val="32"/>
          <w:szCs w:val="32"/>
          <w:shd w:val="clear" w:fill="FFFFFF"/>
          <w:lang w:val="en-US" w:eastAsia="zh-CN" w:bidi="ar"/>
        </w:rPr>
        <w:t>（一）</w:t>
      </w:r>
      <w:r>
        <w:rPr>
          <w:rFonts w:hint="eastAsia" w:ascii="楷体" w:hAnsi="楷体" w:eastAsia="楷体" w:cs="楷体"/>
          <w:b/>
          <w:bCs/>
          <w:i w:val="0"/>
          <w:iCs w:val="0"/>
          <w:caps w:val="0"/>
          <w:color w:val="333333"/>
          <w:spacing w:val="0"/>
          <w:sz w:val="32"/>
          <w:szCs w:val="32"/>
          <w:shd w:val="clear" w:fill="FFFFFF"/>
        </w:rPr>
        <w:t>法治工作人才队伍与法治政府建设要求不相适应。</w:t>
      </w:r>
      <w:r>
        <w:rPr>
          <w:rFonts w:hint="eastAsia" w:ascii="仿宋_GB2312" w:hAnsi="仿宋_GB2312" w:eastAsia="仿宋_GB2312" w:cs="仿宋_GB2312"/>
          <w:i w:val="0"/>
          <w:iCs w:val="0"/>
          <w:caps w:val="0"/>
          <w:color w:val="333333"/>
          <w:spacing w:val="0"/>
          <w:sz w:val="32"/>
          <w:szCs w:val="32"/>
          <w:shd w:val="clear" w:fill="FFFFFF"/>
        </w:rPr>
        <w:t>民政系统法治专业人才缺乏，法律专业出身人员较少，在法治人才队伍建设上还需进一步加强。</w:t>
      </w:r>
    </w:p>
    <w:p w14:paraId="3E0E76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kern w:val="0"/>
          <w:sz w:val="32"/>
          <w:szCs w:val="32"/>
          <w:shd w:val="clear" w:fill="FFFFFF"/>
          <w:lang w:val="en-US" w:eastAsia="zh-CN" w:bidi="ar"/>
        </w:rPr>
        <w:t>（二）</w:t>
      </w:r>
      <w:r>
        <w:rPr>
          <w:rFonts w:hint="eastAsia" w:ascii="楷体" w:hAnsi="楷体" w:eastAsia="楷体" w:cs="楷体"/>
          <w:b/>
          <w:bCs/>
          <w:i w:val="0"/>
          <w:iCs w:val="0"/>
          <w:caps w:val="0"/>
          <w:color w:val="333333"/>
          <w:spacing w:val="0"/>
          <w:sz w:val="32"/>
          <w:szCs w:val="31"/>
          <w:u w:val="none"/>
          <w:shd w:val="clear" w:fill="FFFFFF"/>
        </w:rPr>
        <w:t>运用法治思维解决问题的能力还需不断强化</w:t>
      </w:r>
      <w:r>
        <w:rPr>
          <w:rFonts w:hint="eastAsia" w:ascii="楷体" w:hAnsi="楷体" w:eastAsia="楷体" w:cs="楷体"/>
          <w:b/>
          <w:bCs/>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t>民政事务与人民群众生活密切相关，工作上部分干部职工存在重实务而</w:t>
      </w:r>
      <w:r>
        <w:rPr>
          <w:rFonts w:hint="eastAsia" w:ascii="仿宋_GB2312" w:hAnsi="仿宋_GB2312" w:eastAsia="仿宋_GB2312" w:cs="仿宋_GB2312"/>
          <w:i w:val="0"/>
          <w:iCs w:val="0"/>
          <w:caps w:val="0"/>
          <w:color w:val="333333"/>
          <w:spacing w:val="0"/>
          <w:sz w:val="32"/>
          <w:szCs w:val="32"/>
          <w:shd w:val="clear" w:fill="FFFFFF"/>
          <w:lang w:val="en-US" w:eastAsia="zh-CN"/>
        </w:rPr>
        <w:t>运用</w:t>
      </w:r>
      <w:r>
        <w:rPr>
          <w:rFonts w:hint="eastAsia" w:ascii="仿宋_GB2312" w:hAnsi="仿宋_GB2312" w:eastAsia="仿宋_GB2312" w:cs="仿宋_GB2312"/>
          <w:i w:val="0"/>
          <w:iCs w:val="0"/>
          <w:caps w:val="0"/>
          <w:color w:val="333333"/>
          <w:spacing w:val="0"/>
          <w:sz w:val="32"/>
          <w:szCs w:val="32"/>
          <w:shd w:val="clear" w:fill="FFFFFF"/>
        </w:rPr>
        <w:t>法治</w:t>
      </w:r>
      <w:r>
        <w:rPr>
          <w:rFonts w:hint="eastAsia" w:ascii="仿宋_GB2312" w:hAnsi="仿宋_GB2312" w:eastAsia="仿宋_GB2312" w:cs="仿宋_GB2312"/>
          <w:i w:val="0"/>
          <w:iCs w:val="0"/>
          <w:caps w:val="0"/>
          <w:color w:val="333333"/>
          <w:spacing w:val="0"/>
          <w:sz w:val="32"/>
          <w:szCs w:val="32"/>
          <w:shd w:val="clear" w:fill="FFFFFF"/>
          <w:lang w:val="en-US" w:eastAsia="zh-CN"/>
        </w:rPr>
        <w:t>思维解决问题还存在局限性</w:t>
      </w:r>
      <w:r>
        <w:rPr>
          <w:rFonts w:hint="eastAsia" w:ascii="仿宋_GB2312" w:hAnsi="仿宋_GB2312" w:eastAsia="仿宋_GB2312" w:cs="仿宋_GB2312"/>
          <w:i w:val="0"/>
          <w:iCs w:val="0"/>
          <w:caps w:val="0"/>
          <w:color w:val="333333"/>
          <w:spacing w:val="0"/>
          <w:sz w:val="32"/>
          <w:szCs w:val="32"/>
          <w:shd w:val="clear" w:fill="FFFFFF"/>
        </w:rPr>
        <w:t>，运用法治思维推进工作的意识仍需要</w:t>
      </w:r>
      <w:r>
        <w:rPr>
          <w:rFonts w:hint="eastAsia" w:ascii="仿宋_GB2312" w:hAnsi="仿宋_GB2312" w:eastAsia="仿宋_GB2312" w:cs="仿宋_GB2312"/>
          <w:i w:val="0"/>
          <w:iCs w:val="0"/>
          <w:caps w:val="0"/>
          <w:color w:val="333333"/>
          <w:spacing w:val="0"/>
          <w:sz w:val="32"/>
          <w:szCs w:val="32"/>
          <w:shd w:val="clear" w:fill="FFFFFF"/>
          <w:lang w:val="en-US" w:eastAsia="zh-CN"/>
        </w:rPr>
        <w:t>进一步强化。</w:t>
      </w:r>
    </w:p>
    <w:p w14:paraId="09163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黑体" w:hAnsi="宋体" w:eastAsia="方正仿宋_GB2312" w:cs="方正仿宋_GB2312"/>
          <w:i w:val="0"/>
          <w:iCs w:val="0"/>
          <w:caps w:val="0"/>
          <w:color w:val="333333"/>
          <w:spacing w:val="0"/>
          <w:sz w:val="32"/>
          <w:szCs w:val="32"/>
          <w:u w:val="none"/>
          <w:shd w:val="clear" w:fill="FFFFFF"/>
        </w:rPr>
      </w:pPr>
      <w:r>
        <w:rPr>
          <w:rFonts w:hint="eastAsia" w:ascii="楷体" w:hAnsi="楷体" w:eastAsia="楷体" w:cs="楷体"/>
          <w:b/>
          <w:bCs/>
          <w:i w:val="0"/>
          <w:iCs w:val="0"/>
          <w:caps w:val="0"/>
          <w:color w:val="333333"/>
          <w:spacing w:val="0"/>
          <w:sz w:val="32"/>
          <w:szCs w:val="32"/>
          <w:shd w:val="clear" w:fill="FFFFFF"/>
        </w:rPr>
        <w:t>（</w:t>
      </w:r>
      <w:r>
        <w:rPr>
          <w:rFonts w:hint="eastAsia" w:ascii="楷体" w:hAnsi="楷体" w:eastAsia="楷体" w:cs="楷体"/>
          <w:b/>
          <w:bCs/>
          <w:i w:val="0"/>
          <w:iCs w:val="0"/>
          <w:caps w:val="0"/>
          <w:color w:val="333333"/>
          <w:spacing w:val="0"/>
          <w:sz w:val="32"/>
          <w:szCs w:val="32"/>
          <w:shd w:val="clear" w:fill="FFFFFF"/>
          <w:lang w:val="en-US" w:eastAsia="zh-CN"/>
        </w:rPr>
        <w:t>三</w:t>
      </w:r>
      <w:r>
        <w:rPr>
          <w:rFonts w:hint="eastAsia" w:ascii="楷体" w:hAnsi="楷体" w:eastAsia="楷体" w:cs="楷体"/>
          <w:b/>
          <w:bCs/>
          <w:i w:val="0"/>
          <w:iCs w:val="0"/>
          <w:caps w:val="0"/>
          <w:color w:val="333333"/>
          <w:spacing w:val="0"/>
          <w:sz w:val="32"/>
          <w:szCs w:val="32"/>
          <w:shd w:val="clear" w:fill="FFFFFF"/>
        </w:rPr>
        <w:t>）</w:t>
      </w:r>
      <w:r>
        <w:rPr>
          <w:rFonts w:hint="eastAsia" w:ascii="楷体" w:hAnsi="楷体" w:eastAsia="楷体" w:cs="楷体"/>
          <w:b/>
          <w:bCs/>
          <w:i w:val="0"/>
          <w:iCs w:val="0"/>
          <w:caps w:val="0"/>
          <w:color w:val="333333"/>
          <w:spacing w:val="0"/>
          <w:sz w:val="32"/>
          <w:szCs w:val="32"/>
          <w:u w:val="none"/>
          <w:shd w:val="clear" w:fill="FFFFFF"/>
        </w:rPr>
        <w:t>社会普法宣传</w:t>
      </w:r>
      <w:r>
        <w:rPr>
          <w:rFonts w:hint="eastAsia" w:ascii="楷体" w:hAnsi="楷体" w:eastAsia="楷体" w:cs="楷体"/>
          <w:b/>
          <w:bCs/>
          <w:i w:val="0"/>
          <w:iCs w:val="0"/>
          <w:caps w:val="0"/>
          <w:color w:val="333333"/>
          <w:spacing w:val="0"/>
          <w:sz w:val="32"/>
          <w:szCs w:val="32"/>
          <w:u w:val="none"/>
          <w:shd w:val="clear" w:fill="FFFFFF"/>
          <w:lang w:val="en-US" w:eastAsia="zh-CN"/>
        </w:rPr>
        <w:t>创新方面仍需提升</w:t>
      </w:r>
      <w:r>
        <w:rPr>
          <w:rFonts w:hint="eastAsia" w:ascii="楷体" w:hAnsi="楷体" w:eastAsia="楷体" w:cs="楷体"/>
          <w:b/>
          <w:bCs/>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由于</w:t>
      </w:r>
      <w:r>
        <w:rPr>
          <w:rFonts w:hint="eastAsia" w:ascii="仿宋_GB2312" w:hAnsi="仿宋_GB2312" w:eastAsia="仿宋_GB2312" w:cs="仿宋_GB2312"/>
          <w:i w:val="0"/>
          <w:iCs w:val="0"/>
          <w:caps w:val="0"/>
          <w:color w:val="333333"/>
          <w:spacing w:val="0"/>
          <w:sz w:val="32"/>
          <w:szCs w:val="32"/>
          <w:shd w:val="clear" w:fill="FFFFFF"/>
        </w:rPr>
        <w:t>民政工作服务对象的特殊性，多数服务对象为老年人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困境儿童、残疾人、困难群众、流浪乞讨人员等群体，由于知识水平和年龄结构等条件所限，往往不能通过网络等新兴媒体有效地了解民政政策。需要进一步扩宽思路，创新让群众更易接</w:t>
      </w:r>
      <w:r>
        <w:rPr>
          <w:rFonts w:hint="eastAsia" w:ascii="仿宋_GB2312" w:hAnsi="微软雅黑" w:eastAsia="方正仿宋_GB2312" w:cs="方正仿宋_GB2312"/>
          <w:i w:val="0"/>
          <w:iCs w:val="0"/>
          <w:caps w:val="0"/>
          <w:color w:val="333333"/>
          <w:spacing w:val="0"/>
          <w:sz w:val="32"/>
          <w:szCs w:val="32"/>
          <w:shd w:val="clear" w:fill="FFFFFF"/>
        </w:rPr>
        <w:t>受、更有新鲜感、更喜闻乐见的宣传手段。</w:t>
      </w:r>
    </w:p>
    <w:p w14:paraId="482A2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0" w:firstLineChars="200"/>
        <w:jc w:val="both"/>
        <w:textAlignment w:val="auto"/>
        <w:rPr>
          <w:rFonts w:hint="eastAsia" w:ascii="黑体" w:hAnsi="黑体" w:eastAsia="黑体" w:cs="黑体"/>
          <w:i w:val="0"/>
          <w:iCs w:val="0"/>
          <w:caps w:val="0"/>
          <w:color w:val="333333"/>
          <w:spacing w:val="0"/>
          <w:sz w:val="32"/>
          <w:szCs w:val="32"/>
          <w:u w:val="none"/>
          <w:shd w:val="clear" w:fill="FFFFFF"/>
          <w:lang w:val="en-US" w:eastAsia="zh-CN"/>
        </w:rPr>
      </w:pPr>
      <w:r>
        <w:rPr>
          <w:rFonts w:hint="eastAsia" w:ascii="黑体" w:hAnsi="黑体" w:eastAsia="黑体" w:cs="黑体"/>
          <w:i w:val="0"/>
          <w:iCs w:val="0"/>
          <w:caps w:val="0"/>
          <w:color w:val="333333"/>
          <w:spacing w:val="0"/>
          <w:sz w:val="32"/>
          <w:szCs w:val="32"/>
          <w:u w:val="none"/>
          <w:shd w:val="clear" w:fill="FFFFFF"/>
          <w:lang w:val="en-US" w:eastAsia="zh-CN"/>
        </w:rPr>
        <w:t>四</w:t>
      </w:r>
      <w:r>
        <w:rPr>
          <w:rFonts w:hint="eastAsia" w:ascii="黑体" w:hAnsi="黑体" w:eastAsia="黑体" w:cs="黑体"/>
          <w:i w:val="0"/>
          <w:iCs w:val="0"/>
          <w:caps w:val="0"/>
          <w:color w:val="333333"/>
          <w:spacing w:val="0"/>
          <w:sz w:val="32"/>
          <w:szCs w:val="32"/>
          <w:u w:val="none"/>
          <w:shd w:val="clear" w:fill="FFFFFF"/>
        </w:rPr>
        <w:t>、202</w:t>
      </w:r>
      <w:r>
        <w:rPr>
          <w:rFonts w:hint="eastAsia" w:ascii="黑体" w:hAnsi="黑体" w:eastAsia="黑体" w:cs="黑体"/>
          <w:i w:val="0"/>
          <w:iCs w:val="0"/>
          <w:caps w:val="0"/>
          <w:color w:val="333333"/>
          <w:spacing w:val="0"/>
          <w:sz w:val="32"/>
          <w:szCs w:val="32"/>
          <w:u w:val="none"/>
          <w:shd w:val="clear" w:fill="FFFFFF"/>
          <w:lang w:val="en-US" w:eastAsia="zh-CN"/>
        </w:rPr>
        <w:t>5</w:t>
      </w:r>
      <w:r>
        <w:rPr>
          <w:rFonts w:hint="eastAsia" w:ascii="黑体" w:hAnsi="黑体" w:eastAsia="黑体" w:cs="黑体"/>
          <w:i w:val="0"/>
          <w:iCs w:val="0"/>
          <w:caps w:val="0"/>
          <w:color w:val="333333"/>
          <w:spacing w:val="0"/>
          <w:sz w:val="32"/>
          <w:szCs w:val="32"/>
          <w:u w:val="none"/>
          <w:shd w:val="clear" w:fill="FFFFFF"/>
        </w:rPr>
        <w:t>年</w:t>
      </w:r>
      <w:r>
        <w:rPr>
          <w:rFonts w:hint="eastAsia" w:ascii="黑体" w:hAnsi="黑体" w:eastAsia="黑体" w:cs="黑体"/>
          <w:i w:val="0"/>
          <w:iCs w:val="0"/>
          <w:caps w:val="0"/>
          <w:color w:val="333333"/>
          <w:spacing w:val="0"/>
          <w:sz w:val="32"/>
          <w:szCs w:val="32"/>
          <w:u w:val="none"/>
          <w:shd w:val="clear" w:fill="FFFFFF"/>
          <w:lang w:val="en-US" w:eastAsia="zh-CN"/>
        </w:rPr>
        <w:t>推进法治政府建设的初步安排</w:t>
      </w:r>
    </w:p>
    <w:p w14:paraId="59006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楷体" w:hAnsi="楷体" w:eastAsia="楷体" w:cs="楷体"/>
          <w:b/>
          <w:bCs/>
          <w:i w:val="0"/>
          <w:iCs w:val="0"/>
          <w:caps w:val="0"/>
          <w:color w:val="333333"/>
          <w:spacing w:val="0"/>
          <w:sz w:val="32"/>
          <w:szCs w:val="32"/>
          <w:u w:val="none"/>
          <w:shd w:val="clear" w:fill="FFFFFF"/>
        </w:rPr>
        <w:t>（一）</w:t>
      </w:r>
      <w:r>
        <w:rPr>
          <w:rFonts w:hint="eastAsia" w:ascii="楷体" w:hAnsi="楷体" w:eastAsia="楷体" w:cs="楷体"/>
          <w:b/>
          <w:bCs/>
          <w:i w:val="0"/>
          <w:iCs w:val="0"/>
          <w:caps w:val="0"/>
          <w:color w:val="333333"/>
          <w:spacing w:val="0"/>
          <w:sz w:val="32"/>
          <w:szCs w:val="32"/>
          <w:u w:val="none"/>
          <w:shd w:val="clear" w:fill="FFFFFF"/>
          <w:lang w:val="en-US" w:eastAsia="zh-CN"/>
        </w:rPr>
        <w:t>持续深入学习，</w:t>
      </w:r>
      <w:r>
        <w:rPr>
          <w:rFonts w:hint="eastAsia" w:ascii="楷体" w:hAnsi="楷体" w:eastAsia="楷体" w:cs="楷体"/>
          <w:b/>
          <w:bCs/>
          <w:i w:val="0"/>
          <w:iCs w:val="0"/>
          <w:caps w:val="0"/>
          <w:color w:val="333333"/>
          <w:spacing w:val="0"/>
          <w:sz w:val="32"/>
          <w:szCs w:val="32"/>
          <w:u w:val="none"/>
          <w:shd w:val="clear" w:fill="FFFFFF"/>
        </w:rPr>
        <w:t>强化思想认识。</w:t>
      </w:r>
      <w:r>
        <w:rPr>
          <w:rFonts w:hint="eastAsia" w:ascii="仿宋_GB2312" w:hAnsi="仿宋_GB2312" w:eastAsia="仿宋_GB2312" w:cs="仿宋_GB2312"/>
          <w:i w:val="0"/>
          <w:iCs w:val="0"/>
          <w:caps w:val="0"/>
          <w:color w:val="333333"/>
          <w:spacing w:val="0"/>
          <w:sz w:val="32"/>
          <w:szCs w:val="32"/>
          <w:shd w:val="clear" w:fill="FFFFFF"/>
        </w:rPr>
        <w:t>将习近平法治思想列入党组理论学习中心组重点学习内容，列入民政业务培训内容，把习近平法治思想贯彻落实到民政法治政府建设的全过程和各方面。</w:t>
      </w:r>
    </w:p>
    <w:p w14:paraId="5F70B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（二）健全行政执法人员和领导干部学法制度。</w:t>
      </w:r>
      <w:r>
        <w:rPr>
          <w:rFonts w:hint="eastAsia" w:ascii="仿宋_GB2312" w:hAnsi="仿宋_GB2312" w:eastAsia="仿宋_GB2312" w:cs="仿宋_GB2312"/>
          <w:i w:val="0"/>
          <w:iCs w:val="0"/>
          <w:caps w:val="0"/>
          <w:color w:val="333333"/>
          <w:spacing w:val="0"/>
          <w:sz w:val="32"/>
          <w:szCs w:val="32"/>
          <w:shd w:val="clear" w:fill="FFFFFF"/>
        </w:rPr>
        <w:t>不断增强行政执法人员的依法行政和依法办事意识，熟练运用法律手段解决涉及民政业务方面的各种矛盾和问题，促进民政各项工作法治化再上新台阶。</w:t>
      </w:r>
    </w:p>
    <w:p w14:paraId="099F22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楷体" w:hAnsi="楷体" w:eastAsia="楷体" w:cs="楷体"/>
          <w:b/>
          <w:bCs/>
          <w:i w:val="0"/>
          <w:iCs w:val="0"/>
          <w:caps w:val="0"/>
          <w:color w:val="333333"/>
          <w:spacing w:val="0"/>
          <w:sz w:val="32"/>
          <w:szCs w:val="32"/>
          <w:shd w:val="clear" w:fill="FFFFFF"/>
        </w:rPr>
        <w:t>（三）进一步加强民政领域普法宣传教育。</w:t>
      </w:r>
      <w:r>
        <w:rPr>
          <w:rFonts w:hint="eastAsia" w:ascii="仿宋_GB2312" w:hAnsi="仿宋_GB2312" w:eastAsia="仿宋_GB2312" w:cs="仿宋_GB2312"/>
          <w:i w:val="0"/>
          <w:iCs w:val="0"/>
          <w:caps w:val="0"/>
          <w:color w:val="333333"/>
          <w:spacing w:val="0"/>
          <w:sz w:val="32"/>
          <w:szCs w:val="32"/>
          <w:shd w:val="clear" w:fill="FFFFFF"/>
        </w:rPr>
        <w:t>认真组织开展民政专业法律的法治宣传教育，加强宣传社会救助、婚姻、养老、慈善、社会组织等法律法规，不断加强普法宣传工作的深度和广度。</w:t>
      </w:r>
      <w:r>
        <w:rPr>
          <w:rFonts w:hint="eastAsia" w:ascii="仿宋_GB2312" w:hAnsi="仿宋_GB2312" w:eastAsia="仿宋_GB2312" w:cs="仿宋_GB2312"/>
          <w:i w:val="0"/>
          <w:iCs w:val="0"/>
          <w:caps w:val="0"/>
          <w:color w:val="333333"/>
          <w:spacing w:val="0"/>
          <w:sz w:val="32"/>
          <w:szCs w:val="32"/>
          <w:u w:val="none"/>
          <w:shd w:val="clear" w:fill="FFFFFF"/>
        </w:rPr>
        <w:t>压实普法责任、突出普法重点、加强普法指导，推进民政普法与依法治理有机融合。</w:t>
      </w:r>
    </w:p>
    <w:p w14:paraId="610734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54B77"/>
    <w:rsid w:val="65B54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2025-03-25T08:16:00Z</dcterms:created>
  <dc:creator>银华</dc:creator>
  <cp:lastModifiedBy>银华</cp:lastModifiedBy>
  <dcterms:modified xsi:type="dcterms:W3CDTF">2025-03-25T08:24:18Z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26CFFD07421E4E36BF49E2F04FAA0739_11</vt:lpwstr>
  </property>
  <property fmtid="{D5CDD505-2E9C-101B-9397-08002B2CF9AE}" pid="4" name="KSOTemplateDocerSaveRecord">
    <vt:lpwstr>eyJoZGlkIjoiNzAwNWVlOWNmNWEzMmI0ZWMxMTIzNTQzMjk4NTUzMjEiLCJ1c2VySWQiOiI2NTU0NTYyMTUifQ==</vt:lpwstr>
  </property>
</Properties>
</file>