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4DD9">
      <w:pPr>
        <w:widowControl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潢川县行政审批和政务信息管理局</w:t>
      </w:r>
    </w:p>
    <w:p w14:paraId="4AB11BB6">
      <w:pPr>
        <w:widowControl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</w:rPr>
        <w:t>年法治</w:t>
      </w: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政府</w:t>
      </w: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</w:rPr>
        <w:t>建</w:t>
      </w: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设</w:t>
      </w:r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44"/>
          <w:u w:val="none"/>
        </w:rPr>
        <w:t>工作报告</w:t>
      </w:r>
    </w:p>
    <w:p w14:paraId="65547250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自2024年起，潢川县行政审批和政务信息管理局积极落实党的二十大、二十届三中全会精神，以新时代中国特色社会主义思想为指导，全面实施党中央关于依法治国的决策部署，将法治政府建设与行政审批及政务信息管理紧密结合，大力推动依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，引导党员干部学习法律、遵守法律，为法治环境的建设营造了良好氛围。</w:t>
      </w:r>
    </w:p>
    <w:p w14:paraId="342C6775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ascii="Times New Roman" w:hAnsi="黑体" w:eastAsia="黑体" w:cs="黑体"/>
          <w:b w:val="0"/>
          <w:bCs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黑体" w:eastAsia="黑体" w:cs="黑体"/>
          <w:b w:val="0"/>
          <w:bCs/>
          <w:i w:val="0"/>
          <w:snapToGrid/>
          <w:spacing w:val="0"/>
          <w:w w:val="100"/>
          <w:sz w:val="32"/>
          <w:u w:val="none"/>
          <w:lang w:val="en-US" w:eastAsia="zh-CN"/>
        </w:rPr>
        <w:t>一</w:t>
      </w:r>
      <w:r>
        <w:rPr>
          <w:rFonts w:hint="eastAsia" w:ascii="Times New Roman" w:hAnsi="黑体" w:eastAsia="黑体" w:cs="黑体"/>
          <w:b w:val="0"/>
          <w:bCs/>
          <w:i w:val="0"/>
          <w:snapToGrid/>
          <w:spacing w:val="0"/>
          <w:w w:val="100"/>
          <w:sz w:val="32"/>
          <w:u w:val="none"/>
        </w:rPr>
        <w:t>、党政主要负责人履行推进法治建设第一责任人职责，加强法治政府建设的有关情况</w:t>
      </w:r>
    </w:p>
    <w:p w14:paraId="1683430C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</w:rPr>
        <w:t>（一）法治建设第一责任人职责落实情况</w:t>
      </w: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i w:val="0"/>
          <w:snapToGrid/>
          <w:spacing w:val="0"/>
          <w:w w:val="100"/>
          <w:sz w:val="32"/>
          <w:u w:val="none"/>
          <w:lang w:eastAsia="zh-CN"/>
        </w:rPr>
        <w:t>一是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强化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要素保障。将法治建设作为一项重要政治任务，成立由局主要领导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胡永清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担任组长的法治建设与宣传教育工作领导小组，明确职责与任务措施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开展规范性文件清理工作，为依法行政提供制度体系保障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将法治建设与宣传教育工作经费纳入预算，并根据工作实际建立动态增长机制。</w:t>
      </w:r>
      <w:r>
        <w:rPr>
          <w:rFonts w:hint="eastAsia" w:hAnsi="仿宋_GB2312" w:eastAsia="仿宋_GB2312" w:cs="仿宋_GB2312"/>
          <w:b/>
          <w:bCs/>
          <w:i w:val="0"/>
          <w:snapToGrid/>
          <w:spacing w:val="0"/>
          <w:w w:val="100"/>
          <w:sz w:val="32"/>
          <w:u w:val="none"/>
          <w:lang w:eastAsia="zh-CN"/>
        </w:rPr>
        <w:t>二是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强化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责任落实。通过党组会、支部会学习习近平法治思想，深刻理解其核心要义，并将其贯彻到法治政府建设的全过程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完善党组会会前学法制度，出台并执行学法计划和党组中心组学习计划，进一步提升机关干部的学法、知法、守法、用法意识，引导干部提升依法行政能力。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定期组织法治建设专题培训，确保领导干部和工作人员能够及时掌握最新的法律法规和政策要求。通过这些措施，切实提高全体人员的法治意识和法律素养，为法治政府建设奠定坚实基础。</w:t>
      </w:r>
      <w:r>
        <w:rPr>
          <w:rFonts w:hint="eastAsia" w:hAnsi="仿宋_GB2312" w:eastAsia="仿宋_GB2312" w:cs="仿宋_GB2312"/>
          <w:b/>
          <w:bCs/>
          <w:i w:val="0"/>
          <w:snapToGrid/>
          <w:spacing w:val="0"/>
          <w:w w:val="100"/>
          <w:sz w:val="32"/>
          <w:u w:val="none"/>
          <w:lang w:val="en-US" w:eastAsia="zh-CN"/>
        </w:rPr>
        <w:t>三是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强化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政务公开。严格执行主动发布、依申请公开工作机制，通过政府信息公开、微信公众号等渠道，主动、及时、全面、准确地发布与公众利益密切相关的政务信息。通过座谈交流等方式，邀请社会监督员、企业和群众以及新闻媒体多角度体验便民利企创新政务，广泛征求意见，增进政民交流互动。</w:t>
      </w:r>
    </w:p>
    <w:p w14:paraId="222CF013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</w:rPr>
        <w:t>（二）法治政府建设推进情况</w:t>
      </w: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坚持依法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审批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作为政务工作的主线，确保人人守法，事事依法，增强审批流程的标准化和结果的有效运用。进一步完善责任清单制度，督促各单位事项实现应进必进，推进简政放权，优化事项流程。为办事企业和群众提供免费邮寄服务、申请材料复印服务等，实现企业开办全过程“零成本”。</w:t>
      </w:r>
    </w:p>
    <w:p w14:paraId="77F3FF72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  <w:lang w:val="en-US" w:eastAsia="zh-CN"/>
        </w:rPr>
        <w:t>二</w:t>
      </w: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  <w:t>、推进法治建设的主要措施和成效</w:t>
      </w:r>
    </w:p>
    <w:p w14:paraId="0BA4569F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</w:rPr>
        <w:t>（一）加强法治政府建设的宣传</w:t>
      </w: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i w:val="0"/>
          <w:snapToGrid/>
          <w:spacing w:val="0"/>
          <w:w w:val="100"/>
          <w:sz w:val="32"/>
          <w:u w:val="none"/>
          <w:lang w:eastAsia="zh-CN"/>
        </w:rPr>
        <w:t>一是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高度重视法治建设。确立了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主要负责人胡永清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作为首要责任人，分管领导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朱岩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负责分工，各部门各负其责的工作机制，将法治政府建设与行政审批及政务信息管理同步安排、同步研究、同步执行，有效推动了法治建设的各项工作，利用法治的力量不断优化营商环境。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spacing w:val="0"/>
          <w:w w:val="100"/>
          <w:sz w:val="32"/>
          <w:u w:val="none"/>
          <w:lang w:eastAsia="zh-CN"/>
        </w:rPr>
        <w:t>二是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积极进行法治宣传。通过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党组理论学习、支部学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习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开展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交流讨论和自学提升，加强全体干部职工法律知识学习。开展普法大讲堂活动，让全体干部职工学习《行政许可法》《优化营商环境条例》《民法典》等法律法规；举办“宪法宣传周”活动，悬挂横幅、张贴标语，并组织工作人员进行宪法宣誓和诵读；利用办事大厅LED屏和微信公众号宣传宪法、民法典及优化营商环境相关法律法规，使法制宣传活动更加深入。</w:t>
      </w:r>
      <w:r>
        <w:rPr>
          <w:rFonts w:hint="eastAsia" w:hAnsi="仿宋_GB2312" w:eastAsia="仿宋_GB2312" w:cs="仿宋_GB2312"/>
          <w:b/>
          <w:bCs/>
          <w:i w:val="0"/>
          <w:snapToGrid/>
          <w:spacing w:val="0"/>
          <w:w w:val="100"/>
          <w:sz w:val="32"/>
          <w:u w:val="none"/>
          <w:lang w:eastAsia="zh-CN"/>
        </w:rPr>
        <w:t>三是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发挥舆论监督作用。认真处理行政应诉工作，反向排查各环节的法律风险。加强网上咨询投诉的跟踪、催办和督办，及时回应社会关切，确保按时办结率达到100%。</w:t>
      </w:r>
    </w:p>
    <w:p w14:paraId="7AEDA079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</w:rPr>
        <w:t>（二）深化行政审批制度改革</w:t>
      </w: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i w:val="0"/>
          <w:snapToGrid/>
          <w:spacing w:val="0"/>
          <w:w w:val="100"/>
          <w:sz w:val="32"/>
          <w:u w:val="none"/>
          <w:lang w:eastAsia="zh-CN"/>
        </w:rPr>
        <w:t>一是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构建政务服务标准管理体系。持续深化政务服务事项的标准化工作，统一清单要素，构建从事项准入、要素规范到事项发布的完整工作体系，实现政务服务事项清单的全面覆盖，确保清单之外无事项。</w:t>
      </w:r>
      <w:r>
        <w:rPr>
          <w:rFonts w:hint="eastAsia" w:hAnsi="仿宋_GB2312" w:eastAsia="仿宋_GB2312" w:cs="仿宋_GB2312"/>
          <w:b/>
          <w:bCs/>
          <w:i w:val="0"/>
          <w:snapToGrid/>
          <w:spacing w:val="0"/>
          <w:w w:val="100"/>
          <w:sz w:val="32"/>
          <w:u w:val="none"/>
          <w:lang w:eastAsia="zh-CN"/>
        </w:rPr>
        <w:t>二是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打破审批中介服务的垄断。加强行政审批中介服务事项清单的动态管理，推广潢川县中介超市的应用，梳理11个部门涉及中介服务事项共40个。持续提升中介超市门户网站的使用率。</w:t>
      </w:r>
    </w:p>
    <w:p w14:paraId="35BF8E1F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1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</w:rPr>
        <w:t>（三）优化审批程序创新</w:t>
      </w:r>
      <w:r>
        <w:rPr>
          <w:rFonts w:hint="eastAsia" w:ascii="楷体" w:hAnsi="楷体" w:eastAsia="楷体" w:cs="楷体"/>
          <w:b/>
          <w:i w:val="0"/>
          <w:snapToGrid/>
          <w:spacing w:val="0"/>
          <w:w w:val="100"/>
          <w:sz w:val="32"/>
          <w:u w:val="none"/>
          <w:lang w:eastAsia="zh-CN"/>
        </w:rPr>
        <w:t>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优化审批程序，持续推动“放管服”改革以优化营商环境。全面实施“一门受理、一网通办、一次办结”的审批模式，有效整合行政资源，规范审批行为，提升办事效率，实现“便民、高效、快捷”的服务；加快完善“一网通办”行政审批服务体系，对政务服务事项进行全面梳理，完善实施清单，实现政务服务事项的标准化和规范化。</w:t>
      </w:r>
    </w:p>
    <w:p w14:paraId="6020D93D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  <w:t>三、推进法治政府建设存在的不足、原因和问题整改情况</w:t>
      </w:r>
    </w:p>
    <w:p w14:paraId="430BBDEE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（一）</w:t>
      </w: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  <w:lang w:val="en-US" w:eastAsia="zh-CN"/>
        </w:rPr>
        <w:t>政务信息公开的及时性和全面性有待加强。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部分政务信息公开的内容不够详细，缺乏深度解读，导致公众理解困难。公众获取信息的渠道和反馈机制还需进一步拓宽，以便更好地收集和处理公众的意见和建议。</w:t>
      </w:r>
    </w:p>
    <w:p w14:paraId="09D390A8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（二）</w:t>
      </w: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  <w:lang w:val="en-US" w:eastAsia="zh-CN"/>
        </w:rPr>
        <w:t>政务服务质效有待提升。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进一步优化办事程序和流程，缩短办理时限，最大程度地为企业和群众提供便利化服务。加大“互联网+监管”的工作力度，加强信用体系建设，持续推进全县政务服务体系的标准化建设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巩固“放管服”改革的基础。</w:t>
      </w:r>
    </w:p>
    <w:p w14:paraId="514A115A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bookmarkStart w:id="0" w:name="_GoBack"/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（三）法治人才队伍建设需要加强。</w:t>
      </w:r>
      <w:bookmarkEnd w:id="0"/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作为服务全县广大办事群众的政务服务部门，法治建设任务日益繁重，专业人员力量明显不足，法制宣传的多样性和灵活性还不够。</w:t>
      </w:r>
    </w:p>
    <w:p w14:paraId="6A0C6B87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0"/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  <w:t>四、</w:t>
      </w: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  <w:lang w:val="en-US" w:eastAsia="zh-CN"/>
        </w:rPr>
        <w:t>2025年</w:t>
      </w:r>
      <w:r>
        <w:rPr>
          <w:rFonts w:hint="eastAsia" w:ascii="Times New Roman" w:hAnsi="黑体" w:eastAsia="黑体" w:cs="黑体"/>
          <w:b/>
          <w:i w:val="0"/>
          <w:snapToGrid/>
          <w:spacing w:val="0"/>
          <w:w w:val="100"/>
          <w:sz w:val="32"/>
          <w:u w:val="none"/>
        </w:rPr>
        <w:t>推进法治政府建设的初步安排</w:t>
      </w:r>
    </w:p>
    <w:p w14:paraId="06E69FD1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（一）创新打造数字政府大服务。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深入推进互联网+政务服务，拓展服务范围和能力；深化政务服务跨省通办，推动政务服务跨地域的线上线下融合互通、无差别协同办理；推动“一件事一次办”主题式服务，再造审批业务流程；持续推进政务服务“好差评”，主动识别、精准化解堵点难点，推动政务服务质量持续提升。</w:t>
      </w:r>
    </w:p>
    <w:p w14:paraId="415FD560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（二）做好廉政风险防范化解工作。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对所有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政务服务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事项逐一梳理，细化受理范围、依据和工作程序，明确责任领导、责任股室和工作人员，定期开展监督检查，确保规范审批。强化部门协作。按照“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受审分离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”工作原则，加强与行业主管部门的沟通交流，建立相对集中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政务服务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事项审批信息推送制度，健全廉政风险防范化解机制，落实信息共享和监管责任，依托政务服务平台，确保审批和监管无缝对接。实施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综合受理、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分类审批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同时加强与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进驻单位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的配合协作，针对专业性较强、与多个部门关联、涉及重大公共利益的事项，建立联席会议制度，共同研究审批和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监督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，有效防范化解风险。</w:t>
      </w:r>
    </w:p>
    <w:p w14:paraId="4592883B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snapToGrid/>
          <w:spacing w:val="0"/>
          <w:w w:val="100"/>
          <w:sz w:val="32"/>
          <w:u w:val="none"/>
        </w:rPr>
        <w:t>（三）提升干部队伍的依法行政能力。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认真落实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党员干部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学法用法制度，通过充实法律专业人才、邀请专家讲课、加强内部培训等措施，着力培养一支既深入政府法制实践、又有较高法律理论水平的干部队伍，同时创新工作方式方法，提高自身专业素养，提升法治建设的工作效能。</w:t>
      </w:r>
    </w:p>
    <w:p w14:paraId="5D116E0E">
      <w:pPr>
        <w:widowControl/>
        <w:autoSpaceDE/>
        <w:autoSpaceDN/>
        <w:spacing w:beforeAutospacing="0" w:afterAutospacing="0" w:line="560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CC2FE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EECF5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95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A2CB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37600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BEA8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37BC7"/>
    <w:rsid w:val="2B637BC7"/>
    <w:rsid w:val="5D4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2415</Words>
  <Characters>2439</Characters>
  <Lines>0</Lines>
  <Paragraphs>0</Paragraphs>
  <TotalTime>13</TotalTime>
  <ScaleCrop>false</ScaleCrop>
  <LinksUpToDate>false</LinksUpToDate>
  <CharactersWithSpaces>2439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2024-12-12T08:09:00Z</dcterms:created>
  <dc:creator>喧哗。</dc:creator>
  <cp:lastModifiedBy>银华</cp:lastModifiedBy>
  <dcterms:modified xsi:type="dcterms:W3CDTF">2025-03-24T08:23:39Z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4CACA95E38204003A7D78F5B6AEA43BB_13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