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AB283">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i w:val="0"/>
          <w:caps w:val="0"/>
          <w:color w:val="auto"/>
          <w:spacing w:val="0"/>
          <w:sz w:val="44"/>
          <w:szCs w:val="44"/>
          <w:shd w:val="clear" w:color="auto" w:fill="FFFFFF"/>
          <w:lang w:val="en-US" w:eastAsia="zh-CN"/>
        </w:rPr>
      </w:pPr>
      <w:r>
        <w:rPr>
          <w:rFonts w:hint="eastAsia" w:ascii="黑体" w:hAnsi="黑体" w:eastAsia="黑体" w:cs="黑体"/>
          <w:b w:val="0"/>
          <w:bCs w:val="0"/>
          <w:i w:val="0"/>
          <w:caps w:val="0"/>
          <w:color w:val="auto"/>
          <w:spacing w:val="0"/>
          <w:sz w:val="44"/>
          <w:szCs w:val="44"/>
          <w:shd w:val="clear" w:color="auto" w:fill="FFFFFF"/>
          <w:lang w:val="en-US" w:eastAsia="zh-CN"/>
        </w:rPr>
        <w:t>付店镇2024年法治政府建设工作报告</w:t>
      </w:r>
    </w:p>
    <w:p w14:paraId="48AB4C9E">
      <w:pPr>
        <w:pStyle w:val="2"/>
        <w:rPr>
          <w:rFonts w:hint="eastAsia"/>
          <w:lang w:val="en-US" w:eastAsia="zh-CN"/>
        </w:rPr>
      </w:pPr>
    </w:p>
    <w:p w14:paraId="1CD63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w:t>
      </w:r>
      <w:r>
        <w:rPr>
          <w:rFonts w:hint="eastAsia" w:ascii="仿宋_GB2312" w:hAnsi="Times New Roman" w:eastAsia="仿宋_GB2312" w:cs="Times New Roman"/>
          <w:sz w:val="32"/>
          <w:szCs w:val="32"/>
          <w:lang w:val="en-US" w:eastAsia="zh-CN"/>
        </w:rPr>
        <w:t>02</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eastAsia="zh-CN"/>
        </w:rPr>
        <w:t>年，</w:t>
      </w:r>
      <w:r>
        <w:rPr>
          <w:rFonts w:hint="eastAsia" w:ascii="仿宋_GB2312" w:eastAsia="仿宋_GB2312" w:cs="Times New Roman"/>
          <w:sz w:val="32"/>
          <w:szCs w:val="32"/>
          <w:lang w:val="en-US" w:eastAsia="zh-CN"/>
        </w:rPr>
        <w:t>付店</w:t>
      </w:r>
      <w:r>
        <w:rPr>
          <w:rFonts w:hint="eastAsia" w:ascii="仿宋_GB2312" w:hAnsi="Times New Roman" w:eastAsia="仿宋_GB2312" w:cs="Times New Roman"/>
          <w:sz w:val="32"/>
          <w:szCs w:val="32"/>
          <w:lang w:eastAsia="zh-CN"/>
        </w:rPr>
        <w:t>镇始终坚持以习近平新时代中国特色社会主义思想为指导，全面贯彻落实党的二十大和二十届三中全会精神，按照</w:t>
      </w:r>
      <w:r>
        <w:rPr>
          <w:rFonts w:hint="eastAsia" w:ascii="仿宋_GB2312" w:eastAsia="仿宋_GB2312" w:cs="Times New Roman"/>
          <w:sz w:val="32"/>
          <w:szCs w:val="32"/>
          <w:lang w:val="en-US" w:eastAsia="zh-CN"/>
        </w:rPr>
        <w:t>县</w:t>
      </w:r>
      <w:r>
        <w:rPr>
          <w:rFonts w:hint="eastAsia" w:ascii="仿宋_GB2312" w:hAnsi="Times New Roman" w:eastAsia="仿宋_GB2312" w:cs="Times New Roman"/>
          <w:sz w:val="32"/>
          <w:szCs w:val="32"/>
          <w:lang w:eastAsia="zh-CN"/>
        </w:rPr>
        <w:t>委、政府的安排部署，坚持依法行政，健全工作机制，提升队伍素质，着力抓重点、补短板、强弱项，全方位提高依法行政水平，高水平推进法治政府建设。现将本年度法治政府建设工作情况报告如下：</w:t>
      </w:r>
    </w:p>
    <w:p w14:paraId="56AD452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、2024年党政主要负责人履行推进法治建设第一责任人职责，加强法治政府建设的有关情况</w:t>
      </w:r>
    </w:p>
    <w:p w14:paraId="31B6A609">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eastAsia="仿宋_GB2312" w:cs="Times New Roman"/>
          <w:sz w:val="32"/>
          <w:szCs w:val="32"/>
          <w:lang w:val="en-US" w:eastAsia="zh-CN"/>
        </w:rPr>
      </w:pPr>
      <w:r>
        <w:rPr>
          <w:rFonts w:hint="eastAsia" w:ascii="仿宋_GB2312" w:hAnsi="Times New Roman" w:eastAsia="仿宋_GB2312" w:cs="Times New Roman"/>
          <w:b/>
          <w:bCs/>
          <w:kern w:val="2"/>
          <w:sz w:val="32"/>
          <w:szCs w:val="32"/>
          <w:lang w:val="en-US" w:eastAsia="zh-CN" w:bidi="ar-SA"/>
        </w:rPr>
        <w:t>（一）</w:t>
      </w:r>
      <w:r>
        <w:rPr>
          <w:rFonts w:hint="eastAsia" w:ascii="楷体_GB2312" w:hAnsi="楷体_GB2312" w:eastAsia="楷体_GB2312" w:cs="楷体_GB2312"/>
          <w:b/>
          <w:bCs/>
          <w:sz w:val="32"/>
          <w:szCs w:val="32"/>
          <w:lang w:val="en-US" w:eastAsia="zh-CN"/>
        </w:rPr>
        <w:t>健全工作机制。</w:t>
      </w:r>
      <w:r>
        <w:rPr>
          <w:rFonts w:hint="default" w:ascii="仿宋_GB2312" w:eastAsia="仿宋_GB2312" w:cs="Times New Roman"/>
          <w:sz w:val="32"/>
          <w:szCs w:val="32"/>
          <w:lang w:val="en-US" w:eastAsia="zh-CN"/>
        </w:rPr>
        <w:t>党政主要负责人亲自挂帅，担任法治建设领导小组组长，</w:t>
      </w:r>
      <w:r>
        <w:rPr>
          <w:rFonts w:hint="eastAsia" w:ascii="仿宋_GB2312" w:eastAsia="仿宋_GB2312" w:cs="Times New Roman"/>
          <w:sz w:val="32"/>
          <w:szCs w:val="32"/>
          <w:lang w:val="en-US" w:eastAsia="zh-CN"/>
        </w:rPr>
        <w:t>涵盖综治、司法、派出所等多部门负责人为成员，定期召开法治建设专题会议，研究解决法治工作推进难题，</w:t>
      </w:r>
      <w:r>
        <w:rPr>
          <w:rFonts w:hint="default" w:ascii="仿宋_GB2312" w:eastAsia="仿宋_GB2312" w:cs="Times New Roman"/>
          <w:sz w:val="32"/>
          <w:szCs w:val="32"/>
          <w:lang w:val="en-US" w:eastAsia="zh-CN"/>
        </w:rPr>
        <w:t>研究制定《</w:t>
      </w:r>
      <w:r>
        <w:rPr>
          <w:rFonts w:hint="eastAsia" w:ascii="仿宋_GB2312" w:hAnsi="Times New Roman" w:eastAsia="仿宋_GB2312" w:cs="Times New Roman"/>
          <w:sz w:val="32"/>
          <w:szCs w:val="32"/>
          <w:lang w:val="en-US" w:eastAsia="zh-CN"/>
        </w:rPr>
        <w:t>付店镇法治政府202</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年工作要点</w:t>
      </w:r>
      <w:r>
        <w:rPr>
          <w:rFonts w:hint="default" w:ascii="仿宋_GB2312" w:eastAsia="仿宋_GB2312" w:cs="Times New Roman"/>
          <w:sz w:val="32"/>
          <w:szCs w:val="32"/>
          <w:lang w:val="en-US" w:eastAsia="zh-CN"/>
        </w:rPr>
        <w:t>》，明确各部门法治建设任务，将法治工作纳入年度绩效考核体系，压实工作责任，确保法治建设工作有序推进。</w:t>
      </w:r>
    </w:p>
    <w:p w14:paraId="2A0EF7AE">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二）加强规划引领。</w:t>
      </w:r>
      <w:r>
        <w:rPr>
          <w:rFonts w:hint="eastAsia" w:ascii="仿宋_GB2312" w:eastAsia="仿宋_GB2312" w:cs="Times New Roman"/>
          <w:sz w:val="32"/>
          <w:szCs w:val="32"/>
          <w:lang w:val="en-US" w:eastAsia="zh-CN"/>
        </w:rPr>
        <w:t>将法治建设纳入乡镇发展总体规划与年度重点工作计划，与经济、民生等工作同部署、同推进、同考核。党政主要负责人亲自主持制定法治政府建设长期规划与短期目标，使法治思维贯穿乡镇治理全方位、全过程。</w:t>
      </w:r>
    </w:p>
    <w:p w14:paraId="74321C24">
      <w:pPr>
        <w:pStyle w:val="2"/>
        <w:keepNext w:val="0"/>
        <w:keepLines w:val="0"/>
        <w:pageBreakBefore w:val="0"/>
        <w:kinsoku/>
        <w:wordWrap/>
        <w:overflowPunct/>
        <w:topLinePunct w:val="0"/>
        <w:autoSpaceDE/>
        <w:autoSpaceDN/>
        <w:bidi w:val="0"/>
        <w:spacing w:line="560" w:lineRule="exact"/>
        <w:ind w:firstLine="643" w:firstLineChars="200"/>
        <w:textAlignment w:val="auto"/>
        <w:rPr>
          <w:rFonts w:hint="eastAsia"/>
          <w:lang w:val="en-US" w:eastAsia="zh-CN"/>
        </w:rPr>
      </w:pPr>
      <w:r>
        <w:rPr>
          <w:rFonts w:hint="eastAsia" w:ascii="楷体_GB2312" w:hAnsi="楷体_GB2312" w:eastAsia="楷体_GB2312" w:cs="楷体_GB2312"/>
          <w:b/>
          <w:bCs/>
          <w:sz w:val="32"/>
          <w:szCs w:val="32"/>
          <w:lang w:val="en-US" w:eastAsia="zh-CN"/>
        </w:rPr>
        <w:t>（三）压实领导责任。</w:t>
      </w:r>
      <w:r>
        <w:rPr>
          <w:rFonts w:hint="eastAsia" w:ascii="仿宋_GB2312" w:hAnsi="仿宋_GB2312" w:eastAsia="仿宋_GB2312" w:cs="仿宋_GB2312"/>
          <w:b w:val="0"/>
          <w:bCs w:val="0"/>
          <w:sz w:val="32"/>
          <w:szCs w:val="32"/>
          <w:lang w:val="en-US" w:eastAsia="zh-CN"/>
        </w:rPr>
        <w:t>按照包村领导包案、行政村书记具体负责的工作责任制，落实定期走访制度，变上访为下访，通过教育疏导减少信访事项。同时进一步畅通信访渠道，规范信访程序，维护信访秩序，落实信访责任，依法有效化解各类矛盾纠纷和信访问题；坚持和发展新时代“枫桥经验”，健全和实体化运行信访代办制，力求将信访问题解决在初始和“萌芽”阶段，年内有科级领导负责牵头办案累计完成信访交办事项26项，办结率、满意率均90以上%。</w:t>
      </w:r>
    </w:p>
    <w:p w14:paraId="6C00A30D">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sz w:val="32"/>
          <w:szCs w:val="32"/>
          <w:lang w:val="en-US" w:eastAsia="zh-CN"/>
        </w:rPr>
        <w:t>二、2024年推进法治政府建设的主要举措和成效</w:t>
      </w:r>
    </w:p>
    <w:p w14:paraId="4B67BA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lang w:val="en-US" w:eastAsia="zh-CN"/>
        </w:rPr>
        <w:t>强化制度建设，以机制促法制。</w:t>
      </w:r>
      <w:r>
        <w:rPr>
          <w:rFonts w:hint="eastAsia" w:ascii="仿宋_GB2312" w:hAnsi="Times New Roman" w:eastAsia="仿宋_GB2312" w:cs="Times New Roman"/>
          <w:b/>
          <w:bCs/>
          <w:sz w:val="32"/>
          <w:szCs w:val="32"/>
          <w:lang w:val="en-US" w:eastAsia="zh-CN"/>
        </w:rPr>
        <w:t>一是</w:t>
      </w:r>
      <w:r>
        <w:rPr>
          <w:rFonts w:hint="eastAsia" w:ascii="仿宋_GB2312" w:hAnsi="Times New Roman" w:eastAsia="仿宋_GB2312" w:cs="Times New Roman"/>
          <w:sz w:val="32"/>
          <w:szCs w:val="32"/>
          <w:lang w:val="en-US" w:eastAsia="zh-CN"/>
        </w:rPr>
        <w:t>进一步完善了依法决策工作制度。严格执行重大行政决策公众参与、专家论证、风险评估、合法性审查、集体讨论决定“五大”程序</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促进了政府决策科学化、民主化、法制化。</w:t>
      </w:r>
      <w:r>
        <w:rPr>
          <w:rFonts w:hint="eastAsia" w:ascii="仿宋_GB2312" w:hAnsi="Times New Roman" w:eastAsia="仿宋_GB2312" w:cs="Times New Roman"/>
          <w:b/>
          <w:bCs/>
          <w:sz w:val="32"/>
          <w:szCs w:val="32"/>
          <w:lang w:val="en-US" w:eastAsia="zh-CN"/>
        </w:rPr>
        <w:t>二是</w:t>
      </w:r>
      <w:r>
        <w:rPr>
          <w:rFonts w:hint="eastAsia" w:ascii="仿宋_GB2312" w:hAnsi="Times New Roman" w:eastAsia="仿宋_GB2312" w:cs="Times New Roman"/>
          <w:sz w:val="32"/>
          <w:szCs w:val="32"/>
          <w:lang w:val="en-US" w:eastAsia="zh-CN"/>
        </w:rPr>
        <w:t>进一步完善了依法行政工作制度，</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021年以来先后下发了《付店镇村级公共服务运行维护项目建设和资金管理办法》、《付店镇办公经费收支管理办法》等</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sz w:val="32"/>
          <w:szCs w:val="32"/>
          <w:lang w:val="en-US" w:eastAsia="zh-CN"/>
        </w:rPr>
        <w:t>有效推动依法执政、依法行政。</w:t>
      </w:r>
      <w:r>
        <w:rPr>
          <w:rFonts w:hint="eastAsia" w:ascii="仿宋_GB2312" w:hAnsi="Times New Roman" w:eastAsia="仿宋_GB2312" w:cs="Times New Roman"/>
          <w:b/>
          <w:bCs/>
          <w:sz w:val="32"/>
          <w:szCs w:val="32"/>
          <w:lang w:val="en-US" w:eastAsia="zh-CN"/>
        </w:rPr>
        <w:t>三是</w:t>
      </w:r>
      <w:r>
        <w:rPr>
          <w:rFonts w:hint="eastAsia" w:ascii="仿宋_GB2312" w:hAnsi="Times New Roman" w:eastAsia="仿宋_GB2312" w:cs="Times New Roman"/>
          <w:sz w:val="32"/>
          <w:szCs w:val="32"/>
          <w:lang w:val="en-US" w:eastAsia="zh-CN"/>
        </w:rPr>
        <w:t>认真执行党务政务公开制度，及时将政府工作报告、财政预决算、涉农资金、民生工程及政府工作动态以及其他涉及群众切身利益的相关情况在政务公开栏</w:t>
      </w:r>
      <w:r>
        <w:rPr>
          <w:rFonts w:hint="eastAsia" w:ascii="仿宋_GB2312" w:eastAsia="仿宋_GB2312" w:cs="Times New Roman"/>
          <w:sz w:val="32"/>
          <w:szCs w:val="32"/>
          <w:lang w:val="en-US" w:eastAsia="zh-CN"/>
        </w:rPr>
        <w:t>、微信公众号</w:t>
      </w:r>
      <w:r>
        <w:rPr>
          <w:rFonts w:hint="eastAsia" w:ascii="仿宋_GB2312" w:hAnsi="Times New Roman" w:eastAsia="仿宋_GB2312" w:cs="Times New Roman"/>
          <w:sz w:val="32"/>
          <w:szCs w:val="32"/>
          <w:lang w:val="en-US" w:eastAsia="zh-CN"/>
        </w:rPr>
        <w:t>等平台公布。</w:t>
      </w:r>
      <w:r>
        <w:rPr>
          <w:rFonts w:hint="eastAsia" w:ascii="仿宋_GB2312" w:hAnsi="Times New Roman" w:eastAsia="仿宋_GB2312" w:cs="Times New Roman"/>
          <w:b/>
          <w:bCs/>
          <w:sz w:val="32"/>
          <w:szCs w:val="32"/>
          <w:lang w:val="en-US" w:eastAsia="zh-CN"/>
        </w:rPr>
        <w:t>四是</w:t>
      </w:r>
      <w:r>
        <w:rPr>
          <w:rFonts w:hint="eastAsia" w:ascii="仿宋_GB2312" w:eastAsia="仿宋_GB2312" w:cs="Times New Roman"/>
          <w:b w:val="0"/>
          <w:bCs w:val="0"/>
          <w:sz w:val="32"/>
          <w:szCs w:val="32"/>
          <w:lang w:val="en-US" w:eastAsia="zh-CN"/>
        </w:rPr>
        <w:t>自觉接受多方监督，自觉接受党内监督、人大监督、民主监督、司法监督、社会监督、舆论监督，推动完善政府内部层级监督和专门监督，加强行政复议和行政应诉工作，尊重并执行生效行政复议决定和法院生效判决。</w:t>
      </w:r>
    </w:p>
    <w:p w14:paraId="2616BC3A">
      <w:pPr>
        <w:keepNext w:val="0"/>
        <w:keepLines w:val="0"/>
        <w:pageBreakBefore w:val="0"/>
        <w:numPr>
          <w:ilvl w:val="0"/>
          <w:numId w:val="0"/>
        </w:numPr>
        <w:kinsoku/>
        <w:wordWrap/>
        <w:overflowPunct/>
        <w:topLinePunct w:val="0"/>
        <w:autoSpaceDE/>
        <w:autoSpaceDN/>
        <w:bidi w:val="0"/>
        <w:spacing w:line="560" w:lineRule="exact"/>
        <w:ind w:left="-13" w:leftChars="0" w:firstLine="643" w:firstLineChars="0"/>
        <w:jc w:val="both"/>
        <w:textAlignment w:val="auto"/>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lang w:val="en-US" w:eastAsia="zh-CN"/>
        </w:rPr>
        <w:t>加强法治学习，夯实法治基础。</w:t>
      </w:r>
      <w:r>
        <w:rPr>
          <w:rFonts w:hint="eastAsia" w:ascii="仿宋_GB2312" w:eastAsia="仿宋_GB2312" w:cs="Times New Roman"/>
          <w:b/>
          <w:bCs/>
          <w:sz w:val="32"/>
          <w:szCs w:val="32"/>
          <w:lang w:val="en-US" w:eastAsia="zh-CN"/>
        </w:rPr>
        <w:t>一是</w:t>
      </w:r>
      <w:r>
        <w:rPr>
          <w:rFonts w:hint="eastAsia" w:ascii="仿宋_GB2312" w:eastAsia="仿宋_GB2312" w:cs="Times New Roman"/>
          <w:b w:val="0"/>
          <w:bCs w:val="0"/>
          <w:sz w:val="32"/>
          <w:szCs w:val="32"/>
          <w:lang w:val="en-US" w:eastAsia="zh-CN"/>
        </w:rPr>
        <w:t>领导干部学法常态化，</w:t>
      </w:r>
      <w:r>
        <w:rPr>
          <w:rFonts w:hint="default" w:ascii="仿宋_GB2312" w:eastAsia="仿宋_GB2312" w:cs="Times New Roman"/>
          <w:sz w:val="32"/>
          <w:szCs w:val="32"/>
          <w:lang w:val="en-US" w:eastAsia="zh-CN"/>
        </w:rPr>
        <w:t>党政主要负责人带头落实党委中心组学法制度，内容涉及《民法典》</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《行政处罚法》</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w:t>
      </w:r>
      <w:bookmarkStart w:id="0" w:name="_GoBack"/>
      <w:r>
        <w:rPr>
          <w:rFonts w:hint="default" w:ascii="仿宋_GB2312" w:eastAsia="仿宋_GB2312" w:cs="Times New Roman"/>
          <w:sz w:val="32"/>
          <w:szCs w:val="32"/>
          <w:lang w:val="en-US" w:eastAsia="zh-CN"/>
        </w:rPr>
        <w:t>乡村振兴促进法</w:t>
      </w:r>
      <w:bookmarkEnd w:id="0"/>
      <w:r>
        <w:rPr>
          <w:rFonts w:hint="default" w:ascii="仿宋_GB2312" w:eastAsia="仿宋_GB2312" w:cs="Times New Roman"/>
          <w:sz w:val="32"/>
          <w:szCs w:val="32"/>
          <w:lang w:val="en-US" w:eastAsia="zh-CN"/>
        </w:rPr>
        <w:t>》等与乡镇工作紧密相关法律法规，开展案例研讨，提升班子成员依法决策水平</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将法治思维贯穿于决策、执行全过程。本年度在重大项目建设、土地征收等工作中，严格依法依规履行程序，充分征求法律顾问意见，保障行政决策合法性。</w:t>
      </w:r>
      <w:r>
        <w:rPr>
          <w:rFonts w:hint="eastAsia" w:ascii="仿宋_GB2312" w:hAnsi="Times New Roman" w:eastAsia="仿宋_GB2312" w:cs="Times New Roman"/>
          <w:b/>
          <w:bCs/>
          <w:sz w:val="32"/>
          <w:szCs w:val="32"/>
          <w:lang w:val="en-US" w:eastAsia="zh-CN"/>
        </w:rPr>
        <w:t>二是</w:t>
      </w:r>
      <w:r>
        <w:rPr>
          <w:rFonts w:hint="eastAsia" w:ascii="仿宋_GB2312" w:hAnsi="Times New Roman" w:eastAsia="仿宋_GB2312" w:cs="Times New Roman"/>
          <w:b w:val="0"/>
          <w:bCs w:val="0"/>
          <w:sz w:val="32"/>
          <w:szCs w:val="32"/>
          <w:lang w:val="en-US" w:eastAsia="zh-CN"/>
        </w:rPr>
        <w:t>开展</w:t>
      </w:r>
      <w:r>
        <w:rPr>
          <w:rFonts w:hint="eastAsia" w:ascii="仿宋_GB2312" w:eastAsia="仿宋_GB2312" w:cs="Times New Roman"/>
          <w:b w:val="0"/>
          <w:bCs w:val="0"/>
          <w:sz w:val="32"/>
          <w:szCs w:val="32"/>
          <w:lang w:val="en-US" w:eastAsia="zh-CN"/>
        </w:rPr>
        <w:t>法治政府宣传工作</w:t>
      </w:r>
      <w:r>
        <w:rPr>
          <w:rFonts w:hint="eastAsia" w:ascii="仿宋_GB2312" w:hAnsi="Times New Roman" w:eastAsia="仿宋_GB2312" w:cs="Times New Roman"/>
          <w:b w:val="0"/>
          <w:bCs w:val="0"/>
          <w:sz w:val="32"/>
          <w:szCs w:val="32"/>
          <w:lang w:val="en-US" w:eastAsia="zh-CN"/>
        </w:rPr>
        <w:t>，</w:t>
      </w:r>
      <w:r>
        <w:rPr>
          <w:rFonts w:hint="eastAsia" w:ascii="仿宋_GB2312" w:hAnsi="Times New Roman" w:eastAsia="仿宋_GB2312" w:cs="Times New Roman"/>
          <w:sz w:val="32"/>
          <w:szCs w:val="32"/>
          <w:lang w:val="en-US" w:eastAsia="zh-CN"/>
        </w:rPr>
        <w:t>通过在全镇机关、学校、村</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社</w:t>
      </w:r>
      <w:r>
        <w:rPr>
          <w:rFonts w:hint="eastAsia" w:ascii="仿宋_GB2312" w:eastAsia="仿宋_GB2312" w:cs="Times New Roman"/>
          <w:sz w:val="32"/>
          <w:szCs w:val="32"/>
          <w:lang w:val="en-US" w:eastAsia="zh-CN"/>
        </w:rPr>
        <w:t>区）</w:t>
      </w:r>
      <w:r>
        <w:rPr>
          <w:rFonts w:hint="eastAsia" w:ascii="仿宋_GB2312" w:hAnsi="Times New Roman" w:eastAsia="仿宋_GB2312" w:cs="Times New Roman"/>
          <w:sz w:val="32"/>
          <w:szCs w:val="32"/>
          <w:lang w:val="en-US" w:eastAsia="zh-CN"/>
        </w:rPr>
        <w:t>和重要路口悬挂宣传横幅，发放法治宣传手册等方式，结合“法律七进”等活动载体，</w:t>
      </w:r>
      <w:r>
        <w:rPr>
          <w:rFonts w:hint="eastAsia" w:ascii="仿宋_GB2312" w:eastAsia="仿宋_GB2312" w:cs="Times New Roman"/>
          <w:sz w:val="32"/>
          <w:szCs w:val="32"/>
          <w:lang w:val="en-US" w:eastAsia="zh-CN"/>
        </w:rPr>
        <w:t>积极开展推进依法行政、建设法治政府的宣传工作，大力培育法治政府建设先进典型，营造全社会关心支持和参与法治政府建设的良好氛围。</w:t>
      </w:r>
      <w:r>
        <w:rPr>
          <w:rFonts w:hint="eastAsia" w:ascii="仿宋_GB2312" w:hAnsi="Times New Roman" w:eastAsia="仿宋_GB2312" w:cs="Times New Roman"/>
          <w:sz w:val="32"/>
          <w:szCs w:val="32"/>
          <w:lang w:val="en-US" w:eastAsia="zh-CN"/>
        </w:rPr>
        <w:t>同时通过各村道德讲堂以案说法的方式，有效提高了广大村民普法活动的参与性和积极性，进一步增强了法治宣传互动性和教育效果</w:t>
      </w:r>
      <w:r>
        <w:rPr>
          <w:rFonts w:hint="eastAsia" w:ascii="仿宋_GB2312" w:hAnsi="Times New Roman" w:eastAsia="仿宋_GB2312" w:cs="Times New Roman"/>
          <w:color w:val="auto"/>
          <w:sz w:val="32"/>
          <w:szCs w:val="32"/>
          <w:lang w:val="en-US" w:eastAsia="zh-CN"/>
        </w:rPr>
        <w:t>，宣传月期间累计发放各类宣传资料2000多份，接受群众咨询200多人次。</w:t>
      </w:r>
      <w:r>
        <w:rPr>
          <w:rFonts w:hint="eastAsia" w:ascii="仿宋_GB2312" w:eastAsia="仿宋_GB2312" w:cs="Times New Roman"/>
          <w:b/>
          <w:bCs/>
          <w:sz w:val="32"/>
          <w:szCs w:val="32"/>
          <w:lang w:val="en-US" w:eastAsia="zh-CN"/>
        </w:rPr>
        <w:t>三</w:t>
      </w:r>
      <w:r>
        <w:rPr>
          <w:rFonts w:hint="eastAsia" w:ascii="仿宋_GB2312" w:hAnsi="Times New Roman" w:eastAsia="仿宋_GB2312" w:cs="Times New Roman"/>
          <w:b/>
          <w:bCs/>
          <w:sz w:val="32"/>
          <w:szCs w:val="32"/>
          <w:lang w:val="en-US" w:eastAsia="zh-CN"/>
        </w:rPr>
        <w:t>是</w:t>
      </w:r>
      <w:r>
        <w:rPr>
          <w:rFonts w:hint="eastAsia" w:ascii="仿宋_GB2312" w:hAnsi="Times New Roman" w:eastAsia="仿宋_GB2312" w:cs="Times New Roman"/>
          <w:b w:val="0"/>
          <w:bCs w:val="0"/>
          <w:sz w:val="32"/>
          <w:szCs w:val="32"/>
          <w:lang w:val="en-US" w:eastAsia="zh-CN"/>
        </w:rPr>
        <w:t>强化干部法治培训</w:t>
      </w:r>
      <w:r>
        <w:rPr>
          <w:rFonts w:hint="eastAsia" w:ascii="仿宋_GB2312" w:eastAsia="仿宋_GB2312" w:cs="Times New Roman"/>
          <w:b w:val="0"/>
          <w:bCs w:val="0"/>
          <w:sz w:val="32"/>
          <w:szCs w:val="32"/>
          <w:lang w:val="en-US" w:eastAsia="zh-CN"/>
        </w:rPr>
        <w:t>，</w:t>
      </w:r>
      <w:r>
        <w:rPr>
          <w:rFonts w:hint="eastAsia" w:ascii="仿宋_GB2312" w:hAnsi="Times New Roman" w:eastAsia="仿宋_GB2312" w:cs="Times New Roman"/>
          <w:b w:val="0"/>
          <w:bCs w:val="0"/>
          <w:sz w:val="32"/>
          <w:szCs w:val="32"/>
          <w:lang w:val="en-US" w:eastAsia="zh-CN"/>
        </w:rPr>
        <w:t>加大教</w:t>
      </w:r>
      <w:r>
        <w:rPr>
          <w:rFonts w:hint="eastAsia" w:ascii="仿宋_GB2312" w:hAnsi="Times New Roman" w:eastAsia="仿宋_GB2312" w:cs="Times New Roman"/>
          <w:sz w:val="32"/>
          <w:szCs w:val="32"/>
          <w:lang w:val="en-US" w:eastAsia="zh-CN"/>
        </w:rPr>
        <w:t>育培训力度，通过会议集中学习、组织专题培训等方式，先后组织机关干部职工和村</w:t>
      </w:r>
      <w:r>
        <w:rPr>
          <w:rFonts w:hint="eastAsia" w:ascii="仿宋_GB2312" w:eastAsia="仿宋_GB2312" w:cs="Times New Roman"/>
          <w:sz w:val="32"/>
          <w:szCs w:val="32"/>
          <w:lang w:val="en-US" w:eastAsia="zh-CN"/>
        </w:rPr>
        <w:t>（社区）</w:t>
      </w:r>
      <w:r>
        <w:rPr>
          <w:rFonts w:hint="eastAsia" w:ascii="仿宋_GB2312" w:hAnsi="Times New Roman" w:eastAsia="仿宋_GB2312" w:cs="Times New Roman"/>
          <w:sz w:val="32"/>
          <w:szCs w:val="32"/>
          <w:lang w:val="en-US" w:eastAsia="zh-CN"/>
        </w:rPr>
        <w:t>干部，对《国家安全法》、《反间谍法》、《保密法》、《安全生产法》等法律法规制度进行了系统学习。通过教育培训开展</w:t>
      </w:r>
      <w:r>
        <w:rPr>
          <w:rFonts w:hint="eastAsia" w:ascii="仿宋_GB2312" w:eastAsia="仿宋_GB2312" w:cs="Times New Roman"/>
          <w:sz w:val="32"/>
          <w:szCs w:val="32"/>
          <w:lang w:val="en-US" w:eastAsia="zh-CN"/>
        </w:rPr>
        <w:t>法治</w:t>
      </w:r>
      <w:r>
        <w:rPr>
          <w:rFonts w:hint="eastAsia" w:ascii="仿宋_GB2312" w:hAnsi="Times New Roman" w:eastAsia="仿宋_GB2312" w:cs="Times New Roman"/>
          <w:sz w:val="32"/>
          <w:szCs w:val="32"/>
          <w:lang w:val="en-US" w:eastAsia="zh-CN"/>
        </w:rPr>
        <w:t>学习，切实增强</w:t>
      </w:r>
      <w:r>
        <w:rPr>
          <w:rFonts w:hint="eastAsia" w:ascii="仿宋_GB2312" w:eastAsia="仿宋_GB2312" w:cs="Times New Roman"/>
          <w:sz w:val="32"/>
          <w:szCs w:val="32"/>
          <w:lang w:val="en-US" w:eastAsia="zh-CN"/>
        </w:rPr>
        <w:t>了</w:t>
      </w:r>
      <w:r>
        <w:rPr>
          <w:rFonts w:hint="eastAsia" w:ascii="仿宋_GB2312" w:hAnsi="Times New Roman" w:eastAsia="仿宋_GB2312" w:cs="Times New Roman"/>
          <w:sz w:val="32"/>
          <w:szCs w:val="32"/>
          <w:lang w:val="en-US" w:eastAsia="zh-CN"/>
        </w:rPr>
        <w:t>干部运用法治思维和法治方式处理基层事务的能力</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为政务服务工作奠定了坚实的思想理论基础。</w:t>
      </w:r>
    </w:p>
    <w:p w14:paraId="6F857775">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lang w:val="en-US" w:eastAsia="zh-CN"/>
        </w:rPr>
      </w:pPr>
      <w:r>
        <w:rPr>
          <w:rFonts w:hint="eastAsia" w:ascii="楷体_GB2312" w:hAnsi="楷体_GB2312" w:eastAsia="楷体_GB2312" w:cs="楷体_GB2312"/>
          <w:b/>
          <w:bCs/>
          <w:sz w:val="32"/>
          <w:szCs w:val="32"/>
          <w:lang w:val="en-US" w:eastAsia="zh-CN"/>
        </w:rPr>
        <w:t>（三）强化综合治理，提效能促发展。</w:t>
      </w:r>
      <w:r>
        <w:rPr>
          <w:rFonts w:hint="eastAsia" w:ascii="仿宋_GB2312" w:hAnsi="Times New Roman" w:eastAsia="仿宋_GB2312" w:cs="Times New Roman"/>
          <w:b/>
          <w:bCs/>
          <w:sz w:val="32"/>
          <w:szCs w:val="32"/>
          <w:lang w:val="en-US" w:eastAsia="zh-CN"/>
        </w:rPr>
        <w:t>一是</w:t>
      </w:r>
      <w:r>
        <w:rPr>
          <w:rFonts w:hint="eastAsia" w:ascii="仿宋_GB2312" w:hAnsi="Times New Roman" w:eastAsia="仿宋_GB2312" w:cs="Times New Roman"/>
          <w:sz w:val="32"/>
          <w:szCs w:val="32"/>
          <w:lang w:val="en-US" w:eastAsia="zh-CN"/>
        </w:rPr>
        <w:t>深入开展民主法治示范村（社区）活动，全镇各村（社区）根据自身实际制定“村规民约”，进一步健全完善了村（社区）治理机制，切实做到按照“四议两公开一监督”工作法公开一事一议项目、低保评定、资产等事项，村（社区）事务管理主动接受群众监督，基层民主法治建设得到加强，干部群众意识和法律素质得到明显提高。</w:t>
      </w:r>
      <w:r>
        <w:rPr>
          <w:rFonts w:hint="eastAsia" w:ascii="仿宋_GB2312" w:eastAsia="仿宋_GB2312" w:cs="Times New Roman"/>
          <w:b/>
          <w:bCs/>
          <w:sz w:val="32"/>
          <w:szCs w:val="32"/>
          <w:lang w:val="en-US" w:eastAsia="zh-CN"/>
        </w:rPr>
        <w:t>二是</w:t>
      </w:r>
      <w:r>
        <w:rPr>
          <w:rFonts w:hint="eastAsia" w:ascii="仿宋_GB2312" w:eastAsia="仿宋_GB2312" w:cs="Times New Roman"/>
          <w:b w:val="0"/>
          <w:bCs w:val="0"/>
          <w:sz w:val="32"/>
          <w:szCs w:val="32"/>
          <w:lang w:val="en-US" w:eastAsia="zh-CN"/>
        </w:rPr>
        <w:t>深化政务公开，</w:t>
      </w:r>
      <w:r>
        <w:rPr>
          <w:rFonts w:hint="default" w:ascii="仿宋_GB2312" w:hAnsi="Times New Roman" w:eastAsia="仿宋_GB2312" w:cs="Times New Roman"/>
          <w:sz w:val="32"/>
          <w:szCs w:val="32"/>
          <w:lang w:val="en-US" w:eastAsia="zh-CN"/>
        </w:rPr>
        <w:t>拓展政务公开渠道</w:t>
      </w:r>
      <w:r>
        <w:rPr>
          <w:rFonts w:hint="eastAsia" w:ascii="仿宋_GB2312"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依托</w:t>
      </w:r>
      <w:r>
        <w:rPr>
          <w:rFonts w:hint="default" w:ascii="仿宋_GB2312" w:hAnsi="Times New Roman" w:eastAsia="仿宋_GB2312" w:cs="Times New Roman"/>
          <w:color w:val="auto"/>
          <w:sz w:val="32"/>
          <w:szCs w:val="32"/>
          <w:lang w:val="en-US" w:eastAsia="zh-CN"/>
        </w:rPr>
        <w:t>镇</w:t>
      </w:r>
      <w:r>
        <w:rPr>
          <w:rFonts w:hint="eastAsia" w:ascii="仿宋_GB2312" w:eastAsia="仿宋_GB2312" w:cs="Times New Roman"/>
          <w:color w:val="auto"/>
          <w:sz w:val="32"/>
          <w:szCs w:val="32"/>
          <w:lang w:val="en-US" w:eastAsia="zh-CN"/>
        </w:rPr>
        <w:t>行政审批服务中心</w:t>
      </w:r>
      <w:r>
        <w:rPr>
          <w:rFonts w:hint="default" w:ascii="仿宋_GB2312" w:hAnsi="Times New Roman" w:eastAsia="仿宋_GB2312" w:cs="Times New Roman"/>
          <w:sz w:val="32"/>
          <w:szCs w:val="32"/>
          <w:lang w:val="en-US" w:eastAsia="zh-CN"/>
        </w:rPr>
        <w:t>、微信公众号等多平台及时公开政务信息，主动公开财政预算决算、惠民政策、项目招投标等信息，方便群众获取信息、监督政府工作</w:t>
      </w:r>
      <w:r>
        <w:rPr>
          <w:rFonts w:hint="eastAsia" w:ascii="仿宋_GB2312" w:eastAsia="仿宋_GB2312" w:cs="Times New Roman"/>
          <w:sz w:val="32"/>
          <w:szCs w:val="32"/>
          <w:lang w:val="en-US" w:eastAsia="zh-CN"/>
        </w:rPr>
        <w:t>，同时在</w:t>
      </w:r>
      <w:r>
        <w:rPr>
          <w:rFonts w:hint="default" w:ascii="仿宋_GB2312" w:hAnsi="Times New Roman" w:eastAsia="仿宋_GB2312" w:cs="Times New Roman"/>
          <w:sz w:val="32"/>
          <w:szCs w:val="32"/>
          <w:lang w:val="en-US" w:eastAsia="zh-CN"/>
        </w:rPr>
        <w:t>微信公众号定期推送普法资讯、执法案例解读。规范依申请公开流程</w:t>
      </w:r>
      <w:r>
        <w:rPr>
          <w:rFonts w:hint="eastAsia" w:ascii="仿宋_GB2312" w:eastAsia="仿宋_GB2312" w:cs="Times New Roman"/>
          <w:sz w:val="32"/>
          <w:szCs w:val="32"/>
          <w:lang w:val="en-US" w:eastAsia="zh-CN"/>
        </w:rPr>
        <w:t>。</w:t>
      </w:r>
      <w:r>
        <w:rPr>
          <w:rFonts w:hint="eastAsia" w:ascii="仿宋_GB2312" w:eastAsia="仿宋_GB2312" w:cs="Times New Roman"/>
          <w:b/>
          <w:bCs/>
          <w:sz w:val="32"/>
          <w:szCs w:val="32"/>
          <w:lang w:val="en-US" w:eastAsia="zh-CN"/>
        </w:rPr>
        <w:t>三</w:t>
      </w:r>
      <w:r>
        <w:rPr>
          <w:rFonts w:hint="eastAsia" w:ascii="仿宋_GB2312" w:hAnsi="Times New Roman" w:eastAsia="仿宋_GB2312" w:cs="Times New Roman"/>
          <w:b/>
          <w:bCs/>
          <w:sz w:val="32"/>
          <w:szCs w:val="32"/>
          <w:lang w:val="en-US" w:eastAsia="zh-CN"/>
        </w:rPr>
        <w:t>是</w:t>
      </w:r>
      <w:r>
        <w:rPr>
          <w:rFonts w:hint="eastAsia" w:ascii="仿宋_GB2312" w:eastAsia="仿宋_GB2312" w:cs="Times New Roman"/>
          <w:b w:val="0"/>
          <w:bCs w:val="0"/>
          <w:sz w:val="32"/>
          <w:szCs w:val="32"/>
          <w:lang w:val="en-US" w:eastAsia="zh-CN"/>
        </w:rPr>
        <w:t>建设阳光付店</w:t>
      </w:r>
      <w:r>
        <w:rPr>
          <w:rFonts w:hint="eastAsia" w:ascii="仿宋_GB2312" w:hAnsi="Times New Roman" w:eastAsia="仿宋_GB2312" w:cs="Times New Roman"/>
          <w:b w:val="0"/>
          <w:bCs w:val="0"/>
          <w:sz w:val="32"/>
          <w:szCs w:val="32"/>
          <w:lang w:val="en-US" w:eastAsia="zh-CN"/>
        </w:rPr>
        <w:t>，</w:t>
      </w:r>
      <w:r>
        <w:rPr>
          <w:rFonts w:hint="eastAsia" w:ascii="仿宋_GB2312" w:hAnsi="Times New Roman" w:eastAsia="仿宋_GB2312" w:cs="Times New Roman"/>
          <w:sz w:val="32"/>
          <w:szCs w:val="32"/>
          <w:lang w:val="en-US" w:eastAsia="zh-CN"/>
        </w:rPr>
        <w:t>重点加强对党员违纪、刑事犯罪、社会治安等违纪违法行为的整治，确保全镇无重大刑事案件、重大违纪违法行为等情况发生，同时加大对黄赌毒和邪教等违法行为排查和不良风气的劝导纠正，努力推动全镇群众养成好习惯，形成好风气。</w:t>
      </w:r>
      <w:r>
        <w:rPr>
          <w:rFonts w:hint="eastAsia" w:ascii="仿宋_GB2312" w:eastAsia="仿宋_GB2312" w:cs="Times New Roman"/>
          <w:b/>
          <w:bCs/>
          <w:sz w:val="32"/>
          <w:szCs w:val="32"/>
          <w:lang w:val="en-US" w:eastAsia="zh-CN"/>
        </w:rPr>
        <w:t>四</w:t>
      </w:r>
      <w:r>
        <w:rPr>
          <w:rFonts w:hint="eastAsia" w:ascii="仿宋_GB2312" w:hAnsi="Times New Roman" w:eastAsia="仿宋_GB2312" w:cs="Times New Roman"/>
          <w:b/>
          <w:bCs/>
          <w:sz w:val="32"/>
          <w:szCs w:val="32"/>
          <w:lang w:val="en-US" w:eastAsia="zh-CN"/>
        </w:rPr>
        <w:t>是</w:t>
      </w:r>
      <w:r>
        <w:rPr>
          <w:rFonts w:hint="eastAsia" w:ascii="仿宋_GB2312" w:eastAsia="仿宋_GB2312" w:cs="Times New Roman"/>
          <w:b w:val="0"/>
          <w:bCs w:val="0"/>
          <w:sz w:val="32"/>
          <w:szCs w:val="32"/>
          <w:lang w:val="en-US" w:eastAsia="zh-CN"/>
        </w:rPr>
        <w:t>矛盾基层化解，依托每月的平安信阳指数，深度剖析研判，</w:t>
      </w:r>
      <w:r>
        <w:rPr>
          <w:rFonts w:hint="eastAsia" w:ascii="仿宋_GB2312" w:hAnsi="Times New Roman" w:eastAsia="仿宋_GB2312" w:cs="Times New Roman"/>
          <w:sz w:val="32"/>
          <w:szCs w:val="32"/>
          <w:lang w:val="en-US" w:eastAsia="zh-CN"/>
        </w:rPr>
        <w:t>深入开展预防“民转</w:t>
      </w:r>
      <w:r>
        <w:rPr>
          <w:rFonts w:hint="eastAsia" w:ascii="仿宋_GB2312" w:eastAsia="仿宋_GB2312" w:cs="Times New Roman"/>
          <w:sz w:val="32"/>
          <w:szCs w:val="32"/>
          <w:lang w:val="en-US" w:eastAsia="zh-CN"/>
        </w:rPr>
        <w:t>刑</w:t>
      </w:r>
      <w:r>
        <w:rPr>
          <w:rFonts w:hint="eastAsia" w:ascii="仿宋_GB2312" w:hAnsi="Times New Roman" w:eastAsia="仿宋_GB2312" w:cs="Times New Roman"/>
          <w:sz w:val="32"/>
          <w:szCs w:val="32"/>
          <w:lang w:val="en-US" w:eastAsia="zh-CN"/>
        </w:rPr>
        <w:t>”专项行动和矛盾纠纷排查化解</w:t>
      </w:r>
      <w:r>
        <w:rPr>
          <w:rFonts w:hint="eastAsia" w:ascii="仿宋_GB2312" w:eastAsia="仿宋_GB2312" w:cs="Times New Roman"/>
          <w:sz w:val="32"/>
          <w:szCs w:val="32"/>
          <w:lang w:val="en-US" w:eastAsia="zh-CN"/>
        </w:rPr>
        <w:t>工作</w:t>
      </w:r>
      <w:r>
        <w:rPr>
          <w:rFonts w:hint="eastAsia" w:ascii="仿宋_GB2312" w:hAnsi="Times New Roman" w:eastAsia="仿宋_GB2312" w:cs="Times New Roman"/>
          <w:sz w:val="32"/>
          <w:szCs w:val="32"/>
          <w:lang w:val="en-US" w:eastAsia="zh-CN"/>
        </w:rPr>
        <w:t>。对摸排的矛盾，</w:t>
      </w:r>
      <w:r>
        <w:rPr>
          <w:rFonts w:hint="eastAsia" w:ascii="仿宋_GB2312" w:eastAsia="仿宋_GB2312" w:cs="Times New Roman"/>
          <w:sz w:val="32"/>
          <w:szCs w:val="32"/>
          <w:lang w:val="en-US" w:eastAsia="zh-CN"/>
        </w:rPr>
        <w:t>以三个闭环为重要手段，</w:t>
      </w:r>
      <w:r>
        <w:rPr>
          <w:rFonts w:hint="eastAsia" w:ascii="仿宋_GB2312" w:hAnsi="Times New Roman" w:eastAsia="仿宋_GB2312" w:cs="Times New Roman"/>
          <w:sz w:val="32"/>
          <w:szCs w:val="32"/>
          <w:lang w:val="en-US" w:eastAsia="zh-CN"/>
        </w:rPr>
        <w:t>逐一落实镇班子成员包案制，逐一落实具体责任人，逐一明确办理时限和办理要求，做到一案一策，稳控在当地，实现小事不出村、大事不出镇、矛盾不上交</w:t>
      </w:r>
      <w:r>
        <w:rPr>
          <w:rFonts w:hint="eastAsia" w:ascii="仿宋_GB2312" w:eastAsia="仿宋_GB2312" w:cs="Times New Roman"/>
          <w:sz w:val="32"/>
          <w:szCs w:val="32"/>
          <w:lang w:val="en-US" w:eastAsia="zh-CN"/>
        </w:rPr>
        <w:t>。2024年</w:t>
      </w:r>
      <w:r>
        <w:rPr>
          <w:rFonts w:hint="eastAsia" w:ascii="仿宋_GB2312" w:hAnsi="Times New Roman" w:eastAsia="仿宋_GB2312" w:cs="Times New Roman"/>
          <w:color w:val="auto"/>
          <w:sz w:val="32"/>
          <w:szCs w:val="32"/>
          <w:lang w:val="en-US" w:eastAsia="zh-CN"/>
        </w:rPr>
        <w:t>共排查矛盾纠纷</w:t>
      </w:r>
      <w:r>
        <w:rPr>
          <w:rFonts w:hint="eastAsia" w:ascii="仿宋_GB2312" w:eastAsia="仿宋_GB2312" w:cs="Times New Roman"/>
          <w:color w:val="auto"/>
          <w:sz w:val="32"/>
          <w:szCs w:val="32"/>
          <w:lang w:val="en-US" w:eastAsia="zh-CN"/>
        </w:rPr>
        <w:t>84</w:t>
      </w:r>
      <w:r>
        <w:rPr>
          <w:rFonts w:hint="eastAsia" w:ascii="仿宋_GB2312" w:hAnsi="Times New Roman" w:eastAsia="仿宋_GB2312" w:cs="Times New Roman"/>
          <w:color w:val="auto"/>
          <w:sz w:val="32"/>
          <w:szCs w:val="32"/>
          <w:lang w:val="en-US" w:eastAsia="zh-CN"/>
        </w:rPr>
        <w:t>起，化解</w:t>
      </w:r>
      <w:r>
        <w:rPr>
          <w:rFonts w:hint="eastAsia" w:ascii="仿宋_GB2312"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lang w:val="en-US" w:eastAsia="zh-CN"/>
        </w:rPr>
        <w:t>4起，化解率100%</w:t>
      </w:r>
      <w:r>
        <w:rPr>
          <w:rFonts w:hint="eastAsia" w:ascii="仿宋_GB2312" w:eastAsia="仿宋_GB2312" w:cs="Times New Roman"/>
          <w:color w:val="auto"/>
          <w:sz w:val="32"/>
          <w:szCs w:val="32"/>
          <w:lang w:val="en-US" w:eastAsia="zh-CN"/>
        </w:rPr>
        <w:t>，有效将矛盾化解在基层、消除在萌芽状态，维护了乡镇和谐稳定。</w:t>
      </w:r>
    </w:p>
    <w:p w14:paraId="7E85FF87">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i w:val="0"/>
          <w:caps w:val="0"/>
          <w:color w:val="333333"/>
          <w:spacing w:val="0"/>
          <w:kern w:val="2"/>
          <w:sz w:val="32"/>
          <w:szCs w:val="32"/>
          <w:shd w:val="clear" w:color="auto" w:fill="FFFFFF"/>
          <w:lang w:val="en-US" w:eastAsia="zh-CN" w:bidi="ar-SA"/>
        </w:rPr>
        <w:t>三、202</w:t>
      </w:r>
      <w:r>
        <w:rPr>
          <w:rFonts w:hint="eastAsia" w:ascii="黑体" w:hAnsi="黑体" w:eastAsia="黑体" w:cs="黑体"/>
          <w:b w:val="0"/>
          <w:bCs w:val="0"/>
          <w:sz w:val="32"/>
          <w:szCs w:val="32"/>
          <w:lang w:val="en-US" w:eastAsia="zh-CN"/>
        </w:rPr>
        <w:t>4年推进法治政府建设存在的不足、原因和问题整改情况</w:t>
      </w:r>
    </w:p>
    <w:p w14:paraId="2443E3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我镇</w:t>
      </w:r>
      <w:r>
        <w:rPr>
          <w:rFonts w:hint="eastAsia" w:ascii="仿宋_GB2312" w:hAnsi="仿宋_GB2312" w:eastAsia="仿宋_GB2312" w:cs="仿宋_GB2312"/>
          <w:color w:val="auto"/>
          <w:sz w:val="32"/>
          <w:szCs w:val="32"/>
        </w:rPr>
        <w:t>法治政府建设工作</w:t>
      </w:r>
      <w:r>
        <w:rPr>
          <w:rFonts w:hint="eastAsia" w:ascii="仿宋_GB2312" w:hAnsi="仿宋_GB2312" w:eastAsia="仿宋_GB2312" w:cs="仿宋_GB2312"/>
          <w:color w:val="auto"/>
          <w:sz w:val="32"/>
          <w:szCs w:val="32"/>
          <w:lang w:eastAsia="zh-CN"/>
        </w:rPr>
        <w:t>在县委、县政府的正确领导下，在县级有关部门的大力支持下，虽然取得了一定成效，</w:t>
      </w:r>
      <w:r>
        <w:rPr>
          <w:rFonts w:hint="eastAsia" w:ascii="仿宋_GB2312" w:hAnsi="仿宋_GB2312" w:eastAsia="仿宋_GB2312" w:cs="仿宋_GB2312"/>
          <w:color w:val="auto"/>
          <w:sz w:val="32"/>
          <w:szCs w:val="32"/>
        </w:rPr>
        <w:t>但与建设法治政府的目标和上级的要求相比还有不足</w:t>
      </w:r>
      <w:r>
        <w:rPr>
          <w:rFonts w:hint="eastAsia" w:ascii="仿宋_GB2312" w:hAnsi="仿宋_GB2312" w:eastAsia="仿宋_GB2312" w:cs="仿宋_GB2312"/>
          <w:color w:val="auto"/>
          <w:sz w:val="32"/>
          <w:szCs w:val="32"/>
          <w:lang w:eastAsia="zh-CN"/>
        </w:rPr>
        <w:t>。</w:t>
      </w:r>
    </w:p>
    <w:p w14:paraId="0870A466">
      <w:pPr>
        <w:pStyle w:val="2"/>
        <w:keepNext w:val="0"/>
        <w:keepLines w:val="0"/>
        <w:pageBreakBefore w:val="0"/>
        <w:kinsoku/>
        <w:wordWrap/>
        <w:overflowPunct/>
        <w:topLinePunct w:val="0"/>
        <w:autoSpaceDE/>
        <w:autoSpaceDN/>
        <w:bidi w:val="0"/>
        <w:spacing w:line="560" w:lineRule="exact"/>
        <w:textAlignment w:val="auto"/>
        <w:rPr>
          <w:rFonts w:hint="default" w:ascii="仿宋_GB2312" w:eastAsia="仿宋_GB2312" w:cs="Times New Roman"/>
          <w:sz w:val="32"/>
          <w:szCs w:val="32"/>
          <w:lang w:val="en-US" w:eastAsia="zh-CN"/>
        </w:rPr>
      </w:pPr>
      <w:r>
        <w:rPr>
          <w:rFonts w:hint="default" w:ascii="仿宋_GB2312" w:eastAsia="仿宋_GB2312" w:cs="Times New Roman"/>
          <w:b/>
          <w:bCs/>
          <w:color w:val="auto"/>
          <w:sz w:val="32"/>
          <w:szCs w:val="32"/>
          <w:lang w:val="en-US" w:eastAsia="zh-CN"/>
        </w:rPr>
        <w:t>一是</w:t>
      </w:r>
      <w:r>
        <w:rPr>
          <w:rFonts w:hint="default" w:ascii="仿宋_GB2312" w:eastAsia="仿宋_GB2312" w:cs="Times New Roman"/>
          <w:color w:val="auto"/>
          <w:sz w:val="32"/>
          <w:szCs w:val="32"/>
          <w:lang w:val="en-US" w:eastAsia="zh-CN"/>
        </w:rPr>
        <w:t>部分执法人员法律素养参差不齐，对新出台法律法规掌握不及时，影响执法精准度；</w:t>
      </w:r>
      <w:r>
        <w:rPr>
          <w:rFonts w:hint="default" w:ascii="仿宋_GB2312" w:eastAsia="仿宋_GB2312" w:cs="Times New Roman"/>
          <w:b/>
          <w:bCs/>
          <w:color w:val="auto"/>
          <w:sz w:val="32"/>
          <w:szCs w:val="32"/>
          <w:lang w:val="en-US" w:eastAsia="zh-CN"/>
        </w:rPr>
        <w:t>二是</w:t>
      </w:r>
      <w:r>
        <w:rPr>
          <w:rFonts w:hint="default" w:ascii="仿宋_GB2312" w:eastAsia="仿宋_GB2312" w:cs="Times New Roman"/>
          <w:color w:val="auto"/>
          <w:sz w:val="32"/>
          <w:szCs w:val="32"/>
          <w:lang w:val="en-US" w:eastAsia="zh-CN"/>
        </w:rPr>
        <w:t>法治宣传创新力度不足，宣传形式同质化严重，难以吸引群众深度参与；</w:t>
      </w:r>
      <w:r>
        <w:rPr>
          <w:rFonts w:hint="default" w:ascii="仿宋_GB2312" w:eastAsia="仿宋_GB2312" w:cs="Times New Roman"/>
          <w:b/>
          <w:bCs/>
          <w:color w:val="auto"/>
          <w:sz w:val="32"/>
          <w:szCs w:val="32"/>
          <w:lang w:val="en-US" w:eastAsia="zh-CN"/>
        </w:rPr>
        <w:t>三是</w:t>
      </w:r>
      <w:r>
        <w:rPr>
          <w:rFonts w:hint="default" w:ascii="仿宋_GB2312" w:eastAsia="仿宋_GB2312" w:cs="Times New Roman"/>
          <w:color w:val="auto"/>
          <w:sz w:val="32"/>
          <w:szCs w:val="32"/>
          <w:lang w:val="en-US" w:eastAsia="zh-CN"/>
        </w:rPr>
        <w:t>部门间法治建设协同联动不够紧密，在处理复杂问题时存在推诿现象。究其原因，在于培训体系不够完善、对宣传创新投入精力有限、协同机制缺乏刚性约束。</w:t>
      </w:r>
      <w:r>
        <w:rPr>
          <w:rFonts w:hint="eastAsia" w:ascii="仿宋_GB2312" w:eastAsia="仿宋_GB2312" w:cs="Times New Roman"/>
          <w:sz w:val="32"/>
          <w:szCs w:val="32"/>
          <w:lang w:val="en-US" w:eastAsia="zh-CN"/>
        </w:rPr>
        <w:t>针对出现的问题，镇主要领导组织专题会议，进行深度研判，现将具体</w:t>
      </w:r>
      <w:r>
        <w:rPr>
          <w:rFonts w:hint="default" w:ascii="仿宋_GB2312" w:eastAsia="仿宋_GB2312" w:cs="Times New Roman"/>
          <w:sz w:val="32"/>
          <w:szCs w:val="32"/>
          <w:lang w:val="en-US" w:eastAsia="zh-CN"/>
        </w:rPr>
        <w:t>整改情况</w:t>
      </w:r>
      <w:r>
        <w:rPr>
          <w:rFonts w:hint="eastAsia" w:ascii="仿宋_GB2312" w:eastAsia="仿宋_GB2312" w:cs="Times New Roman"/>
          <w:sz w:val="32"/>
          <w:szCs w:val="32"/>
          <w:lang w:val="en-US" w:eastAsia="zh-CN"/>
        </w:rPr>
        <w:t>汇报如下：</w:t>
      </w:r>
      <w:r>
        <w:rPr>
          <w:rFonts w:hint="default" w:ascii="仿宋_GB2312" w:eastAsia="仿宋_GB2312" w:cs="Times New Roman"/>
          <w:sz w:val="32"/>
          <w:szCs w:val="32"/>
          <w:lang w:val="en-US" w:eastAsia="zh-CN"/>
        </w:rPr>
        <w:t>针对执法人员问题，制定个性化培训计划，开展</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每月一法</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学习活动，邀请业务骨干、法律学者授课，组织线上线下法律知识测试，以考促学，提升执法人员专业水平；在宣传创新上，引入短视频制作、法治文艺演出等形式</w:t>
      </w:r>
      <w:r>
        <w:rPr>
          <w:rFonts w:hint="eastAsia" w:ascii="仿宋_GB2312" w:eastAsia="仿宋_GB2312" w:cs="Times New Roman"/>
          <w:sz w:val="32"/>
          <w:szCs w:val="32"/>
          <w:lang w:val="en-US" w:eastAsia="zh-CN"/>
        </w:rPr>
        <w:t>，以乡村大舞台等</w:t>
      </w:r>
      <w:r>
        <w:rPr>
          <w:rFonts w:hint="default" w:ascii="仿宋_GB2312" w:eastAsia="仿宋_GB2312" w:cs="Times New Roman"/>
          <w:sz w:val="32"/>
          <w:szCs w:val="32"/>
          <w:lang w:val="en-US" w:eastAsia="zh-CN"/>
        </w:rPr>
        <w:t>文艺演出</w:t>
      </w:r>
      <w:r>
        <w:rPr>
          <w:rFonts w:hint="eastAsia" w:ascii="仿宋_GB2312" w:eastAsia="仿宋_GB2312" w:cs="Times New Roman"/>
          <w:sz w:val="32"/>
          <w:szCs w:val="32"/>
          <w:lang w:val="en-US" w:eastAsia="zh-CN"/>
        </w:rPr>
        <w:t>为载体</w:t>
      </w:r>
      <w:r>
        <w:rPr>
          <w:rFonts w:hint="default" w:ascii="仿宋_GB2312" w:eastAsia="仿宋_GB2312" w:cs="Times New Roman"/>
          <w:sz w:val="32"/>
          <w:szCs w:val="32"/>
          <w:lang w:val="en-US" w:eastAsia="zh-CN"/>
        </w:rPr>
        <w:t>，激发群众学法热情；强化协同联动，建立法治建设联席会议制度，</w:t>
      </w:r>
      <w:r>
        <w:rPr>
          <w:rFonts w:hint="eastAsia" w:ascii="仿宋_GB2312" w:eastAsia="仿宋_GB2312" w:cs="Times New Roman"/>
          <w:sz w:val="32"/>
          <w:szCs w:val="32"/>
          <w:lang w:val="en-US" w:eastAsia="zh-CN"/>
        </w:rPr>
        <w:t>定期</w:t>
      </w:r>
      <w:r>
        <w:rPr>
          <w:rFonts w:hint="default" w:ascii="仿宋_GB2312" w:eastAsia="仿宋_GB2312" w:cs="Times New Roman"/>
          <w:sz w:val="32"/>
          <w:szCs w:val="32"/>
          <w:lang w:val="en-US" w:eastAsia="zh-CN"/>
        </w:rPr>
        <w:t>召开会议，明确部门职责分工，形成工作合力。</w:t>
      </w:r>
    </w:p>
    <w:p w14:paraId="69C26276">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四、2025年推进法治政府建设的初步安排</w:t>
      </w:r>
    </w:p>
    <w:p w14:paraId="102C8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今后工作中，我镇将进一步提高认识，增强法治政府建设工作的责任感和紧迫感，努力提高政府依法行政工作水平，推进现代法治型政府、服务型政府建设。</w:t>
      </w:r>
    </w:p>
    <w:p w14:paraId="4625CA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楷体_GB2312" w:hAnsi="楷体_GB2312" w:eastAsia="楷体_GB2312" w:cs="楷体_GB2312"/>
          <w:b/>
          <w:bCs/>
          <w:kern w:val="2"/>
          <w:sz w:val="32"/>
          <w:szCs w:val="32"/>
          <w:lang w:val="en-US" w:eastAsia="zh-CN" w:bidi="ar-SA"/>
        </w:rPr>
        <w:t>（一）深化法治思维，加强制度完善。</w:t>
      </w:r>
      <w:r>
        <w:rPr>
          <w:rFonts w:hint="eastAsia" w:ascii="仿宋_GB2312" w:hAnsi="仿宋_GB2312" w:eastAsia="仿宋_GB2312" w:cs="仿宋_GB2312"/>
          <w:b/>
          <w:bCs/>
          <w:kern w:val="2"/>
          <w:sz w:val="32"/>
          <w:szCs w:val="32"/>
          <w:lang w:val="en-US" w:eastAsia="zh-CN" w:bidi="ar-SA"/>
        </w:rPr>
        <w:t>一是</w:t>
      </w:r>
      <w:r>
        <w:rPr>
          <w:rFonts w:hint="default" w:ascii="仿宋_GB2312" w:hAnsi="仿宋_GB2312" w:eastAsia="仿宋_GB2312" w:cs="仿宋_GB2312"/>
          <w:b w:val="0"/>
          <w:bCs w:val="0"/>
          <w:kern w:val="2"/>
          <w:sz w:val="32"/>
          <w:szCs w:val="32"/>
          <w:lang w:val="en-US" w:eastAsia="zh-CN" w:bidi="ar-SA"/>
        </w:rPr>
        <w:t>持续加强领导干部法治培训，定期开展法治专题研学，</w:t>
      </w:r>
      <w:r>
        <w:rPr>
          <w:rFonts w:hint="eastAsia" w:ascii="仿宋_GB2312" w:hAnsi="仿宋_GB2312" w:eastAsia="仿宋_GB2312" w:cs="仿宋_GB2312"/>
          <w:b w:val="0"/>
          <w:bCs w:val="0"/>
          <w:kern w:val="2"/>
          <w:sz w:val="32"/>
          <w:szCs w:val="32"/>
          <w:lang w:val="en-US" w:eastAsia="zh-CN" w:bidi="ar-SA"/>
        </w:rPr>
        <w:t>进一步提高</w:t>
      </w:r>
      <w:r>
        <w:rPr>
          <w:rFonts w:hint="eastAsia" w:ascii="仿宋_GB2312" w:hAnsi="仿宋_GB2312" w:eastAsia="仿宋_GB2312" w:cs="仿宋_GB2312"/>
          <w:b w:val="0"/>
          <w:bCs w:val="0"/>
          <w:sz w:val="32"/>
          <w:szCs w:val="32"/>
          <w:lang w:val="en-US" w:eastAsia="zh-CN"/>
        </w:rPr>
        <w:t>依法决策、依法行政执政能力，牢固树立法律权威至上、法律大于权力、权力服从法律的观念；在发展经济社会事务、协调处理矛盾纠纷时，善于运用法律手段解决问题，树立法治政府的良好形象，推进全社会的依法行政</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抓住群众的普法教育不放松，继续夯实群众法治基础。加大对法制宣传经费投入，积极改善法制宣传必备的通讯、交通工具，利用灵活多样的宣传形式，大力宣传法律知识、依法行政，让群众知法、学法，增强他们利用法律武器保护自己合法权益的意识，从侧面推进法治政府建设。</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加强地方政府行政规范性文件备案审查和清理工作，全面推行行政规范性文件合法性审核机制。严格执行重大行政决策法定程序，加强对重大</w:t>
      </w:r>
      <w:r>
        <w:rPr>
          <w:rFonts w:hint="default" w:ascii="仿宋_GB2312" w:hAnsi="仿宋_GB2312" w:eastAsia="仿宋_GB2312" w:cs="仿宋_GB2312"/>
          <w:b w:val="0"/>
          <w:bCs w:val="0"/>
          <w:kern w:val="2"/>
          <w:sz w:val="32"/>
          <w:szCs w:val="32"/>
          <w:lang w:val="en-US" w:eastAsia="zh-CN" w:bidi="ar-SA"/>
        </w:rPr>
        <w:t>行政决策合法性审查机制，细化审查标准与流程，确保决策科学合法</w:t>
      </w:r>
      <w:r>
        <w:rPr>
          <w:rFonts w:hint="eastAsia" w:ascii="仿宋_GB2312" w:hAnsi="仿宋_GB2312" w:eastAsia="仿宋_GB2312" w:cs="仿宋_GB2312"/>
          <w:b w:val="0"/>
          <w:bCs w:val="0"/>
          <w:kern w:val="2"/>
          <w:sz w:val="32"/>
          <w:szCs w:val="32"/>
          <w:lang w:val="en-US" w:eastAsia="zh-CN" w:bidi="ar-SA"/>
        </w:rPr>
        <w:t>。</w:t>
      </w:r>
    </w:p>
    <w:p w14:paraId="5C854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（二）加强政务公开，树立良好形象。</w:t>
      </w:r>
      <w:r>
        <w:rPr>
          <w:rFonts w:hint="eastAsia" w:ascii="仿宋_GB2312" w:hAnsi="仿宋_GB2312" w:eastAsia="仿宋_GB2312" w:cs="仿宋_GB2312"/>
          <w:b w:val="0"/>
          <w:bCs w:val="0"/>
          <w:sz w:val="32"/>
          <w:szCs w:val="32"/>
          <w:lang w:val="en-US" w:eastAsia="zh-CN"/>
        </w:rPr>
        <w:t>建设法治政府的最终目的是执政为民，为更有效取得群众的支持理解，持续进一步加强政务公开，增强行政执法的透明度。向群众公开各行政行为的法律政策依据、具体的办事程序，利用各种渠道公示依法应当公示的材料，提高政务透明度，自觉接受社会和群众的监督。</w:t>
      </w:r>
    </w:p>
    <w:p w14:paraId="26CE86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（三）加强方法创新，推动法制建设。</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要找准切入点，打好法治工作基础。全面推进依法行政，需要领导的高度重视和建设一支政治强、作风硬、业务精的政府法治工作队伍。探索建立以纪委、人大为主的监督管理机制，负责对依法行政工作的监督和对违法案件的处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要寻找落脚点，解决依法行政难点问题。严格执行依法行政工作考核制度，规范行政执法行为。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要寻找根本点，发挥参谋、助手、监督等作用。加强政府决策调研，探索思考政府职能转变及体制改革等前沿问题，拓宽依法行政的思路，探索解决政府及部门工作中的行政执法问题，发挥助手作用，为政府工作分忧。</w:t>
      </w:r>
    </w:p>
    <w:p w14:paraId="5CF177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ascii="楷体_GB2312" w:hAnsi="楷体_GB2312" w:eastAsia="楷体_GB2312" w:cs="楷体_GB2312"/>
          <w:b/>
          <w:bCs/>
          <w:sz w:val="32"/>
          <w:szCs w:val="32"/>
          <w:lang w:val="en-US" w:eastAsia="zh-CN"/>
        </w:rPr>
        <w:t>（四）加强执法责任，强化行政执法监督。</w:t>
      </w:r>
      <w:r>
        <w:rPr>
          <w:rFonts w:hint="eastAsia" w:ascii="仿宋_GB2312" w:hAnsi="仿宋_GB2312" w:eastAsia="仿宋_GB2312" w:cs="仿宋_GB2312"/>
          <w:b w:val="0"/>
          <w:bCs w:val="0"/>
          <w:sz w:val="32"/>
          <w:szCs w:val="32"/>
          <w:lang w:val="en-US" w:eastAsia="zh-CN"/>
        </w:rPr>
        <w:t>法治政府建设工作中，通过深化行政审批制度改革，完善政务服务系统，健全依法决策机制，加强规范性文件监管，加强行政执法监督检查，改进行政执法方式方法，完善政府内部监督，强化重点领域监督，从而强化对行政权力的制约和监督，全面推进政务公开，推进政府的廉洁廉政建设。同时加强统筹推进本地区法治政府建设情况的考核评价和督促检查，对工作不力、问题较多的部门或者下级村（社区），应当及时约谈、责令整改、通报批评。</w:t>
      </w:r>
    </w:p>
    <w:p w14:paraId="4DB54A6A">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五、其他需要报告的情况。</w:t>
      </w:r>
    </w:p>
    <w:p w14:paraId="13D894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本年度积极配合上级部门开展法治调研、示范创建等工作，但也面临着基层法治建设资金紧张、法治专业人才引进难等挑战，后续将积极争取政策支持，破解发展瓶颈，稳步迈向更高水平法治政府建设目标。</w:t>
      </w:r>
    </w:p>
    <w:p w14:paraId="1148029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治政府建设工作关系到社会的和谐安定，百姓的安居乐业。今后工作中，付店镇将凝聚共识，齐心全力，持续提升决策的科学化和民主化水平，严格规范信息公开流程，加强制度建设，完善行政执法程序，加强执法人员的业务水平，提高依法行政的能力，不断推进镇域治理体系和治理能力现代化，努力推动工作迈上新的台阶。</w:t>
      </w:r>
    </w:p>
    <w:p w14:paraId="41DAAEA5"/>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858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4B3A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14B3AD">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D8C63">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9D8C63">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21011"/>
    <w:rsid w:val="6F52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Times New Roman"/>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2025-03-12T00:22:00Z</dcterms:created>
  <dc:creator>银华</dc:creator>
  <cp:lastModifiedBy>银华</cp:lastModifiedBy>
  <dcterms:modified xsi:type="dcterms:W3CDTF">2025-03-12T00:27:23Z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29CD4518391144A7A0F1B736736C59CA_11</vt:lpwstr>
  </property>
  <property fmtid="{D5CDD505-2E9C-101B-9397-08002B2CF9AE}" pid="4" name="KSOTemplateDocerSaveRecord">
    <vt:lpwstr>eyJoZGlkIjoiNzAwNWVlOWNmNWEzMmI0ZWMxMTIzNTQzMjk4NTUzMjEiLCJ1c2VySWQiOiI2NTU0NTYyMTUifQ==</vt:lpwstr>
  </property>
</Properties>
</file>