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D58D9">
      <w:pPr>
        <w:spacing w:line="160" w:lineRule="atLeast"/>
        <w:jc w:val="center"/>
        <w:rPr>
          <w:rFonts w:hint="eastAsia" w:ascii="方正小标宋简体" w:hAnsi="黑体" w:eastAsia="方正小标宋简体" w:cs="黑体"/>
          <w:bCs/>
          <w:sz w:val="84"/>
          <w:szCs w:val="84"/>
          <w:highlight w:val="yellow"/>
          <w:lang w:eastAsia="zh-CN"/>
        </w:rPr>
      </w:pPr>
      <w:bookmarkStart w:id="0" w:name="_GoBack"/>
      <w:bookmarkEnd w:id="0"/>
    </w:p>
    <w:p w14:paraId="142B3B16">
      <w:pPr>
        <w:spacing w:line="160" w:lineRule="atLeast"/>
        <w:jc w:val="center"/>
        <w:rPr>
          <w:rFonts w:hint="eastAsia" w:ascii="方正小标宋简体" w:hAnsi="黑体" w:eastAsia="方正小标宋简体" w:cs="黑体"/>
          <w:bCs/>
          <w:sz w:val="84"/>
          <w:szCs w:val="84"/>
          <w:highlight w:val="yellow"/>
          <w:lang w:eastAsia="zh-CN"/>
        </w:rPr>
      </w:pPr>
    </w:p>
    <w:p w14:paraId="0D9A5913">
      <w:pPr>
        <w:spacing w:line="160" w:lineRule="atLeast"/>
        <w:jc w:val="center"/>
        <w:rPr>
          <w:rFonts w:hint="eastAsia" w:ascii="方正小标宋简体" w:hAnsi="黑体" w:eastAsia="方正小标宋简体" w:cs="黑体"/>
          <w:bCs/>
          <w:sz w:val="84"/>
          <w:szCs w:val="84"/>
          <w:highlight w:val="none"/>
          <w:lang w:val="en-US" w:eastAsia="zh-CN"/>
        </w:rPr>
      </w:pPr>
      <w:r>
        <w:rPr>
          <w:rFonts w:hint="eastAsia" w:ascii="方正小标宋简体" w:hAnsi="黑体" w:eastAsia="方正小标宋简体" w:cs="黑体"/>
          <w:bCs/>
          <w:sz w:val="84"/>
          <w:szCs w:val="84"/>
          <w:highlight w:val="none"/>
          <w:lang w:eastAsia="zh-CN"/>
        </w:rPr>
        <w:t>安阳市殷都区</w:t>
      </w:r>
      <w:r>
        <w:rPr>
          <w:rFonts w:hint="eastAsia" w:ascii="方正小标宋简体" w:hAnsi="黑体" w:eastAsia="方正小标宋简体" w:cs="黑体"/>
          <w:bCs/>
          <w:sz w:val="84"/>
          <w:szCs w:val="84"/>
          <w:highlight w:val="none"/>
          <w:lang w:val="en-US" w:eastAsia="zh-CN"/>
        </w:rPr>
        <w:t>政府预算</w:t>
      </w:r>
    </w:p>
    <w:p w14:paraId="1E686D9A">
      <w:pPr>
        <w:spacing w:line="160" w:lineRule="atLeast"/>
        <w:jc w:val="center"/>
        <w:rPr>
          <w:rFonts w:hint="eastAsia" w:ascii="方正小标宋简体" w:hAnsi="黑体" w:eastAsia="方正小标宋简体" w:cs="黑体"/>
          <w:bCs/>
          <w:sz w:val="52"/>
          <w:szCs w:val="52"/>
          <w:highlight w:val="none"/>
          <w:lang w:val="en-US" w:eastAsia="zh-CN"/>
        </w:rPr>
      </w:pPr>
      <w:r>
        <w:rPr>
          <w:rFonts w:hint="eastAsia" w:ascii="方正小标宋简体" w:hAnsi="黑体" w:eastAsia="方正小标宋简体" w:cs="黑体"/>
          <w:bCs/>
          <w:sz w:val="52"/>
          <w:szCs w:val="52"/>
          <w:highlight w:val="none"/>
          <w:lang w:val="en-US" w:eastAsia="zh-CN"/>
        </w:rPr>
        <w:t>（2025年度）</w:t>
      </w:r>
    </w:p>
    <w:p w14:paraId="36F36211">
      <w:pPr>
        <w:pStyle w:val="12"/>
        <w:rPr>
          <w:rFonts w:hint="eastAsia" w:ascii="方正小标宋简体" w:hAnsi="黑体" w:eastAsia="方正小标宋简体" w:cs="黑体"/>
          <w:bCs/>
          <w:sz w:val="52"/>
          <w:szCs w:val="52"/>
          <w:highlight w:val="none"/>
          <w:lang w:val="en-US" w:eastAsia="zh-CN"/>
        </w:rPr>
      </w:pPr>
    </w:p>
    <w:p w14:paraId="2B87393C">
      <w:pPr>
        <w:rPr>
          <w:rFonts w:hint="eastAsia" w:ascii="方正小标宋简体" w:hAnsi="黑体" w:eastAsia="方正小标宋简体" w:cs="黑体"/>
          <w:bCs/>
          <w:sz w:val="52"/>
          <w:szCs w:val="52"/>
          <w:highlight w:val="none"/>
          <w:lang w:val="en-US" w:eastAsia="zh-CN"/>
        </w:rPr>
      </w:pPr>
    </w:p>
    <w:p w14:paraId="68A1319E">
      <w:pPr>
        <w:pStyle w:val="12"/>
        <w:rPr>
          <w:rFonts w:hint="eastAsia" w:ascii="方正小标宋简体" w:hAnsi="黑体" w:eastAsia="方正小标宋简体" w:cs="黑体"/>
          <w:bCs/>
          <w:sz w:val="52"/>
          <w:szCs w:val="52"/>
          <w:highlight w:val="none"/>
          <w:lang w:val="en-US" w:eastAsia="zh-CN"/>
        </w:rPr>
      </w:pPr>
    </w:p>
    <w:p w14:paraId="1941B904">
      <w:pPr>
        <w:rPr>
          <w:rFonts w:hint="eastAsia" w:ascii="方正小标宋简体" w:hAnsi="黑体" w:eastAsia="方正小标宋简体" w:cs="黑体"/>
          <w:bCs/>
          <w:sz w:val="52"/>
          <w:szCs w:val="52"/>
          <w:highlight w:val="none"/>
          <w:lang w:val="en-US" w:eastAsia="zh-CN"/>
        </w:rPr>
      </w:pPr>
    </w:p>
    <w:p w14:paraId="6AF768D0">
      <w:pPr>
        <w:pStyle w:val="12"/>
        <w:rPr>
          <w:rFonts w:hint="eastAsia" w:ascii="方正小标宋简体" w:hAnsi="黑体" w:eastAsia="方正小标宋简体" w:cs="黑体"/>
          <w:bCs/>
          <w:sz w:val="52"/>
          <w:szCs w:val="52"/>
          <w:highlight w:val="none"/>
          <w:lang w:val="en-US" w:eastAsia="zh-CN"/>
        </w:rPr>
      </w:pPr>
    </w:p>
    <w:p w14:paraId="2347301E">
      <w:pPr>
        <w:spacing w:line="160" w:lineRule="atLeast"/>
        <w:jc w:val="center"/>
        <w:rPr>
          <w:rFonts w:hint="eastAsia" w:ascii="方正小标宋简体" w:hAnsi="黑体" w:eastAsia="方正小标宋简体" w:cs="黑体"/>
          <w:bCs/>
          <w:sz w:val="44"/>
          <w:szCs w:val="44"/>
          <w:highlight w:val="none"/>
        </w:rPr>
      </w:pPr>
    </w:p>
    <w:p w14:paraId="0E12DD6C">
      <w:pPr>
        <w:spacing w:line="160" w:lineRule="atLeast"/>
        <w:jc w:val="center"/>
        <w:rPr>
          <w:rFonts w:hint="eastAsia" w:ascii="方正小标宋简体" w:hAnsi="黑体" w:eastAsia="方正小标宋简体" w:cs="黑体"/>
          <w:bCs/>
          <w:sz w:val="44"/>
          <w:szCs w:val="44"/>
          <w:highlight w:val="none"/>
        </w:rPr>
      </w:pPr>
    </w:p>
    <w:p w14:paraId="18DA5DD9">
      <w:pPr>
        <w:spacing w:line="160" w:lineRule="atLeast"/>
        <w:jc w:val="center"/>
        <w:rPr>
          <w:rFonts w:hint="eastAsia" w:ascii="方正小标宋简体" w:hAnsi="黑体" w:eastAsia="方正小标宋简体" w:cs="黑体"/>
          <w:bCs/>
          <w:sz w:val="44"/>
          <w:szCs w:val="44"/>
          <w:highlight w:val="none"/>
        </w:rPr>
      </w:pPr>
      <w:r>
        <w:rPr>
          <w:rFonts w:hint="eastAsia" w:ascii="方正小标宋简体" w:hAnsi="黑体" w:eastAsia="方正小标宋简体" w:cs="黑体"/>
          <w:bCs/>
          <w:sz w:val="44"/>
          <w:szCs w:val="44"/>
          <w:highlight w:val="none"/>
        </w:rPr>
        <w:t>关于安阳市</w:t>
      </w:r>
      <w:r>
        <w:rPr>
          <w:rFonts w:hint="eastAsia" w:ascii="方正小标宋简体" w:hAnsi="黑体" w:eastAsia="方正小标宋简体" w:cs="黑体"/>
          <w:bCs/>
          <w:sz w:val="44"/>
          <w:szCs w:val="44"/>
          <w:highlight w:val="none"/>
          <w:lang w:eastAsia="zh-CN"/>
        </w:rPr>
        <w:t>殷都</w:t>
      </w:r>
      <w:r>
        <w:rPr>
          <w:rFonts w:hint="eastAsia" w:ascii="方正小标宋简体" w:hAnsi="黑体" w:eastAsia="方正小标宋简体" w:cs="黑体"/>
          <w:bCs/>
          <w:sz w:val="44"/>
          <w:szCs w:val="44"/>
          <w:highlight w:val="none"/>
        </w:rPr>
        <w:t>区</w:t>
      </w:r>
      <w:r>
        <w:rPr>
          <w:rFonts w:hint="eastAsia" w:ascii="方正小标宋简体" w:hAnsi="黑体" w:eastAsia="方正小标宋简体" w:cs="黑体"/>
          <w:bCs/>
          <w:sz w:val="44"/>
          <w:szCs w:val="44"/>
          <w:highlight w:val="none"/>
          <w:lang w:eastAsia="zh-CN"/>
        </w:rPr>
        <w:t>2025</w:t>
      </w:r>
      <w:r>
        <w:rPr>
          <w:rFonts w:hint="eastAsia" w:ascii="方正小标宋简体" w:hAnsi="黑体" w:eastAsia="方正小标宋简体" w:cs="黑体"/>
          <w:bCs/>
          <w:sz w:val="44"/>
          <w:szCs w:val="44"/>
          <w:highlight w:val="none"/>
        </w:rPr>
        <w:t>年预算安排情况的</w:t>
      </w:r>
    </w:p>
    <w:p w14:paraId="71831860">
      <w:pPr>
        <w:spacing w:line="160" w:lineRule="atLeast"/>
        <w:jc w:val="center"/>
        <w:rPr>
          <w:rFonts w:ascii="方正小标宋简体" w:hAnsi="黑体" w:eastAsia="方正小标宋简体" w:cs="黑体"/>
          <w:bCs/>
          <w:sz w:val="44"/>
          <w:szCs w:val="44"/>
          <w:highlight w:val="none"/>
        </w:rPr>
      </w:pPr>
      <w:r>
        <w:rPr>
          <w:rFonts w:hint="eastAsia" w:ascii="方正小标宋简体" w:hAnsi="黑体" w:eastAsia="方正小标宋简体" w:cs="黑体"/>
          <w:bCs/>
          <w:sz w:val="44"/>
          <w:szCs w:val="44"/>
          <w:highlight w:val="none"/>
        </w:rPr>
        <w:t>说</w:t>
      </w:r>
      <w:r>
        <w:rPr>
          <w:rFonts w:ascii="方正小标宋简体" w:hAnsi="黑体" w:eastAsia="方正小标宋简体" w:cs="黑体"/>
          <w:bCs/>
          <w:sz w:val="44"/>
          <w:szCs w:val="44"/>
          <w:highlight w:val="none"/>
        </w:rPr>
        <w:t xml:space="preserve">      </w:t>
      </w:r>
      <w:r>
        <w:rPr>
          <w:rFonts w:hint="eastAsia" w:ascii="方正小标宋简体" w:hAnsi="黑体" w:eastAsia="方正小标宋简体" w:cs="黑体"/>
          <w:bCs/>
          <w:sz w:val="44"/>
          <w:szCs w:val="44"/>
          <w:highlight w:val="none"/>
        </w:rPr>
        <w:t>明</w:t>
      </w:r>
    </w:p>
    <w:p w14:paraId="39D3E0A1">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highlight w:val="none"/>
        </w:rPr>
      </w:pPr>
    </w:p>
    <w:p w14:paraId="0F30B086">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highlight w:val="none"/>
        </w:rPr>
      </w:pPr>
      <w:r>
        <w:rPr>
          <w:rFonts w:hint="eastAsia" w:ascii="黑体" w:hAnsi="Times New Roman" w:eastAsia="黑体" w:cs="黑体"/>
          <w:sz w:val="56"/>
          <w:szCs w:val="56"/>
          <w:highlight w:val="none"/>
        </w:rPr>
        <w:t>目</w:t>
      </w:r>
      <w:r>
        <w:rPr>
          <w:rFonts w:ascii="黑体" w:hAnsi="Times New Roman" w:eastAsia="黑体" w:cs="黑体"/>
          <w:spacing w:val="2"/>
          <w:sz w:val="56"/>
          <w:szCs w:val="56"/>
          <w:highlight w:val="none"/>
        </w:rPr>
        <w:t xml:space="preserve"> </w:t>
      </w:r>
      <w:r>
        <w:rPr>
          <w:rFonts w:hint="eastAsia" w:ascii="黑体" w:hAnsi="Times New Roman" w:eastAsia="黑体" w:cs="黑体"/>
          <w:sz w:val="56"/>
          <w:szCs w:val="56"/>
          <w:highlight w:val="none"/>
        </w:rPr>
        <w:t>录</w:t>
      </w:r>
    </w:p>
    <w:p w14:paraId="1CEBCA7D">
      <w:pPr>
        <w:kinsoku w:val="0"/>
        <w:overflowPunct w:val="0"/>
        <w:adjustRightInd w:val="0"/>
        <w:snapToGrid w:val="0"/>
        <w:spacing w:line="360" w:lineRule="auto"/>
        <w:ind w:right="3569" w:firstLine="640" w:firstLineChars="200"/>
        <w:rPr>
          <w:rFonts w:ascii="黑体" w:hAnsi="Times New Roman" w:eastAsia="黑体" w:cs="黑体"/>
          <w:w w:val="99"/>
          <w:sz w:val="32"/>
          <w:szCs w:val="32"/>
          <w:highlight w:val="none"/>
        </w:rPr>
      </w:pPr>
      <w:r>
        <w:rPr>
          <w:rFonts w:hint="eastAsia" w:ascii="黑体" w:hAnsi="Times New Roman" w:eastAsia="黑体" w:cs="黑体"/>
          <w:sz w:val="32"/>
          <w:szCs w:val="32"/>
          <w:highlight w:val="none"/>
        </w:rPr>
        <w:t>第一部分</w:t>
      </w:r>
      <w:r>
        <w:rPr>
          <w:rFonts w:ascii="黑体" w:hAnsi="Times New Roman" w:eastAsia="黑体" w:cs="黑体"/>
          <w:sz w:val="32"/>
          <w:szCs w:val="32"/>
          <w:highlight w:val="none"/>
        </w:rPr>
        <w:t xml:space="preserve"> </w:t>
      </w:r>
      <w:r>
        <w:rPr>
          <w:rFonts w:hint="eastAsia" w:ascii="黑体" w:hAnsi="Times New Roman" w:eastAsia="黑体" w:cs="黑体"/>
          <w:sz w:val="32"/>
          <w:szCs w:val="32"/>
          <w:highlight w:val="none"/>
        </w:rPr>
        <w:t>财政预算编制概况</w:t>
      </w:r>
      <w:r>
        <w:rPr>
          <w:rFonts w:ascii="黑体" w:hAnsi="Times New Roman" w:eastAsia="黑体" w:cs="黑体"/>
          <w:w w:val="99"/>
          <w:sz w:val="32"/>
          <w:szCs w:val="32"/>
          <w:highlight w:val="none"/>
        </w:rPr>
        <w:t xml:space="preserve"> </w:t>
      </w:r>
    </w:p>
    <w:p w14:paraId="28C505CE">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一、预算编制原则和依据</w:t>
      </w:r>
    </w:p>
    <w:p w14:paraId="218C1E88">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highlight w:val="none"/>
        </w:rPr>
      </w:pPr>
      <w:r>
        <w:rPr>
          <w:rFonts w:hint="eastAsia" w:ascii="仿宋_GB2312" w:hAnsi="Times New Roman" w:eastAsia="仿宋_GB2312" w:cs="仿宋_GB2312"/>
          <w:sz w:val="32"/>
          <w:szCs w:val="32"/>
          <w:highlight w:val="none"/>
        </w:rPr>
        <w:t>二、支出预算安排标准</w:t>
      </w:r>
    </w:p>
    <w:p w14:paraId="6EC651AC">
      <w:pPr>
        <w:kinsoku w:val="0"/>
        <w:overflowPunct w:val="0"/>
        <w:adjustRightInd w:val="0"/>
        <w:snapToGrid w:val="0"/>
        <w:spacing w:line="360" w:lineRule="auto"/>
        <w:ind w:right="521" w:firstLine="640" w:firstLineChars="200"/>
        <w:rPr>
          <w:rFonts w:ascii="黑体" w:hAnsi="Times New Roman" w:eastAsia="黑体" w:cs="黑体"/>
          <w:color w:val="auto"/>
          <w:w w:val="99"/>
          <w:sz w:val="32"/>
          <w:szCs w:val="32"/>
          <w:highlight w:val="none"/>
        </w:rPr>
      </w:pPr>
      <w:r>
        <w:rPr>
          <w:rFonts w:hint="eastAsia" w:ascii="黑体" w:hAnsi="Times New Roman" w:eastAsia="黑体" w:cs="黑体"/>
          <w:sz w:val="32"/>
          <w:szCs w:val="32"/>
          <w:highlight w:val="none"/>
        </w:rPr>
        <w:t>第二</w:t>
      </w:r>
      <w:r>
        <w:rPr>
          <w:rFonts w:hint="eastAsia" w:ascii="黑体" w:hAnsi="Times New Roman" w:eastAsia="黑体" w:cs="黑体"/>
          <w:color w:val="auto"/>
          <w:sz w:val="32"/>
          <w:szCs w:val="32"/>
          <w:highlight w:val="none"/>
        </w:rPr>
        <w:t>部分</w:t>
      </w:r>
      <w:r>
        <w:rPr>
          <w:rFonts w:ascii="黑体" w:hAnsi="Times New Roman" w:eastAsia="黑体" w:cs="黑体"/>
          <w:color w:val="auto"/>
          <w:sz w:val="32"/>
          <w:szCs w:val="32"/>
          <w:highlight w:val="none"/>
        </w:rPr>
        <w:t xml:space="preserve"> </w:t>
      </w:r>
      <w:r>
        <w:rPr>
          <w:rFonts w:hint="eastAsia" w:ascii="黑体" w:hAnsi="Times New Roman" w:eastAsia="黑体" w:cs="黑体"/>
          <w:color w:val="auto"/>
          <w:sz w:val="32"/>
          <w:szCs w:val="32"/>
          <w:highlight w:val="none"/>
          <w:lang w:eastAsia="zh-CN"/>
        </w:rPr>
        <w:t>殷都</w:t>
      </w:r>
      <w:r>
        <w:rPr>
          <w:rFonts w:hint="eastAsia" w:ascii="黑体" w:hAnsi="Times New Roman" w:eastAsia="黑体" w:cs="黑体"/>
          <w:color w:val="auto"/>
          <w:sz w:val="32"/>
          <w:szCs w:val="32"/>
          <w:highlight w:val="none"/>
        </w:rPr>
        <w:t>区</w:t>
      </w:r>
      <w:r>
        <w:rPr>
          <w:rFonts w:ascii="黑体" w:hAnsi="Times New Roman" w:eastAsia="黑体" w:cs="黑体"/>
          <w:color w:val="auto"/>
          <w:spacing w:val="-119"/>
          <w:sz w:val="32"/>
          <w:szCs w:val="32"/>
          <w:highlight w:val="none"/>
        </w:rPr>
        <w:t xml:space="preserve">          </w:t>
      </w:r>
      <w:r>
        <w:rPr>
          <w:rFonts w:hint="eastAsia" w:ascii="黑体" w:hAnsi="Times New Roman" w:eastAsia="黑体" w:cs="黑体"/>
          <w:color w:val="auto"/>
          <w:sz w:val="32"/>
          <w:szCs w:val="32"/>
          <w:highlight w:val="none"/>
          <w:lang w:eastAsia="zh-CN"/>
        </w:rPr>
        <w:t>2025</w:t>
      </w:r>
      <w:r>
        <w:rPr>
          <w:rFonts w:hint="eastAsia" w:ascii="黑体" w:hAnsi="Times New Roman" w:eastAsia="黑体" w:cs="黑体"/>
          <w:color w:val="auto"/>
          <w:sz w:val="32"/>
          <w:szCs w:val="32"/>
          <w:highlight w:val="none"/>
        </w:rPr>
        <w:t>年度财政预算情况说明</w:t>
      </w:r>
      <w:r>
        <w:rPr>
          <w:rFonts w:ascii="黑体" w:hAnsi="Times New Roman" w:eastAsia="黑体" w:cs="黑体"/>
          <w:color w:val="auto"/>
          <w:w w:val="99"/>
          <w:sz w:val="32"/>
          <w:szCs w:val="32"/>
          <w:highlight w:val="none"/>
        </w:rPr>
        <w:t xml:space="preserve"> </w:t>
      </w:r>
    </w:p>
    <w:p w14:paraId="5FFB7D47">
      <w:pPr>
        <w:kinsoku w:val="0"/>
        <w:overflowPunct w:val="0"/>
        <w:adjustRightInd w:val="0"/>
        <w:snapToGrid w:val="0"/>
        <w:spacing w:line="360" w:lineRule="auto"/>
        <w:ind w:right="2039"/>
        <w:jc w:val="left"/>
        <w:rPr>
          <w:rFonts w:ascii="仿宋_GB2312" w:hAnsi="Times New Roman" w:eastAsia="仿宋_GB2312" w:cs="仿宋_GB2312"/>
          <w:color w:val="auto"/>
          <w:sz w:val="32"/>
          <w:szCs w:val="32"/>
          <w:highlight w:val="none"/>
        </w:rPr>
      </w:pPr>
      <w:r>
        <w:rPr>
          <w:rFonts w:ascii="黑体" w:hAnsi="Times New Roman" w:eastAsia="黑体" w:cs="黑体"/>
          <w:color w:val="auto"/>
          <w:w w:val="99"/>
          <w:sz w:val="32"/>
          <w:szCs w:val="32"/>
          <w:highlight w:val="none"/>
        </w:rPr>
        <w:t xml:space="preserve">     </w:t>
      </w: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一、一般公共预算收支安排</w:t>
      </w:r>
    </w:p>
    <w:p w14:paraId="4DAFDF6A">
      <w:pPr>
        <w:kinsoku w:val="0"/>
        <w:overflowPunct w:val="0"/>
        <w:adjustRightInd w:val="0"/>
        <w:snapToGrid w:val="0"/>
        <w:spacing w:line="360" w:lineRule="auto"/>
        <w:ind w:right="1424"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二、政府性基金预算收支安排情况</w:t>
      </w:r>
    </w:p>
    <w:p w14:paraId="1C2BA1CC">
      <w:pPr>
        <w:kinsoku w:val="0"/>
        <w:overflowPunct w:val="0"/>
        <w:adjustRightInd w:val="0"/>
        <w:snapToGrid w:val="0"/>
        <w:spacing w:line="360" w:lineRule="auto"/>
        <w:ind w:right="1424" w:firstLine="960" w:firstLineChars="300"/>
        <w:jc w:val="left"/>
        <w:rPr>
          <w:rFonts w:ascii="仿宋_GB2312" w:hAnsi="Times New Roman" w:eastAsia="仿宋_GB2312" w:cs="仿宋_GB2312"/>
          <w:color w:val="auto"/>
          <w:sz w:val="32"/>
          <w:szCs w:val="32"/>
          <w:highlight w:val="none"/>
          <w:lang w:val="zh-CN"/>
        </w:rPr>
      </w:pPr>
      <w:r>
        <w:rPr>
          <w:rFonts w:hint="eastAsia" w:ascii="仿宋_GB2312" w:hAnsi="Times New Roman" w:eastAsia="仿宋_GB2312" w:cs="仿宋_GB2312"/>
          <w:color w:val="auto"/>
          <w:sz w:val="32"/>
          <w:szCs w:val="32"/>
          <w:highlight w:val="none"/>
        </w:rPr>
        <w:t>三、</w:t>
      </w:r>
      <w:r>
        <w:rPr>
          <w:rFonts w:hint="eastAsia" w:ascii="仿宋_GB2312" w:hAnsi="Times New Roman" w:eastAsia="仿宋_GB2312" w:cs="仿宋_GB2312"/>
          <w:color w:val="auto"/>
          <w:sz w:val="32"/>
          <w:szCs w:val="32"/>
          <w:highlight w:val="none"/>
          <w:lang w:val="zh-CN"/>
        </w:rPr>
        <w:t>国有资本经营预算收支情况说明</w:t>
      </w:r>
    </w:p>
    <w:p w14:paraId="3D8D19EB">
      <w:pPr>
        <w:kinsoku w:val="0"/>
        <w:overflowPunct w:val="0"/>
        <w:adjustRightInd w:val="0"/>
        <w:snapToGrid w:val="0"/>
        <w:spacing w:line="360" w:lineRule="auto"/>
        <w:ind w:right="1724" w:rightChars="821"/>
        <w:jc w:val="left"/>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四、</w:t>
      </w:r>
      <w:r>
        <w:rPr>
          <w:rFonts w:hint="eastAsia" w:ascii="仿宋_GB2312" w:hAnsi="Times New Roman" w:eastAsia="仿宋_GB2312" w:cs="仿宋_GB2312"/>
          <w:color w:val="auto"/>
          <w:sz w:val="32"/>
          <w:szCs w:val="32"/>
          <w:highlight w:val="none"/>
          <w:lang w:val="zh-CN"/>
        </w:rPr>
        <w:t>社会保险基金预算收支情况说明</w:t>
      </w:r>
    </w:p>
    <w:p w14:paraId="42878FE0">
      <w:pPr>
        <w:kinsoku w:val="0"/>
        <w:overflowPunct w:val="0"/>
        <w:adjustRightInd w:val="0"/>
        <w:snapToGrid w:val="0"/>
        <w:spacing w:line="360" w:lineRule="auto"/>
        <w:ind w:right="1260" w:rightChars="600"/>
        <w:jc w:val="left"/>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五、“三公”经费支出预算情况说明</w:t>
      </w:r>
    </w:p>
    <w:p w14:paraId="6F7AC072">
      <w:pPr>
        <w:kinsoku w:val="0"/>
        <w:overflowPunct w:val="0"/>
        <w:adjustRightInd w:val="0"/>
        <w:snapToGrid w:val="0"/>
        <w:spacing w:line="360" w:lineRule="auto"/>
        <w:ind w:right="1050" w:rightChars="500"/>
        <w:jc w:val="left"/>
        <w:rPr>
          <w:rFonts w:ascii="仿宋_GB2312" w:hAnsi="Times New Roman" w:eastAsia="仿宋_GB2312" w:cs="仿宋_GB2312"/>
          <w:color w:val="auto"/>
          <w:sz w:val="32"/>
          <w:szCs w:val="32"/>
          <w:highlight w:val="none"/>
          <w:lang w:val="zh-CN"/>
        </w:rPr>
      </w:pP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六、</w:t>
      </w:r>
      <w:r>
        <w:rPr>
          <w:rFonts w:hint="eastAsia" w:ascii="仿宋_GB2312" w:hAnsi="Times New Roman" w:eastAsia="仿宋_GB2312" w:cs="仿宋_GB2312"/>
          <w:color w:val="auto"/>
          <w:sz w:val="32"/>
          <w:szCs w:val="32"/>
          <w:highlight w:val="none"/>
          <w:lang w:val="zh-CN"/>
        </w:rPr>
        <w:t>转移支付情况说明</w:t>
      </w:r>
    </w:p>
    <w:p w14:paraId="7B06E542">
      <w:pPr>
        <w:kinsoku w:val="0"/>
        <w:overflowPunct w:val="0"/>
        <w:adjustRightInd w:val="0"/>
        <w:snapToGrid w:val="0"/>
        <w:spacing w:line="360" w:lineRule="auto"/>
        <w:ind w:right="3569" w:firstLine="960" w:firstLineChars="300"/>
        <w:jc w:val="left"/>
        <w:rPr>
          <w:rFonts w:ascii="仿宋_GB2312" w:hAnsi="Times New Roman" w:eastAsia="仿宋_GB2312" w:cs="仿宋_GB2312"/>
          <w:color w:val="auto"/>
          <w:sz w:val="32"/>
          <w:szCs w:val="32"/>
          <w:highlight w:val="none"/>
          <w:lang w:val="zh-CN"/>
        </w:rPr>
      </w:pPr>
      <w:r>
        <w:rPr>
          <w:rFonts w:hint="eastAsia" w:ascii="仿宋_GB2312" w:hAnsi="Times New Roman" w:eastAsia="仿宋_GB2312" w:cs="仿宋_GB2312"/>
          <w:color w:val="auto"/>
          <w:sz w:val="32"/>
          <w:szCs w:val="32"/>
          <w:highlight w:val="none"/>
          <w:lang w:val="zh-CN"/>
        </w:rPr>
        <w:t>七、举借债务情况说明</w:t>
      </w:r>
    </w:p>
    <w:p w14:paraId="776A0090">
      <w:pPr>
        <w:kinsoku w:val="0"/>
        <w:overflowPunct w:val="0"/>
        <w:adjustRightInd w:val="0"/>
        <w:snapToGrid w:val="0"/>
        <w:spacing w:line="360" w:lineRule="auto"/>
        <w:ind w:right="960" w:firstLine="640" w:firstLineChars="200"/>
        <w:jc w:val="left"/>
        <w:rPr>
          <w:rFonts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八、重大政策和重点项目绩效目标情况</w:t>
      </w:r>
    </w:p>
    <w:p w14:paraId="5815D311">
      <w:pPr>
        <w:kinsoku w:val="0"/>
        <w:overflowPunct w:val="0"/>
        <w:adjustRightInd w:val="0"/>
        <w:snapToGrid w:val="0"/>
        <w:spacing w:line="360" w:lineRule="auto"/>
        <w:ind w:right="1050" w:rightChars="500"/>
        <w:jc w:val="left"/>
        <w:rPr>
          <w:rFonts w:hint="eastAsia" w:ascii="仿宋_GB2312" w:hAnsi="Times New Roman" w:eastAsia="仿宋_GB2312" w:cs="仿宋_GB2312"/>
          <w:color w:val="auto"/>
          <w:sz w:val="32"/>
          <w:szCs w:val="32"/>
          <w:highlight w:val="none"/>
        </w:rPr>
      </w:pPr>
      <w:r>
        <w:rPr>
          <w:rFonts w:ascii="仿宋_GB2312" w:hAnsi="Times New Roman" w:eastAsia="仿宋_GB2312" w:cs="仿宋_GB2312"/>
          <w:color w:val="auto"/>
          <w:sz w:val="32"/>
          <w:szCs w:val="32"/>
          <w:highlight w:val="none"/>
        </w:rPr>
        <w:t xml:space="preserve">      </w:t>
      </w:r>
      <w:r>
        <w:rPr>
          <w:rFonts w:hint="eastAsia" w:ascii="仿宋_GB2312" w:hAnsi="Times New Roman" w:eastAsia="仿宋_GB2312" w:cs="仿宋_GB2312"/>
          <w:color w:val="auto"/>
          <w:sz w:val="32"/>
          <w:szCs w:val="32"/>
          <w:highlight w:val="none"/>
        </w:rPr>
        <w:t>九、</w:t>
      </w:r>
      <w:r>
        <w:rPr>
          <w:rFonts w:hint="eastAsia" w:ascii="仿宋_GB2312" w:hAnsi="Times New Roman" w:eastAsia="仿宋_GB2312" w:cs="仿宋_GB2312"/>
          <w:color w:val="auto"/>
          <w:sz w:val="32"/>
          <w:szCs w:val="32"/>
          <w:highlight w:val="none"/>
          <w:lang w:val="en-US" w:eastAsia="zh-CN"/>
        </w:rPr>
        <w:t>财政衔接</w:t>
      </w:r>
      <w:r>
        <w:rPr>
          <w:rFonts w:hint="eastAsia" w:ascii="仿宋_GB2312" w:hAnsi="Times New Roman" w:eastAsia="仿宋_GB2312" w:cs="仿宋_GB2312"/>
          <w:color w:val="auto"/>
          <w:sz w:val="32"/>
          <w:szCs w:val="32"/>
          <w:highlight w:val="none"/>
        </w:rPr>
        <w:t>资金情况说明</w:t>
      </w:r>
    </w:p>
    <w:p w14:paraId="74423677">
      <w:pPr>
        <w:kinsoku w:val="0"/>
        <w:overflowPunct w:val="0"/>
        <w:adjustRightInd w:val="0"/>
        <w:snapToGrid w:val="0"/>
        <w:spacing w:line="360" w:lineRule="auto"/>
        <w:ind w:right="1050" w:rightChars="500"/>
        <w:jc w:val="left"/>
        <w:rPr>
          <w:rFonts w:hint="eastAsia" w:eastAsia="宋体"/>
          <w:color w:val="auto"/>
          <w:highlight w:val="none"/>
          <w:lang w:val="en-US" w:eastAsia="zh-CN"/>
        </w:rPr>
      </w:pPr>
      <w:r>
        <w:rPr>
          <w:rFonts w:hint="eastAsia"/>
          <w:color w:val="auto"/>
          <w:highlight w:val="none"/>
          <w:lang w:val="en-US" w:eastAsia="zh-CN"/>
        </w:rPr>
        <w:t xml:space="preserve">         </w:t>
      </w:r>
      <w:r>
        <w:rPr>
          <w:rFonts w:hint="eastAsia" w:ascii="仿宋_GB2312" w:hAnsi="Times New Roman" w:eastAsia="仿宋_GB2312" w:cs="仿宋_GB2312"/>
          <w:color w:val="auto"/>
          <w:sz w:val="32"/>
          <w:szCs w:val="32"/>
          <w:highlight w:val="none"/>
          <w:lang w:eastAsia="zh-CN"/>
        </w:rPr>
        <w:t>十</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预算调整报告及报表</w:t>
      </w:r>
      <w:r>
        <w:rPr>
          <w:rFonts w:hint="eastAsia" w:ascii="仿宋_GB2312" w:hAnsi="Times New Roman" w:eastAsia="仿宋_GB2312" w:cs="仿宋_GB2312"/>
          <w:color w:val="auto"/>
          <w:sz w:val="32"/>
          <w:szCs w:val="32"/>
          <w:highlight w:val="none"/>
        </w:rPr>
        <w:t>情况说明</w:t>
      </w:r>
    </w:p>
    <w:p w14:paraId="4A2D12D3">
      <w:pPr>
        <w:kinsoku w:val="0"/>
        <w:overflowPunct w:val="0"/>
        <w:adjustRightInd w:val="0"/>
        <w:snapToGrid w:val="0"/>
        <w:spacing w:line="360" w:lineRule="auto"/>
        <w:ind w:right="521" w:firstLine="640" w:firstLineChars="200"/>
        <w:rPr>
          <w:rFonts w:hint="eastAsia" w:ascii="黑体" w:hAnsi="Times New Roman" w:eastAsia="黑体" w:cs="黑体"/>
          <w:color w:val="auto"/>
          <w:sz w:val="32"/>
          <w:szCs w:val="32"/>
          <w:highlight w:val="none"/>
        </w:rPr>
      </w:pPr>
      <w:r>
        <w:rPr>
          <w:rFonts w:hint="eastAsia" w:ascii="黑体" w:hAnsi="Times New Roman" w:eastAsia="黑体" w:cs="黑体"/>
          <w:color w:val="auto"/>
          <w:sz w:val="32"/>
          <w:szCs w:val="32"/>
          <w:highlight w:val="none"/>
        </w:rPr>
        <w:t>第三部分  关于安阳市</w:t>
      </w:r>
      <w:r>
        <w:rPr>
          <w:rFonts w:hint="eastAsia" w:ascii="黑体" w:hAnsi="Times New Roman" w:eastAsia="黑体" w:cs="黑体"/>
          <w:color w:val="auto"/>
          <w:sz w:val="32"/>
          <w:szCs w:val="32"/>
          <w:highlight w:val="none"/>
          <w:lang w:eastAsia="zh-CN"/>
        </w:rPr>
        <w:t>殷都</w:t>
      </w:r>
      <w:r>
        <w:rPr>
          <w:rFonts w:hint="eastAsia" w:ascii="黑体" w:hAnsi="Times New Roman" w:eastAsia="黑体" w:cs="黑体"/>
          <w:color w:val="auto"/>
          <w:sz w:val="32"/>
          <w:szCs w:val="32"/>
          <w:highlight w:val="none"/>
        </w:rPr>
        <w:t>区</w:t>
      </w:r>
      <w:r>
        <w:rPr>
          <w:rFonts w:hint="eastAsia" w:ascii="黑体" w:hAnsi="Times New Roman" w:eastAsia="黑体" w:cs="黑体"/>
          <w:color w:val="auto"/>
          <w:sz w:val="32"/>
          <w:szCs w:val="32"/>
          <w:highlight w:val="none"/>
          <w:lang w:eastAsia="zh-CN"/>
        </w:rPr>
        <w:t>2025</w:t>
      </w:r>
      <w:r>
        <w:rPr>
          <w:rFonts w:hint="eastAsia" w:ascii="黑体" w:hAnsi="Times New Roman" w:eastAsia="黑体" w:cs="黑体"/>
          <w:color w:val="auto"/>
          <w:sz w:val="32"/>
          <w:szCs w:val="32"/>
          <w:highlight w:val="none"/>
        </w:rPr>
        <w:t>年财政预算执行情况和</w:t>
      </w:r>
      <w:r>
        <w:rPr>
          <w:rFonts w:hint="eastAsia" w:ascii="黑体" w:hAnsi="Times New Roman" w:eastAsia="黑体" w:cs="黑体"/>
          <w:color w:val="auto"/>
          <w:sz w:val="32"/>
          <w:szCs w:val="32"/>
          <w:highlight w:val="none"/>
          <w:lang w:eastAsia="zh-CN"/>
        </w:rPr>
        <w:t>2025</w:t>
      </w:r>
      <w:r>
        <w:rPr>
          <w:rFonts w:hint="eastAsia" w:ascii="黑体" w:hAnsi="Times New Roman" w:eastAsia="黑体" w:cs="黑体"/>
          <w:color w:val="auto"/>
          <w:sz w:val="32"/>
          <w:szCs w:val="32"/>
          <w:highlight w:val="none"/>
        </w:rPr>
        <w:t>年财政预算（草案）的报告</w:t>
      </w:r>
    </w:p>
    <w:p w14:paraId="4043B928">
      <w:pPr>
        <w:kinsoku w:val="0"/>
        <w:overflowPunct w:val="0"/>
        <w:adjustRightInd w:val="0"/>
        <w:snapToGrid w:val="0"/>
        <w:spacing w:line="360" w:lineRule="auto"/>
        <w:ind w:right="521" w:firstLine="358" w:firstLineChars="112"/>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xml:space="preserve">    一、</w:t>
      </w:r>
      <w:r>
        <w:rPr>
          <w:rFonts w:hint="eastAsia" w:ascii="仿宋_GB2312" w:hAnsi="Times New Roman" w:eastAsia="仿宋_GB2312" w:cs="仿宋_GB2312"/>
          <w:color w:val="auto"/>
          <w:sz w:val="32"/>
          <w:szCs w:val="32"/>
          <w:highlight w:val="none"/>
          <w:lang w:eastAsia="zh-CN"/>
        </w:rPr>
        <w:t>2024</w:t>
      </w:r>
      <w:r>
        <w:rPr>
          <w:rFonts w:hint="eastAsia" w:ascii="仿宋_GB2312" w:hAnsi="Times New Roman" w:eastAsia="仿宋_GB2312" w:cs="仿宋_GB2312"/>
          <w:color w:val="auto"/>
          <w:sz w:val="32"/>
          <w:szCs w:val="32"/>
          <w:highlight w:val="none"/>
        </w:rPr>
        <w:t>年财政预算执行情况</w:t>
      </w:r>
    </w:p>
    <w:p w14:paraId="31FE5126">
      <w:pPr>
        <w:kinsoku w:val="0"/>
        <w:overflowPunct w:val="0"/>
        <w:adjustRightInd w:val="0"/>
        <w:snapToGrid w:val="0"/>
        <w:spacing w:line="360" w:lineRule="auto"/>
        <w:ind w:right="521" w:firstLine="800" w:firstLineChars="25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 xml:space="preserve"> </w:t>
      </w:r>
      <w:r>
        <w:rPr>
          <w:rFonts w:hint="eastAsia" w:ascii="仿宋_GB2312" w:hAnsi="Times New Roman" w:eastAsia="仿宋_GB2312" w:cs="仿宋_GB2312"/>
          <w:color w:val="auto"/>
          <w:sz w:val="32"/>
          <w:szCs w:val="32"/>
          <w:highlight w:val="none"/>
        </w:rPr>
        <w:t>二、</w:t>
      </w:r>
      <w:r>
        <w:rPr>
          <w:rFonts w:hint="eastAsia" w:ascii="仿宋_GB2312" w:hAnsi="Times New Roman" w:eastAsia="仿宋_GB2312" w:cs="仿宋_GB2312"/>
          <w:color w:val="auto"/>
          <w:sz w:val="32"/>
          <w:szCs w:val="32"/>
          <w:highlight w:val="none"/>
          <w:lang w:eastAsia="zh-CN"/>
        </w:rPr>
        <w:t>2025</w:t>
      </w:r>
      <w:r>
        <w:rPr>
          <w:rFonts w:hint="eastAsia" w:ascii="仿宋_GB2312" w:hAnsi="Times New Roman" w:eastAsia="仿宋_GB2312" w:cs="仿宋_GB2312"/>
          <w:color w:val="auto"/>
          <w:sz w:val="32"/>
          <w:szCs w:val="32"/>
          <w:highlight w:val="none"/>
        </w:rPr>
        <w:t>年财政预算安排情况</w:t>
      </w:r>
    </w:p>
    <w:p w14:paraId="6BF873EA">
      <w:pPr>
        <w:kinsoku w:val="0"/>
        <w:overflowPunct w:val="0"/>
        <w:adjustRightInd w:val="0"/>
        <w:snapToGrid w:val="0"/>
        <w:spacing w:line="360" w:lineRule="auto"/>
        <w:ind w:right="521" w:firstLine="800" w:firstLineChars="25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 xml:space="preserve"> </w:t>
      </w:r>
      <w:r>
        <w:rPr>
          <w:rFonts w:hint="eastAsia" w:ascii="仿宋_GB2312" w:hAnsi="Times New Roman" w:eastAsia="仿宋_GB2312" w:cs="仿宋_GB2312"/>
          <w:color w:val="auto"/>
          <w:sz w:val="32"/>
          <w:szCs w:val="32"/>
          <w:highlight w:val="none"/>
        </w:rPr>
        <w:t>三、</w:t>
      </w:r>
      <w:r>
        <w:rPr>
          <w:rFonts w:hint="eastAsia" w:ascii="仿宋_GB2312" w:hAnsi="Times New Roman" w:eastAsia="仿宋_GB2312" w:cs="仿宋_GB2312"/>
          <w:color w:val="auto"/>
          <w:sz w:val="32"/>
          <w:szCs w:val="32"/>
          <w:highlight w:val="none"/>
          <w:lang w:val="en-US" w:eastAsia="zh-CN"/>
        </w:rPr>
        <w:t>切实做好2025年财政管理和预算执行</w:t>
      </w:r>
    </w:p>
    <w:p w14:paraId="6072C3CB">
      <w:pPr>
        <w:kinsoku w:val="0"/>
        <w:overflowPunct w:val="0"/>
        <w:adjustRightInd w:val="0"/>
        <w:snapToGrid w:val="0"/>
        <w:spacing w:line="360" w:lineRule="auto"/>
        <w:ind w:right="521"/>
        <w:rPr>
          <w:rFonts w:ascii="黑体" w:hAnsi="Times New Roman" w:eastAsia="黑体" w:cs="黑体"/>
          <w:color w:val="auto"/>
          <w:sz w:val="32"/>
          <w:szCs w:val="32"/>
          <w:highlight w:val="none"/>
        </w:rPr>
      </w:pPr>
      <w:r>
        <w:rPr>
          <w:rFonts w:ascii="黑体" w:hAnsi="Times New Roman" w:eastAsia="黑体" w:cs="黑体"/>
          <w:color w:val="auto"/>
          <w:sz w:val="32"/>
          <w:szCs w:val="32"/>
          <w:highlight w:val="none"/>
        </w:rPr>
        <w:t xml:space="preserve">   </w:t>
      </w:r>
      <w:r>
        <w:rPr>
          <w:rFonts w:hint="eastAsia" w:ascii="黑体" w:hAnsi="Times New Roman" w:eastAsia="黑体" w:cs="黑体"/>
          <w:color w:val="auto"/>
          <w:sz w:val="32"/>
          <w:szCs w:val="32"/>
          <w:highlight w:val="none"/>
        </w:rPr>
        <w:t>附件1：</w:t>
      </w:r>
      <w:r>
        <w:rPr>
          <w:rFonts w:ascii="黑体" w:hAnsi="Times New Roman" w:eastAsia="黑体" w:cs="黑体"/>
          <w:color w:val="auto"/>
          <w:spacing w:val="-32"/>
          <w:sz w:val="32"/>
          <w:szCs w:val="32"/>
          <w:highlight w:val="none"/>
        </w:rPr>
        <w:t xml:space="preserve"> </w:t>
      </w:r>
      <w:r>
        <w:rPr>
          <w:rFonts w:hint="eastAsia" w:ascii="黑体" w:hAnsi="Times New Roman" w:eastAsia="黑体" w:cs="黑体"/>
          <w:color w:val="auto"/>
          <w:spacing w:val="-32"/>
          <w:sz w:val="32"/>
          <w:szCs w:val="32"/>
          <w:highlight w:val="none"/>
          <w:lang w:eastAsia="zh-CN"/>
        </w:rPr>
        <w:t>殷都</w:t>
      </w:r>
      <w:r>
        <w:rPr>
          <w:rFonts w:hint="eastAsia" w:ascii="黑体" w:hAnsi="Times New Roman" w:eastAsia="黑体" w:cs="黑体"/>
          <w:color w:val="auto"/>
          <w:spacing w:val="-32"/>
          <w:sz w:val="32"/>
          <w:szCs w:val="32"/>
          <w:highlight w:val="none"/>
        </w:rPr>
        <w:t>区</w:t>
      </w:r>
      <w:r>
        <w:rPr>
          <w:rFonts w:hint="eastAsia" w:ascii="黑体" w:hAnsi="Times New Roman" w:eastAsia="黑体" w:cs="黑体"/>
          <w:color w:val="auto"/>
          <w:sz w:val="32"/>
          <w:szCs w:val="32"/>
          <w:highlight w:val="none"/>
          <w:lang w:eastAsia="zh-CN"/>
        </w:rPr>
        <w:t>2025</w:t>
      </w:r>
      <w:r>
        <w:rPr>
          <w:rFonts w:hint="eastAsia" w:ascii="黑体" w:hAnsi="Times New Roman" w:eastAsia="黑体" w:cs="黑体"/>
          <w:color w:val="auto"/>
          <w:sz w:val="32"/>
          <w:szCs w:val="32"/>
          <w:highlight w:val="none"/>
        </w:rPr>
        <w:t>年度预算明细表</w:t>
      </w:r>
    </w:p>
    <w:p w14:paraId="71879AB7">
      <w:pPr>
        <w:kinsoku w:val="0"/>
        <w:overflowPunct w:val="0"/>
        <w:adjustRightInd w:val="0"/>
        <w:snapToGrid w:val="0"/>
        <w:spacing w:line="360" w:lineRule="auto"/>
        <w:ind w:right="51" w:firstLine="960" w:firstLineChars="300"/>
        <w:jc w:val="left"/>
        <w:rPr>
          <w:rFonts w:hint="eastAsia" w:ascii="仿宋_GB2312" w:eastAsia="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一、</w:t>
      </w:r>
      <w:r>
        <w:rPr>
          <w:rFonts w:hint="eastAsia" w:ascii="仿宋_GB2312" w:eastAsia="仿宋_GB2312"/>
          <w:color w:val="auto"/>
          <w:sz w:val="32"/>
          <w:szCs w:val="32"/>
          <w:highlight w:val="none"/>
          <w:lang w:eastAsia="zh-CN"/>
        </w:rPr>
        <w:t>2025年殷都区一般公共预算收支预算总表</w:t>
      </w:r>
    </w:p>
    <w:p w14:paraId="5B544EFB">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二</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lang w:eastAsia="zh-CN"/>
        </w:rPr>
        <w:t>2025年殷都区一般公共预算收入预算表</w:t>
      </w:r>
    </w:p>
    <w:p w14:paraId="150027B7">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三</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lang w:eastAsia="zh-CN"/>
        </w:rPr>
        <w:t>2025年殷都区一般公共预算收入分级预算表</w:t>
      </w:r>
    </w:p>
    <w:p w14:paraId="404B8507">
      <w:pPr>
        <w:kinsoku w:val="0"/>
        <w:overflowPunct w:val="0"/>
        <w:adjustRightInd w:val="0"/>
        <w:snapToGrid w:val="0"/>
        <w:spacing w:line="360" w:lineRule="auto"/>
        <w:ind w:right="51" w:firstLine="960" w:firstLineChars="300"/>
        <w:jc w:val="left"/>
        <w:rPr>
          <w:rFonts w:ascii="仿宋_GB2312" w:eastAsia="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四</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lang w:eastAsia="zh-CN"/>
        </w:rPr>
        <w:t>2025年殷都区一般公共预算支出预算表</w:t>
      </w:r>
    </w:p>
    <w:p w14:paraId="720B9E58">
      <w:pPr>
        <w:kinsoku w:val="0"/>
        <w:overflowPunct w:val="0"/>
        <w:adjustRightInd w:val="0"/>
        <w:snapToGrid w:val="0"/>
        <w:spacing w:line="360" w:lineRule="auto"/>
        <w:ind w:right="51" w:firstLine="960" w:firstLineChars="300"/>
        <w:jc w:val="left"/>
        <w:rPr>
          <w:rFonts w:hint="eastAsia" w:ascii="仿宋_GB2312" w:eastAsia="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五</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lang w:eastAsia="zh-CN"/>
        </w:rPr>
        <w:t>2025年殷都区一般公共预算支出明细表</w:t>
      </w:r>
    </w:p>
    <w:p w14:paraId="16EAB52A">
      <w:pPr>
        <w:kinsoku w:val="0"/>
        <w:overflowPunct w:val="0"/>
        <w:adjustRightInd w:val="0"/>
        <w:snapToGrid w:val="0"/>
        <w:spacing w:line="360" w:lineRule="auto"/>
        <w:ind w:right="51" w:firstLine="960" w:firstLineChars="300"/>
        <w:jc w:val="left"/>
        <w:rPr>
          <w:rFonts w:hint="eastAsia" w:ascii="仿宋_GB2312" w:eastAsia="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六</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lang w:eastAsia="zh-CN"/>
        </w:rPr>
        <w:t>2025</w:t>
      </w:r>
      <w:r>
        <w:rPr>
          <w:rFonts w:hint="eastAsia" w:ascii="仿宋_GB2312" w:eastAsia="仿宋_GB2312"/>
          <w:color w:val="auto"/>
          <w:sz w:val="32"/>
          <w:szCs w:val="32"/>
          <w:highlight w:val="none"/>
        </w:rPr>
        <w:t>年一般公共预算</w:t>
      </w:r>
      <w:r>
        <w:rPr>
          <w:rFonts w:hint="eastAsia" w:ascii="仿宋_GB2312" w:eastAsia="仿宋_GB2312"/>
          <w:color w:val="auto"/>
          <w:sz w:val="32"/>
          <w:szCs w:val="32"/>
          <w:highlight w:val="none"/>
          <w:lang w:eastAsia="zh-CN"/>
        </w:rPr>
        <w:t>支</w:t>
      </w:r>
      <w:r>
        <w:rPr>
          <w:rFonts w:hint="eastAsia" w:ascii="仿宋_GB2312" w:eastAsia="仿宋_GB2312"/>
          <w:color w:val="auto"/>
          <w:sz w:val="32"/>
          <w:szCs w:val="32"/>
          <w:highlight w:val="none"/>
        </w:rPr>
        <w:t>出</w:t>
      </w:r>
      <w:r>
        <w:rPr>
          <w:rFonts w:hint="eastAsia" w:ascii="仿宋_GB2312" w:eastAsia="仿宋_GB2312"/>
          <w:color w:val="auto"/>
          <w:sz w:val="32"/>
          <w:szCs w:val="32"/>
          <w:highlight w:val="none"/>
          <w:lang w:eastAsia="zh-CN"/>
        </w:rPr>
        <w:t>预算</w:t>
      </w:r>
      <w:r>
        <w:rPr>
          <w:rFonts w:hint="eastAsia" w:ascii="仿宋_GB2312" w:eastAsia="仿宋_GB2312"/>
          <w:color w:val="auto"/>
          <w:sz w:val="32"/>
          <w:szCs w:val="32"/>
          <w:highlight w:val="none"/>
        </w:rPr>
        <w:t>表</w:t>
      </w:r>
      <w:r>
        <w:rPr>
          <w:rFonts w:hint="eastAsia" w:ascii="仿宋_GB2312" w:eastAsia="仿宋_GB2312"/>
          <w:color w:val="auto"/>
          <w:sz w:val="32"/>
          <w:szCs w:val="32"/>
          <w:highlight w:val="none"/>
          <w:lang w:eastAsia="zh-CN"/>
        </w:rPr>
        <w:t>（按经济分类）</w:t>
      </w:r>
    </w:p>
    <w:p w14:paraId="523873C3">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eastAsia="zh-CN"/>
        </w:rPr>
        <w:t>七</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2025年殷都区一般公共预算本级支出预算表</w:t>
      </w:r>
    </w:p>
    <w:p w14:paraId="6EAFC88A">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八</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2025年殷都区一般公共预算支出明细表（本级）</w:t>
      </w:r>
    </w:p>
    <w:p w14:paraId="6B96DE7E">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九</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2025年殷都区一般公共预算本级支出明细表（</w:t>
      </w:r>
      <w:r>
        <w:rPr>
          <w:rFonts w:hint="eastAsia" w:ascii="仿宋_GB2312" w:eastAsia="仿宋_GB2312"/>
          <w:color w:val="auto"/>
          <w:sz w:val="32"/>
          <w:szCs w:val="32"/>
          <w:highlight w:val="none"/>
          <w:lang w:eastAsia="zh-CN"/>
        </w:rPr>
        <w:t>按经济分类</w:t>
      </w:r>
      <w:r>
        <w:rPr>
          <w:rFonts w:hint="eastAsia" w:ascii="仿宋_GB2312" w:hAnsi="Times New Roman" w:eastAsia="仿宋_GB2312" w:cs="仿宋_GB2312"/>
          <w:color w:val="auto"/>
          <w:sz w:val="32"/>
          <w:szCs w:val="32"/>
          <w:highlight w:val="none"/>
          <w:lang w:eastAsia="zh-CN"/>
        </w:rPr>
        <w:t>）</w:t>
      </w:r>
    </w:p>
    <w:p w14:paraId="57ADE126">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十</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2025年殷都区一般公共预算“三公”经费预算表</w:t>
      </w:r>
    </w:p>
    <w:p w14:paraId="3B798311">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一</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2025年殷都区一般公共预算返还性收入和转移支付收入预算表（分项目）</w:t>
      </w:r>
    </w:p>
    <w:p w14:paraId="7A6BDC0A">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二</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2025年殷都区专项转移支付分项目预算表</w:t>
      </w:r>
    </w:p>
    <w:p w14:paraId="2750B988">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三</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2024年殷都区政府一般债务限额及余额情况表</w:t>
      </w:r>
    </w:p>
    <w:p w14:paraId="21ADD892">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四</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2024年殷都区政府专项债务限额及余额情况表</w:t>
      </w:r>
    </w:p>
    <w:p w14:paraId="23C3E922">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五</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2025年殷都区政府性基金预算收支总表</w:t>
      </w:r>
    </w:p>
    <w:p w14:paraId="1DB631AA">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六</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2025年殷都区政府性基金收入预算表</w:t>
      </w:r>
    </w:p>
    <w:p w14:paraId="748FED8F">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七</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2025年殷都区政府性基金预算支出预算表</w:t>
      </w:r>
    </w:p>
    <w:p w14:paraId="00773169">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八</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2025年殷都区政府性基金本级预算支出预算表</w:t>
      </w:r>
    </w:p>
    <w:p w14:paraId="739902C4">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十</w:t>
      </w:r>
      <w:r>
        <w:rPr>
          <w:rFonts w:hint="eastAsia" w:ascii="仿宋_GB2312" w:hAnsi="Times New Roman" w:eastAsia="仿宋_GB2312" w:cs="仿宋_GB2312"/>
          <w:color w:val="auto"/>
          <w:sz w:val="32"/>
          <w:szCs w:val="32"/>
          <w:highlight w:val="none"/>
          <w:lang w:eastAsia="zh-CN"/>
        </w:rPr>
        <w:t>九</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2025年殷都区政府性基金转移支出预算表</w:t>
      </w:r>
    </w:p>
    <w:p w14:paraId="233BDFEF">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eastAsia="zh-CN"/>
        </w:rPr>
        <w:t>二十</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2025年殷都区国有资本经营收入预算表</w:t>
      </w:r>
    </w:p>
    <w:p w14:paraId="0522A3BF">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二十一</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2024年殷都区国有资本经营预算支出表</w:t>
      </w:r>
    </w:p>
    <w:p w14:paraId="773EDD12">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lang w:eastAsia="zh-CN"/>
        </w:rPr>
      </w:pPr>
      <w:r>
        <w:rPr>
          <w:rFonts w:hint="eastAsia" w:ascii="仿宋_GB2312" w:hAnsi="Times New Roman" w:eastAsia="仿宋_GB2312" w:cs="仿宋_GB2312"/>
          <w:color w:val="auto"/>
          <w:sz w:val="32"/>
          <w:szCs w:val="32"/>
          <w:highlight w:val="none"/>
          <w:lang w:val="en-US" w:eastAsia="zh-CN"/>
        </w:rPr>
        <w:t>二十二</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2025年殷都区本级国有资本经营预算支出表</w:t>
      </w:r>
    </w:p>
    <w:p w14:paraId="6918C55C">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lang w:val="en-US" w:eastAsia="zh-CN"/>
        </w:rPr>
        <w:t>二十三</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2025年殷都区国有资本经营转移支付预算表</w:t>
      </w:r>
    </w:p>
    <w:p w14:paraId="2FAEEA0D">
      <w:pPr>
        <w:kinsoku w:val="0"/>
        <w:overflowPunct w:val="0"/>
        <w:adjustRightInd w:val="0"/>
        <w:snapToGrid w:val="0"/>
        <w:spacing w:line="360" w:lineRule="auto"/>
        <w:ind w:right="51" w:firstLine="960" w:firstLineChars="300"/>
        <w:jc w:val="left"/>
        <w:rPr>
          <w:color w:val="auto"/>
          <w:highlight w:val="none"/>
        </w:rPr>
      </w:pPr>
      <w:r>
        <w:rPr>
          <w:rFonts w:hint="eastAsia" w:ascii="仿宋_GB2312" w:hAnsi="Times New Roman" w:eastAsia="仿宋_GB2312" w:cs="仿宋_GB2312"/>
          <w:color w:val="auto"/>
          <w:sz w:val="32"/>
          <w:szCs w:val="32"/>
          <w:highlight w:val="none"/>
        </w:rPr>
        <w:t>二十</w:t>
      </w:r>
      <w:r>
        <w:rPr>
          <w:rFonts w:hint="eastAsia" w:ascii="仿宋_GB2312" w:hAnsi="Times New Roman" w:eastAsia="仿宋_GB2312" w:cs="仿宋_GB2312"/>
          <w:color w:val="auto"/>
          <w:sz w:val="32"/>
          <w:szCs w:val="32"/>
          <w:highlight w:val="none"/>
          <w:lang w:val="en-US" w:eastAsia="zh-CN"/>
        </w:rPr>
        <w:t>四</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2025年殷都区社会保障基金收入预算表</w:t>
      </w:r>
    </w:p>
    <w:p w14:paraId="0E0453A2">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二十</w:t>
      </w:r>
      <w:r>
        <w:rPr>
          <w:rFonts w:hint="eastAsia" w:ascii="仿宋_GB2312" w:hAnsi="Times New Roman" w:eastAsia="仿宋_GB2312" w:cs="仿宋_GB2312"/>
          <w:color w:val="auto"/>
          <w:sz w:val="32"/>
          <w:szCs w:val="32"/>
          <w:highlight w:val="none"/>
          <w:lang w:val="en-US" w:eastAsia="zh-CN"/>
        </w:rPr>
        <w:t>五</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2025年殷都区社会保障基金支出预算表</w:t>
      </w:r>
    </w:p>
    <w:p w14:paraId="523B3C62">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二十</w:t>
      </w:r>
      <w:r>
        <w:rPr>
          <w:rFonts w:hint="eastAsia" w:ascii="仿宋_GB2312" w:hAnsi="Times New Roman" w:eastAsia="仿宋_GB2312" w:cs="仿宋_GB2312"/>
          <w:color w:val="auto"/>
          <w:sz w:val="32"/>
          <w:szCs w:val="32"/>
          <w:highlight w:val="none"/>
          <w:lang w:val="en-US" w:eastAsia="zh-CN"/>
        </w:rPr>
        <w:t>六</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2025年殷都区本级社会保障基金支出预算表</w:t>
      </w:r>
    </w:p>
    <w:p w14:paraId="00FAB5F3">
      <w:pPr>
        <w:kinsoku w:val="0"/>
        <w:overflowPunct w:val="0"/>
        <w:adjustRightInd w:val="0"/>
        <w:snapToGrid w:val="0"/>
        <w:spacing w:line="360" w:lineRule="auto"/>
        <w:ind w:right="51" w:firstLine="960" w:firstLineChars="300"/>
        <w:jc w:val="left"/>
        <w:rPr>
          <w:rFonts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二十</w:t>
      </w:r>
      <w:r>
        <w:rPr>
          <w:rFonts w:hint="eastAsia" w:ascii="仿宋_GB2312" w:hAnsi="Times New Roman" w:eastAsia="仿宋_GB2312" w:cs="仿宋_GB2312"/>
          <w:color w:val="auto"/>
          <w:sz w:val="32"/>
          <w:szCs w:val="32"/>
          <w:highlight w:val="none"/>
          <w:lang w:val="en-US" w:eastAsia="zh-CN"/>
        </w:rPr>
        <w:t>七</w:t>
      </w:r>
      <w:r>
        <w:rPr>
          <w:rFonts w:hint="eastAsia" w:ascii="仿宋_GB2312" w:hAnsi="Times New Roman" w:eastAsia="仿宋_GB2312" w:cs="仿宋_GB2312"/>
          <w:color w:val="auto"/>
          <w:sz w:val="32"/>
          <w:szCs w:val="32"/>
          <w:highlight w:val="none"/>
        </w:rPr>
        <w:t>、</w:t>
      </w:r>
      <w:r>
        <w:rPr>
          <w:rFonts w:hint="eastAsia" w:ascii="仿宋_GB2312" w:hAnsi="Times New Roman" w:eastAsia="仿宋_GB2312" w:cs="仿宋_GB2312"/>
          <w:color w:val="auto"/>
          <w:sz w:val="32"/>
          <w:szCs w:val="32"/>
          <w:highlight w:val="none"/>
          <w:lang w:eastAsia="zh-CN"/>
        </w:rPr>
        <w:t>2025年殷都区社会保障基金预算结余表</w:t>
      </w:r>
    </w:p>
    <w:p w14:paraId="21E3DA6F">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color w:val="auto"/>
          <w:sz w:val="32"/>
          <w:szCs w:val="32"/>
          <w:highlight w:val="none"/>
        </w:rPr>
      </w:pPr>
    </w:p>
    <w:p w14:paraId="220D276C">
      <w:pPr>
        <w:pStyle w:val="12"/>
        <w:rPr>
          <w:rFonts w:hint="eastAsia" w:eastAsia="仿宋_GB2312"/>
          <w:color w:val="auto"/>
          <w:highlight w:val="none"/>
          <w:lang w:val="en-US" w:eastAsia="zh-CN"/>
        </w:rPr>
      </w:pPr>
    </w:p>
    <w:p w14:paraId="67EE5DD6">
      <w:pPr>
        <w:kinsoku w:val="0"/>
        <w:overflowPunct w:val="0"/>
        <w:adjustRightInd w:val="0"/>
        <w:snapToGrid w:val="0"/>
        <w:spacing w:line="360" w:lineRule="auto"/>
        <w:ind w:right="51"/>
        <w:jc w:val="left"/>
        <w:rPr>
          <w:rFonts w:hint="default" w:ascii="仿宋_GB2312" w:hAnsi="Times New Roman" w:eastAsia="仿宋_GB2312" w:cs="仿宋_GB2312"/>
          <w:color w:val="auto"/>
          <w:sz w:val="32"/>
          <w:szCs w:val="32"/>
          <w:highlight w:val="none"/>
          <w:lang w:val="en-US" w:eastAsia="zh-CN"/>
        </w:rPr>
      </w:pPr>
      <w:r>
        <w:rPr>
          <w:rFonts w:hint="eastAsia" w:ascii="仿宋_GB2312" w:hAnsi="Times New Roman" w:eastAsia="仿宋_GB2312" w:cs="仿宋_GB2312"/>
          <w:color w:val="auto"/>
          <w:sz w:val="32"/>
          <w:szCs w:val="32"/>
          <w:highlight w:val="none"/>
          <w:lang w:val="en-US" w:eastAsia="zh-CN"/>
        </w:rPr>
        <w:t xml:space="preserve"> </w:t>
      </w:r>
    </w:p>
    <w:p w14:paraId="50C2693C">
      <w:pPr>
        <w:kinsoku w:val="0"/>
        <w:overflowPunct w:val="0"/>
        <w:adjustRightInd w:val="0"/>
        <w:snapToGrid w:val="0"/>
        <w:spacing w:line="360" w:lineRule="auto"/>
        <w:ind w:right="51"/>
        <w:jc w:val="left"/>
        <w:rPr>
          <w:rFonts w:hint="eastAsia" w:ascii="黑体" w:hAnsi="Times New Roman" w:eastAsia="黑体" w:cs="仿宋_GB2312"/>
          <w:color w:val="auto"/>
          <w:sz w:val="32"/>
          <w:szCs w:val="32"/>
          <w:highlight w:val="none"/>
        </w:rPr>
      </w:pPr>
    </w:p>
    <w:p w14:paraId="23DC1F05">
      <w:pPr>
        <w:kinsoku w:val="0"/>
        <w:overflowPunct w:val="0"/>
        <w:adjustRightInd w:val="0"/>
        <w:snapToGrid w:val="0"/>
        <w:spacing w:line="360" w:lineRule="auto"/>
        <w:ind w:right="51"/>
        <w:jc w:val="left"/>
        <w:rPr>
          <w:rFonts w:hint="eastAsia" w:ascii="黑体" w:hAnsi="Times New Roman" w:eastAsia="黑体" w:cs="仿宋_GB2312"/>
          <w:color w:val="auto"/>
          <w:sz w:val="32"/>
          <w:szCs w:val="32"/>
          <w:highlight w:val="none"/>
        </w:rPr>
      </w:pPr>
    </w:p>
    <w:p w14:paraId="3B6093CA">
      <w:pPr>
        <w:kinsoku w:val="0"/>
        <w:overflowPunct w:val="0"/>
        <w:adjustRightInd w:val="0"/>
        <w:snapToGrid w:val="0"/>
        <w:spacing w:line="360" w:lineRule="auto"/>
        <w:ind w:right="51"/>
        <w:jc w:val="left"/>
        <w:rPr>
          <w:rFonts w:hint="eastAsia" w:ascii="黑体" w:hAnsi="Times New Roman" w:eastAsia="黑体" w:cs="仿宋_GB2312"/>
          <w:color w:val="auto"/>
          <w:sz w:val="32"/>
          <w:szCs w:val="32"/>
          <w:highlight w:val="none"/>
        </w:rPr>
      </w:pPr>
    </w:p>
    <w:p w14:paraId="723CBAA1">
      <w:pPr>
        <w:kinsoku w:val="0"/>
        <w:overflowPunct w:val="0"/>
        <w:adjustRightInd w:val="0"/>
        <w:snapToGrid w:val="0"/>
        <w:spacing w:line="360" w:lineRule="auto"/>
        <w:ind w:right="51"/>
        <w:jc w:val="left"/>
        <w:rPr>
          <w:rFonts w:hint="eastAsia" w:ascii="仿宋_GB2312" w:hAnsi="Times New Roman" w:eastAsia="仿宋_GB2312" w:cs="仿宋_GB2312"/>
          <w:color w:val="auto"/>
          <w:sz w:val="32"/>
          <w:szCs w:val="32"/>
          <w:highlight w:val="none"/>
        </w:rPr>
      </w:pPr>
    </w:p>
    <w:p w14:paraId="1D9D4743">
      <w:pPr>
        <w:pStyle w:val="2"/>
        <w:rPr>
          <w:rFonts w:hint="eastAsia" w:ascii="仿宋_GB2312" w:hAnsi="Times New Roman" w:eastAsia="仿宋_GB2312" w:cs="仿宋_GB2312"/>
          <w:color w:val="auto"/>
          <w:sz w:val="32"/>
          <w:szCs w:val="32"/>
          <w:highlight w:val="none"/>
        </w:rPr>
      </w:pPr>
    </w:p>
    <w:p w14:paraId="5FFF3ADE">
      <w:pPr>
        <w:kinsoku w:val="0"/>
        <w:overflowPunct w:val="0"/>
        <w:adjustRightInd w:val="0"/>
        <w:snapToGrid w:val="0"/>
        <w:spacing w:line="360" w:lineRule="auto"/>
        <w:ind w:right="51"/>
        <w:jc w:val="left"/>
        <w:rPr>
          <w:rFonts w:hint="eastAsia" w:ascii="仿宋_GB2312" w:hAnsi="Times New Roman" w:eastAsia="仿宋_GB2312" w:cs="仿宋_GB2312"/>
          <w:color w:val="auto"/>
          <w:sz w:val="32"/>
          <w:szCs w:val="32"/>
          <w:highlight w:val="none"/>
        </w:rPr>
      </w:pPr>
    </w:p>
    <w:p w14:paraId="47B3D476">
      <w:pPr>
        <w:pStyle w:val="13"/>
        <w:rPr>
          <w:rFonts w:hint="eastAsia"/>
          <w:color w:val="auto"/>
        </w:rPr>
      </w:pPr>
    </w:p>
    <w:p w14:paraId="1D214B8A">
      <w:pPr>
        <w:adjustRightInd w:val="0"/>
        <w:snapToGrid w:val="0"/>
        <w:spacing w:line="360" w:lineRule="auto"/>
        <w:jc w:val="center"/>
        <w:rPr>
          <w:rFonts w:hint="eastAsia" w:ascii="黑体" w:hAnsi="黑体" w:eastAsia="黑体"/>
          <w:color w:val="auto"/>
          <w:sz w:val="32"/>
          <w:szCs w:val="32"/>
          <w:highlight w:val="none"/>
        </w:rPr>
      </w:pPr>
    </w:p>
    <w:p w14:paraId="23E85AB8">
      <w:pPr>
        <w:adjustRightInd w:val="0"/>
        <w:snapToGrid w:val="0"/>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第一部分</w:t>
      </w:r>
    </w:p>
    <w:p w14:paraId="1B1378FB">
      <w:pPr>
        <w:widowControl/>
        <w:spacing w:line="600" w:lineRule="exact"/>
        <w:ind w:right="42" w:rightChars="20" w:firstLine="2880" w:firstLineChars="900"/>
        <w:rPr>
          <w:rFonts w:hint="eastAsia" w:ascii="仿宋_GB2312" w:hAnsi="仿宋_GB2312" w:eastAsia="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财政预算编制</w:t>
      </w:r>
      <w:r>
        <w:rPr>
          <w:rFonts w:hint="eastAsia" w:ascii="黑体" w:hAnsi="黑体" w:eastAsia="黑体"/>
          <w:bCs/>
          <w:color w:val="auto"/>
          <w:sz w:val="32"/>
          <w:szCs w:val="32"/>
          <w:highlight w:val="none"/>
        </w:rPr>
        <w:t>概</w:t>
      </w:r>
      <w:r>
        <w:rPr>
          <w:rFonts w:hint="eastAsia" w:ascii="黑体" w:hAnsi="黑体" w:eastAsia="黑体"/>
          <w:color w:val="auto"/>
          <w:sz w:val="32"/>
          <w:szCs w:val="32"/>
          <w:highlight w:val="none"/>
        </w:rPr>
        <w:t>况</w:t>
      </w:r>
    </w:p>
    <w:p w14:paraId="2042280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hAnsi="仿宋_GB2312" w:eastAsia="仿宋_GB2312"/>
          <w:color w:val="auto"/>
          <w:sz w:val="32"/>
          <w:szCs w:val="30"/>
          <w:highlight w:val="none"/>
        </w:rPr>
      </w:pPr>
      <w:r>
        <w:rPr>
          <w:rFonts w:hint="eastAsia" w:ascii="仿宋_GB2312" w:hAnsi="仿宋_GB2312" w:eastAsia="仿宋_GB2312" w:cs="Times New Roman"/>
          <w:color w:val="auto"/>
          <w:sz w:val="32"/>
          <w:szCs w:val="30"/>
          <w:highlight w:val="none"/>
        </w:rPr>
        <w:t xml:space="preserve"> </w:t>
      </w:r>
      <w:r>
        <w:rPr>
          <w:rFonts w:hint="eastAsia" w:ascii="仿宋_GB2312" w:hAnsi="仿宋_GB2312" w:eastAsia="仿宋_GB2312" w:cs="Times New Roman"/>
          <w:color w:val="auto"/>
          <w:sz w:val="32"/>
          <w:szCs w:val="30"/>
          <w:highlight w:val="none"/>
          <w:lang w:val="en-US" w:eastAsia="zh-CN"/>
        </w:rPr>
        <w:t>2025年财政收支矛盾更加突出，</w:t>
      </w:r>
      <w:r>
        <w:rPr>
          <w:rFonts w:hint="eastAsia" w:ascii="仿宋_GB2312" w:hAnsi="仿宋_GB2312" w:eastAsia="仿宋_GB2312" w:cs="Times New Roman"/>
          <w:color w:val="auto"/>
          <w:sz w:val="32"/>
          <w:szCs w:val="30"/>
          <w:highlight w:val="none"/>
        </w:rPr>
        <w:t>为保障各方面合理支出，在考虑需求与可能，统筹兼顾确保财政收支平衡</w:t>
      </w:r>
      <w:r>
        <w:rPr>
          <w:rFonts w:hint="eastAsia" w:ascii="仿宋_GB2312" w:hAnsi="仿宋_GB2312" w:eastAsia="仿宋_GB2312" w:cs="Times New Roman"/>
          <w:color w:val="auto"/>
          <w:sz w:val="32"/>
          <w:szCs w:val="30"/>
          <w:highlight w:val="none"/>
          <w:lang w:val="en-US" w:eastAsia="zh-CN"/>
        </w:rPr>
        <w:t>的同时</w:t>
      </w:r>
      <w:r>
        <w:rPr>
          <w:rFonts w:hint="eastAsia" w:ascii="仿宋_GB2312" w:hAnsi="仿宋_GB2312" w:eastAsia="仿宋_GB2312" w:cs="Times New Roman"/>
          <w:color w:val="auto"/>
          <w:sz w:val="32"/>
          <w:szCs w:val="30"/>
          <w:highlight w:val="none"/>
        </w:rPr>
        <w:t>，重点在加大财政资源统筹力度、提高财政资源配置效率、推动预算绩效管理提质增效、</w:t>
      </w:r>
      <w:r>
        <w:rPr>
          <w:rFonts w:hint="eastAsia" w:ascii="仿宋_GB2312" w:hAnsi="仿宋_GB2312" w:eastAsia="仿宋_GB2312" w:cs="Times New Roman"/>
          <w:color w:val="auto"/>
          <w:sz w:val="32"/>
          <w:szCs w:val="30"/>
          <w:highlight w:val="none"/>
          <w:lang w:eastAsia="zh-CN"/>
        </w:rPr>
        <w:t>防范化解风险</w:t>
      </w:r>
      <w:r>
        <w:rPr>
          <w:rFonts w:hint="eastAsia" w:ascii="仿宋_GB2312" w:hAnsi="仿宋_GB2312" w:eastAsia="仿宋_GB2312" w:cs="Times New Roman"/>
          <w:color w:val="auto"/>
          <w:sz w:val="32"/>
          <w:szCs w:val="30"/>
          <w:highlight w:val="none"/>
        </w:rPr>
        <w:t>等方面进一步加强管理，提高年度预算安排的科学性、前瞻性和有效性。</w:t>
      </w:r>
      <w:r>
        <w:rPr>
          <w:rFonts w:hint="eastAsia" w:ascii="仿宋_GB2312" w:hAnsi="仿宋_GB2312" w:eastAsia="仿宋_GB2312"/>
          <w:color w:val="auto"/>
          <w:sz w:val="32"/>
          <w:szCs w:val="30"/>
          <w:highlight w:val="none"/>
        </w:rPr>
        <w:t>现将</w:t>
      </w:r>
      <w:r>
        <w:rPr>
          <w:rFonts w:hint="eastAsia" w:ascii="仿宋_GB2312" w:hAnsi="仿宋_GB2312" w:eastAsia="仿宋_GB2312"/>
          <w:color w:val="auto"/>
          <w:sz w:val="32"/>
          <w:szCs w:val="30"/>
          <w:highlight w:val="none"/>
          <w:lang w:eastAsia="zh-CN"/>
        </w:rPr>
        <w:t>殷都</w:t>
      </w:r>
      <w:r>
        <w:rPr>
          <w:rFonts w:hint="eastAsia" w:ascii="仿宋_GB2312" w:hAnsi="仿宋_GB2312" w:eastAsia="仿宋_GB2312"/>
          <w:color w:val="auto"/>
          <w:sz w:val="32"/>
          <w:szCs w:val="30"/>
          <w:highlight w:val="none"/>
        </w:rPr>
        <w:t>区</w:t>
      </w:r>
      <w:r>
        <w:rPr>
          <w:rFonts w:hint="eastAsia" w:ascii="仿宋_GB2312" w:hAnsi="仿宋_GB2312" w:eastAsia="仿宋_GB2312"/>
          <w:color w:val="auto"/>
          <w:sz w:val="32"/>
          <w:szCs w:val="30"/>
          <w:highlight w:val="none"/>
          <w:lang w:eastAsia="zh-CN"/>
        </w:rPr>
        <w:t>2025</w:t>
      </w:r>
      <w:r>
        <w:rPr>
          <w:rFonts w:hint="eastAsia" w:ascii="仿宋_GB2312" w:hAnsi="仿宋_GB2312" w:eastAsia="仿宋_GB2312"/>
          <w:color w:val="auto"/>
          <w:sz w:val="32"/>
          <w:szCs w:val="30"/>
          <w:highlight w:val="none"/>
        </w:rPr>
        <w:t>年财政预算编制情况汇报如下：</w:t>
      </w:r>
    </w:p>
    <w:p w14:paraId="23025ADB">
      <w:pPr>
        <w:numPr>
          <w:ilvl w:val="0"/>
          <w:numId w:val="2"/>
        </w:numPr>
        <w:rPr>
          <w:rFonts w:hint="eastAsia" w:ascii="黑体" w:hAnsi="黑体" w:eastAsia="黑体"/>
          <w:color w:val="auto"/>
          <w:sz w:val="32"/>
          <w:szCs w:val="30"/>
          <w:highlight w:val="none"/>
        </w:rPr>
      </w:pPr>
      <w:r>
        <w:rPr>
          <w:rFonts w:hint="eastAsia" w:ascii="黑体" w:hAnsi="黑体" w:eastAsia="黑体"/>
          <w:color w:val="auto"/>
          <w:sz w:val="32"/>
          <w:szCs w:val="30"/>
          <w:highlight w:val="none"/>
        </w:rPr>
        <w:t>预算编制原则及依据</w:t>
      </w:r>
    </w:p>
    <w:p w14:paraId="1A6EF580">
      <w:pPr>
        <w:rPr>
          <w:rFonts w:hint="eastAsia" w:ascii="仿宋_GB2312" w:hAnsi="黑体" w:eastAsia="仿宋_GB2312"/>
          <w:b/>
          <w:color w:val="auto"/>
          <w:sz w:val="32"/>
          <w:szCs w:val="30"/>
          <w:highlight w:val="none"/>
        </w:rPr>
      </w:pPr>
      <w:r>
        <w:rPr>
          <w:rFonts w:hint="eastAsia" w:ascii="仿宋_GB2312" w:hAnsi="黑体" w:eastAsia="仿宋_GB2312"/>
          <w:b/>
          <w:color w:val="auto"/>
          <w:sz w:val="32"/>
          <w:szCs w:val="30"/>
          <w:highlight w:val="none"/>
          <w:lang w:val="en-US" w:eastAsia="zh-CN"/>
        </w:rPr>
        <w:t xml:space="preserve">   </w:t>
      </w:r>
      <w:r>
        <w:rPr>
          <w:rFonts w:hint="eastAsia" w:ascii="仿宋_GB2312" w:hAnsi="黑体" w:eastAsia="仿宋_GB2312"/>
          <w:b/>
          <w:color w:val="auto"/>
          <w:sz w:val="32"/>
          <w:szCs w:val="30"/>
          <w:highlight w:val="none"/>
        </w:rPr>
        <w:t>（一）预算编制原则</w:t>
      </w:r>
    </w:p>
    <w:p w14:paraId="2E2CC52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2025年财政收支矛盾依然突出，为保各方面合理支出，特别是中央和省、市、区决策部署的落实，在考虑需求与可能，统筹兼顾确保财政收支平衡的同时，进一步优化财政资金使用结构和方式，努力提高财政资源配置效率和使用效益。预算编制坚持以下原则:</w:t>
      </w:r>
    </w:p>
    <w:p w14:paraId="216BC41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eastAsia="zh-CN"/>
        </w:rPr>
      </w:pPr>
      <w:r>
        <w:rPr>
          <w:rFonts w:hint="eastAsia" w:ascii="仿宋_GB2312" w:hAnsi="仿宋_GB2312" w:eastAsia="仿宋_GB2312" w:cs="Times New Roman"/>
          <w:color w:val="auto"/>
          <w:sz w:val="32"/>
          <w:szCs w:val="30"/>
          <w:highlight w:val="none"/>
          <w:lang w:val="en-US" w:eastAsia="zh-CN"/>
        </w:rPr>
        <w:t>1.落实决策部署，</w:t>
      </w:r>
      <w:r>
        <w:rPr>
          <w:rFonts w:hint="eastAsia" w:ascii="仿宋_GB2312" w:hAnsi="仿宋_GB2312" w:eastAsia="仿宋_GB2312" w:cs="Times New Roman"/>
          <w:color w:val="auto"/>
          <w:sz w:val="32"/>
          <w:szCs w:val="30"/>
          <w:highlight w:val="none"/>
          <w:lang w:eastAsia="zh-CN"/>
        </w:rPr>
        <w:t>优先保障重点支出。</w:t>
      </w:r>
    </w:p>
    <w:p w14:paraId="1708C1A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eastAsia="zh-CN"/>
        </w:rPr>
      </w:pPr>
      <w:r>
        <w:rPr>
          <w:rFonts w:hint="eastAsia" w:ascii="仿宋_GB2312" w:hAnsi="仿宋_GB2312" w:eastAsia="仿宋_GB2312" w:cs="Times New Roman"/>
          <w:color w:val="auto"/>
          <w:sz w:val="32"/>
          <w:szCs w:val="30"/>
          <w:highlight w:val="none"/>
          <w:lang w:eastAsia="zh-CN"/>
        </w:rPr>
        <w:t>将落实党中央、国务院决策部署、省委省政府、市委市政府</w:t>
      </w:r>
      <w:r>
        <w:rPr>
          <w:rFonts w:hint="eastAsia" w:ascii="仿宋_GB2312" w:hAnsi="仿宋_GB2312" w:eastAsia="仿宋_GB2312" w:cs="Times New Roman"/>
          <w:color w:val="auto"/>
          <w:sz w:val="32"/>
          <w:szCs w:val="30"/>
          <w:highlight w:val="none"/>
          <w:lang w:val="en-US" w:eastAsia="zh-CN"/>
        </w:rPr>
        <w:t>和区委区政府</w:t>
      </w:r>
      <w:r>
        <w:rPr>
          <w:rFonts w:hint="eastAsia" w:ascii="仿宋_GB2312" w:hAnsi="仿宋_GB2312" w:eastAsia="仿宋_GB2312" w:cs="Times New Roman"/>
          <w:color w:val="auto"/>
          <w:sz w:val="32"/>
          <w:szCs w:val="30"/>
          <w:highlight w:val="none"/>
          <w:lang w:eastAsia="zh-CN"/>
        </w:rPr>
        <w:t>有关要求，作为年度预算编制的首要任务，集中财力保障</w:t>
      </w:r>
      <w:r>
        <w:rPr>
          <w:rFonts w:hint="eastAsia" w:ascii="仿宋_GB2312" w:hAnsi="仿宋_GB2312" w:eastAsia="仿宋_GB2312" w:cs="Times New Roman"/>
          <w:color w:val="auto"/>
          <w:sz w:val="32"/>
          <w:szCs w:val="30"/>
          <w:highlight w:val="none"/>
          <w:lang w:val="en-US" w:eastAsia="zh-CN"/>
        </w:rPr>
        <w:t>各种</w:t>
      </w:r>
      <w:r>
        <w:rPr>
          <w:rFonts w:hint="eastAsia" w:ascii="仿宋_GB2312" w:hAnsi="仿宋_GB2312" w:eastAsia="仿宋_GB2312" w:cs="Times New Roman"/>
          <w:color w:val="auto"/>
          <w:sz w:val="32"/>
          <w:szCs w:val="30"/>
          <w:highlight w:val="none"/>
          <w:lang w:eastAsia="zh-CN"/>
        </w:rPr>
        <w:t>政策落实</w:t>
      </w:r>
      <w:r>
        <w:rPr>
          <w:rFonts w:hint="eastAsia" w:ascii="仿宋_GB2312" w:hAnsi="仿宋_GB2312" w:eastAsia="仿宋_GB2312" w:cs="Times New Roman"/>
          <w:color w:val="auto"/>
          <w:sz w:val="32"/>
          <w:szCs w:val="30"/>
          <w:highlight w:val="none"/>
          <w:lang w:val="en-US" w:eastAsia="zh-CN"/>
        </w:rPr>
        <w:t>和区</w:t>
      </w:r>
      <w:r>
        <w:rPr>
          <w:rFonts w:hint="eastAsia" w:ascii="仿宋_GB2312" w:hAnsi="仿宋_GB2312" w:eastAsia="仿宋_GB2312" w:cs="Times New Roman"/>
          <w:color w:val="auto"/>
          <w:sz w:val="32"/>
          <w:szCs w:val="30"/>
          <w:highlight w:val="none"/>
          <w:lang w:eastAsia="zh-CN"/>
        </w:rPr>
        <w:t>级重大项目。</w:t>
      </w:r>
    </w:p>
    <w:p w14:paraId="49992D9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lang w:val="en-US" w:eastAsia="zh-CN"/>
        </w:rPr>
        <w:t>2.</w:t>
      </w:r>
      <w:r>
        <w:rPr>
          <w:rFonts w:hint="eastAsia" w:ascii="仿宋_GB2312" w:hAnsi="仿宋_GB2312" w:eastAsia="仿宋_GB2312" w:cs="Times New Roman"/>
          <w:color w:val="auto"/>
          <w:sz w:val="32"/>
          <w:szCs w:val="30"/>
          <w:highlight w:val="none"/>
        </w:rPr>
        <w:t>兜牢“三保”底线，足额编列“三保”预算</w:t>
      </w:r>
      <w:r>
        <w:rPr>
          <w:rFonts w:hint="eastAsia" w:ascii="仿宋_GB2312" w:hAnsi="仿宋_GB2312" w:eastAsia="仿宋_GB2312" w:cs="Times New Roman"/>
          <w:color w:val="auto"/>
          <w:sz w:val="32"/>
          <w:szCs w:val="30"/>
          <w:highlight w:val="none"/>
          <w:lang w:eastAsia="zh-CN"/>
        </w:rPr>
        <w:t>。</w:t>
      </w:r>
    </w:p>
    <w:p w14:paraId="55FEF13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rPr>
        <w:t>2025年预算编制按省厅要求将“三保”支出足额编列预算，“三保”支出对照保障清单，全部纳入预算，不留缺口。</w:t>
      </w:r>
    </w:p>
    <w:p w14:paraId="526B1CE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lang w:val="en-US" w:eastAsia="zh-CN"/>
        </w:rPr>
        <w:t>3.</w:t>
      </w:r>
      <w:r>
        <w:rPr>
          <w:rFonts w:hint="eastAsia" w:ascii="仿宋_GB2312" w:hAnsi="仿宋_GB2312" w:eastAsia="仿宋_GB2312" w:cs="Times New Roman"/>
          <w:color w:val="auto"/>
          <w:sz w:val="32"/>
          <w:szCs w:val="30"/>
          <w:highlight w:val="none"/>
        </w:rPr>
        <w:t>坚持过“紧日子”，合理压缩</w:t>
      </w:r>
      <w:r>
        <w:rPr>
          <w:rFonts w:hint="eastAsia" w:ascii="仿宋_GB2312" w:hAnsi="仿宋_GB2312" w:eastAsia="仿宋_GB2312" w:cs="Times New Roman"/>
          <w:color w:val="auto"/>
          <w:sz w:val="32"/>
          <w:szCs w:val="30"/>
          <w:highlight w:val="none"/>
          <w:lang w:val="en-US" w:eastAsia="zh-CN"/>
        </w:rPr>
        <w:t>预算</w:t>
      </w:r>
      <w:r>
        <w:rPr>
          <w:rFonts w:hint="eastAsia" w:ascii="仿宋_GB2312" w:hAnsi="仿宋_GB2312" w:eastAsia="仿宋_GB2312" w:cs="Times New Roman"/>
          <w:color w:val="auto"/>
          <w:sz w:val="32"/>
          <w:szCs w:val="30"/>
          <w:highlight w:val="none"/>
        </w:rPr>
        <w:t>支出。</w:t>
      </w:r>
    </w:p>
    <w:p w14:paraId="6B4FDD7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rPr>
        <w:t>继续贯彻落实过“紧日子”思想</w:t>
      </w:r>
      <w:r>
        <w:rPr>
          <w:rFonts w:hint="eastAsia" w:ascii="仿宋_GB2312" w:hAnsi="仿宋_GB2312" w:eastAsia="仿宋_GB2312" w:cs="Times New Roman"/>
          <w:color w:val="auto"/>
          <w:sz w:val="32"/>
          <w:szCs w:val="30"/>
          <w:highlight w:val="none"/>
          <w:lang w:eastAsia="zh-CN"/>
        </w:rPr>
        <w:t>，</w:t>
      </w:r>
      <w:r>
        <w:rPr>
          <w:rFonts w:hint="eastAsia" w:ascii="仿宋_GB2312" w:hAnsi="仿宋_GB2312" w:eastAsia="仿宋_GB2312" w:cs="Times New Roman"/>
          <w:color w:val="auto"/>
          <w:sz w:val="32"/>
          <w:szCs w:val="30"/>
          <w:highlight w:val="none"/>
        </w:rPr>
        <w:t>一般性支出预算按“零增长”或“负增长”原则编制。一是公用经费</w:t>
      </w:r>
      <w:r>
        <w:rPr>
          <w:rFonts w:hint="eastAsia" w:ascii="仿宋_GB2312" w:hAnsi="仿宋_GB2312" w:eastAsia="仿宋_GB2312" w:cs="Times New Roman"/>
          <w:color w:val="auto"/>
          <w:sz w:val="32"/>
          <w:szCs w:val="30"/>
          <w:highlight w:val="none"/>
          <w:lang w:val="en-US" w:eastAsia="zh-CN"/>
        </w:rPr>
        <w:t>按</w:t>
      </w:r>
      <w:r>
        <w:rPr>
          <w:rFonts w:hint="eastAsia" w:ascii="仿宋_GB2312" w:hAnsi="仿宋_GB2312" w:eastAsia="仿宋_GB2312" w:cs="Times New Roman"/>
          <w:color w:val="auto"/>
          <w:sz w:val="32"/>
          <w:szCs w:val="30"/>
          <w:highlight w:val="none"/>
        </w:rPr>
        <w:t>人员定额</w:t>
      </w:r>
      <w:r>
        <w:rPr>
          <w:rFonts w:hint="eastAsia" w:ascii="仿宋_GB2312" w:hAnsi="仿宋_GB2312" w:eastAsia="仿宋_GB2312" w:cs="Times New Roman"/>
          <w:color w:val="auto"/>
          <w:sz w:val="32"/>
          <w:szCs w:val="30"/>
          <w:highlight w:val="none"/>
          <w:lang w:val="en-US" w:eastAsia="zh-CN"/>
        </w:rPr>
        <w:t>编制</w:t>
      </w:r>
      <w:r>
        <w:rPr>
          <w:rFonts w:hint="eastAsia" w:ascii="仿宋_GB2312" w:hAnsi="仿宋_GB2312" w:eastAsia="仿宋_GB2312" w:cs="Times New Roman"/>
          <w:color w:val="auto"/>
          <w:sz w:val="32"/>
          <w:szCs w:val="30"/>
          <w:highlight w:val="none"/>
        </w:rPr>
        <w:t>，严控办公费、印刷费、会议费、培训费、委托业务费等经费支出。二是严格控制编外人员总量，各单位不再增加编外聘用人员，</w:t>
      </w:r>
      <w:r>
        <w:rPr>
          <w:rFonts w:hint="eastAsia" w:ascii="仿宋_GB2312" w:hAnsi="仿宋_GB2312" w:eastAsia="仿宋_GB2312" w:cs="Times New Roman"/>
          <w:color w:val="auto"/>
          <w:sz w:val="32"/>
          <w:szCs w:val="30"/>
          <w:highlight w:val="none"/>
          <w:lang w:val="en-US" w:eastAsia="zh-CN"/>
        </w:rPr>
        <w:t>相关经费只减不增。三是项目支出编制除刚性支出、上级督导、巡视督查整改和区级必须配套外其他不安排。四是超长期国债、专项债券、中央预算内投资等上级资金、硬性要求有规定及区委区政府研究决定的项目单独编列，其他项目由财政预留编制，根据项目进展情况统筹安排。</w:t>
      </w:r>
    </w:p>
    <w:p w14:paraId="10565CC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lang w:val="en-US" w:eastAsia="zh-CN"/>
        </w:rPr>
        <w:t>4.推动绩效管理，强化监督结果应用。</w:t>
      </w:r>
    </w:p>
    <w:p w14:paraId="3C8B63D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rPr>
      </w:pPr>
      <w:r>
        <w:rPr>
          <w:rFonts w:hint="eastAsia" w:ascii="仿宋_GB2312" w:hAnsi="仿宋_GB2312" w:eastAsia="仿宋_GB2312" w:cs="Times New Roman"/>
          <w:color w:val="auto"/>
          <w:sz w:val="32"/>
          <w:szCs w:val="30"/>
          <w:highlight w:val="none"/>
          <w:lang w:val="en-US" w:eastAsia="zh-CN"/>
        </w:rPr>
        <w:t>加强预算绩效的动态管理，将绩效评价结果与改进管理、完善政策、以后年度预算安排有机衔接，对目标偏离较大的项目资金予以取消、压缩、优化、调整。</w:t>
      </w:r>
      <w:r>
        <w:rPr>
          <w:rFonts w:hint="eastAsia" w:ascii="仿宋_GB2312" w:hAnsi="仿宋_GB2312" w:eastAsia="仿宋_GB2312" w:cs="Times New Roman"/>
          <w:color w:val="auto"/>
          <w:sz w:val="32"/>
          <w:szCs w:val="30"/>
          <w:highlight w:val="none"/>
          <w:lang w:eastAsia="zh-CN"/>
        </w:rPr>
        <w:t>将人大监督、审计监督、财会监督等发现问题整改落实情况作为预算安排的重要依据。</w:t>
      </w:r>
    </w:p>
    <w:p w14:paraId="34B957D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5.规范政府采购，提高预算资金效益</w:t>
      </w:r>
    </w:p>
    <w:p w14:paraId="11326E2B">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编制政府采购预算项目要进行充分调研和分析，确保采购项目符合实际需求，避免重复采购或浪费。加强对政府采购资金进行准确标识，规避在实际执行中因采购标识不准确影响工作推动。设定明确采购项目绩效目标，确保采购资金能达到预期效果。</w:t>
      </w:r>
    </w:p>
    <w:p w14:paraId="1AFDA185">
      <w:pPr>
        <w:spacing w:line="580" w:lineRule="exact"/>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（二）预算编制依据</w:t>
      </w:r>
    </w:p>
    <w:p w14:paraId="499AFE34">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1、《中华人民共和国预算法》及实施条例、《国务院关于进一步深化预算管理制度改革意见》（国发〔2024〕5号）、《河南省推进省级部门支出零基预算管理改革方案》等及国务院、省、市2025年预算编制精神。</w:t>
      </w:r>
    </w:p>
    <w:p w14:paraId="722D0AA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2、中央“八项规定”、国务院《党政机关厉行节约反对浪费条例》和中办、国办《党政机关国内公务接待管理规定》。</w:t>
      </w:r>
    </w:p>
    <w:p w14:paraId="5FF9D33C">
      <w:pPr>
        <w:ind w:firstLine="640" w:firstLineChars="200"/>
        <w:rPr>
          <w:rFonts w:hint="eastAsia" w:ascii="黑体" w:hAnsi="黑体" w:eastAsia="黑体" w:cs="Arial"/>
          <w:color w:val="auto"/>
          <w:kern w:val="0"/>
          <w:sz w:val="32"/>
          <w:szCs w:val="30"/>
          <w:highlight w:val="none"/>
        </w:rPr>
      </w:pPr>
      <w:r>
        <w:rPr>
          <w:rFonts w:hint="eastAsia" w:ascii="黑体" w:hAnsi="黑体" w:eastAsia="黑体" w:cs="Arial"/>
          <w:color w:val="auto"/>
          <w:kern w:val="0"/>
          <w:sz w:val="32"/>
          <w:szCs w:val="30"/>
          <w:highlight w:val="none"/>
        </w:rPr>
        <w:t>二、支出预算安排标准</w:t>
      </w:r>
    </w:p>
    <w:p w14:paraId="2540E612">
      <w:pPr>
        <w:spacing w:line="560" w:lineRule="exact"/>
        <w:ind w:firstLine="643"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楷体" w:eastAsia="仿宋_GB2312" w:cs="楷体"/>
          <w:b/>
          <w:color w:val="auto"/>
          <w:sz w:val="32"/>
          <w:szCs w:val="32"/>
          <w:highlight w:val="none"/>
        </w:rPr>
        <w:t>（一）</w:t>
      </w:r>
      <w:r>
        <w:rPr>
          <w:rFonts w:hint="eastAsia" w:ascii="仿宋_GB2312" w:hAnsi="楷体" w:eastAsia="仿宋_GB2312" w:cs="楷体"/>
          <w:b/>
          <w:bCs/>
          <w:color w:val="auto"/>
          <w:sz w:val="32"/>
          <w:szCs w:val="32"/>
          <w:highlight w:val="none"/>
          <w:lang w:val="en-US" w:eastAsia="zh-CN"/>
        </w:rPr>
        <w:t>基本支出</w:t>
      </w:r>
      <w:r>
        <w:rPr>
          <w:rFonts w:hint="eastAsia" w:ascii="仿宋_GB2312" w:hAnsi="楷体" w:eastAsia="仿宋_GB2312" w:cs="楷体"/>
          <w:b/>
          <w:bCs/>
          <w:color w:val="auto"/>
          <w:sz w:val="32"/>
          <w:szCs w:val="32"/>
          <w:highlight w:val="none"/>
        </w:rPr>
        <w:t>预算的编制</w:t>
      </w:r>
      <w:r>
        <w:rPr>
          <w:rFonts w:hint="eastAsia" w:ascii="仿宋_GB2312" w:hAnsi="楷体" w:eastAsia="仿宋_GB2312" w:cs="楷体"/>
          <w:b/>
          <w:bCs/>
          <w:color w:val="auto"/>
          <w:sz w:val="32"/>
          <w:szCs w:val="32"/>
          <w:highlight w:val="none"/>
          <w:lang w:eastAsia="zh-CN"/>
        </w:rPr>
        <w:t>：</w:t>
      </w:r>
      <w:r>
        <w:rPr>
          <w:rFonts w:hint="eastAsia" w:ascii="仿宋_GB2312" w:hAnsi="仿宋_GB2312" w:eastAsia="仿宋_GB2312" w:cs="Times New Roman"/>
          <w:color w:val="auto"/>
          <w:sz w:val="32"/>
          <w:szCs w:val="30"/>
          <w:highlight w:val="none"/>
          <w:lang w:val="en-US" w:eastAsia="zh-CN"/>
        </w:rPr>
        <w:t>基本支出预算主要是保障单位机构正常运转、完成日常工作任务而编制的年度支出计划。主要包括人员经费、日常公用经费、零星采购等。</w:t>
      </w:r>
    </w:p>
    <w:p w14:paraId="3C66DEF0">
      <w:pPr>
        <w:spacing w:line="560" w:lineRule="exact"/>
        <w:rPr>
          <w:rFonts w:hint="eastAsia" w:ascii="仿宋_GB2312" w:hAnsi="楷体" w:eastAsia="仿宋_GB2312" w:cs="楷体"/>
          <w:b/>
          <w:bCs/>
          <w:color w:val="auto"/>
          <w:sz w:val="32"/>
          <w:szCs w:val="32"/>
          <w:highlight w:val="none"/>
        </w:rPr>
      </w:pPr>
      <w:r>
        <w:rPr>
          <w:rFonts w:hint="eastAsia" w:ascii="仿宋_GB2312" w:hAnsi="楷体" w:eastAsia="仿宋_GB2312" w:cs="楷体"/>
          <w:b/>
          <w:bCs/>
          <w:color w:val="auto"/>
          <w:sz w:val="32"/>
          <w:szCs w:val="32"/>
          <w:highlight w:val="none"/>
          <w:lang w:val="en-US" w:eastAsia="zh-CN"/>
        </w:rPr>
        <w:t xml:space="preserve">    1、</w:t>
      </w:r>
      <w:r>
        <w:rPr>
          <w:rFonts w:hint="eastAsia" w:ascii="仿宋_GB2312" w:hAnsi="楷体" w:eastAsia="仿宋_GB2312" w:cs="楷体"/>
          <w:b/>
          <w:bCs/>
          <w:color w:val="auto"/>
          <w:sz w:val="32"/>
          <w:szCs w:val="32"/>
          <w:highlight w:val="none"/>
        </w:rPr>
        <w:t>人员经费预算的编制</w:t>
      </w:r>
    </w:p>
    <w:p w14:paraId="15CCEB47">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人员经费包括工资福利支出、对个人和家庭的补助支出。人员经费支出根据区编办、人事部门核定的编制数、在职实有人数、离退休实有人数以及按照国家和省、市规定的工资标准和有关补贴政策编制。</w:t>
      </w:r>
    </w:p>
    <w:p w14:paraId="72735AF0">
      <w:pPr>
        <w:keepNext w:val="0"/>
        <w:keepLines w:val="0"/>
        <w:pageBreakBefore w:val="0"/>
        <w:widowControl w:val="0"/>
        <w:tabs>
          <w:tab w:val="left" w:pos="3150"/>
        </w:tabs>
        <w:kinsoku/>
        <w:wordWrap/>
        <w:overflowPunct/>
        <w:topLinePunct w:val="0"/>
        <w:autoSpaceDE w:val="0"/>
        <w:autoSpaceDN w:val="0"/>
        <w:bidi w:val="0"/>
        <w:adjustRightInd w:val="0"/>
        <w:snapToGrid/>
        <w:spacing w:line="240" w:lineRule="auto"/>
        <w:textAlignment w:val="auto"/>
        <w:rPr>
          <w:rFonts w:hint="eastAsia" w:ascii="仿宋_GB2312" w:hAnsi="楷体" w:eastAsia="仿宋_GB2312" w:cs="楷体"/>
          <w:b/>
          <w:color w:val="auto"/>
          <w:sz w:val="32"/>
          <w:szCs w:val="32"/>
          <w:highlight w:val="none"/>
        </w:rPr>
      </w:pPr>
      <w:r>
        <w:rPr>
          <w:rFonts w:hint="eastAsia" w:ascii="仿宋_GB2312" w:hAnsi="楷体" w:eastAsia="仿宋_GB2312" w:cs="楷体"/>
          <w:b/>
          <w:color w:val="auto"/>
          <w:sz w:val="32"/>
          <w:szCs w:val="32"/>
          <w:highlight w:val="none"/>
          <w:lang w:val="en-US" w:eastAsia="zh-CN"/>
        </w:rPr>
        <w:t xml:space="preserve">    2、</w:t>
      </w:r>
      <w:r>
        <w:rPr>
          <w:rFonts w:hint="eastAsia" w:ascii="仿宋_GB2312" w:hAnsi="楷体" w:eastAsia="仿宋_GB2312" w:cs="楷体"/>
          <w:b/>
          <w:color w:val="auto"/>
          <w:sz w:val="32"/>
          <w:szCs w:val="32"/>
          <w:highlight w:val="none"/>
        </w:rPr>
        <w:t>公用经费预算的编制</w:t>
      </w:r>
    </w:p>
    <w:p w14:paraId="5F7647F9">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公用经费包括按定额分配的单位运行支出以及经常性业务费。财政部门按照相关标准，参考上年预算数下达公用经费总量控制数。单位要在控制数内结合本单位实际情况编列到科目。</w:t>
      </w:r>
    </w:p>
    <w:p w14:paraId="1D5DBDF9">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1）单位维持性的基本运行支出采取以综合定额方式分配。水电费、邮电费、取暖费由区机关事务管理中心统一编制。党报党刊征订经费由区宣传部统一编制。其余基本运行支出包括办公费、印刷费、手续费、物业管理费、差旅费、维护费、租赁费、劳务费、福利费等。</w:t>
      </w:r>
    </w:p>
    <w:p w14:paraId="2562FAD6">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2）根据安阳市公务用车改革制度相关规定，行政机关和参公单位车改补贴，按有关部门批准的参加车改实有人数、分职级补贴标准，据实。列入预算，预算执行中不再调整。核定保留的应急、机要及委托各单位管理的公务车辆按照每车每年2.2万元标准计算运行费，由机关事务管理局统一编列。未参加改革的单位交通费仍按原标准执行。</w:t>
      </w:r>
    </w:p>
    <w:p w14:paraId="15F73899">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（3）业务公用经费。参照以前年度情况并结合单位要求编列。要求各预算单位要在梳理既有业务费的基础上，对不合理、不必要的支出进行压减，紧密结合工作职责，编制业务公用经费预算。</w:t>
      </w:r>
    </w:p>
    <w:p w14:paraId="53D381F1">
      <w:pPr>
        <w:spacing w:line="580" w:lineRule="exact"/>
        <w:ind w:firstLine="640"/>
        <w:rPr>
          <w:rFonts w:hint="eastAsia" w:ascii="仿宋_GB2312" w:hAnsi="楷体" w:eastAsia="仿宋_GB2312" w:cs="楷体"/>
          <w:b/>
          <w:color w:val="auto"/>
          <w:sz w:val="32"/>
          <w:szCs w:val="32"/>
          <w:highlight w:val="none"/>
          <w:lang w:val="en-US" w:eastAsia="zh-CN"/>
        </w:rPr>
      </w:pPr>
      <w:r>
        <w:rPr>
          <w:rFonts w:hint="eastAsia" w:ascii="仿宋_GB2312" w:hAnsi="楷体" w:eastAsia="仿宋_GB2312" w:cs="楷体"/>
          <w:b/>
          <w:color w:val="auto"/>
          <w:sz w:val="32"/>
          <w:szCs w:val="32"/>
          <w:highlight w:val="none"/>
          <w:lang w:val="en-US" w:eastAsia="zh-CN"/>
        </w:rPr>
        <w:t>3、政府采购预算的编制</w:t>
      </w:r>
    </w:p>
    <w:p w14:paraId="31EA4071">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规范政府采购预算和新增资产预算编制：（1）各预算部门（单位）要按照政府采购法律法规的规定，对照《河南省财政厅关于印发河南省政府集中采购目录及标准（2020年版）的通知》（豫财购〔2020〕4号），将政府采购范围内的支出全部编列政府采购预算，填报政府采购预算表，区财政局对政府采购预算进行监督管理。（2）各预算部门（单位）结合存量资产情况，根据资产配置标准等要求相应编制新增资产配置计划，凡是预算支出形成资产的，均应编制资产配置相关预算。对金额在三十万以下的采购列入基本支出预算。</w:t>
      </w:r>
    </w:p>
    <w:p w14:paraId="773AF941">
      <w:pPr>
        <w:pStyle w:val="21"/>
        <w:widowControl w:val="0"/>
        <w:ind w:firstLine="643" w:firstLineChars="200"/>
        <w:rPr>
          <w:rFonts w:hint="eastAsia" w:ascii="仿宋_GB2312" w:hAnsi="楷体" w:eastAsia="仿宋_GB2312" w:cs="楷体"/>
          <w:b/>
          <w:bCs/>
          <w:color w:val="auto"/>
          <w:sz w:val="32"/>
          <w:szCs w:val="32"/>
          <w:highlight w:val="none"/>
        </w:rPr>
      </w:pPr>
      <w:r>
        <w:rPr>
          <w:rFonts w:hint="eastAsia" w:ascii="仿宋_GB2312" w:hAnsi="楷体" w:eastAsia="仿宋_GB2312" w:cs="楷体"/>
          <w:b/>
          <w:bCs/>
          <w:color w:val="auto"/>
          <w:sz w:val="32"/>
          <w:szCs w:val="32"/>
          <w:highlight w:val="none"/>
        </w:rPr>
        <w:t>（</w:t>
      </w:r>
      <w:r>
        <w:rPr>
          <w:rFonts w:hint="eastAsia" w:ascii="仿宋_GB2312" w:hAnsi="楷体" w:eastAsia="仿宋_GB2312" w:cs="楷体"/>
          <w:b/>
          <w:bCs/>
          <w:color w:val="auto"/>
          <w:sz w:val="32"/>
          <w:szCs w:val="32"/>
          <w:highlight w:val="none"/>
          <w:lang w:val="en-US" w:eastAsia="zh-CN"/>
        </w:rPr>
        <w:t>二</w:t>
      </w:r>
      <w:r>
        <w:rPr>
          <w:rFonts w:hint="eastAsia" w:ascii="仿宋_GB2312" w:hAnsi="楷体" w:eastAsia="仿宋_GB2312" w:cs="楷体"/>
          <w:b/>
          <w:bCs/>
          <w:color w:val="auto"/>
          <w:sz w:val="32"/>
          <w:szCs w:val="32"/>
          <w:highlight w:val="none"/>
        </w:rPr>
        <w:t>）项目支出预算的编制</w:t>
      </w:r>
    </w:p>
    <w:p w14:paraId="43B29808">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对于2025年项目支出的预算编制，各单位在预算一体化系统中录入预算项目库，根据项目轻重缓急以及财力状况统筹安排重点支出。</w:t>
      </w:r>
    </w:p>
    <w:p w14:paraId="75AD2B05">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 xml:space="preserve">完善项目支出分类。严格项目支出审核，根据项目支出用途和范围，完善项目支出分类，按照轻重缓急分类依次保障。将项目按照支出的必要性、紧迫性等，分为A1、A2、B、C四类。 </w:t>
      </w:r>
    </w:p>
    <w:p w14:paraId="509ABE60">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 xml:space="preserve">    2、硬化列入预算项目条件。（1）各预算部门（单位）申报的项目必须有充分的立项依据、具体的支出内容、详细的资金计划、合理的绩效目标、成熟的实施方案，不具备条件的不得纳入2025年预算项目。（2）区财政局对预算部门（单位）申报的项目绩效目标进行审核，将符合条件的项目按级次纳入预算项目管理。严格落实零基预算要求，除新增落实上级重大决策部署外，预算部门（单位）申请列入预算项目中的年度项目支出申报总金额原则上不得超过上年度预算批复数。</w:t>
      </w:r>
    </w:p>
    <w:p w14:paraId="7E74B9B6">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3.明确申报责任。各预算部门（单位）是项目申报和编制项目绩效目标的主体，对进入预算编制项目的真实性、必要性和合理性负责。区财政局组织和指导各预算部门（单位）对项目执行和绩效评估情况进行评价、考核，评价结果作为安排以后年度预算的重要参考。</w:t>
      </w:r>
    </w:p>
    <w:p w14:paraId="0F02BE8D">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4.严格入库项目管理。对编入预算的项目实行动态管理，区财政局对纳入预算的项目实施情况、资金拨付及绩效评价情况实行全过程监督，保证项目资金的有效管理。预算执行中调剂安排的项目原则上从已安排的预算项目中调整。</w:t>
      </w:r>
    </w:p>
    <w:p w14:paraId="3FEDA83E">
      <w:pPr>
        <w:adjustRightInd w:val="0"/>
        <w:snapToGrid w:val="0"/>
        <w:spacing w:line="360" w:lineRule="auto"/>
        <w:jc w:val="center"/>
        <w:rPr>
          <w:rFonts w:hint="eastAsia" w:ascii="黑体" w:hAnsi="黑体" w:eastAsia="黑体" w:cs="Times New Roman"/>
          <w:color w:val="auto"/>
          <w:sz w:val="32"/>
          <w:szCs w:val="32"/>
          <w:highlight w:val="none"/>
        </w:rPr>
      </w:pPr>
    </w:p>
    <w:p w14:paraId="1F2948C8">
      <w:pPr>
        <w:adjustRightInd w:val="0"/>
        <w:snapToGrid w:val="0"/>
        <w:spacing w:line="360" w:lineRule="auto"/>
        <w:jc w:val="center"/>
        <w:rPr>
          <w:rFonts w:hint="eastAsia" w:ascii="黑体" w:hAnsi="黑体" w:eastAsia="黑体" w:cs="Times New Roman"/>
          <w:color w:val="auto"/>
          <w:sz w:val="32"/>
          <w:szCs w:val="32"/>
          <w:highlight w:val="none"/>
        </w:rPr>
      </w:pPr>
    </w:p>
    <w:p w14:paraId="298AF3BD">
      <w:pPr>
        <w:adjustRightInd w:val="0"/>
        <w:snapToGrid w:val="0"/>
        <w:spacing w:line="360" w:lineRule="auto"/>
        <w:jc w:val="center"/>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 xml:space="preserve">第二部分 </w:t>
      </w:r>
      <w:r>
        <w:rPr>
          <w:rFonts w:hint="eastAsia" w:ascii="黑体" w:hAnsi="黑体" w:eastAsia="黑体" w:cs="Times New Roman"/>
          <w:color w:val="auto"/>
          <w:sz w:val="32"/>
          <w:szCs w:val="32"/>
          <w:highlight w:val="none"/>
          <w:lang w:eastAsia="zh-CN"/>
        </w:rPr>
        <w:t>殷都</w:t>
      </w:r>
      <w:r>
        <w:rPr>
          <w:rFonts w:hint="eastAsia" w:ascii="黑体" w:hAnsi="黑体" w:eastAsia="黑体" w:cs="Times New Roman"/>
          <w:color w:val="auto"/>
          <w:sz w:val="32"/>
          <w:szCs w:val="32"/>
          <w:highlight w:val="none"/>
        </w:rPr>
        <w:t>区</w:t>
      </w:r>
      <w:r>
        <w:rPr>
          <w:rFonts w:hint="eastAsia" w:ascii="黑体" w:hAnsi="黑体" w:eastAsia="黑体" w:cs="Times New Roman"/>
          <w:color w:val="auto"/>
          <w:sz w:val="32"/>
          <w:szCs w:val="32"/>
          <w:highlight w:val="none"/>
          <w:lang w:eastAsia="zh-CN"/>
        </w:rPr>
        <w:t>2025</w:t>
      </w:r>
      <w:r>
        <w:rPr>
          <w:rFonts w:hint="eastAsia" w:ascii="黑体" w:hAnsi="黑体" w:eastAsia="黑体" w:cs="Times New Roman"/>
          <w:color w:val="auto"/>
          <w:sz w:val="32"/>
          <w:szCs w:val="32"/>
          <w:highlight w:val="none"/>
        </w:rPr>
        <w:t>年度总预算情况说明</w:t>
      </w:r>
    </w:p>
    <w:p w14:paraId="6545B98C">
      <w:pPr>
        <w:spacing w:line="560" w:lineRule="exact"/>
        <w:ind w:firstLine="640" w:firstLineChars="200"/>
        <w:rPr>
          <w:rFonts w:hint="eastAsia" w:ascii="仿宋_GB2312" w:hAnsi="仿宋_GB2312" w:eastAsia="仿宋_GB2312" w:cs="Times New Roman"/>
          <w:color w:val="auto"/>
          <w:sz w:val="32"/>
          <w:szCs w:val="30"/>
          <w:highlight w:val="none"/>
          <w:lang w:val="en-US" w:eastAsia="zh-CN"/>
        </w:rPr>
      </w:pPr>
      <w:r>
        <w:rPr>
          <w:rFonts w:hint="eastAsia" w:ascii="仿宋_GB2312" w:hAnsi="仿宋_GB2312" w:eastAsia="仿宋_GB2312" w:cs="Times New Roman"/>
          <w:color w:val="auto"/>
          <w:sz w:val="32"/>
          <w:szCs w:val="30"/>
          <w:highlight w:val="none"/>
          <w:lang w:val="en-US" w:eastAsia="zh-CN"/>
        </w:rPr>
        <w:t>按照预算法规定，全口径预算包括一般公共预算、政府性基金预算、国有资本经营预算、社会保险基金预算。具体预算编制情况如下：</w:t>
      </w:r>
    </w:p>
    <w:p w14:paraId="33E08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黑体" w:hAnsi="黑体" w:eastAsia="黑体" w:cs="Arial"/>
          <w:color w:val="auto"/>
          <w:kern w:val="0"/>
          <w:sz w:val="32"/>
          <w:szCs w:val="30"/>
          <w:highlight w:val="none"/>
        </w:rPr>
        <w:t>一、一般公共预算收支安排</w:t>
      </w:r>
    </w:p>
    <w:p w14:paraId="24CDE9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楷体" w:eastAsia="黑体" w:cs="楷体"/>
          <w:bCs/>
          <w:color w:val="auto"/>
          <w:kern w:val="0"/>
          <w:sz w:val="32"/>
          <w:szCs w:val="30"/>
          <w:highlight w:val="none"/>
        </w:rPr>
      </w:pPr>
      <w:r>
        <w:rPr>
          <w:rFonts w:hint="eastAsia" w:ascii="黑体" w:hAnsi="楷体" w:eastAsia="黑体" w:cs="楷体"/>
          <w:bCs/>
          <w:color w:val="auto"/>
          <w:kern w:val="0"/>
          <w:sz w:val="32"/>
          <w:szCs w:val="30"/>
          <w:highlight w:val="none"/>
        </w:rPr>
        <w:t>（一）一般公共预算收入安排</w:t>
      </w:r>
    </w:p>
    <w:p w14:paraId="6B710D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全区一般公共预算收入安排</w:t>
      </w:r>
      <w:r>
        <w:rPr>
          <w:rFonts w:hint="eastAsia" w:ascii="仿宋_GB2312" w:hAnsi="仿宋_GB2312" w:eastAsia="仿宋_GB2312" w:cs="仿宋_GB2312"/>
          <w:b w:val="0"/>
          <w:bCs w:val="0"/>
          <w:color w:val="auto"/>
          <w:sz w:val="32"/>
          <w:szCs w:val="32"/>
          <w:lang w:val="en-US" w:eastAsia="zh-CN"/>
        </w:rPr>
        <w:t>242724</w:t>
      </w:r>
      <w:r>
        <w:rPr>
          <w:rFonts w:hint="eastAsia" w:ascii="仿宋_GB2312" w:hAnsi="仿宋" w:eastAsia="仿宋_GB2312"/>
          <w:b/>
          <w:color w:val="auto"/>
          <w:sz w:val="32"/>
          <w:szCs w:val="32"/>
          <w:highlight w:val="none"/>
        </w:rPr>
        <w:t>万元，</w:t>
      </w:r>
      <w:r>
        <w:rPr>
          <w:rFonts w:hint="eastAsia" w:ascii="仿宋_GB2312" w:hAnsi="仿宋" w:eastAsia="仿宋_GB2312"/>
          <w:b/>
          <w:color w:val="auto"/>
          <w:sz w:val="32"/>
          <w:szCs w:val="32"/>
          <w:highlight w:val="none"/>
          <w:lang w:eastAsia="zh-CN"/>
        </w:rPr>
        <w:t>同比</w:t>
      </w:r>
      <w:r>
        <w:rPr>
          <w:rFonts w:hint="eastAsia" w:ascii="仿宋_GB2312" w:hAnsi="仿宋" w:eastAsia="仿宋_GB2312"/>
          <w:b/>
          <w:color w:val="auto"/>
          <w:sz w:val="32"/>
          <w:szCs w:val="32"/>
          <w:highlight w:val="none"/>
        </w:rPr>
        <w:t>增长</w:t>
      </w:r>
      <w:r>
        <w:rPr>
          <w:rFonts w:hint="eastAsia" w:ascii="仿宋_GB2312" w:hAnsi="仿宋" w:eastAsia="仿宋_GB2312"/>
          <w:b/>
          <w:color w:val="auto"/>
          <w:sz w:val="32"/>
          <w:szCs w:val="32"/>
          <w:highlight w:val="none"/>
          <w:lang w:val="en-US" w:eastAsia="zh-CN"/>
        </w:rPr>
        <w:t>5</w:t>
      </w:r>
      <w:r>
        <w:rPr>
          <w:rFonts w:hint="eastAsia" w:ascii="仿宋_GB2312" w:hAnsi="仿宋" w:eastAsia="仿宋_GB2312"/>
          <w:b/>
          <w:color w:val="auto"/>
          <w:sz w:val="32"/>
          <w:szCs w:val="32"/>
          <w:highlight w:val="none"/>
        </w:rPr>
        <w:t>%。分部门是：</w:t>
      </w:r>
    </w:p>
    <w:p w14:paraId="5F3BA2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税务部门</w:t>
      </w:r>
      <w:r>
        <w:rPr>
          <w:rFonts w:hint="eastAsia" w:ascii="仿宋_GB2312" w:hAnsi="仿宋_GB2312" w:eastAsia="仿宋_GB2312" w:cs="仿宋_GB2312"/>
          <w:color w:val="auto"/>
          <w:sz w:val="32"/>
          <w:szCs w:val="32"/>
          <w:lang w:val="en-US" w:eastAsia="zh-CN"/>
        </w:rPr>
        <w:t>155360</w:t>
      </w:r>
      <w:r>
        <w:rPr>
          <w:rFonts w:hint="eastAsia" w:ascii="仿宋_GB2312" w:hAnsi="仿宋" w:eastAsia="仿宋_GB2312"/>
          <w:color w:val="auto"/>
          <w:sz w:val="32"/>
          <w:szCs w:val="32"/>
          <w:highlight w:val="none"/>
        </w:rPr>
        <w:t>万元；</w:t>
      </w:r>
    </w:p>
    <w:p w14:paraId="00053E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财政部门</w:t>
      </w:r>
      <w:r>
        <w:rPr>
          <w:rFonts w:hint="eastAsia" w:ascii="仿宋_GB2312" w:hAnsi="仿宋_GB2312" w:eastAsia="仿宋_GB2312" w:cs="仿宋_GB2312"/>
          <w:color w:val="auto"/>
          <w:sz w:val="32"/>
          <w:szCs w:val="32"/>
          <w:lang w:val="en-US" w:eastAsia="zh-CN"/>
        </w:rPr>
        <w:t>87364</w:t>
      </w:r>
      <w:r>
        <w:rPr>
          <w:rFonts w:hint="eastAsia" w:ascii="仿宋_GB2312" w:hAnsi="仿宋" w:eastAsia="仿宋_GB2312"/>
          <w:color w:val="auto"/>
          <w:sz w:val="32"/>
          <w:szCs w:val="32"/>
          <w:highlight w:val="none"/>
        </w:rPr>
        <w:t>万元。</w:t>
      </w:r>
    </w:p>
    <w:p w14:paraId="7076870D">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黑体" w:hAnsi="楷体" w:eastAsia="黑体" w:cs="楷体"/>
          <w:bCs/>
          <w:color w:val="auto"/>
          <w:kern w:val="0"/>
          <w:sz w:val="32"/>
          <w:szCs w:val="30"/>
          <w:highlight w:val="none"/>
        </w:rPr>
      </w:pPr>
      <w:r>
        <w:rPr>
          <w:rFonts w:hint="eastAsia" w:ascii="黑体" w:hAnsi="楷体" w:eastAsia="黑体" w:cs="楷体"/>
          <w:bCs/>
          <w:color w:val="auto"/>
          <w:kern w:val="0"/>
          <w:sz w:val="32"/>
          <w:szCs w:val="30"/>
          <w:highlight w:val="none"/>
        </w:rPr>
        <w:t>（二）一般公共预算支出安排</w:t>
      </w:r>
    </w:p>
    <w:p w14:paraId="330DBA61">
      <w:pPr>
        <w:keepNext w:val="0"/>
        <w:keepLines w:val="0"/>
        <w:pageBreakBefore w:val="0"/>
        <w:kinsoku/>
        <w:wordWrap/>
        <w:overflowPunct/>
        <w:topLinePunct w:val="0"/>
        <w:autoSpaceDE/>
        <w:bidi w:val="0"/>
        <w:spacing w:line="560" w:lineRule="exact"/>
        <w:ind w:firstLine="643" w:firstLineChars="200"/>
        <w:jc w:val="left"/>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全区一般公共预算支出安排</w:t>
      </w:r>
      <w:r>
        <w:rPr>
          <w:rFonts w:hint="eastAsia" w:ascii="仿宋" w:hAnsi="仿宋" w:eastAsia="仿宋"/>
          <w:b/>
          <w:color w:val="auto"/>
          <w:sz w:val="32"/>
          <w:szCs w:val="32"/>
          <w:highlight w:val="none"/>
          <w:lang w:val="en-US" w:eastAsia="zh-CN"/>
        </w:rPr>
        <w:t>341581</w:t>
      </w:r>
      <w:r>
        <w:rPr>
          <w:rFonts w:hint="eastAsia" w:ascii="仿宋" w:hAnsi="仿宋" w:eastAsia="仿宋"/>
          <w:b/>
          <w:color w:val="auto"/>
          <w:sz w:val="32"/>
          <w:szCs w:val="32"/>
          <w:highlight w:val="none"/>
        </w:rPr>
        <w:t>万元。重点支出和“三公”经费支出安排情况如下：</w:t>
      </w:r>
    </w:p>
    <w:p w14:paraId="0EB20CB9">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一般公共服务支出</w:t>
      </w:r>
      <w:r>
        <w:rPr>
          <w:rFonts w:hint="eastAsia" w:ascii="仿宋_GB2312" w:hAnsi="仿宋_GB2312" w:eastAsia="仿宋_GB2312" w:cs="仿宋_GB2312"/>
          <w:color w:val="auto"/>
          <w:sz w:val="32"/>
          <w:szCs w:val="32"/>
          <w:lang w:val="en-US" w:eastAsia="zh-CN"/>
        </w:rPr>
        <w:t>64127</w:t>
      </w:r>
      <w:r>
        <w:rPr>
          <w:rFonts w:hint="eastAsia" w:ascii="仿宋_GB2312" w:hAnsi="仿宋_GB2312" w:eastAsia="仿宋_GB2312" w:cs="仿宋_GB2312"/>
          <w:color w:val="auto"/>
          <w:sz w:val="32"/>
          <w:szCs w:val="32"/>
        </w:rPr>
        <w:t>万元；</w:t>
      </w:r>
    </w:p>
    <w:p w14:paraId="47C0147B">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国防支出</w:t>
      </w:r>
      <w:r>
        <w:rPr>
          <w:rFonts w:hint="eastAsia" w:ascii="仿宋_GB2312" w:hAnsi="仿宋_GB2312" w:eastAsia="仿宋_GB2312" w:cs="仿宋_GB2312"/>
          <w:color w:val="auto"/>
          <w:sz w:val="32"/>
          <w:szCs w:val="32"/>
          <w:lang w:val="en-US" w:eastAsia="zh-CN"/>
        </w:rPr>
        <w:t>168万元；</w:t>
      </w:r>
    </w:p>
    <w:p w14:paraId="44592A2F">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公共安全支出7</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万元；</w:t>
      </w:r>
    </w:p>
    <w:p w14:paraId="4085C6DE">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教育支出8</w:t>
      </w:r>
      <w:r>
        <w:rPr>
          <w:rFonts w:hint="eastAsia" w:ascii="仿宋_GB2312" w:hAnsi="仿宋_GB2312" w:eastAsia="仿宋_GB2312" w:cs="仿宋_GB2312"/>
          <w:color w:val="auto"/>
          <w:sz w:val="32"/>
          <w:szCs w:val="32"/>
          <w:lang w:val="en-US" w:eastAsia="zh-CN"/>
        </w:rPr>
        <w:t>0437</w:t>
      </w:r>
      <w:r>
        <w:rPr>
          <w:rFonts w:hint="eastAsia" w:ascii="仿宋_GB2312" w:hAnsi="仿宋_GB2312" w:eastAsia="仿宋_GB2312" w:cs="仿宋_GB2312"/>
          <w:color w:val="auto"/>
          <w:sz w:val="32"/>
          <w:szCs w:val="32"/>
        </w:rPr>
        <w:t>万元；</w:t>
      </w:r>
    </w:p>
    <w:p w14:paraId="128FEE0E">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科学技术支出</w:t>
      </w:r>
      <w:r>
        <w:rPr>
          <w:rFonts w:hint="eastAsia" w:ascii="仿宋_GB2312" w:hAnsi="仿宋_GB2312" w:eastAsia="仿宋_GB2312" w:cs="仿宋_GB2312"/>
          <w:color w:val="auto"/>
          <w:sz w:val="32"/>
          <w:szCs w:val="32"/>
          <w:lang w:val="en-US" w:eastAsia="zh-CN"/>
        </w:rPr>
        <w:t>306</w:t>
      </w:r>
      <w:r>
        <w:rPr>
          <w:rFonts w:hint="eastAsia" w:ascii="仿宋_GB2312" w:hAnsi="仿宋_GB2312" w:eastAsia="仿宋_GB2312" w:cs="仿宋_GB2312"/>
          <w:color w:val="auto"/>
          <w:sz w:val="32"/>
          <w:szCs w:val="32"/>
        </w:rPr>
        <w:t>万元；</w:t>
      </w:r>
    </w:p>
    <w:p w14:paraId="0ED6415C">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文化旅游体育与传媒支出</w:t>
      </w:r>
      <w:r>
        <w:rPr>
          <w:rFonts w:hint="eastAsia" w:ascii="仿宋_GB2312" w:hAnsi="仿宋_GB2312" w:eastAsia="仿宋_GB2312" w:cs="仿宋_GB2312"/>
          <w:color w:val="auto"/>
          <w:sz w:val="32"/>
          <w:szCs w:val="32"/>
          <w:highlight w:val="none"/>
          <w:lang w:val="en-US" w:eastAsia="zh-CN"/>
        </w:rPr>
        <w:t>9839</w:t>
      </w:r>
      <w:r>
        <w:rPr>
          <w:rFonts w:hint="eastAsia" w:ascii="仿宋_GB2312" w:hAnsi="仿宋_GB2312" w:eastAsia="仿宋_GB2312" w:cs="仿宋_GB2312"/>
          <w:color w:val="auto"/>
          <w:sz w:val="32"/>
          <w:szCs w:val="32"/>
          <w:highlight w:val="none"/>
        </w:rPr>
        <w:t>万元；</w:t>
      </w:r>
    </w:p>
    <w:p w14:paraId="399E07EE">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36612</w:t>
      </w:r>
      <w:r>
        <w:rPr>
          <w:rFonts w:hint="eastAsia" w:ascii="仿宋_GB2312" w:hAnsi="仿宋_GB2312" w:eastAsia="仿宋_GB2312" w:cs="仿宋_GB2312"/>
          <w:color w:val="auto"/>
          <w:sz w:val="32"/>
          <w:szCs w:val="32"/>
          <w:highlight w:val="none"/>
        </w:rPr>
        <w:t>万元；</w:t>
      </w:r>
    </w:p>
    <w:p w14:paraId="56109CC9">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20974</w:t>
      </w:r>
      <w:r>
        <w:rPr>
          <w:rFonts w:hint="eastAsia" w:ascii="仿宋_GB2312" w:hAnsi="仿宋_GB2312" w:eastAsia="仿宋_GB2312" w:cs="仿宋_GB2312"/>
          <w:color w:val="auto"/>
          <w:sz w:val="32"/>
          <w:szCs w:val="32"/>
          <w:highlight w:val="none"/>
        </w:rPr>
        <w:t>万元；</w:t>
      </w:r>
    </w:p>
    <w:p w14:paraId="66DFDDCA">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节能环保支出</w:t>
      </w:r>
      <w:r>
        <w:rPr>
          <w:rFonts w:hint="eastAsia" w:ascii="仿宋_GB2312" w:hAnsi="仿宋_GB2312" w:eastAsia="仿宋_GB2312" w:cs="仿宋_GB2312"/>
          <w:color w:val="auto"/>
          <w:sz w:val="32"/>
          <w:szCs w:val="32"/>
          <w:highlight w:val="none"/>
          <w:lang w:val="en-US" w:eastAsia="zh-CN"/>
        </w:rPr>
        <w:t>29531万元；</w:t>
      </w:r>
    </w:p>
    <w:p w14:paraId="206567E1">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城乡社区支出8870万元</w:t>
      </w:r>
    </w:p>
    <w:p w14:paraId="3E771012">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农林水支出</w:t>
      </w:r>
      <w:r>
        <w:rPr>
          <w:rFonts w:hint="eastAsia" w:ascii="仿宋_GB2312" w:hAnsi="仿宋_GB2312" w:eastAsia="仿宋_GB2312" w:cs="仿宋_GB2312"/>
          <w:color w:val="auto"/>
          <w:sz w:val="32"/>
          <w:szCs w:val="32"/>
          <w:highlight w:val="none"/>
          <w:lang w:val="en-US" w:eastAsia="zh-CN"/>
        </w:rPr>
        <w:t>21787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14:paraId="14440A00">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交通运输支出</w:t>
      </w:r>
      <w:r>
        <w:rPr>
          <w:rFonts w:hint="eastAsia" w:ascii="仿宋_GB2312" w:hAnsi="仿宋_GB2312" w:eastAsia="仿宋_GB2312" w:cs="仿宋_GB2312"/>
          <w:color w:val="auto"/>
          <w:sz w:val="32"/>
          <w:szCs w:val="32"/>
          <w:highlight w:val="none"/>
          <w:lang w:val="en-US" w:eastAsia="zh-CN"/>
        </w:rPr>
        <w:t>12269万元；</w:t>
      </w:r>
    </w:p>
    <w:p w14:paraId="473AE0F7">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资源勘探工业信息等支出52万元；</w:t>
      </w:r>
    </w:p>
    <w:p w14:paraId="100D9CCC">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商业服务业等支出388万元；</w:t>
      </w:r>
    </w:p>
    <w:p w14:paraId="22BC284B">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金融支出16万元；</w:t>
      </w:r>
    </w:p>
    <w:p w14:paraId="2FE0CD81">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援助其他地区支出258万元；</w:t>
      </w:r>
    </w:p>
    <w:p w14:paraId="2D02B4D6">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自然资源海洋气象等支出5946万元；</w:t>
      </w:r>
    </w:p>
    <w:p w14:paraId="57E7B04E">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住房保障支出13421万元；</w:t>
      </w:r>
    </w:p>
    <w:p w14:paraId="50D52AC0">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粮油物资储备支出346万元；</w:t>
      </w:r>
    </w:p>
    <w:p w14:paraId="10AD24A8">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灾害防治及应急管理支出4906万元；</w:t>
      </w:r>
    </w:p>
    <w:p w14:paraId="0E6D8E4B">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预备费7000万元；</w:t>
      </w:r>
    </w:p>
    <w:p w14:paraId="0B1DE0F4">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债务付息支出3088万元；</w:t>
      </w:r>
    </w:p>
    <w:p w14:paraId="2F35FCEF">
      <w:pPr>
        <w:pStyle w:val="2"/>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其他支出20454万元。</w:t>
      </w:r>
    </w:p>
    <w:p w14:paraId="03585876">
      <w:pPr>
        <w:keepNext w:val="0"/>
        <w:keepLines w:val="0"/>
        <w:pageBreakBefore w:val="0"/>
        <w:widowControl w:val="0"/>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从严控制“三公”经费。各部门</w:t>
      </w:r>
      <w:r>
        <w:rPr>
          <w:rFonts w:hint="eastAsia" w:ascii="仿宋_GB2312" w:hAnsi="仿宋_GB2312" w:eastAsia="仿宋_GB2312" w:cs="仿宋_GB2312"/>
          <w:color w:val="auto"/>
          <w:sz w:val="32"/>
          <w:szCs w:val="32"/>
          <w:highlight w:val="none"/>
          <w:lang w:eastAsia="zh-CN"/>
        </w:rPr>
        <w:t>2025</w:t>
      </w:r>
      <w:r>
        <w:rPr>
          <w:rFonts w:hint="eastAsia" w:ascii="仿宋_GB2312" w:hAnsi="仿宋_GB2312" w:eastAsia="仿宋_GB2312" w:cs="仿宋_GB2312"/>
          <w:color w:val="auto"/>
          <w:sz w:val="32"/>
          <w:szCs w:val="32"/>
          <w:highlight w:val="none"/>
        </w:rPr>
        <w:t>年“三公”经费预算安排</w:t>
      </w:r>
      <w:r>
        <w:rPr>
          <w:rFonts w:hint="eastAsia" w:ascii="仿宋_GB2312" w:hAnsi="仿宋_GB2312" w:eastAsia="仿宋_GB2312" w:cs="仿宋_GB2312"/>
          <w:color w:val="auto"/>
          <w:sz w:val="32"/>
          <w:szCs w:val="32"/>
          <w:highlight w:val="none"/>
          <w:lang w:val="en-US" w:eastAsia="zh-CN"/>
        </w:rPr>
        <w:t>450</w:t>
      </w:r>
      <w:r>
        <w:rPr>
          <w:rFonts w:hint="eastAsia" w:ascii="仿宋_GB2312" w:hAnsi="仿宋_GB2312" w:eastAsia="仿宋_GB2312" w:cs="仿宋_GB2312"/>
          <w:color w:val="auto"/>
          <w:sz w:val="32"/>
          <w:szCs w:val="32"/>
          <w:highlight w:val="none"/>
        </w:rPr>
        <w:t>元，下降</w:t>
      </w:r>
      <w:r>
        <w:rPr>
          <w:rFonts w:hint="eastAsia" w:ascii="仿宋_GB2312" w:hAnsi="仿宋_GB2312" w:eastAsia="仿宋_GB2312" w:cs="仿宋_GB2312"/>
          <w:color w:val="auto"/>
          <w:sz w:val="32"/>
          <w:szCs w:val="32"/>
          <w:highlight w:val="none"/>
          <w:lang w:val="en-US" w:eastAsia="zh-CN"/>
        </w:rPr>
        <w:t>17.1</w:t>
      </w:r>
      <w:r>
        <w:rPr>
          <w:rFonts w:hint="eastAsia" w:ascii="仿宋_GB2312" w:hAnsi="仿宋_GB2312" w:eastAsia="仿宋_GB2312" w:cs="仿宋_GB2312"/>
          <w:color w:val="auto"/>
          <w:sz w:val="32"/>
          <w:szCs w:val="32"/>
          <w:highlight w:val="none"/>
        </w:rPr>
        <w:t>%。</w:t>
      </w:r>
    </w:p>
    <w:p w14:paraId="10D9BDA2">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黑体" w:hAnsi="楷体" w:eastAsia="黑体" w:cs="楷体"/>
          <w:bCs/>
          <w:color w:val="auto"/>
          <w:kern w:val="0"/>
          <w:sz w:val="32"/>
          <w:szCs w:val="32"/>
          <w:highlight w:val="none"/>
        </w:rPr>
      </w:pPr>
      <w:r>
        <w:rPr>
          <w:rFonts w:hint="eastAsia" w:ascii="黑体" w:hAnsi="楷体" w:eastAsia="黑体" w:cs="楷体"/>
          <w:bCs/>
          <w:color w:val="auto"/>
          <w:kern w:val="0"/>
          <w:sz w:val="32"/>
          <w:szCs w:val="32"/>
          <w:highlight w:val="none"/>
        </w:rPr>
        <w:t>二、政府性基金预算收支安排情况</w:t>
      </w:r>
    </w:p>
    <w:p w14:paraId="496E2D25">
      <w:pPr>
        <w:keepNext w:val="0"/>
        <w:keepLines w:val="0"/>
        <w:pageBreakBefore w:val="0"/>
        <w:kinsoku/>
        <w:wordWrap/>
        <w:overflowPunct/>
        <w:topLinePunct w:val="0"/>
        <w:autoSpaceDE/>
        <w:bidi w:val="0"/>
        <w:spacing w:line="560" w:lineRule="exact"/>
        <w:ind w:firstLine="643" w:firstLineChars="200"/>
        <w:jc w:val="left"/>
        <w:textAlignment w:val="auto"/>
        <w:rPr>
          <w:rFonts w:hint="eastAsia" w:ascii="仿宋_GB2312" w:hAnsi="楷体" w:eastAsia="仿宋_GB2312" w:cs="楷体"/>
          <w:b/>
          <w:bCs/>
          <w:color w:val="auto"/>
          <w:kern w:val="0"/>
          <w:sz w:val="32"/>
          <w:szCs w:val="32"/>
          <w:highlight w:val="none"/>
        </w:rPr>
      </w:pPr>
      <w:r>
        <w:rPr>
          <w:rFonts w:hint="eastAsia" w:ascii="仿宋_GB2312" w:hAnsi="楷体" w:eastAsia="仿宋_GB2312" w:cs="楷体"/>
          <w:b/>
          <w:bCs/>
          <w:color w:val="auto"/>
          <w:kern w:val="0"/>
          <w:sz w:val="32"/>
          <w:szCs w:val="32"/>
          <w:highlight w:val="none"/>
        </w:rPr>
        <w:t>（一）政府性基金预算收入安排情况</w:t>
      </w:r>
    </w:p>
    <w:p w14:paraId="2BFCF055">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政府性基金预算收入</w:t>
      </w:r>
      <w:r>
        <w:rPr>
          <w:rFonts w:hint="eastAsia" w:ascii="仿宋_GB2312" w:hAnsi="仿宋_GB2312" w:eastAsia="仿宋_GB2312" w:cs="仿宋_GB2312"/>
          <w:color w:val="auto"/>
          <w:sz w:val="32"/>
          <w:szCs w:val="32"/>
          <w:lang w:val="en-US" w:eastAsia="zh-CN"/>
        </w:rPr>
        <w:t>155101</w:t>
      </w:r>
      <w:r>
        <w:rPr>
          <w:rFonts w:hint="eastAsia" w:ascii="仿宋_GB2312" w:hAnsi="仿宋" w:eastAsia="仿宋_GB2312"/>
          <w:color w:val="auto"/>
          <w:sz w:val="32"/>
          <w:szCs w:val="32"/>
          <w:highlight w:val="none"/>
        </w:rPr>
        <w:t>万元，主要为国有土地使用权出让收入。</w:t>
      </w:r>
    </w:p>
    <w:p w14:paraId="47B2FC11">
      <w:pPr>
        <w:keepNext w:val="0"/>
        <w:keepLines w:val="0"/>
        <w:pageBreakBefore w:val="0"/>
        <w:kinsoku/>
        <w:wordWrap/>
        <w:overflowPunct/>
        <w:topLinePunct w:val="0"/>
        <w:autoSpaceDE/>
        <w:bidi w:val="0"/>
        <w:spacing w:line="560" w:lineRule="exact"/>
        <w:ind w:firstLine="643" w:firstLineChars="200"/>
        <w:jc w:val="left"/>
        <w:textAlignment w:val="auto"/>
        <w:rPr>
          <w:rFonts w:hint="eastAsia" w:ascii="仿宋_GB2312" w:hAnsi="楷体" w:eastAsia="仿宋_GB2312" w:cs="楷体"/>
          <w:b/>
          <w:bCs/>
          <w:kern w:val="0"/>
          <w:sz w:val="32"/>
          <w:szCs w:val="32"/>
          <w:highlight w:val="none"/>
        </w:rPr>
      </w:pPr>
      <w:r>
        <w:rPr>
          <w:rFonts w:hint="eastAsia" w:ascii="仿宋_GB2312" w:hAnsi="楷体" w:eastAsia="仿宋_GB2312" w:cs="楷体"/>
          <w:b/>
          <w:bCs/>
          <w:kern w:val="0"/>
          <w:sz w:val="32"/>
          <w:szCs w:val="32"/>
          <w:highlight w:val="none"/>
        </w:rPr>
        <w:t>（二）政府性基金预算支出预算拟安排情况</w:t>
      </w:r>
    </w:p>
    <w:p w14:paraId="562AAF4C">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val="en-US" w:eastAsia="zh-CN"/>
        </w:rPr>
        <w:t>政府性基金收入预计完成47276万元，上级转移支付收入15265万元，上年结转收入92560万元，收入预计155101万元。</w:t>
      </w:r>
      <w:r>
        <w:rPr>
          <w:rFonts w:hint="eastAsia" w:ascii="仿宋_GB2312" w:eastAsia="仿宋_GB2312" w:cs="Times New Roman"/>
          <w:sz w:val="32"/>
          <w:szCs w:val="32"/>
          <w:lang w:eastAsia="zh-CN"/>
        </w:rPr>
        <w:t>按照“以收定支、专款专用、收支平衡”的原则，安排支出</w:t>
      </w:r>
      <w:r>
        <w:rPr>
          <w:rFonts w:hint="eastAsia" w:ascii="仿宋_GB2312" w:eastAsia="仿宋_GB2312" w:cs="Times New Roman"/>
          <w:sz w:val="32"/>
          <w:szCs w:val="32"/>
          <w:lang w:val="en-US" w:eastAsia="zh-CN"/>
        </w:rPr>
        <w:t>155101</w:t>
      </w:r>
      <w:r>
        <w:rPr>
          <w:rFonts w:hint="eastAsia" w:ascii="仿宋_GB2312" w:eastAsia="仿宋_GB2312" w:cs="Times New Roman"/>
          <w:sz w:val="32"/>
          <w:szCs w:val="32"/>
          <w:lang w:eastAsia="zh-CN"/>
        </w:rPr>
        <w:t>万元。其中：政府债务还本付息</w:t>
      </w:r>
      <w:r>
        <w:rPr>
          <w:rFonts w:hint="eastAsia" w:ascii="仿宋_GB2312" w:eastAsia="仿宋_GB2312" w:cs="Times New Roman"/>
          <w:sz w:val="32"/>
          <w:szCs w:val="32"/>
          <w:lang w:val="en-US" w:eastAsia="zh-CN"/>
        </w:rPr>
        <w:t>16558万</w:t>
      </w:r>
      <w:r>
        <w:rPr>
          <w:rFonts w:hint="eastAsia" w:ascii="仿宋_GB2312" w:eastAsia="仿宋_GB2312" w:cs="Times New Roman"/>
          <w:sz w:val="32"/>
          <w:szCs w:val="32"/>
          <w:lang w:eastAsia="zh-CN"/>
        </w:rPr>
        <w:t>元，</w:t>
      </w:r>
      <w:r>
        <w:rPr>
          <w:rFonts w:hint="eastAsia" w:ascii="仿宋_GB2312" w:eastAsia="仿宋_GB2312" w:cs="Times New Roman"/>
          <w:sz w:val="32"/>
          <w:szCs w:val="32"/>
          <w:lang w:val="en-US" w:eastAsia="zh-CN"/>
        </w:rPr>
        <w:t>土地补偿4503万元，其他项目资金5215万元，上年结转上级指标92560万元，</w:t>
      </w:r>
      <w:r>
        <w:rPr>
          <w:rFonts w:hint="eastAsia" w:ascii="仿宋_GB2312" w:eastAsia="仿宋_GB2312" w:cs="Times New Roman"/>
          <w:sz w:val="32"/>
          <w:szCs w:val="32"/>
          <w:lang w:eastAsia="zh-CN"/>
        </w:rPr>
        <w:t>预留重点项目</w:t>
      </w:r>
      <w:r>
        <w:rPr>
          <w:rFonts w:hint="eastAsia" w:ascii="仿宋_GB2312" w:eastAsia="仿宋_GB2312" w:cs="Times New Roman"/>
          <w:sz w:val="32"/>
          <w:szCs w:val="32"/>
          <w:lang w:val="en-US" w:eastAsia="zh-CN"/>
        </w:rPr>
        <w:t>36265</w:t>
      </w:r>
      <w:r>
        <w:rPr>
          <w:rFonts w:hint="eastAsia" w:ascii="仿宋_GB2312" w:eastAsia="仿宋_GB2312" w:cs="Times New Roman"/>
          <w:sz w:val="32"/>
          <w:szCs w:val="32"/>
          <w:lang w:eastAsia="zh-CN"/>
        </w:rPr>
        <w:t>亿元。</w:t>
      </w:r>
    </w:p>
    <w:p w14:paraId="648B8587">
      <w:pPr>
        <w:keepNext w:val="0"/>
        <w:keepLines w:val="0"/>
        <w:pageBreakBefore w:val="0"/>
        <w:kinsoku/>
        <w:wordWrap/>
        <w:overflowPunct/>
        <w:topLinePunct w:val="0"/>
        <w:autoSpaceDE/>
        <w:bidi w:val="0"/>
        <w:spacing w:line="560" w:lineRule="exact"/>
        <w:ind w:firstLine="600" w:firstLineChars="200"/>
        <w:jc w:val="left"/>
        <w:textAlignment w:val="auto"/>
        <w:rPr>
          <w:rStyle w:val="19"/>
          <w:rFonts w:hint="eastAsia" w:ascii="黑体" w:hAnsi="宋体" w:eastAsia="黑体" w:cs="ATC-*11"/>
          <w:bCs/>
          <w:color w:val="auto"/>
          <w:kern w:val="0"/>
          <w:szCs w:val="30"/>
          <w:highlight w:val="none"/>
          <w:lang w:val="zh-CN"/>
        </w:rPr>
      </w:pPr>
      <w:r>
        <w:rPr>
          <w:rStyle w:val="19"/>
          <w:rFonts w:hint="eastAsia" w:ascii="黑体" w:hAnsi="宋体" w:eastAsia="黑体" w:cs="ATC-*11"/>
          <w:bCs/>
          <w:color w:val="auto"/>
          <w:kern w:val="0"/>
          <w:szCs w:val="30"/>
          <w:highlight w:val="none"/>
          <w:lang w:val="zh-CN"/>
        </w:rPr>
        <w:t>三、国有资本经营预算收支情况说明</w:t>
      </w:r>
    </w:p>
    <w:p w14:paraId="7D4A1FFE">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国有资本经营</w:t>
      </w:r>
      <w:r>
        <w:rPr>
          <w:rFonts w:hint="eastAsia" w:ascii="仿宋_GB2312" w:eastAsia="仿宋_GB2312" w:cs="Times New Roman"/>
          <w:sz w:val="32"/>
          <w:szCs w:val="32"/>
          <w:lang w:val="en-US" w:eastAsia="zh-CN"/>
        </w:rPr>
        <w:t>预算</w:t>
      </w:r>
      <w:r>
        <w:rPr>
          <w:rFonts w:hint="eastAsia" w:ascii="仿宋_GB2312" w:eastAsia="仿宋_GB2312" w:cs="Times New Roman"/>
          <w:sz w:val="32"/>
          <w:szCs w:val="32"/>
          <w:lang w:eastAsia="zh-CN"/>
        </w:rPr>
        <w:t>收入225万元，上年结转225万元，收入总计450万元，安排支出450万元。</w:t>
      </w:r>
    </w:p>
    <w:p w14:paraId="5F460C73">
      <w:pPr>
        <w:keepNext w:val="0"/>
        <w:keepLines w:val="0"/>
        <w:pageBreakBefore w:val="0"/>
        <w:kinsoku/>
        <w:wordWrap/>
        <w:overflowPunct/>
        <w:topLinePunct w:val="0"/>
        <w:autoSpaceDE/>
        <w:bidi w:val="0"/>
        <w:spacing w:line="560" w:lineRule="exact"/>
        <w:ind w:firstLine="640" w:firstLineChars="200"/>
        <w:jc w:val="left"/>
        <w:textAlignment w:val="auto"/>
        <w:rPr>
          <w:rStyle w:val="19"/>
          <w:rFonts w:hint="eastAsia" w:ascii="黑体" w:hAnsi="宋体" w:eastAsia="黑体" w:cs="ATC-*11"/>
          <w:bCs/>
          <w:color w:val="auto"/>
          <w:kern w:val="0"/>
          <w:sz w:val="32"/>
          <w:szCs w:val="32"/>
          <w:highlight w:val="none"/>
          <w:lang w:val="zh-CN"/>
        </w:rPr>
      </w:pPr>
      <w:r>
        <w:rPr>
          <w:rStyle w:val="19"/>
          <w:rFonts w:hint="eastAsia" w:ascii="黑体" w:hAnsi="宋体" w:eastAsia="黑体" w:cs="ATC-*11"/>
          <w:bCs/>
          <w:color w:val="auto"/>
          <w:kern w:val="0"/>
          <w:sz w:val="32"/>
          <w:szCs w:val="32"/>
          <w:highlight w:val="none"/>
          <w:lang w:val="zh-CN"/>
        </w:rPr>
        <w:t>四、社会保险基金预算收支情况说明</w:t>
      </w:r>
    </w:p>
    <w:p w14:paraId="52C13FAC">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社会保险基金预算收入57571万元，</w:t>
      </w:r>
      <w:r>
        <w:rPr>
          <w:rFonts w:hint="eastAsia" w:ascii="仿宋_GB2312" w:eastAsia="仿宋_GB2312" w:cs="Times New Roman"/>
          <w:sz w:val="32"/>
          <w:szCs w:val="32"/>
          <w:lang w:val="en-US" w:eastAsia="zh-CN"/>
        </w:rPr>
        <w:t>上年结转</w:t>
      </w:r>
      <w:r>
        <w:rPr>
          <w:rFonts w:hint="eastAsia" w:ascii="仿宋_GB2312" w:eastAsia="仿宋_GB2312" w:cs="Times New Roman"/>
          <w:sz w:val="32"/>
          <w:szCs w:val="32"/>
          <w:lang w:eastAsia="zh-CN"/>
        </w:rPr>
        <w:t>55514万元，</w:t>
      </w:r>
      <w:r>
        <w:rPr>
          <w:rFonts w:hint="eastAsia" w:ascii="仿宋_GB2312" w:eastAsia="仿宋_GB2312" w:cs="Times New Roman"/>
          <w:sz w:val="32"/>
          <w:szCs w:val="32"/>
          <w:lang w:val="en-US" w:eastAsia="zh-CN"/>
        </w:rPr>
        <w:t>收入总</w:t>
      </w:r>
      <w:r>
        <w:rPr>
          <w:rFonts w:hint="eastAsia" w:ascii="仿宋_GB2312" w:eastAsia="仿宋_GB2312" w:cs="Times New Roman"/>
          <w:sz w:val="32"/>
          <w:szCs w:val="32"/>
          <w:lang w:eastAsia="zh-CN"/>
        </w:rPr>
        <w:t xml:space="preserve">计113085万元。安排支出52200万元，累计结余60885万元。其中：机关养老保险基金预算收入31306万元，支出31218万元，累计结余712万元；城乡居民养老保险基金预算收入26265万元，支出20982万元，累计结余60173万元。 </w:t>
      </w:r>
    </w:p>
    <w:p w14:paraId="06E62D9D">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黑体" w:hAnsi="仿宋_GB2312" w:eastAsia="黑体"/>
          <w:bCs/>
          <w:kern w:val="0"/>
          <w:sz w:val="32"/>
          <w:szCs w:val="32"/>
          <w:highlight w:val="none"/>
        </w:rPr>
      </w:pPr>
      <w:r>
        <w:rPr>
          <w:rFonts w:hint="eastAsia" w:ascii="黑体" w:hAnsi="仿宋_GB2312" w:eastAsia="黑体"/>
          <w:kern w:val="0"/>
          <w:sz w:val="32"/>
          <w:szCs w:val="32"/>
          <w:highlight w:val="none"/>
        </w:rPr>
        <w:t>五、三公经费支出预算增减情况说明</w:t>
      </w:r>
    </w:p>
    <w:p w14:paraId="0BA274A6">
      <w:pPr>
        <w:keepNext w:val="0"/>
        <w:keepLines w:val="0"/>
        <w:pageBreakBefore w:val="0"/>
        <w:kinsoku/>
        <w:wordWrap/>
        <w:overflowPunct/>
        <w:topLinePunct w:val="0"/>
        <w:autoSpaceDE/>
        <w:bidi w:val="0"/>
        <w:spacing w:line="560" w:lineRule="exact"/>
        <w:ind w:firstLine="358" w:firstLineChars="112"/>
        <w:jc w:val="left"/>
        <w:textAlignment w:val="auto"/>
        <w:rPr>
          <w:rFonts w:hint="eastAsia" w:ascii="仿宋_GB2312" w:eastAsia="仿宋_GB2312"/>
          <w:sz w:val="32"/>
          <w:szCs w:val="32"/>
          <w:highlight w:val="none"/>
        </w:rPr>
      </w:pPr>
      <w:r>
        <w:rPr>
          <w:rFonts w:hint="eastAsia" w:ascii="仿宋_GB2312" w:eastAsia="仿宋_GB2312"/>
          <w:sz w:val="32"/>
          <w:szCs w:val="32"/>
        </w:rPr>
        <w:t xml:space="preserve"> </w:t>
      </w:r>
      <w:r>
        <w:rPr>
          <w:rFonts w:hint="eastAsia" w:ascii="仿宋_GB2312" w:eastAsia="仿宋_GB2312"/>
          <w:sz w:val="32"/>
          <w:szCs w:val="32"/>
          <w:lang w:eastAsia="zh-CN"/>
        </w:rPr>
        <w:t>2025</w:t>
      </w:r>
      <w:r>
        <w:rPr>
          <w:rFonts w:hint="eastAsia" w:ascii="仿宋_GB2312" w:eastAsia="仿宋_GB2312"/>
          <w:sz w:val="32"/>
          <w:szCs w:val="32"/>
        </w:rPr>
        <w:t>年“三公”经费预算安排</w:t>
      </w:r>
      <w:r>
        <w:rPr>
          <w:rFonts w:hint="eastAsia" w:ascii="仿宋_GB2312" w:eastAsia="仿宋_GB2312"/>
          <w:sz w:val="32"/>
          <w:szCs w:val="32"/>
          <w:lang w:val="en-US" w:eastAsia="zh-CN"/>
        </w:rPr>
        <w:t>450</w:t>
      </w:r>
      <w:r>
        <w:rPr>
          <w:rFonts w:hint="eastAsia" w:ascii="仿宋_GB2312" w:eastAsia="仿宋_GB2312"/>
          <w:sz w:val="32"/>
          <w:szCs w:val="32"/>
        </w:rPr>
        <w:t>万元，较上年减少</w:t>
      </w:r>
      <w:r>
        <w:rPr>
          <w:rFonts w:hint="eastAsia" w:ascii="仿宋_GB2312" w:eastAsia="仿宋_GB2312"/>
          <w:sz w:val="32"/>
          <w:szCs w:val="32"/>
          <w:lang w:val="en-US" w:eastAsia="zh-CN"/>
        </w:rPr>
        <w:t>93</w:t>
      </w:r>
      <w:r>
        <w:rPr>
          <w:rFonts w:hint="eastAsia" w:ascii="仿宋_GB2312" w:eastAsia="仿宋_GB2312"/>
          <w:sz w:val="32"/>
          <w:szCs w:val="32"/>
        </w:rPr>
        <w:t>万元，下降</w:t>
      </w:r>
      <w:r>
        <w:rPr>
          <w:rFonts w:hint="eastAsia" w:ascii="仿宋_GB2312" w:eastAsia="仿宋_GB2312"/>
          <w:sz w:val="32"/>
          <w:szCs w:val="32"/>
          <w:lang w:val="en-US" w:eastAsia="zh-CN"/>
        </w:rPr>
        <w:t>17.1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highlight w:val="none"/>
        </w:rPr>
        <w:t>“三公”经费</w:t>
      </w:r>
      <w:r>
        <w:rPr>
          <w:rFonts w:hint="eastAsia" w:ascii="仿宋_GB2312" w:eastAsia="仿宋_GB2312"/>
          <w:sz w:val="32"/>
          <w:szCs w:val="32"/>
          <w:highlight w:val="none"/>
          <w:lang w:val="en-US" w:eastAsia="zh-CN"/>
        </w:rPr>
        <w:t>下降</w:t>
      </w:r>
      <w:r>
        <w:rPr>
          <w:rFonts w:hint="eastAsia" w:ascii="仿宋_GB2312" w:eastAsia="仿宋_GB2312"/>
          <w:sz w:val="32"/>
          <w:szCs w:val="32"/>
          <w:highlight w:val="none"/>
        </w:rPr>
        <w:t>的主要原因是</w:t>
      </w:r>
      <w:r>
        <w:rPr>
          <w:rFonts w:hint="eastAsia" w:ascii="仿宋_GB2312" w:eastAsia="仿宋_GB2312"/>
          <w:sz w:val="32"/>
          <w:szCs w:val="32"/>
          <w:highlight w:val="none"/>
          <w:lang w:val="en-US" w:eastAsia="zh-CN"/>
        </w:rPr>
        <w:t>厉行节约，</w:t>
      </w:r>
      <w:r>
        <w:rPr>
          <w:rFonts w:hint="eastAsia" w:ascii="仿宋_GB2312" w:eastAsia="仿宋_GB2312"/>
          <w:color w:val="000000"/>
          <w:sz w:val="32"/>
          <w:szCs w:val="32"/>
          <w:highlight w:val="none"/>
        </w:rPr>
        <w:t>严格控制“三公”支出</w:t>
      </w:r>
      <w:r>
        <w:rPr>
          <w:rFonts w:hint="eastAsia" w:ascii="仿宋_GB2312" w:eastAsia="仿宋_GB2312"/>
          <w:sz w:val="32"/>
          <w:szCs w:val="32"/>
          <w:highlight w:val="none"/>
          <w:lang w:val="en-US" w:eastAsia="zh-CN"/>
        </w:rPr>
        <w:t>只减不增</w:t>
      </w:r>
      <w:r>
        <w:rPr>
          <w:rFonts w:hint="eastAsia" w:ascii="仿宋_GB2312" w:eastAsia="仿宋_GB2312"/>
          <w:sz w:val="32"/>
          <w:szCs w:val="32"/>
          <w:highlight w:val="none"/>
        </w:rPr>
        <w:t>。</w:t>
      </w:r>
    </w:p>
    <w:p w14:paraId="67485CC5">
      <w:pPr>
        <w:keepNext w:val="0"/>
        <w:keepLines w:val="0"/>
        <w:pageBreakBefore w:val="0"/>
        <w:kinsoku/>
        <w:wordWrap/>
        <w:overflowPunct/>
        <w:topLinePunct w:val="0"/>
        <w:autoSpaceDE/>
        <w:bidi w:val="0"/>
        <w:spacing w:line="560" w:lineRule="exact"/>
        <w:jc w:val="left"/>
        <w:textAlignment w:val="auto"/>
        <w:rPr>
          <w:rFonts w:ascii="仿宋_GB2312" w:eastAsia="仿宋_GB2312"/>
          <w:sz w:val="32"/>
          <w:szCs w:val="32"/>
        </w:rPr>
      </w:pPr>
      <w:r>
        <w:rPr>
          <w:rFonts w:hint="eastAsia" w:ascii="仿宋_GB2312" w:eastAsia="仿宋_GB2312"/>
          <w:sz w:val="32"/>
          <w:szCs w:val="32"/>
        </w:rPr>
        <w:t xml:space="preserve">    其中：因公出国（境）费预算为零，公务用车购置费0万元，公车用车运行费</w:t>
      </w:r>
      <w:r>
        <w:rPr>
          <w:rFonts w:hint="eastAsia" w:ascii="仿宋_GB2312" w:eastAsia="仿宋_GB2312"/>
          <w:sz w:val="32"/>
          <w:szCs w:val="32"/>
          <w:lang w:val="en-US" w:eastAsia="zh-CN"/>
        </w:rPr>
        <w:t>450</w:t>
      </w:r>
      <w:r>
        <w:rPr>
          <w:rFonts w:hint="eastAsia" w:ascii="仿宋_GB2312" w:eastAsia="仿宋_GB2312"/>
          <w:sz w:val="32"/>
          <w:szCs w:val="32"/>
        </w:rPr>
        <w:t>万元，公务接待费0万元。</w:t>
      </w:r>
    </w:p>
    <w:p w14:paraId="17431341">
      <w:pPr>
        <w:keepNext w:val="0"/>
        <w:keepLines w:val="0"/>
        <w:pageBreakBefore w:val="0"/>
        <w:kinsoku/>
        <w:wordWrap/>
        <w:overflowPunct/>
        <w:topLinePunct w:val="0"/>
        <w:autoSpaceDE/>
        <w:bidi w:val="0"/>
        <w:spacing w:line="560" w:lineRule="exact"/>
        <w:ind w:firstLine="900" w:firstLineChars="300"/>
        <w:jc w:val="left"/>
        <w:textAlignment w:val="auto"/>
        <w:rPr>
          <w:rStyle w:val="19"/>
          <w:rFonts w:hint="eastAsia" w:ascii="黑体" w:hAnsi="宋体" w:eastAsia="黑体" w:cs="ATC-*11"/>
          <w:bCs/>
          <w:color w:val="auto"/>
          <w:kern w:val="0"/>
          <w:szCs w:val="30"/>
          <w:highlight w:val="none"/>
          <w:lang w:val="zh-CN"/>
        </w:rPr>
      </w:pPr>
      <w:r>
        <w:rPr>
          <w:rStyle w:val="19"/>
          <w:rFonts w:hint="eastAsia" w:ascii="黑体" w:hAnsi="宋体" w:eastAsia="黑体" w:cs="ATC-*11"/>
          <w:bCs/>
          <w:color w:val="auto"/>
          <w:kern w:val="0"/>
          <w:szCs w:val="30"/>
          <w:highlight w:val="none"/>
          <w:lang w:val="zh-CN"/>
        </w:rPr>
        <w:t>六、转移支付情况说明</w:t>
      </w:r>
    </w:p>
    <w:p w14:paraId="3E9B09D3">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cs="仿宋_GB2312"/>
          <w:sz w:val="32"/>
          <w:szCs w:val="32"/>
          <w:lang w:eastAsia="zh-CN"/>
        </w:rPr>
        <w:t>2025</w:t>
      </w:r>
      <w:r>
        <w:rPr>
          <w:rFonts w:hint="eastAsia" w:ascii="仿宋_GB2312" w:eastAsia="仿宋_GB2312" w:cs="仿宋_GB2312"/>
          <w:sz w:val="32"/>
          <w:szCs w:val="32"/>
        </w:rPr>
        <w:t>年，上级补助收入</w:t>
      </w:r>
      <w:r>
        <w:rPr>
          <w:rFonts w:hint="eastAsia" w:ascii="仿宋_GB2312" w:eastAsia="仿宋_GB2312" w:cs="仿宋_GB2312"/>
          <w:sz w:val="32"/>
          <w:szCs w:val="32"/>
          <w:lang w:val="en-US" w:eastAsia="zh-CN"/>
        </w:rPr>
        <w:t>132382</w:t>
      </w:r>
      <w:r>
        <w:rPr>
          <w:rFonts w:hint="eastAsia" w:ascii="仿宋_GB2312" w:eastAsia="仿宋_GB2312" w:cs="仿宋_GB2312"/>
          <w:sz w:val="32"/>
          <w:szCs w:val="32"/>
        </w:rPr>
        <w:t>万元。其中：</w:t>
      </w:r>
      <w:r>
        <w:rPr>
          <w:rFonts w:hint="eastAsia" w:ascii="仿宋_GB2312" w:eastAsia="仿宋_GB2312"/>
          <w:sz w:val="32"/>
          <w:szCs w:val="32"/>
        </w:rPr>
        <w:t>返还性收入</w:t>
      </w:r>
      <w:r>
        <w:rPr>
          <w:rFonts w:hint="eastAsia" w:ascii="仿宋_GB2312" w:eastAsia="仿宋_GB2312"/>
          <w:sz w:val="32"/>
          <w:szCs w:val="32"/>
          <w:lang w:val="en-US" w:eastAsia="zh-CN"/>
        </w:rPr>
        <w:t>3592</w:t>
      </w:r>
      <w:r>
        <w:rPr>
          <w:rFonts w:hint="eastAsia" w:ascii="仿宋_GB2312" w:eastAsia="仿宋_GB2312"/>
          <w:sz w:val="32"/>
          <w:szCs w:val="32"/>
        </w:rPr>
        <w:t>万元，一般性转移支付收入为</w:t>
      </w:r>
      <w:r>
        <w:rPr>
          <w:rFonts w:hint="eastAsia" w:ascii="仿宋_GB2312" w:eastAsia="仿宋_GB2312"/>
          <w:sz w:val="32"/>
          <w:szCs w:val="32"/>
          <w:lang w:val="en-US" w:eastAsia="zh-CN"/>
        </w:rPr>
        <w:t>77144</w:t>
      </w:r>
      <w:r>
        <w:rPr>
          <w:rFonts w:hint="eastAsia" w:ascii="仿宋_GB2312" w:eastAsia="仿宋_GB2312"/>
          <w:sz w:val="32"/>
          <w:szCs w:val="32"/>
        </w:rPr>
        <w:t xml:space="preserve">万元，专项转移支付收入    </w:t>
      </w:r>
      <w:r>
        <w:rPr>
          <w:rFonts w:hint="eastAsia" w:ascii="仿宋_GB2312" w:eastAsia="仿宋_GB2312"/>
          <w:sz w:val="32"/>
          <w:szCs w:val="32"/>
          <w:lang w:val="en-US" w:eastAsia="zh-CN"/>
        </w:rPr>
        <w:t>51646</w:t>
      </w:r>
      <w:r>
        <w:rPr>
          <w:rFonts w:hint="eastAsia" w:ascii="仿宋_GB2312" w:eastAsia="仿宋_GB2312"/>
          <w:sz w:val="32"/>
          <w:szCs w:val="32"/>
        </w:rPr>
        <w:t>万元。具体项目情况是：</w:t>
      </w:r>
    </w:p>
    <w:p w14:paraId="624CF34F">
      <w:pPr>
        <w:pStyle w:val="11"/>
        <w:keepNext w:val="0"/>
        <w:keepLines w:val="0"/>
        <w:pageBreakBefore w:val="0"/>
        <w:shd w:val="clear" w:color="auto" w:fill="FFFFFF"/>
        <w:kinsoku/>
        <w:wordWrap/>
        <w:overflowPunct/>
        <w:topLinePunct w:val="0"/>
        <w:autoSpaceDE/>
        <w:bidi w:val="0"/>
        <w:spacing w:before="0" w:beforeAutospacing="0" w:after="0" w:afterAutospacing="0" w:line="560" w:lineRule="exact"/>
        <w:ind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一</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返还性收入3592万元</w:t>
      </w:r>
    </w:p>
    <w:p w14:paraId="59E08ACD">
      <w:pPr>
        <w:keepNext w:val="0"/>
        <w:keepLines w:val="0"/>
        <w:pageBreakBefore w:val="0"/>
        <w:kinsoku/>
        <w:wordWrap/>
        <w:overflowPunct/>
        <w:topLinePunct w:val="0"/>
        <w:autoSpaceDE/>
        <w:bidi w:val="0"/>
        <w:adjustRightInd w:val="0"/>
        <w:snapToGrid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增值税税收返还901万元，所得税基数返还406万元，成品油税费改革税收返还182万元，</w:t>
      </w:r>
      <w:r>
        <w:rPr>
          <w:rFonts w:hint="eastAsia" w:ascii="仿宋_GB2312" w:eastAsia="仿宋_GB2312"/>
          <w:sz w:val="32"/>
          <w:szCs w:val="32"/>
          <w:lang w:eastAsia="zh-CN"/>
        </w:rPr>
        <w:t>消费税税收</w:t>
      </w:r>
      <w:r>
        <w:rPr>
          <w:rFonts w:hint="eastAsia" w:ascii="仿宋_GB2312" w:eastAsia="仿宋_GB2312"/>
          <w:sz w:val="32"/>
          <w:szCs w:val="32"/>
        </w:rPr>
        <w:t>返还</w:t>
      </w:r>
      <w:r>
        <w:rPr>
          <w:rFonts w:hint="eastAsia" w:ascii="仿宋_GB2312" w:eastAsia="仿宋_GB2312"/>
          <w:sz w:val="32"/>
          <w:szCs w:val="32"/>
          <w:lang w:val="en-US" w:eastAsia="zh-CN"/>
        </w:rPr>
        <w:t>2103</w:t>
      </w:r>
      <w:r>
        <w:rPr>
          <w:rFonts w:hint="eastAsia" w:ascii="仿宋_GB2312" w:eastAsia="仿宋_GB2312"/>
          <w:sz w:val="32"/>
          <w:szCs w:val="32"/>
        </w:rPr>
        <w:t>万元。</w:t>
      </w:r>
    </w:p>
    <w:p w14:paraId="4D882081">
      <w:pPr>
        <w:pStyle w:val="11"/>
        <w:keepNext w:val="0"/>
        <w:keepLines w:val="0"/>
        <w:pageBreakBefore w:val="0"/>
        <w:shd w:val="clear" w:color="auto" w:fill="FFFFFF"/>
        <w:kinsoku/>
        <w:wordWrap/>
        <w:overflowPunct/>
        <w:topLinePunct w:val="0"/>
        <w:autoSpaceDE/>
        <w:bidi w:val="0"/>
        <w:spacing w:before="0" w:beforeAutospacing="0" w:after="0" w:afterAutospacing="0" w:line="560" w:lineRule="exact"/>
        <w:ind w:firstLine="640"/>
        <w:jc w:val="left"/>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（二）一般性转移支付收入为</w:t>
      </w:r>
      <w:r>
        <w:rPr>
          <w:rFonts w:hint="eastAsia" w:ascii="楷体_GB2312" w:hAnsi="楷体_GB2312" w:eastAsia="楷体_GB2312" w:cs="楷体_GB2312"/>
          <w:kern w:val="2"/>
          <w:sz w:val="32"/>
          <w:szCs w:val="32"/>
          <w:lang w:val="en-US" w:eastAsia="zh-CN"/>
        </w:rPr>
        <w:t>77144</w:t>
      </w:r>
      <w:r>
        <w:rPr>
          <w:rFonts w:hint="eastAsia" w:ascii="楷体_GB2312" w:hAnsi="楷体_GB2312" w:eastAsia="楷体_GB2312" w:cs="楷体_GB2312"/>
          <w:kern w:val="2"/>
          <w:sz w:val="32"/>
          <w:szCs w:val="32"/>
          <w:lang w:eastAsia="zh-CN"/>
        </w:rPr>
        <w:t>万元</w:t>
      </w:r>
    </w:p>
    <w:p w14:paraId="138CBE9C">
      <w:pPr>
        <w:keepNext w:val="0"/>
        <w:keepLines w:val="0"/>
        <w:pageBreakBefore w:val="0"/>
        <w:kinsoku/>
        <w:wordWrap/>
        <w:overflowPunct/>
        <w:topLinePunct w:val="0"/>
        <w:autoSpaceDE/>
        <w:bidi w:val="0"/>
        <w:spacing w:line="560" w:lineRule="exact"/>
        <w:ind w:firstLine="640"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均衡性转移支付收入</w:t>
      </w:r>
      <w:r>
        <w:rPr>
          <w:rFonts w:hint="eastAsia" w:ascii="仿宋_GB2312" w:eastAsia="仿宋_GB2312" w:cs="Times New Roman"/>
          <w:sz w:val="32"/>
          <w:szCs w:val="32"/>
          <w:lang w:val="en-US" w:eastAsia="zh-CN"/>
        </w:rPr>
        <w:t>1628</w:t>
      </w:r>
      <w:r>
        <w:rPr>
          <w:rFonts w:hint="eastAsia" w:ascii="仿宋_GB2312" w:eastAsia="仿宋_GB2312" w:cs="Times New Roman"/>
          <w:sz w:val="32"/>
          <w:szCs w:val="32"/>
          <w:lang w:eastAsia="zh-CN"/>
        </w:rPr>
        <w:t>万元，县级基本财力保障机制奖补资金收入</w:t>
      </w:r>
      <w:r>
        <w:rPr>
          <w:rFonts w:hint="eastAsia" w:ascii="仿宋_GB2312" w:eastAsia="仿宋_GB2312" w:cs="Times New Roman"/>
          <w:sz w:val="32"/>
          <w:szCs w:val="32"/>
          <w:lang w:val="en-US" w:eastAsia="zh-CN"/>
        </w:rPr>
        <w:t>23329</w:t>
      </w:r>
      <w:r>
        <w:rPr>
          <w:rFonts w:hint="eastAsia" w:ascii="仿宋_GB2312" w:eastAsia="仿宋_GB2312" w:cs="Times New Roman"/>
          <w:sz w:val="32"/>
          <w:szCs w:val="32"/>
          <w:lang w:eastAsia="zh-CN"/>
        </w:rPr>
        <w:t>万元，</w:t>
      </w:r>
      <w:r>
        <w:rPr>
          <w:rFonts w:hint="eastAsia" w:ascii="仿宋_GB2312" w:eastAsia="仿宋_GB2312" w:cs="Times New Roman"/>
          <w:sz w:val="32"/>
          <w:szCs w:val="32"/>
          <w:lang w:val="en-US" w:eastAsia="zh-CN"/>
        </w:rPr>
        <w:t>结算补助收入7927万元，</w:t>
      </w:r>
      <w:r>
        <w:rPr>
          <w:rFonts w:hint="eastAsia" w:ascii="仿宋_GB2312" w:eastAsia="仿宋_GB2312" w:cs="Times New Roman"/>
          <w:sz w:val="32"/>
          <w:szCs w:val="32"/>
          <w:lang w:eastAsia="zh-CN"/>
        </w:rPr>
        <w:t>产粮大县奖励资金收入为</w:t>
      </w:r>
      <w:r>
        <w:rPr>
          <w:rFonts w:hint="eastAsia" w:ascii="仿宋_GB2312" w:eastAsia="仿宋_GB2312" w:cs="Times New Roman"/>
          <w:sz w:val="32"/>
          <w:szCs w:val="32"/>
          <w:lang w:val="en-US" w:eastAsia="zh-CN"/>
        </w:rPr>
        <w:t>1859</w:t>
      </w:r>
      <w:r>
        <w:rPr>
          <w:rFonts w:hint="eastAsia" w:ascii="仿宋_GB2312" w:eastAsia="仿宋_GB2312" w:cs="Times New Roman"/>
          <w:sz w:val="32"/>
          <w:szCs w:val="32"/>
          <w:lang w:eastAsia="zh-CN"/>
        </w:rPr>
        <w:t>万元，</w:t>
      </w:r>
      <w:r>
        <w:rPr>
          <w:rFonts w:hint="eastAsia" w:ascii="仿宋_GB2312" w:eastAsia="仿宋_GB2312" w:cs="Times New Roman"/>
          <w:sz w:val="32"/>
          <w:szCs w:val="32"/>
          <w:lang w:val="en-US" w:eastAsia="zh-CN"/>
        </w:rPr>
        <w:t>重点生态功能区转移支付收入为1200万元，巩固脱贫攻坚成果衔接乡村振兴转移支付收入2665万元，公共安全共同财政事权转移支付收入188万，</w:t>
      </w:r>
      <w:r>
        <w:rPr>
          <w:rFonts w:hint="eastAsia" w:ascii="仿宋_GB2312" w:eastAsia="仿宋_GB2312" w:cs="Times New Roman"/>
          <w:sz w:val="32"/>
          <w:szCs w:val="32"/>
          <w:lang w:eastAsia="zh-CN"/>
        </w:rPr>
        <w:t>教育共同财政事权转移支付收入为</w:t>
      </w:r>
      <w:r>
        <w:rPr>
          <w:rFonts w:hint="eastAsia" w:ascii="仿宋_GB2312" w:eastAsia="仿宋_GB2312" w:cs="Times New Roman"/>
          <w:sz w:val="32"/>
          <w:szCs w:val="32"/>
          <w:lang w:val="en-US" w:eastAsia="zh-CN"/>
        </w:rPr>
        <w:t>12762</w:t>
      </w:r>
      <w:r>
        <w:rPr>
          <w:rFonts w:hint="eastAsia" w:ascii="仿宋_GB2312" w:eastAsia="仿宋_GB2312" w:cs="Times New Roman"/>
          <w:sz w:val="32"/>
          <w:szCs w:val="32"/>
          <w:lang w:eastAsia="zh-CN"/>
        </w:rPr>
        <w:t>万元，</w:t>
      </w:r>
      <w:r>
        <w:rPr>
          <w:rFonts w:hint="eastAsia" w:ascii="仿宋_GB2312" w:eastAsia="仿宋_GB2312" w:cs="Times New Roman"/>
          <w:sz w:val="32"/>
          <w:szCs w:val="32"/>
          <w:lang w:val="en-US" w:eastAsia="zh-CN"/>
        </w:rPr>
        <w:t>文化旅游体育与传媒共同财事权转移支付收入5656万元，权</w:t>
      </w:r>
      <w:r>
        <w:rPr>
          <w:rFonts w:hint="eastAsia" w:ascii="仿宋_GB2312" w:eastAsia="仿宋_GB2312" w:cs="Times New Roman"/>
          <w:sz w:val="32"/>
          <w:szCs w:val="32"/>
          <w:lang w:eastAsia="zh-CN"/>
        </w:rPr>
        <w:t>社会保障和就业共同财政事权转移支付收入为</w:t>
      </w:r>
      <w:r>
        <w:rPr>
          <w:rFonts w:hint="eastAsia" w:ascii="仿宋_GB2312" w:eastAsia="仿宋_GB2312" w:cs="Times New Roman"/>
          <w:sz w:val="32"/>
          <w:szCs w:val="32"/>
          <w:lang w:val="en-US" w:eastAsia="zh-CN"/>
        </w:rPr>
        <w:t>4928</w:t>
      </w:r>
      <w:r>
        <w:rPr>
          <w:rFonts w:hint="eastAsia" w:ascii="仿宋_GB2312" w:eastAsia="仿宋_GB2312" w:cs="Times New Roman"/>
          <w:sz w:val="32"/>
          <w:szCs w:val="32"/>
          <w:lang w:eastAsia="zh-CN"/>
        </w:rPr>
        <w:t>万元，医疗卫生共同财政事权转移支付收入为</w:t>
      </w:r>
      <w:r>
        <w:rPr>
          <w:rFonts w:hint="eastAsia" w:ascii="仿宋_GB2312" w:eastAsia="仿宋_GB2312" w:cs="Times New Roman"/>
          <w:sz w:val="32"/>
          <w:szCs w:val="32"/>
          <w:lang w:val="en-US" w:eastAsia="zh-CN"/>
        </w:rPr>
        <w:t>5537</w:t>
      </w:r>
      <w:r>
        <w:rPr>
          <w:rFonts w:hint="eastAsia" w:ascii="仿宋_GB2312" w:eastAsia="仿宋_GB2312" w:cs="Times New Roman"/>
          <w:sz w:val="32"/>
          <w:szCs w:val="32"/>
          <w:lang w:eastAsia="zh-CN"/>
        </w:rPr>
        <w:t>万元，</w:t>
      </w:r>
      <w:r>
        <w:rPr>
          <w:rFonts w:hint="eastAsia" w:ascii="仿宋_GB2312" w:eastAsia="仿宋_GB2312" w:cs="Times New Roman"/>
          <w:sz w:val="32"/>
          <w:szCs w:val="32"/>
          <w:lang w:val="en-US" w:eastAsia="zh-CN"/>
        </w:rPr>
        <w:t>节能环保</w:t>
      </w:r>
      <w:r>
        <w:rPr>
          <w:rFonts w:hint="eastAsia" w:ascii="仿宋_GB2312" w:eastAsia="仿宋_GB2312" w:cs="Times New Roman"/>
          <w:sz w:val="32"/>
          <w:szCs w:val="32"/>
          <w:lang w:eastAsia="zh-CN"/>
        </w:rPr>
        <w:t>共同财政事权转移支付收入</w:t>
      </w:r>
      <w:r>
        <w:rPr>
          <w:rFonts w:hint="eastAsia" w:ascii="仿宋_GB2312" w:eastAsia="仿宋_GB2312" w:cs="Times New Roman"/>
          <w:sz w:val="32"/>
          <w:szCs w:val="32"/>
          <w:lang w:val="en-US" w:eastAsia="zh-CN"/>
        </w:rPr>
        <w:t>1393万元，</w:t>
      </w:r>
      <w:r>
        <w:rPr>
          <w:rFonts w:hint="eastAsia" w:ascii="仿宋_GB2312" w:eastAsia="仿宋_GB2312" w:cs="Times New Roman"/>
          <w:sz w:val="32"/>
          <w:szCs w:val="32"/>
          <w:lang w:eastAsia="zh-CN"/>
        </w:rPr>
        <w:t>农林水共同财政事权转移支付收入为</w:t>
      </w:r>
      <w:r>
        <w:rPr>
          <w:rFonts w:hint="eastAsia" w:ascii="仿宋_GB2312" w:eastAsia="仿宋_GB2312" w:cs="Times New Roman"/>
          <w:sz w:val="32"/>
          <w:szCs w:val="32"/>
          <w:lang w:val="en-US" w:eastAsia="zh-CN"/>
        </w:rPr>
        <w:t>2470</w:t>
      </w:r>
      <w:r>
        <w:rPr>
          <w:rFonts w:hint="eastAsia" w:ascii="仿宋_GB2312" w:eastAsia="仿宋_GB2312" w:cs="Times New Roman"/>
          <w:sz w:val="32"/>
          <w:szCs w:val="32"/>
          <w:lang w:eastAsia="zh-CN"/>
        </w:rPr>
        <w:t>万元，</w:t>
      </w:r>
      <w:r>
        <w:rPr>
          <w:rFonts w:hint="eastAsia" w:ascii="仿宋_GB2312" w:eastAsia="仿宋_GB2312" w:cs="Times New Roman"/>
          <w:sz w:val="32"/>
          <w:szCs w:val="32"/>
          <w:lang w:val="en-US" w:eastAsia="zh-CN"/>
        </w:rPr>
        <w:t>交通运输</w:t>
      </w:r>
      <w:r>
        <w:rPr>
          <w:rFonts w:hint="eastAsia" w:ascii="仿宋_GB2312" w:eastAsia="仿宋_GB2312" w:cs="Times New Roman"/>
          <w:sz w:val="32"/>
          <w:szCs w:val="32"/>
          <w:lang w:eastAsia="zh-CN"/>
        </w:rPr>
        <w:t>共同财政事权转移支付收入</w:t>
      </w:r>
      <w:r>
        <w:rPr>
          <w:rFonts w:hint="eastAsia" w:ascii="仿宋_GB2312" w:eastAsia="仿宋_GB2312" w:cs="Times New Roman"/>
          <w:sz w:val="32"/>
          <w:szCs w:val="32"/>
          <w:lang w:val="en-US" w:eastAsia="zh-CN"/>
        </w:rPr>
        <w:t>3404万元，住房保障</w:t>
      </w:r>
      <w:r>
        <w:rPr>
          <w:rFonts w:hint="eastAsia" w:ascii="仿宋_GB2312" w:eastAsia="仿宋_GB2312" w:cs="Times New Roman"/>
          <w:sz w:val="32"/>
          <w:szCs w:val="32"/>
          <w:lang w:eastAsia="zh-CN"/>
        </w:rPr>
        <w:t>共同财政事权转移支付收入</w:t>
      </w:r>
      <w:r>
        <w:rPr>
          <w:rFonts w:hint="eastAsia" w:ascii="仿宋_GB2312" w:eastAsia="仿宋_GB2312" w:cs="Times New Roman"/>
          <w:sz w:val="32"/>
          <w:szCs w:val="32"/>
          <w:lang w:val="en-US" w:eastAsia="zh-CN"/>
        </w:rPr>
        <w:t>2159万元，灾害防治及应急管理</w:t>
      </w:r>
      <w:r>
        <w:rPr>
          <w:rFonts w:hint="eastAsia" w:ascii="仿宋_GB2312" w:eastAsia="仿宋_GB2312" w:cs="Times New Roman"/>
          <w:sz w:val="32"/>
          <w:szCs w:val="32"/>
          <w:lang w:eastAsia="zh-CN"/>
        </w:rPr>
        <w:t>共同财政事权转移支付收入</w:t>
      </w:r>
      <w:r>
        <w:rPr>
          <w:rFonts w:hint="eastAsia" w:ascii="仿宋_GB2312" w:eastAsia="仿宋_GB2312" w:cs="Times New Roman"/>
          <w:sz w:val="32"/>
          <w:szCs w:val="32"/>
          <w:lang w:val="en-US" w:eastAsia="zh-CN"/>
        </w:rPr>
        <w:t>39万元，</w:t>
      </w:r>
      <w:r>
        <w:rPr>
          <w:rFonts w:hint="eastAsia" w:ascii="仿宋_GB2312" w:eastAsia="仿宋_GB2312" w:cs="Times New Roman"/>
          <w:sz w:val="32"/>
          <w:szCs w:val="32"/>
          <w:lang w:eastAsia="zh-CN"/>
        </w:rPr>
        <w:t>其他一般性转移支付收入</w:t>
      </w:r>
      <w:r>
        <w:rPr>
          <w:rFonts w:hint="eastAsia" w:ascii="仿宋_GB2312" w:eastAsia="仿宋_GB2312" w:cs="Times New Roman"/>
          <w:sz w:val="32"/>
          <w:szCs w:val="32"/>
          <w:lang w:val="en-US" w:eastAsia="zh-CN"/>
        </w:rPr>
        <w:t>0</w:t>
      </w:r>
      <w:r>
        <w:rPr>
          <w:rFonts w:hint="eastAsia" w:ascii="仿宋_GB2312" w:eastAsia="仿宋_GB2312" w:cs="Times New Roman"/>
          <w:sz w:val="32"/>
          <w:szCs w:val="32"/>
          <w:lang w:eastAsia="zh-CN"/>
        </w:rPr>
        <w:t>万元。</w:t>
      </w:r>
    </w:p>
    <w:p w14:paraId="533B253E">
      <w:pPr>
        <w:pStyle w:val="11"/>
        <w:keepNext w:val="0"/>
        <w:keepLines w:val="0"/>
        <w:pageBreakBefore w:val="0"/>
        <w:shd w:val="clear" w:color="auto" w:fill="FFFFFF"/>
        <w:kinsoku/>
        <w:wordWrap/>
        <w:overflowPunct/>
        <w:topLinePunct w:val="0"/>
        <w:autoSpaceDE/>
        <w:bidi w:val="0"/>
        <w:spacing w:before="0" w:beforeAutospacing="0" w:after="0" w:afterAutospacing="0" w:line="560" w:lineRule="exact"/>
        <w:ind w:firstLine="640"/>
        <w:jc w:val="left"/>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val="en-US" w:eastAsia="zh-CN"/>
        </w:rPr>
        <w:t>(三）</w:t>
      </w:r>
      <w:r>
        <w:rPr>
          <w:rFonts w:hint="eastAsia" w:ascii="楷体_GB2312" w:hAnsi="楷体_GB2312" w:eastAsia="楷体_GB2312" w:cs="楷体_GB2312"/>
          <w:kern w:val="2"/>
          <w:sz w:val="32"/>
          <w:szCs w:val="32"/>
        </w:rPr>
        <w:t>专项转移支付收入</w:t>
      </w:r>
      <w:r>
        <w:rPr>
          <w:rFonts w:hint="eastAsia" w:ascii="楷体_GB2312" w:hAnsi="楷体_GB2312" w:eastAsia="楷体_GB2312" w:cs="楷体_GB2312"/>
          <w:sz w:val="32"/>
          <w:szCs w:val="32"/>
          <w:lang w:val="en-US" w:eastAsia="zh-CN"/>
        </w:rPr>
        <w:t>51646</w:t>
      </w:r>
      <w:r>
        <w:rPr>
          <w:rFonts w:hint="eastAsia" w:ascii="楷体_GB2312" w:hAnsi="楷体_GB2312" w:eastAsia="楷体_GB2312" w:cs="楷体_GB2312"/>
          <w:kern w:val="2"/>
          <w:sz w:val="32"/>
          <w:szCs w:val="32"/>
        </w:rPr>
        <w:t>万元</w:t>
      </w:r>
    </w:p>
    <w:p w14:paraId="628D963A">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般公共服务收入253万元，国防收入24万元，公共安全收入5万元，教育收入1267万元，科学技术收入126万元，文化旅游体育与传媒145万元，社会保障与就业1220万元，卫生健康收入704万元，节能环保收入27890万元，城乡社区收入7100万元，农林水收入2078万元，交通运输收入2458万元，商业服务业等216万元，自然资源海洋气象等4111万元，其他收入4049万元。</w:t>
      </w:r>
    </w:p>
    <w:p w14:paraId="43E8C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仿宋" w:hAnsi="仿宋" w:eastAsia="仿宋" w:cs="仿宋"/>
          <w:sz w:val="32"/>
          <w:szCs w:val="32"/>
          <w:lang w:val="zh-CN"/>
        </w:rPr>
      </w:pPr>
      <w:r>
        <w:rPr>
          <w:rStyle w:val="19"/>
          <w:rFonts w:hint="eastAsia" w:ascii="黑体" w:hAnsi="宋体" w:eastAsia="黑体" w:cs="ATC-*11"/>
          <w:bCs/>
          <w:color w:val="auto"/>
          <w:kern w:val="0"/>
          <w:szCs w:val="30"/>
          <w:lang w:val="en-US" w:eastAsia="zh-CN"/>
        </w:rPr>
        <w:t>七、</w:t>
      </w:r>
      <w:r>
        <w:rPr>
          <w:rStyle w:val="19"/>
          <w:rFonts w:hint="eastAsia" w:ascii="黑体" w:hAnsi="宋体" w:eastAsia="黑体" w:cs="ATC-*11"/>
          <w:bCs/>
          <w:color w:val="auto"/>
          <w:kern w:val="0"/>
          <w:szCs w:val="30"/>
          <w:lang w:val="zh-CN"/>
        </w:rPr>
        <w:t>举借债务情况说明</w:t>
      </w:r>
    </w:p>
    <w:p w14:paraId="03BF207F">
      <w:pPr>
        <w:pStyle w:val="11"/>
        <w:shd w:val="clear" w:color="auto" w:fill="FFFFFF"/>
        <w:spacing w:before="0" w:beforeAutospacing="0" w:after="0" w:afterAutospacing="0" w:line="550" w:lineRule="exact"/>
        <w:ind w:firstLine="640"/>
        <w:rPr>
          <w:rFonts w:hint="eastAsia" w:ascii="CESI楷体-GB2312" w:hAnsi="CESI楷体-GB2312" w:eastAsia="CESI楷体-GB2312" w:cs="CESI楷体-GB2312"/>
          <w:color w:val="auto"/>
          <w:kern w:val="2"/>
          <w:sz w:val="32"/>
          <w:szCs w:val="32"/>
          <w:highlight w:val="none"/>
        </w:rPr>
      </w:pPr>
      <w:r>
        <w:rPr>
          <w:rFonts w:hint="eastAsia" w:ascii="CESI楷体-GB2312" w:hAnsi="CESI楷体-GB2312" w:eastAsia="CESI楷体-GB2312" w:cs="CESI楷体-GB2312"/>
          <w:color w:val="auto"/>
          <w:kern w:val="2"/>
          <w:sz w:val="32"/>
          <w:szCs w:val="32"/>
          <w:highlight w:val="none"/>
          <w:lang w:eastAsia="zh-CN"/>
        </w:rPr>
        <w:t>（</w:t>
      </w:r>
      <w:r>
        <w:rPr>
          <w:rFonts w:hint="eastAsia" w:ascii="CESI楷体-GB2312" w:hAnsi="CESI楷体-GB2312" w:eastAsia="CESI楷体-GB2312" w:cs="CESI楷体-GB2312"/>
          <w:color w:val="auto"/>
          <w:kern w:val="2"/>
          <w:sz w:val="32"/>
          <w:szCs w:val="32"/>
          <w:highlight w:val="none"/>
        </w:rPr>
        <w:t>一</w:t>
      </w:r>
      <w:r>
        <w:rPr>
          <w:rFonts w:hint="eastAsia" w:ascii="CESI楷体-GB2312" w:hAnsi="CESI楷体-GB2312" w:eastAsia="CESI楷体-GB2312" w:cs="CESI楷体-GB2312"/>
          <w:color w:val="auto"/>
          <w:kern w:val="2"/>
          <w:sz w:val="32"/>
          <w:szCs w:val="32"/>
          <w:highlight w:val="none"/>
          <w:lang w:eastAsia="zh-CN"/>
        </w:rPr>
        <w:t>）</w:t>
      </w:r>
      <w:r>
        <w:rPr>
          <w:rFonts w:hint="eastAsia" w:ascii="CESI楷体-GB2312" w:hAnsi="CESI楷体-GB2312" w:eastAsia="CESI楷体-GB2312" w:cs="CESI楷体-GB2312"/>
          <w:color w:val="auto"/>
          <w:kern w:val="2"/>
          <w:sz w:val="32"/>
          <w:szCs w:val="32"/>
          <w:highlight w:val="none"/>
        </w:rPr>
        <w:t>202</w:t>
      </w:r>
      <w:r>
        <w:rPr>
          <w:rFonts w:hint="eastAsia" w:ascii="CESI楷体-GB2312" w:hAnsi="CESI楷体-GB2312" w:eastAsia="CESI楷体-GB2312" w:cs="CESI楷体-GB2312"/>
          <w:color w:val="auto"/>
          <w:kern w:val="2"/>
          <w:sz w:val="32"/>
          <w:szCs w:val="32"/>
          <w:highlight w:val="none"/>
          <w:lang w:val="en-US" w:eastAsia="zh-CN"/>
        </w:rPr>
        <w:t>4</w:t>
      </w:r>
      <w:r>
        <w:rPr>
          <w:rFonts w:hint="eastAsia" w:ascii="CESI楷体-GB2312" w:hAnsi="CESI楷体-GB2312" w:eastAsia="CESI楷体-GB2312" w:cs="CESI楷体-GB2312"/>
          <w:color w:val="auto"/>
          <w:kern w:val="2"/>
          <w:sz w:val="32"/>
          <w:szCs w:val="32"/>
          <w:highlight w:val="none"/>
        </w:rPr>
        <w:t>年限额及余额情况</w:t>
      </w:r>
    </w:p>
    <w:p w14:paraId="5863D473">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省财政厅核定全区2024年年底政府债务限额567034万元，其中：一般债务102265万元，专项债务464769万元。</w:t>
      </w:r>
    </w:p>
    <w:p w14:paraId="31477492">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截至2024年底，全区政府债务余额合计565671.88万元，其中：一般债务101571.88万元，专项债务464100万元。全区政府债务余额不超过省财政厅核定的限额。</w:t>
      </w:r>
    </w:p>
    <w:p w14:paraId="3B229DC1">
      <w:pPr>
        <w:pStyle w:val="11"/>
        <w:shd w:val="clear" w:color="auto" w:fill="FFFFFF"/>
        <w:spacing w:before="0" w:beforeAutospacing="0" w:after="0" w:afterAutospacing="0" w:line="550" w:lineRule="exact"/>
        <w:ind w:firstLine="640"/>
        <w:rPr>
          <w:rFonts w:hint="eastAsia" w:ascii="CESI楷体-GB2312" w:hAnsi="CESI楷体-GB2312" w:eastAsia="CESI楷体-GB2312" w:cs="CESI楷体-GB2312"/>
          <w:color w:val="auto"/>
          <w:kern w:val="2"/>
          <w:sz w:val="32"/>
          <w:szCs w:val="32"/>
          <w:highlight w:val="none"/>
          <w:lang w:eastAsia="zh-CN"/>
        </w:rPr>
      </w:pPr>
      <w:r>
        <w:rPr>
          <w:rFonts w:hint="eastAsia" w:ascii="CESI楷体-GB2312" w:hAnsi="CESI楷体-GB2312" w:eastAsia="CESI楷体-GB2312" w:cs="CESI楷体-GB2312"/>
          <w:color w:val="auto"/>
          <w:kern w:val="2"/>
          <w:sz w:val="32"/>
          <w:szCs w:val="32"/>
          <w:highlight w:val="none"/>
          <w:lang w:eastAsia="zh-CN"/>
        </w:rPr>
        <w:t>（二）202</w:t>
      </w:r>
      <w:r>
        <w:rPr>
          <w:rFonts w:hint="eastAsia" w:ascii="CESI楷体-GB2312" w:hAnsi="CESI楷体-GB2312" w:eastAsia="CESI楷体-GB2312" w:cs="CESI楷体-GB2312"/>
          <w:color w:val="auto"/>
          <w:kern w:val="2"/>
          <w:sz w:val="32"/>
          <w:szCs w:val="32"/>
          <w:highlight w:val="none"/>
          <w:lang w:val="en-US" w:eastAsia="zh-CN"/>
        </w:rPr>
        <w:t>4</w:t>
      </w:r>
      <w:r>
        <w:rPr>
          <w:rFonts w:hint="eastAsia" w:ascii="CESI楷体-GB2312" w:hAnsi="CESI楷体-GB2312" w:eastAsia="CESI楷体-GB2312" w:cs="CESI楷体-GB2312"/>
          <w:color w:val="auto"/>
          <w:kern w:val="2"/>
          <w:sz w:val="32"/>
          <w:szCs w:val="32"/>
          <w:highlight w:val="none"/>
          <w:lang w:eastAsia="zh-CN"/>
        </w:rPr>
        <w:t>年发行及还本付息情况</w:t>
      </w:r>
    </w:p>
    <w:p w14:paraId="3F992D6E">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2024年，全区政府债券还本付息16218万元，其中：还本1120万元（一般债券还本520万元，专项债券还本600万元）；付息15098.万元（一般债券付息3076万元；专项债券付息12022万元）。</w:t>
      </w:r>
    </w:p>
    <w:p w14:paraId="50B5F6D1">
      <w:pPr>
        <w:pStyle w:val="11"/>
        <w:shd w:val="clear" w:color="auto" w:fill="FFFFFF"/>
        <w:spacing w:before="0" w:beforeAutospacing="0" w:after="0" w:afterAutospacing="0" w:line="550" w:lineRule="exact"/>
        <w:ind w:firstLine="640"/>
        <w:rPr>
          <w:rFonts w:hint="eastAsia" w:ascii="CESI楷体-GB2312" w:hAnsi="CESI楷体-GB2312" w:eastAsia="CESI楷体-GB2312" w:cs="CESI楷体-GB2312"/>
          <w:color w:val="auto"/>
          <w:kern w:val="2"/>
          <w:sz w:val="32"/>
          <w:szCs w:val="32"/>
          <w:highlight w:val="none"/>
          <w:lang w:eastAsia="zh-CN"/>
        </w:rPr>
      </w:pPr>
      <w:r>
        <w:rPr>
          <w:rFonts w:hint="eastAsia" w:ascii="CESI楷体-GB2312" w:hAnsi="CESI楷体-GB2312" w:eastAsia="CESI楷体-GB2312" w:cs="CESI楷体-GB2312"/>
          <w:color w:val="auto"/>
          <w:kern w:val="2"/>
          <w:sz w:val="32"/>
          <w:szCs w:val="32"/>
          <w:highlight w:val="none"/>
          <w:lang w:eastAsia="zh-CN"/>
        </w:rPr>
        <w:t>（三）提前告知202</w:t>
      </w:r>
      <w:r>
        <w:rPr>
          <w:rFonts w:hint="eastAsia" w:ascii="CESI楷体-GB2312" w:hAnsi="CESI楷体-GB2312" w:eastAsia="CESI楷体-GB2312" w:cs="CESI楷体-GB2312"/>
          <w:color w:val="auto"/>
          <w:kern w:val="2"/>
          <w:sz w:val="32"/>
          <w:szCs w:val="32"/>
          <w:highlight w:val="none"/>
          <w:lang w:val="en-US" w:eastAsia="zh-CN"/>
        </w:rPr>
        <w:t>5</w:t>
      </w:r>
      <w:r>
        <w:rPr>
          <w:rFonts w:hint="eastAsia" w:ascii="CESI楷体-GB2312" w:hAnsi="CESI楷体-GB2312" w:eastAsia="CESI楷体-GB2312" w:cs="CESI楷体-GB2312"/>
          <w:color w:val="auto"/>
          <w:kern w:val="2"/>
          <w:sz w:val="32"/>
          <w:szCs w:val="32"/>
          <w:highlight w:val="none"/>
          <w:lang w:eastAsia="zh-CN"/>
        </w:rPr>
        <w:t>年政府债务限额情况</w:t>
      </w:r>
    </w:p>
    <w:p w14:paraId="0D568464">
      <w:pPr>
        <w:pStyle w:val="11"/>
        <w:shd w:val="clear" w:color="auto" w:fill="FFFFFF"/>
        <w:spacing w:before="0" w:beforeAutospacing="0" w:after="0" w:afterAutospacing="0" w:line="550" w:lineRule="exact"/>
        <w:ind w:firstLine="640"/>
        <w:rPr>
          <w:rFonts w:hint="eastAsia" w:ascii="仿宋_GB2312" w:hAnsi="仿宋_GB2312" w:eastAsia="仿宋_GB2312" w:cs="仿宋_GB2312"/>
          <w:color w:val="auto"/>
          <w:sz w:val="32"/>
          <w:szCs w:val="32"/>
          <w:lang w:eastAsia="zh-CN"/>
        </w:rPr>
      </w:pPr>
      <w:r>
        <w:rPr>
          <w:rFonts w:hint="eastAsia" w:ascii="仿宋_GB2312" w:hAnsi="Calibri" w:eastAsia="仿宋_GB2312" w:cs="Times New Roman"/>
          <w:kern w:val="2"/>
          <w:sz w:val="32"/>
          <w:szCs w:val="32"/>
          <w:lang w:val="en-US" w:eastAsia="zh-CN" w:bidi="ar-SA"/>
        </w:rPr>
        <w:t>我区2025年新增债务限额1.6亿元（全部为置换债券）</w:t>
      </w:r>
    </w:p>
    <w:p w14:paraId="6F9441FF">
      <w:pPr>
        <w:pStyle w:val="11"/>
        <w:shd w:val="clear" w:color="auto" w:fill="FFFFFF"/>
        <w:spacing w:before="0" w:beforeAutospacing="0" w:after="0" w:afterAutospacing="0" w:line="550" w:lineRule="exact"/>
        <w:ind w:firstLine="640"/>
        <w:rPr>
          <w:rFonts w:hint="eastAsia" w:ascii="CESI楷体-GB2312" w:hAnsi="CESI楷体-GB2312" w:eastAsia="CESI楷体-GB2312" w:cs="CESI楷体-GB2312"/>
          <w:color w:val="auto"/>
          <w:kern w:val="2"/>
          <w:sz w:val="32"/>
          <w:szCs w:val="32"/>
          <w:highlight w:val="none"/>
          <w:lang w:eastAsia="zh-CN"/>
        </w:rPr>
      </w:pPr>
      <w:r>
        <w:rPr>
          <w:rFonts w:hint="eastAsia" w:ascii="CESI楷体-GB2312" w:hAnsi="CESI楷体-GB2312" w:eastAsia="CESI楷体-GB2312" w:cs="CESI楷体-GB2312"/>
          <w:color w:val="auto"/>
          <w:kern w:val="2"/>
          <w:sz w:val="32"/>
          <w:szCs w:val="32"/>
          <w:highlight w:val="none"/>
          <w:lang w:eastAsia="zh-CN"/>
        </w:rPr>
        <w:t>（四）202</w:t>
      </w:r>
      <w:r>
        <w:rPr>
          <w:rFonts w:hint="eastAsia" w:ascii="CESI楷体-GB2312" w:hAnsi="CESI楷体-GB2312" w:eastAsia="CESI楷体-GB2312" w:cs="CESI楷体-GB2312"/>
          <w:color w:val="auto"/>
          <w:kern w:val="2"/>
          <w:sz w:val="32"/>
          <w:szCs w:val="32"/>
          <w:highlight w:val="none"/>
          <w:lang w:val="en-US" w:eastAsia="zh-CN"/>
        </w:rPr>
        <w:t>5</w:t>
      </w:r>
      <w:r>
        <w:rPr>
          <w:rFonts w:hint="eastAsia" w:ascii="CESI楷体-GB2312" w:hAnsi="CESI楷体-GB2312" w:eastAsia="CESI楷体-GB2312" w:cs="CESI楷体-GB2312"/>
          <w:color w:val="auto"/>
          <w:kern w:val="2"/>
          <w:sz w:val="32"/>
          <w:szCs w:val="32"/>
          <w:highlight w:val="none"/>
          <w:lang w:eastAsia="zh-CN"/>
        </w:rPr>
        <w:t>年还本付息预算安排情况</w:t>
      </w:r>
    </w:p>
    <w:p w14:paraId="05C5BD44">
      <w:pPr>
        <w:pStyle w:val="11"/>
        <w:shd w:val="clear" w:color="auto" w:fill="FFFFFF"/>
        <w:spacing w:before="0" w:beforeAutospacing="0" w:after="0" w:afterAutospacing="0" w:line="550" w:lineRule="exact"/>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2025年还本付息预算数19646万元，其中一般债券还本付息3088万元，专项债券还本付息16558万元。 </w:t>
      </w:r>
    </w:p>
    <w:p w14:paraId="4C4A58B5">
      <w:pPr>
        <w:pStyle w:val="11"/>
        <w:shd w:val="clear" w:color="auto" w:fill="FFFFFF"/>
        <w:spacing w:before="0" w:beforeAutospacing="0" w:after="0" w:afterAutospacing="0" w:line="550" w:lineRule="exact"/>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2025年，根据《预算法》和《国务院关于加强地方政府性债务管理的意见》（国发〔2014〕43号）和《河南省人民政府关于加强政府性债务管理的意见》(豫政 〔2016〕11号)等文件要求，在加强债务管理，杜绝各种违法担保、变相举债行为的同时，健全债务台账管理，动态掌握债务变动情况。积极学习研究国家关于政府债务管理方面的政策法规，结合我区实际，尽力从管理模式和体制上规范债务管理，防范债务风险。</w:t>
      </w:r>
    </w:p>
    <w:p w14:paraId="2759DC49">
      <w:pPr>
        <w:keepNext w:val="0"/>
        <w:keepLines w:val="0"/>
        <w:pageBreakBefore w:val="0"/>
        <w:kinsoku/>
        <w:wordWrap/>
        <w:overflowPunct/>
        <w:topLinePunct w:val="0"/>
        <w:autoSpaceDE/>
        <w:bidi w:val="0"/>
        <w:spacing w:line="560" w:lineRule="exact"/>
        <w:ind w:firstLine="600" w:firstLineChars="200"/>
        <w:jc w:val="left"/>
        <w:textAlignment w:val="auto"/>
        <w:rPr>
          <w:rStyle w:val="19"/>
          <w:rFonts w:hint="eastAsia" w:ascii="黑体" w:hAnsi="宋体" w:eastAsia="黑体" w:cs="ATC-*11"/>
          <w:color w:val="auto"/>
          <w:kern w:val="0"/>
          <w:szCs w:val="30"/>
          <w:highlight w:val="none"/>
        </w:rPr>
      </w:pPr>
      <w:r>
        <w:rPr>
          <w:rStyle w:val="19"/>
          <w:rFonts w:hint="eastAsia" w:ascii="黑体" w:hAnsi="宋体" w:eastAsia="黑体" w:cs="ATC-*11"/>
          <w:color w:val="auto"/>
          <w:kern w:val="0"/>
          <w:szCs w:val="30"/>
          <w:highlight w:val="none"/>
        </w:rPr>
        <w:t>八、重大政策和重点项目绩效目标情况</w:t>
      </w:r>
    </w:p>
    <w:p w14:paraId="35798884">
      <w:pPr>
        <w:pStyle w:val="11"/>
        <w:shd w:val="clear" w:color="auto" w:fill="FFFFFF"/>
        <w:spacing w:before="0" w:beforeAutospacing="0" w:after="0" w:afterAutospacing="0" w:line="550" w:lineRule="exact"/>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2025年，将进一步规范和加强预算管理，强化支出责任，提高资金使用效益，建立健全预算管理机制，完善绩效管理工作制度。逐步建立和完善财政支出绩效评价相关制度，包括绩效目标审查制度等。</w:t>
      </w:r>
    </w:p>
    <w:p w14:paraId="3649F1BF">
      <w:pPr>
        <w:pStyle w:val="11"/>
        <w:shd w:val="clear" w:color="auto" w:fill="FFFFFF"/>
        <w:spacing w:before="0" w:beforeAutospacing="0" w:after="0" w:afterAutospacing="0" w:line="550" w:lineRule="exact"/>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合理运用评价方法。根据支出项目的不同情况选择合适的评价方法，如成本效益分析法、比较法、因素分析法、最低成本法、公众评判法等，并依托有关专家和中介机构的力量，使评价结论更准确、更具权威性，重点开展财政专项扶贫资金绩效考评工作。</w:t>
      </w:r>
    </w:p>
    <w:p w14:paraId="6AE12EAC">
      <w:pPr>
        <w:pStyle w:val="11"/>
        <w:shd w:val="clear" w:color="auto" w:fill="FFFFFF"/>
        <w:spacing w:before="0" w:beforeAutospacing="0" w:after="0" w:afterAutospacing="0" w:line="550" w:lineRule="exact"/>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2025年我区预算项目支出，均编报了绩效目标，各部门绩效目标编报情况已在本部门公开内容里单独列示。</w:t>
      </w:r>
    </w:p>
    <w:p w14:paraId="27D505C3">
      <w:pPr>
        <w:pStyle w:val="4"/>
        <w:keepNext w:val="0"/>
        <w:keepLines w:val="0"/>
        <w:pageBreakBefore w:val="0"/>
        <w:kinsoku/>
        <w:wordWrap/>
        <w:overflowPunct/>
        <w:topLinePunct w:val="0"/>
        <w:autoSpaceDE/>
        <w:bidi w:val="0"/>
        <w:spacing w:line="560" w:lineRule="exact"/>
        <w:ind w:firstLine="640"/>
        <w:jc w:val="left"/>
        <w:textAlignment w:val="auto"/>
        <w:rPr>
          <w:rStyle w:val="19"/>
          <w:rFonts w:hint="eastAsia" w:ascii="黑体" w:hAnsi="宋体" w:eastAsia="黑体" w:cs="ATC-*11"/>
          <w:color w:val="auto"/>
          <w:kern w:val="0"/>
          <w:szCs w:val="30"/>
          <w:highlight w:val="none"/>
        </w:rPr>
      </w:pPr>
      <w:r>
        <w:rPr>
          <w:rStyle w:val="19"/>
          <w:rFonts w:hint="eastAsia" w:ascii="黑体" w:hAnsi="宋体" w:eastAsia="黑体" w:cs="ATC-*11"/>
          <w:color w:val="auto"/>
          <w:kern w:val="0"/>
          <w:szCs w:val="30"/>
          <w:highlight w:val="none"/>
        </w:rPr>
        <w:t>九、财政</w:t>
      </w:r>
      <w:r>
        <w:rPr>
          <w:rStyle w:val="19"/>
          <w:rFonts w:hint="eastAsia" w:ascii="黑体" w:hAnsi="宋体" w:eastAsia="黑体" w:cs="ATC-*11"/>
          <w:color w:val="auto"/>
          <w:kern w:val="0"/>
          <w:szCs w:val="30"/>
          <w:highlight w:val="none"/>
          <w:lang w:val="en-US" w:eastAsia="zh-CN"/>
        </w:rPr>
        <w:t>衔接</w:t>
      </w:r>
      <w:r>
        <w:rPr>
          <w:rStyle w:val="19"/>
          <w:rFonts w:hint="eastAsia" w:ascii="黑体" w:hAnsi="宋体" w:eastAsia="黑体" w:cs="ATC-*11"/>
          <w:color w:val="auto"/>
          <w:kern w:val="0"/>
          <w:szCs w:val="30"/>
          <w:highlight w:val="none"/>
        </w:rPr>
        <w:t>资金情况</w:t>
      </w:r>
    </w:p>
    <w:p w14:paraId="6CC00EF5">
      <w:pPr>
        <w:pStyle w:val="11"/>
        <w:shd w:val="clear" w:color="auto" w:fill="FFFFFF"/>
        <w:spacing w:before="0" w:beforeAutospacing="0" w:after="0" w:afterAutospacing="0" w:line="55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（1）2025年是否安排分配财政衔接资金</w:t>
      </w:r>
    </w:p>
    <w:p w14:paraId="13F90576">
      <w:pPr>
        <w:pStyle w:val="11"/>
        <w:shd w:val="clear" w:color="auto" w:fill="FFFFFF"/>
        <w:spacing w:before="0" w:beforeAutospacing="0" w:after="0" w:afterAutospacing="0" w:line="55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我区2025年预算安排分配了财政衔接资金。</w:t>
      </w:r>
    </w:p>
    <w:p w14:paraId="729BA1B2">
      <w:pPr>
        <w:pStyle w:val="11"/>
        <w:shd w:val="clear" w:color="auto" w:fill="FFFFFF"/>
        <w:spacing w:before="0" w:beforeAutospacing="0" w:after="0" w:afterAutospacing="0" w:line="55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（2）财政衔接资金安排分配情况</w:t>
      </w:r>
    </w:p>
    <w:p w14:paraId="537C5AA3">
      <w:pPr>
        <w:pStyle w:val="11"/>
        <w:shd w:val="clear" w:color="auto" w:fill="FFFFFF"/>
        <w:spacing w:before="0" w:beforeAutospacing="0" w:after="0" w:afterAutospacing="0" w:line="55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2025年殷都区巩固拓展脱贫攻坚成果和乡村振兴项目库投入财政衔接资金总规模3896万元，共安排项目9个，项目类型为产业发展项目和乡村建设项目，资金规模1606万元。</w:t>
      </w:r>
    </w:p>
    <w:p w14:paraId="5618A7E5">
      <w:pPr>
        <w:pStyle w:val="11"/>
        <w:shd w:val="clear" w:color="auto" w:fill="FFFFFF"/>
        <w:spacing w:before="0" w:beforeAutospacing="0" w:after="0" w:afterAutospacing="0" w:line="550" w:lineRule="exact"/>
        <w:ind w:firstLine="640"/>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为贯彻落实《中共中央国务院关于实现巩固拓展脱贫攻坚成果同乡村振兴有效衔接的意见》和河南省委、省政府关于巩固拓展脱贫攻坚成果同乡村振兴有效衔接的要求，加强财政衔接资金管理，提高资金使用效率，根据《财政部 国家乡村振兴局 国家发展改革委 国家民委 农业农村部 国家林草局关于印发&lt;中央财政衔接推进乡村振兴补助资金管理办法&gt;的通知》(财农〔2024〕19号)、《财政部 国家乡村振兴局 国家发展改革委 国家民委 农业农村部 国家林草局关于印发&lt;衔接推进乡村振兴补助资金绩效评价及考核办法&gt;的通知》(财农〔2024〕122号)、《河南省财政厅 河南省乡村振兴局 河南省发展和改革委员会 河南省民族宗教事务委员会 河南省农业农村厅 河南省林业局关于印发&lt;河南省财政衔接推进乡村振兴补助资金管理办法&gt;的通知》(豫财农综〔2024〕9号)、《安阳市财政局 安阳市乡村振兴局关于印发&lt;安阳市财政衔接推进乡村振兴补助资金管理办法》（安财农〔2024〕11号）等文件规定，我区自下而上层层申报，经殷都区巩固拓展脱贫攻坚成果领导小组审定，建设了殷都区2025年度巩固拓展脱贫攻坚成果和乡村振兴项目库，并在网站进行公示，接受社会监督。</w:t>
      </w:r>
    </w:p>
    <w:p w14:paraId="4F7C8BF4">
      <w:pPr>
        <w:keepNext w:val="0"/>
        <w:keepLines w:val="0"/>
        <w:pageBreakBefore w:val="0"/>
        <w:kinsoku/>
        <w:wordWrap/>
        <w:overflowPunct/>
        <w:topLinePunct w:val="0"/>
        <w:autoSpaceDE/>
        <w:bidi w:val="0"/>
        <w:spacing w:line="560" w:lineRule="exact"/>
        <w:ind w:firstLine="600" w:firstLineChars="200"/>
        <w:jc w:val="left"/>
        <w:textAlignment w:val="auto"/>
        <w:rPr>
          <w:rStyle w:val="19"/>
          <w:rFonts w:hint="eastAsia" w:ascii="黑体" w:hAnsi="宋体" w:eastAsia="黑体" w:cs="ATC-*11"/>
          <w:color w:val="auto"/>
          <w:kern w:val="0"/>
          <w:szCs w:val="30"/>
          <w:highlight w:val="none"/>
          <w:lang w:eastAsia="zh-CN"/>
        </w:rPr>
      </w:pPr>
      <w:r>
        <w:rPr>
          <w:rStyle w:val="19"/>
          <w:rFonts w:hint="eastAsia" w:ascii="黑体" w:hAnsi="宋体" w:eastAsia="黑体" w:cs="ATC-*11"/>
          <w:color w:val="auto"/>
          <w:kern w:val="0"/>
          <w:szCs w:val="30"/>
          <w:highlight w:val="none"/>
          <w:lang w:eastAsia="zh-CN"/>
        </w:rPr>
        <w:t>十、预算调整报告及报表情况</w:t>
      </w:r>
    </w:p>
    <w:p w14:paraId="7815A222">
      <w:pPr>
        <w:keepNext w:val="0"/>
        <w:keepLines w:val="0"/>
        <w:pageBreakBefore w:val="0"/>
        <w:kinsoku/>
        <w:wordWrap/>
        <w:overflowPunct/>
        <w:topLinePunct w:val="0"/>
        <w:autoSpaceDE/>
        <w:bidi w:val="0"/>
        <w:spacing w:line="560" w:lineRule="exact"/>
        <w:jc w:val="left"/>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截止公开日，殷都区暂无预算调整报告及报表。</w:t>
      </w:r>
    </w:p>
    <w:p w14:paraId="26B01BF5">
      <w:pPr>
        <w:pStyle w:val="6"/>
        <w:snapToGrid w:val="0"/>
        <w:spacing w:line="600" w:lineRule="exact"/>
        <w:ind w:right="42" w:rightChars="20"/>
        <w:rPr>
          <w:highlight w:val="yellow"/>
        </w:rPr>
      </w:pPr>
      <w:r>
        <w:rPr>
          <w:rFonts w:hint="eastAsia" w:ascii="仿宋" w:hAnsi="仿宋" w:eastAsia="仿宋" w:cs="宋体"/>
          <w:kern w:val="0"/>
          <w:sz w:val="32"/>
          <w:szCs w:val="32"/>
          <w:highlight w:val="yellow"/>
          <w:u w:val="thic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404495</wp:posOffset>
                </wp:positionV>
                <wp:extent cx="10160" cy="635"/>
                <wp:effectExtent l="0" t="0" r="0" b="0"/>
                <wp:wrapNone/>
                <wp:docPr id="1" name="直线 2"/>
                <wp:cNvGraphicFramePr/>
                <a:graphic xmlns:a="http://schemas.openxmlformats.org/drawingml/2006/main">
                  <a:graphicData uri="http://schemas.microsoft.com/office/word/2010/wordprocessingShape">
                    <wps:wsp>
                      <wps:cNvCnPr/>
                      <wps:spPr>
                        <a:xfrm>
                          <a:off x="0" y="0"/>
                          <a:ext cx="101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1.85pt;height:0.05pt;width:0.8pt;z-index:251659264;mso-width-relative:page;mso-height-relative:page;" filled="f" stroked="t" coordsize="21600,21600" o:gfxdata="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gNGHj0wAAAAQB&#10;AAAPAAAAAAAAAAEAIAAAACIAAABkcnMvZG93bnJldi54bWxQSwECFAAUAAAACACHTuJAv43L/OcB&#10;AADcAwAADgAAAAAAAAABACAAAAAiAQAAZHJzL2Uyb0RvYy54bWxQSwUGAAAAAAYABgBZAQAAewUA&#10;AAAA&#10;">
                <v:fill on="f" focussize="0,0"/>
                <v:stroke weight="1.25pt" color="#000000" joinstyle="round"/>
                <v:imagedata o:title=""/>
                <o:lock v:ext="edit" aspectratio="f"/>
              </v:line>
            </w:pict>
          </mc:Fallback>
        </mc:AlternateContent>
      </w:r>
    </w:p>
    <w:sectPr>
      <w:headerReference r:id="rId3" w:type="default"/>
      <w:footerReference r:id="rId4" w:type="default"/>
      <w:pgSz w:w="11906" w:h="16838"/>
      <w:pgMar w:top="1474" w:right="1474" w:bottom="1474" w:left="1587"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楷体_GB2312"/>
    <w:panose1 w:val="00000000000000000000"/>
    <w:charset w:val="00"/>
    <w:family w:val="script"/>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ATC-*33">
    <w:altName w:val="方正公文小标宋"/>
    <w:panose1 w:val="00000000000000000000"/>
    <w:charset w:val="00"/>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TC-*11">
    <w:altName w:val="方正公文小标宋"/>
    <w:panose1 w:val="00000000000000000000"/>
    <w:charset w:val="00"/>
    <w:family w:val="auto"/>
    <w:pitch w:val="default"/>
    <w:sig w:usb0="00000000" w:usb1="00000000" w:usb2="00000010" w:usb3="00000000" w:csb0="00040000" w:csb1="00000000"/>
  </w:font>
  <w:font w:name="ATC-4eff5b8b65704f53">
    <w:altName w:val="方正公文小标宋"/>
    <w:panose1 w:val="00000000000000000000"/>
    <w:charset w:val="00"/>
    <w:family w:val="auto"/>
    <w:pitch w:val="default"/>
    <w:sig w:usb0="00000000" w:usb1="00000000" w:usb2="00000010" w:usb3="00000000" w:csb0="00040000" w:csb1="00000000"/>
  </w:font>
  <w:font w:name="Adobe 宋体 Std L">
    <w:altName w:val="宋体"/>
    <w:panose1 w:val="00000000000000000000"/>
    <w:charset w:val="00"/>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3810">
    <w:pPr>
      <w:pStyle w:val="8"/>
    </w:pPr>
    <w:r>
      <mc:AlternateContent>
        <mc:Choice Requires="wps">
          <w:drawing>
            <wp:anchor distT="0" distB="0" distL="114300" distR="114300" simplePos="0" relativeHeight="251659264" behindDoc="0" locked="0" layoutInCell="1" allowOverlap="1">
              <wp:simplePos x="0" y="0"/>
              <wp:positionH relativeFrom="margin">
                <wp:posOffset>2369185</wp:posOffset>
              </wp:positionH>
              <wp:positionV relativeFrom="paragraph">
                <wp:posOffset>-9525</wp:posOffset>
              </wp:positionV>
              <wp:extent cx="1049655" cy="1390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49655" cy="139065"/>
                      </a:xfrm>
                      <a:prstGeom prst="rect">
                        <a:avLst/>
                      </a:prstGeom>
                      <a:noFill/>
                      <a:ln w="6350">
                        <a:noFill/>
                      </a:ln>
                    </wps:spPr>
                    <wps:txbx>
                      <w:txbxContent>
                        <w:p w14:paraId="6098CD2A">
                          <w:pPr>
                            <w:pStyle w:val="8"/>
                          </w:pPr>
                          <w:r>
                            <w:rPr>
                              <w:rFonts w:hint="eastAsia"/>
                            </w:rPr>
                            <w:t>第</w:t>
                          </w:r>
                          <w:r>
                            <w:t xml:space="preserve"> </w:t>
                          </w:r>
                          <w:r>
                            <w:fldChar w:fldCharType="begin"/>
                          </w:r>
                          <w:r>
                            <w:instrText xml:space="preserve"> PAGE  \* MERGEFORMAT </w:instrText>
                          </w:r>
                          <w:r>
                            <w:fldChar w:fldCharType="separate"/>
                          </w:r>
                          <w:r>
                            <w:t>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28</w:t>
                          </w:r>
                          <w:r>
                            <w:fldChar w:fldCharType="end"/>
                          </w:r>
                          <w:r>
                            <w:t xml:space="preserve"> </w:t>
                          </w:r>
                          <w:r>
                            <w:rPr>
                              <w:rFonts w:hint="eastAsia"/>
                            </w:rPr>
                            <w:t>页</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186.55pt;margin-top:-0.75pt;height:10.95pt;width:82.65pt;mso-position-horizontal-relative:margin;z-index:251659264;mso-width-relative:page;mso-height-relative:page;" filled="f" stroked="f" coordsize="21600,21600" o:gfxdata="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E+t82QAAAAkB&#10;AAAPAAAAAAAAAAEAIAAAACIAAABkcnMvZG93bnJldi54bWxQSwECFAAUAAAACACHTuJAmVWsPuEB&#10;AACuAwAADgAAAAAAAAABACAAAAAoAQAAZHJzL2Uyb0RvYy54bWxQSwUGAAAAAAYABgBZAQAAewUA&#10;AAAA&#10;">
              <v:fill on="f" focussize="0,0"/>
              <v:stroke on="f" weight="0.5pt"/>
              <v:imagedata o:title=""/>
              <o:lock v:ext="edit" aspectratio="f"/>
              <v:textbox inset="0mm,0mm,0mm,0mm">
                <w:txbxContent>
                  <w:p w14:paraId="6098CD2A">
                    <w:pPr>
                      <w:pStyle w:val="8"/>
                    </w:pPr>
                    <w:r>
                      <w:rPr>
                        <w:rFonts w:hint="eastAsia"/>
                      </w:rPr>
                      <w:t>第</w:t>
                    </w:r>
                    <w:r>
                      <w:t xml:space="preserve"> </w:t>
                    </w:r>
                    <w:r>
                      <w:fldChar w:fldCharType="begin"/>
                    </w:r>
                    <w:r>
                      <w:instrText xml:space="preserve"> PAGE  \* MERGEFORMAT </w:instrText>
                    </w:r>
                    <w:r>
                      <w:fldChar w:fldCharType="separate"/>
                    </w:r>
                    <w:r>
                      <w:t>2</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28</w:t>
                    </w:r>
                    <w:r>
                      <w:fldChar w:fldCharType="end"/>
                    </w:r>
                    <w:r>
                      <w:t xml:space="preserve"> </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A8EA">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9A20C8"/>
    <w:multiLevelType w:val="multilevel"/>
    <w:tmpl w:val="299A20C8"/>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TllMWMyMWVjZDQxYTM5YjhlMmU2ZmM3MDk3ZDIifQ=="/>
  </w:docVars>
  <w:rsids>
    <w:rsidRoot w:val="00AF352D"/>
    <w:rsid w:val="00136481"/>
    <w:rsid w:val="00215E88"/>
    <w:rsid w:val="00287252"/>
    <w:rsid w:val="003D2787"/>
    <w:rsid w:val="004035F9"/>
    <w:rsid w:val="00446549"/>
    <w:rsid w:val="00475A3E"/>
    <w:rsid w:val="00493D35"/>
    <w:rsid w:val="0049489A"/>
    <w:rsid w:val="004A7A26"/>
    <w:rsid w:val="004C1893"/>
    <w:rsid w:val="004D3E51"/>
    <w:rsid w:val="0050310C"/>
    <w:rsid w:val="00507A45"/>
    <w:rsid w:val="0051399F"/>
    <w:rsid w:val="0052402D"/>
    <w:rsid w:val="005B28EE"/>
    <w:rsid w:val="005D59AD"/>
    <w:rsid w:val="005E071B"/>
    <w:rsid w:val="005E1A96"/>
    <w:rsid w:val="006566FF"/>
    <w:rsid w:val="00682BB7"/>
    <w:rsid w:val="006B45D0"/>
    <w:rsid w:val="007747A3"/>
    <w:rsid w:val="00780278"/>
    <w:rsid w:val="007A1C4E"/>
    <w:rsid w:val="007B6E40"/>
    <w:rsid w:val="007C1518"/>
    <w:rsid w:val="007C674A"/>
    <w:rsid w:val="007D1327"/>
    <w:rsid w:val="00827B67"/>
    <w:rsid w:val="008B747D"/>
    <w:rsid w:val="00941063"/>
    <w:rsid w:val="00956FB9"/>
    <w:rsid w:val="0099245C"/>
    <w:rsid w:val="009A3128"/>
    <w:rsid w:val="00A21CBC"/>
    <w:rsid w:val="00A22C46"/>
    <w:rsid w:val="00A754BF"/>
    <w:rsid w:val="00AD51B7"/>
    <w:rsid w:val="00AE28A7"/>
    <w:rsid w:val="00AF352D"/>
    <w:rsid w:val="00B03190"/>
    <w:rsid w:val="00BA3623"/>
    <w:rsid w:val="00BD127D"/>
    <w:rsid w:val="00BE78CE"/>
    <w:rsid w:val="00C65248"/>
    <w:rsid w:val="00C93E9A"/>
    <w:rsid w:val="00CB4CC9"/>
    <w:rsid w:val="00CC1B19"/>
    <w:rsid w:val="00CC5DF8"/>
    <w:rsid w:val="00CF66FE"/>
    <w:rsid w:val="00D0636D"/>
    <w:rsid w:val="00D35C4A"/>
    <w:rsid w:val="00D70F35"/>
    <w:rsid w:val="00D74490"/>
    <w:rsid w:val="00D84ED6"/>
    <w:rsid w:val="00DF05B1"/>
    <w:rsid w:val="00E92EC7"/>
    <w:rsid w:val="00ED2600"/>
    <w:rsid w:val="00EF7B1F"/>
    <w:rsid w:val="00F00514"/>
    <w:rsid w:val="00F03DEF"/>
    <w:rsid w:val="00F1724C"/>
    <w:rsid w:val="00F37B1C"/>
    <w:rsid w:val="00FA191B"/>
    <w:rsid w:val="00FA5F4C"/>
    <w:rsid w:val="01164C65"/>
    <w:rsid w:val="01351A1D"/>
    <w:rsid w:val="014011F0"/>
    <w:rsid w:val="01636918"/>
    <w:rsid w:val="01664519"/>
    <w:rsid w:val="01EB6000"/>
    <w:rsid w:val="01F53CCF"/>
    <w:rsid w:val="02271C35"/>
    <w:rsid w:val="02511EFD"/>
    <w:rsid w:val="025631C4"/>
    <w:rsid w:val="02725A98"/>
    <w:rsid w:val="02984F45"/>
    <w:rsid w:val="02B24688"/>
    <w:rsid w:val="02FC27A7"/>
    <w:rsid w:val="035A691B"/>
    <w:rsid w:val="03A05A71"/>
    <w:rsid w:val="03BB53D4"/>
    <w:rsid w:val="03E17AF0"/>
    <w:rsid w:val="03ED3E93"/>
    <w:rsid w:val="04212D4F"/>
    <w:rsid w:val="04586B5C"/>
    <w:rsid w:val="04625456"/>
    <w:rsid w:val="059C2654"/>
    <w:rsid w:val="05A1625B"/>
    <w:rsid w:val="06157D3B"/>
    <w:rsid w:val="064E3809"/>
    <w:rsid w:val="07414710"/>
    <w:rsid w:val="07C96248"/>
    <w:rsid w:val="08074158"/>
    <w:rsid w:val="087C57D6"/>
    <w:rsid w:val="08821C32"/>
    <w:rsid w:val="088C5BA9"/>
    <w:rsid w:val="0902576C"/>
    <w:rsid w:val="0934537D"/>
    <w:rsid w:val="09B96D89"/>
    <w:rsid w:val="09D2196B"/>
    <w:rsid w:val="0A502E12"/>
    <w:rsid w:val="0AD24E70"/>
    <w:rsid w:val="0B2B728B"/>
    <w:rsid w:val="0B4E64C0"/>
    <w:rsid w:val="0B740EC9"/>
    <w:rsid w:val="0C810ED2"/>
    <w:rsid w:val="0CC36F06"/>
    <w:rsid w:val="0DA831F1"/>
    <w:rsid w:val="0DCC67DD"/>
    <w:rsid w:val="0DDF08D1"/>
    <w:rsid w:val="0E270E69"/>
    <w:rsid w:val="0E303308"/>
    <w:rsid w:val="0E4439D4"/>
    <w:rsid w:val="0EA748DE"/>
    <w:rsid w:val="0F852870"/>
    <w:rsid w:val="0F8F2573"/>
    <w:rsid w:val="0FB133E2"/>
    <w:rsid w:val="10082A4F"/>
    <w:rsid w:val="10C30E3B"/>
    <w:rsid w:val="10C65194"/>
    <w:rsid w:val="10C95F36"/>
    <w:rsid w:val="113A42AC"/>
    <w:rsid w:val="11F97635"/>
    <w:rsid w:val="121815D3"/>
    <w:rsid w:val="129E0353"/>
    <w:rsid w:val="12C13A4B"/>
    <w:rsid w:val="12F67BA5"/>
    <w:rsid w:val="132C7CC2"/>
    <w:rsid w:val="13576F55"/>
    <w:rsid w:val="13913112"/>
    <w:rsid w:val="13B949A8"/>
    <w:rsid w:val="13D30743"/>
    <w:rsid w:val="13D47831"/>
    <w:rsid w:val="13F656CE"/>
    <w:rsid w:val="13F70A5E"/>
    <w:rsid w:val="141F532A"/>
    <w:rsid w:val="145833BD"/>
    <w:rsid w:val="14631E28"/>
    <w:rsid w:val="14AC55C0"/>
    <w:rsid w:val="14BE6610"/>
    <w:rsid w:val="14BF4388"/>
    <w:rsid w:val="152E0699"/>
    <w:rsid w:val="158C3A5C"/>
    <w:rsid w:val="16045515"/>
    <w:rsid w:val="166E4318"/>
    <w:rsid w:val="176A0BC5"/>
    <w:rsid w:val="180A18A4"/>
    <w:rsid w:val="180A3911"/>
    <w:rsid w:val="18165FF7"/>
    <w:rsid w:val="185628F6"/>
    <w:rsid w:val="18590140"/>
    <w:rsid w:val="189937E2"/>
    <w:rsid w:val="192900FA"/>
    <w:rsid w:val="1A070948"/>
    <w:rsid w:val="1A0F4A30"/>
    <w:rsid w:val="1A2749B4"/>
    <w:rsid w:val="1A7B05E6"/>
    <w:rsid w:val="1ABB7AFD"/>
    <w:rsid w:val="1B780079"/>
    <w:rsid w:val="1BDFCCF3"/>
    <w:rsid w:val="1C6C3F40"/>
    <w:rsid w:val="1CC94F33"/>
    <w:rsid w:val="1D330E52"/>
    <w:rsid w:val="1D7A1D86"/>
    <w:rsid w:val="1D88199B"/>
    <w:rsid w:val="1D9C6DF7"/>
    <w:rsid w:val="1DF0386E"/>
    <w:rsid w:val="1E0C3592"/>
    <w:rsid w:val="1E5D7FB1"/>
    <w:rsid w:val="1EFE0E4D"/>
    <w:rsid w:val="1F422F26"/>
    <w:rsid w:val="1FAB4C61"/>
    <w:rsid w:val="1FBF0253"/>
    <w:rsid w:val="20584718"/>
    <w:rsid w:val="20C77FC3"/>
    <w:rsid w:val="2126440C"/>
    <w:rsid w:val="22ED29C7"/>
    <w:rsid w:val="23422F1D"/>
    <w:rsid w:val="236637A6"/>
    <w:rsid w:val="237754B1"/>
    <w:rsid w:val="238324E6"/>
    <w:rsid w:val="238D7403"/>
    <w:rsid w:val="23D150E0"/>
    <w:rsid w:val="240C19C7"/>
    <w:rsid w:val="247B50BD"/>
    <w:rsid w:val="24CD253F"/>
    <w:rsid w:val="25426819"/>
    <w:rsid w:val="2547789F"/>
    <w:rsid w:val="25782B19"/>
    <w:rsid w:val="257F113A"/>
    <w:rsid w:val="25BD328D"/>
    <w:rsid w:val="25E078D8"/>
    <w:rsid w:val="26304FD3"/>
    <w:rsid w:val="26411EC9"/>
    <w:rsid w:val="2682293D"/>
    <w:rsid w:val="27081A25"/>
    <w:rsid w:val="272F2FDB"/>
    <w:rsid w:val="274565F9"/>
    <w:rsid w:val="276E5B25"/>
    <w:rsid w:val="287B02B1"/>
    <w:rsid w:val="295C0E58"/>
    <w:rsid w:val="297C274C"/>
    <w:rsid w:val="29DB17AB"/>
    <w:rsid w:val="2A2B0654"/>
    <w:rsid w:val="2A5E4504"/>
    <w:rsid w:val="2A6F2FF1"/>
    <w:rsid w:val="2B845DEE"/>
    <w:rsid w:val="2BA36379"/>
    <w:rsid w:val="2C6B786F"/>
    <w:rsid w:val="2C931FCD"/>
    <w:rsid w:val="2CC33B99"/>
    <w:rsid w:val="2D02713A"/>
    <w:rsid w:val="2D474765"/>
    <w:rsid w:val="2D513525"/>
    <w:rsid w:val="2D5E4D0A"/>
    <w:rsid w:val="2D6018D4"/>
    <w:rsid w:val="2E4148C8"/>
    <w:rsid w:val="2E541392"/>
    <w:rsid w:val="2E9008B2"/>
    <w:rsid w:val="2EA33915"/>
    <w:rsid w:val="2EA44EC7"/>
    <w:rsid w:val="2EA65AC8"/>
    <w:rsid w:val="2EF42D6B"/>
    <w:rsid w:val="2F086141"/>
    <w:rsid w:val="2F0B4BD7"/>
    <w:rsid w:val="2F1C48E2"/>
    <w:rsid w:val="2F546FDF"/>
    <w:rsid w:val="2F5B5EED"/>
    <w:rsid w:val="2FC12D09"/>
    <w:rsid w:val="2FD325DD"/>
    <w:rsid w:val="300B12CD"/>
    <w:rsid w:val="30407B71"/>
    <w:rsid w:val="30B92400"/>
    <w:rsid w:val="30CA63AC"/>
    <w:rsid w:val="31E14D95"/>
    <w:rsid w:val="32804EA1"/>
    <w:rsid w:val="32E34978"/>
    <w:rsid w:val="340C3676"/>
    <w:rsid w:val="341552E1"/>
    <w:rsid w:val="349F1ACA"/>
    <w:rsid w:val="349F410D"/>
    <w:rsid w:val="34A832AD"/>
    <w:rsid w:val="34D35217"/>
    <w:rsid w:val="34EA78CA"/>
    <w:rsid w:val="34F93203"/>
    <w:rsid w:val="35035399"/>
    <w:rsid w:val="35982857"/>
    <w:rsid w:val="35C8675D"/>
    <w:rsid w:val="36100FCB"/>
    <w:rsid w:val="36445715"/>
    <w:rsid w:val="372028D1"/>
    <w:rsid w:val="374172CE"/>
    <w:rsid w:val="380D051B"/>
    <w:rsid w:val="38355612"/>
    <w:rsid w:val="385273B5"/>
    <w:rsid w:val="38A9673F"/>
    <w:rsid w:val="39030534"/>
    <w:rsid w:val="390D5232"/>
    <w:rsid w:val="3A041C89"/>
    <w:rsid w:val="3A071415"/>
    <w:rsid w:val="3A186B98"/>
    <w:rsid w:val="3A527210"/>
    <w:rsid w:val="3B1119BC"/>
    <w:rsid w:val="3B1431E6"/>
    <w:rsid w:val="3B31573E"/>
    <w:rsid w:val="3B9647BD"/>
    <w:rsid w:val="3BC62181"/>
    <w:rsid w:val="3C1A2863"/>
    <w:rsid w:val="3CB32F3C"/>
    <w:rsid w:val="3CBB275B"/>
    <w:rsid w:val="3D0B64F9"/>
    <w:rsid w:val="3D165560"/>
    <w:rsid w:val="3D333EF8"/>
    <w:rsid w:val="3DAD7619"/>
    <w:rsid w:val="3E5E3B42"/>
    <w:rsid w:val="3E777762"/>
    <w:rsid w:val="3E881BB7"/>
    <w:rsid w:val="3E8B6D28"/>
    <w:rsid w:val="3E9D7E3E"/>
    <w:rsid w:val="3EA279D9"/>
    <w:rsid w:val="3F4072E2"/>
    <w:rsid w:val="3F80109F"/>
    <w:rsid w:val="3F9F5D2D"/>
    <w:rsid w:val="3FE50B56"/>
    <w:rsid w:val="404E159F"/>
    <w:rsid w:val="40586B4F"/>
    <w:rsid w:val="40D95CAC"/>
    <w:rsid w:val="4180503E"/>
    <w:rsid w:val="41D94843"/>
    <w:rsid w:val="420F4992"/>
    <w:rsid w:val="423F76D0"/>
    <w:rsid w:val="42F2110D"/>
    <w:rsid w:val="43293F75"/>
    <w:rsid w:val="433B3C8B"/>
    <w:rsid w:val="43445839"/>
    <w:rsid w:val="443A2C3E"/>
    <w:rsid w:val="44A121AD"/>
    <w:rsid w:val="44CF2373"/>
    <w:rsid w:val="44D23937"/>
    <w:rsid w:val="45CA2821"/>
    <w:rsid w:val="460F71BE"/>
    <w:rsid w:val="466B272A"/>
    <w:rsid w:val="470D7B33"/>
    <w:rsid w:val="473A3FE6"/>
    <w:rsid w:val="475311BB"/>
    <w:rsid w:val="47817A44"/>
    <w:rsid w:val="479326C0"/>
    <w:rsid w:val="483534E5"/>
    <w:rsid w:val="48CE49DE"/>
    <w:rsid w:val="48CF2EB6"/>
    <w:rsid w:val="48EA730A"/>
    <w:rsid w:val="49393E56"/>
    <w:rsid w:val="49A62030"/>
    <w:rsid w:val="49DD5EE7"/>
    <w:rsid w:val="49EB7B92"/>
    <w:rsid w:val="4A4237A8"/>
    <w:rsid w:val="4AA83913"/>
    <w:rsid w:val="4B281075"/>
    <w:rsid w:val="4B7D27AC"/>
    <w:rsid w:val="4BA56D70"/>
    <w:rsid w:val="4BD52A24"/>
    <w:rsid w:val="4C5B2A71"/>
    <w:rsid w:val="4CEC3FFB"/>
    <w:rsid w:val="4CF479A8"/>
    <w:rsid w:val="4D3C1D99"/>
    <w:rsid w:val="4D5230D9"/>
    <w:rsid w:val="4D61654F"/>
    <w:rsid w:val="4D6420CC"/>
    <w:rsid w:val="4D6B5B50"/>
    <w:rsid w:val="4D976D35"/>
    <w:rsid w:val="4DB846C0"/>
    <w:rsid w:val="4DF47B13"/>
    <w:rsid w:val="4E977688"/>
    <w:rsid w:val="4F980806"/>
    <w:rsid w:val="4FAC1151"/>
    <w:rsid w:val="50075403"/>
    <w:rsid w:val="50190CB0"/>
    <w:rsid w:val="50344B2E"/>
    <w:rsid w:val="5081415A"/>
    <w:rsid w:val="50945752"/>
    <w:rsid w:val="517E3451"/>
    <w:rsid w:val="52417F17"/>
    <w:rsid w:val="52905FC3"/>
    <w:rsid w:val="52914B60"/>
    <w:rsid w:val="537B31E4"/>
    <w:rsid w:val="53E14178"/>
    <w:rsid w:val="540752DF"/>
    <w:rsid w:val="544801B1"/>
    <w:rsid w:val="55AC379D"/>
    <w:rsid w:val="561C0B0C"/>
    <w:rsid w:val="5647222D"/>
    <w:rsid w:val="56C80F5D"/>
    <w:rsid w:val="56CC5C48"/>
    <w:rsid w:val="56CE74FB"/>
    <w:rsid w:val="570610BB"/>
    <w:rsid w:val="57400061"/>
    <w:rsid w:val="5790538A"/>
    <w:rsid w:val="57E55EA8"/>
    <w:rsid w:val="57EC05A5"/>
    <w:rsid w:val="583C43CF"/>
    <w:rsid w:val="58644245"/>
    <w:rsid w:val="58BD3E46"/>
    <w:rsid w:val="58C12CAA"/>
    <w:rsid w:val="59083CBA"/>
    <w:rsid w:val="5A176352"/>
    <w:rsid w:val="5A8E3654"/>
    <w:rsid w:val="5AF655FA"/>
    <w:rsid w:val="5B02313D"/>
    <w:rsid w:val="5B054018"/>
    <w:rsid w:val="5B322C58"/>
    <w:rsid w:val="5B4F4F67"/>
    <w:rsid w:val="5B5812CD"/>
    <w:rsid w:val="5B6A2B6F"/>
    <w:rsid w:val="5BBA59E0"/>
    <w:rsid w:val="5BF07306"/>
    <w:rsid w:val="5C4A5F2F"/>
    <w:rsid w:val="5C710CFD"/>
    <w:rsid w:val="5CBE3059"/>
    <w:rsid w:val="5CEC7E0B"/>
    <w:rsid w:val="5D0B4795"/>
    <w:rsid w:val="5D232A9D"/>
    <w:rsid w:val="5D8825FC"/>
    <w:rsid w:val="5DA56E51"/>
    <w:rsid w:val="5DC13A31"/>
    <w:rsid w:val="5DFA093C"/>
    <w:rsid w:val="5E490C7D"/>
    <w:rsid w:val="5E901648"/>
    <w:rsid w:val="5E93543F"/>
    <w:rsid w:val="5EC41FD4"/>
    <w:rsid w:val="5F0F0513"/>
    <w:rsid w:val="5F243F71"/>
    <w:rsid w:val="5F265C5F"/>
    <w:rsid w:val="5F5C7C6A"/>
    <w:rsid w:val="608664B0"/>
    <w:rsid w:val="60B227AB"/>
    <w:rsid w:val="6109742E"/>
    <w:rsid w:val="612D518A"/>
    <w:rsid w:val="61935DCD"/>
    <w:rsid w:val="625F0A7C"/>
    <w:rsid w:val="62C62414"/>
    <w:rsid w:val="62D46DD5"/>
    <w:rsid w:val="63504D69"/>
    <w:rsid w:val="635C552D"/>
    <w:rsid w:val="63703FF6"/>
    <w:rsid w:val="639918CB"/>
    <w:rsid w:val="63B12DB7"/>
    <w:rsid w:val="647E5110"/>
    <w:rsid w:val="6523195D"/>
    <w:rsid w:val="65D27673"/>
    <w:rsid w:val="665414EE"/>
    <w:rsid w:val="66A27210"/>
    <w:rsid w:val="66B34D60"/>
    <w:rsid w:val="67216E87"/>
    <w:rsid w:val="67614DF6"/>
    <w:rsid w:val="681115D6"/>
    <w:rsid w:val="685635ED"/>
    <w:rsid w:val="687829D4"/>
    <w:rsid w:val="68C3573C"/>
    <w:rsid w:val="68FE4BC9"/>
    <w:rsid w:val="69455C1C"/>
    <w:rsid w:val="695529D4"/>
    <w:rsid w:val="69851128"/>
    <w:rsid w:val="69904EBD"/>
    <w:rsid w:val="699B17BA"/>
    <w:rsid w:val="69C3773F"/>
    <w:rsid w:val="69C949D8"/>
    <w:rsid w:val="6A294A7E"/>
    <w:rsid w:val="6A565EA1"/>
    <w:rsid w:val="6A6A4B75"/>
    <w:rsid w:val="6A92196A"/>
    <w:rsid w:val="6A9F3358"/>
    <w:rsid w:val="6AC15FDC"/>
    <w:rsid w:val="6AC227AB"/>
    <w:rsid w:val="6ADF0DBB"/>
    <w:rsid w:val="6C375151"/>
    <w:rsid w:val="6CD74E3E"/>
    <w:rsid w:val="6CEC693E"/>
    <w:rsid w:val="6D0F1B90"/>
    <w:rsid w:val="6D6B6C1F"/>
    <w:rsid w:val="6D6E1D9A"/>
    <w:rsid w:val="6DF10221"/>
    <w:rsid w:val="6E735F18"/>
    <w:rsid w:val="6E8A133C"/>
    <w:rsid w:val="6EFF494D"/>
    <w:rsid w:val="6F2F210F"/>
    <w:rsid w:val="6F461990"/>
    <w:rsid w:val="6F6A356E"/>
    <w:rsid w:val="6F877757"/>
    <w:rsid w:val="6F9E54E7"/>
    <w:rsid w:val="700D664E"/>
    <w:rsid w:val="704F7801"/>
    <w:rsid w:val="70570230"/>
    <w:rsid w:val="706D79BB"/>
    <w:rsid w:val="70BE723A"/>
    <w:rsid w:val="70C36444"/>
    <w:rsid w:val="710C7EFC"/>
    <w:rsid w:val="712A49FC"/>
    <w:rsid w:val="7133287A"/>
    <w:rsid w:val="71A34659"/>
    <w:rsid w:val="71EF1C12"/>
    <w:rsid w:val="72323FDC"/>
    <w:rsid w:val="724C67BC"/>
    <w:rsid w:val="72A23A0B"/>
    <w:rsid w:val="72D27D00"/>
    <w:rsid w:val="73355830"/>
    <w:rsid w:val="734946F0"/>
    <w:rsid w:val="736859F4"/>
    <w:rsid w:val="73A40DEB"/>
    <w:rsid w:val="74220CF1"/>
    <w:rsid w:val="744E63C0"/>
    <w:rsid w:val="74986F6D"/>
    <w:rsid w:val="74AE5AAE"/>
    <w:rsid w:val="74E06942"/>
    <w:rsid w:val="74E70A66"/>
    <w:rsid w:val="74FB439D"/>
    <w:rsid w:val="7527076D"/>
    <w:rsid w:val="753346C8"/>
    <w:rsid w:val="768719A8"/>
    <w:rsid w:val="76E8567F"/>
    <w:rsid w:val="77417CAB"/>
    <w:rsid w:val="77491A17"/>
    <w:rsid w:val="777F4B00"/>
    <w:rsid w:val="77886165"/>
    <w:rsid w:val="77C30D9E"/>
    <w:rsid w:val="787510B9"/>
    <w:rsid w:val="78AD4F90"/>
    <w:rsid w:val="78C701E5"/>
    <w:rsid w:val="78DD2EC0"/>
    <w:rsid w:val="78E937BE"/>
    <w:rsid w:val="78EC5EEC"/>
    <w:rsid w:val="78FD7818"/>
    <w:rsid w:val="79164980"/>
    <w:rsid w:val="79367412"/>
    <w:rsid w:val="796C3676"/>
    <w:rsid w:val="79C30257"/>
    <w:rsid w:val="79FE0AE9"/>
    <w:rsid w:val="7A0C14B4"/>
    <w:rsid w:val="7A822D52"/>
    <w:rsid w:val="7A9E40E3"/>
    <w:rsid w:val="7B7674E2"/>
    <w:rsid w:val="7BB0293E"/>
    <w:rsid w:val="7BCE6CBD"/>
    <w:rsid w:val="7C462B53"/>
    <w:rsid w:val="7C5220EF"/>
    <w:rsid w:val="7C6B2DD3"/>
    <w:rsid w:val="7CA80CAD"/>
    <w:rsid w:val="7CF51711"/>
    <w:rsid w:val="7D9B48C5"/>
    <w:rsid w:val="7DCF3EE5"/>
    <w:rsid w:val="7E034333"/>
    <w:rsid w:val="7E10239B"/>
    <w:rsid w:val="7E6B0AAA"/>
    <w:rsid w:val="7E9E7E0C"/>
    <w:rsid w:val="7F315F6E"/>
    <w:rsid w:val="7FBF2544"/>
    <w:rsid w:val="9FD8C0A3"/>
    <w:rsid w:val="9FFD8B11"/>
    <w:rsid w:val="A7FD2582"/>
    <w:rsid w:val="B7DFDDA0"/>
    <w:rsid w:val="CFDFA67E"/>
    <w:rsid w:val="D76D9008"/>
    <w:rsid w:val="D97F4C5E"/>
    <w:rsid w:val="DFBAB144"/>
    <w:rsid w:val="E7A174AD"/>
    <w:rsid w:val="F57D8269"/>
    <w:rsid w:val="FD290FF5"/>
    <w:rsid w:val="FDF615E1"/>
    <w:rsid w:val="FEFE7B0D"/>
    <w:rsid w:val="FFC51D50"/>
    <w:rsid w:val="FFD42ED1"/>
    <w:rsid w:val="FFFC00B9"/>
    <w:rsid w:val="FFFCB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index 5"/>
    <w:basedOn w:val="1"/>
    <w:next w:val="1"/>
    <w:qFormat/>
    <w:uiPriority w:val="0"/>
    <w:pPr>
      <w:ind w:left="800" w:leftChars="800"/>
    </w:pPr>
  </w:style>
  <w:style w:type="paragraph" w:styleId="4">
    <w:name w:val="Body Text"/>
    <w:basedOn w:val="1"/>
    <w:next w:val="1"/>
    <w:qFormat/>
    <w:uiPriority w:val="0"/>
    <w:rPr>
      <w:szCs w:val="21"/>
    </w:rPr>
  </w:style>
  <w:style w:type="paragraph" w:styleId="5">
    <w:name w:val="Body Text Indent"/>
    <w:basedOn w:val="1"/>
    <w:qFormat/>
    <w:uiPriority w:val="99"/>
    <w:pPr>
      <w:ind w:left="414" w:leftChars="197" w:firstLine="560"/>
    </w:pPr>
    <w:rPr>
      <w:rFonts w:ascii="宋体" w:hAnsi="宋体"/>
      <w:kern w:val="0"/>
      <w:sz w:val="28"/>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widowControl/>
      <w:numPr>
        <w:ilvl w:val="0"/>
        <w:numId w:val="1"/>
      </w:numPr>
      <w:tabs>
        <w:tab w:val="clear" w:pos="1440"/>
      </w:tabs>
      <w:spacing w:beforeLines="50" w:line="336" w:lineRule="auto"/>
      <w:ind w:left="0" w:firstLine="0" w:firstLineChars="0"/>
    </w:pPr>
    <w:rPr>
      <w:rFonts w:ascii="Times New Roman" w:hAnsi="Times New Roman" w:eastAsia="黑体"/>
      <w:kern w:val="0"/>
      <w:szCs w:val="20"/>
      <w:lang w:val="en-GB"/>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4"/>
    <w:next w:val="1"/>
    <w:qFormat/>
    <w:uiPriority w:val="0"/>
    <w:pPr>
      <w:spacing w:before="100" w:beforeAutospacing="1"/>
      <w:ind w:firstLine="420"/>
    </w:pPr>
  </w:style>
  <w:style w:type="paragraph" w:styleId="13">
    <w:name w:val="Body Text First Indent 2"/>
    <w:basedOn w:val="5"/>
    <w:next w:val="1"/>
    <w:qFormat/>
    <w:uiPriority w:val="99"/>
    <w:pPr>
      <w:spacing w:after="120"/>
      <w:ind w:left="420" w:leftChars="200" w:firstLine="420"/>
    </w:pPr>
    <w:rPr>
      <w:rFonts w:ascii="Times New Roman" w:hAnsi="Times New Roman"/>
      <w:sz w:val="21"/>
    </w:rPr>
  </w:style>
  <w:style w:type="character" w:styleId="16">
    <w:name w:val="page number"/>
    <w:basedOn w:val="15"/>
    <w:qFormat/>
    <w:uiPriority w:val="0"/>
  </w:style>
  <w:style w:type="character" w:customStyle="1" w:styleId="17">
    <w:name w:val="楷粗"/>
    <w:qFormat/>
    <w:uiPriority w:val="99"/>
    <w:rPr>
      <w:rFonts w:ascii="方正楷体简体" w:eastAsia="方正楷体简体" w:cs="方正楷体简体"/>
      <w:sz w:val="31"/>
      <w:szCs w:val="31"/>
    </w:rPr>
  </w:style>
  <w:style w:type="character" w:customStyle="1" w:styleId="18">
    <w:name w:val="黑体"/>
    <w:qFormat/>
    <w:uiPriority w:val="0"/>
    <w:rPr>
      <w:rFonts w:ascii="ATC-*33" w:eastAsia="ATC-*33"/>
      <w:color w:val="000000"/>
      <w:spacing w:val="0"/>
      <w:w w:val="100"/>
      <w:sz w:val="30"/>
      <w:vertAlign w:val="baseline"/>
    </w:rPr>
  </w:style>
  <w:style w:type="character" w:customStyle="1" w:styleId="19">
    <w:name w:val="样式"/>
    <w:qFormat/>
    <w:uiPriority w:val="0"/>
    <w:rPr>
      <w:rFonts w:ascii="ATC-*11" w:eastAsia="ATC-*11"/>
      <w:color w:val="000000"/>
      <w:spacing w:val="0"/>
      <w:w w:val="100"/>
      <w:sz w:val="30"/>
      <w:vertAlign w:val="baseline"/>
    </w:rPr>
  </w:style>
  <w:style w:type="character" w:customStyle="1" w:styleId="20">
    <w:name w:val="NormalCharacter"/>
    <w:semiHidden/>
    <w:qFormat/>
    <w:uiPriority w:val="0"/>
    <w:rPr>
      <w:rFonts w:ascii="Times New Roman" w:hAnsi="Times New Roman" w:eastAsia="宋体" w:cs="Times New Roman"/>
      <w:kern w:val="2"/>
      <w:sz w:val="21"/>
      <w:szCs w:val="21"/>
      <w:lang w:val="en-US" w:eastAsia="zh-CN" w:bidi="ar-SA"/>
    </w:rPr>
  </w:style>
  <w:style w:type="paragraph" w:customStyle="1" w:styleId="21">
    <w:name w:val="p0"/>
    <w:basedOn w:val="1"/>
    <w:qFormat/>
    <w:uiPriority w:val="0"/>
    <w:pPr>
      <w:widowControl/>
    </w:pPr>
    <w:rPr>
      <w:kern w:val="0"/>
      <w:szCs w:val="21"/>
    </w:rPr>
  </w:style>
  <w:style w:type="paragraph" w:customStyle="1" w:styleId="22">
    <w:name w:val="内文"/>
    <w:basedOn w:val="1"/>
    <w:qFormat/>
    <w:uiPriority w:val="99"/>
    <w:pPr>
      <w:autoSpaceDE w:val="0"/>
      <w:autoSpaceDN w:val="0"/>
      <w:adjustRightInd w:val="0"/>
      <w:spacing w:line="592" w:lineRule="atLeast"/>
      <w:ind w:firstLine="624"/>
      <w:textAlignment w:val="center"/>
    </w:pPr>
    <w:rPr>
      <w:rFonts w:ascii="ATC-4eff5b8b65704f53" w:eastAsia="ATC-4eff5b8b65704f53" w:cs="ATC-4eff5b8b65704f53"/>
      <w:color w:val="000000"/>
      <w:kern w:val="0"/>
      <w:sz w:val="31"/>
      <w:szCs w:val="31"/>
      <w:lang w:val="zh-CN"/>
    </w:rPr>
  </w:style>
  <w:style w:type="paragraph" w:customStyle="1" w:styleId="23">
    <w:name w:val="p19"/>
    <w:basedOn w:val="1"/>
    <w:qFormat/>
    <w:uiPriority w:val="0"/>
    <w:pPr>
      <w:widowControl/>
    </w:pPr>
    <w:rPr>
      <w:kern w:val="0"/>
      <w:szCs w:val="21"/>
    </w:rPr>
  </w:style>
  <w:style w:type="paragraph" w:customStyle="1" w:styleId="24">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基本段落]"/>
    <w:basedOn w:val="26"/>
    <w:qFormat/>
    <w:uiPriority w:val="0"/>
  </w:style>
  <w:style w:type="paragraph" w:customStyle="1" w:styleId="26">
    <w:name w:val="[无段落样式]"/>
    <w:qFormat/>
    <w:uiPriority w:val="0"/>
    <w:pPr>
      <w:widowControl w:val="0"/>
      <w:autoSpaceDE w:val="0"/>
      <w:autoSpaceDN w:val="0"/>
      <w:adjustRightInd w:val="0"/>
      <w:spacing w:line="288" w:lineRule="auto"/>
      <w:jc w:val="both"/>
      <w:textAlignment w:val="center"/>
    </w:pPr>
    <w:rPr>
      <w:rFonts w:ascii="Adobe 宋体 Std L" w:hAnsi="Times New Roman" w:eastAsia="Adobe 宋体 Std L" w:cs="Adobe 宋体 Std L"/>
      <w:color w:val="000000"/>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16</Pages>
  <Words>6456</Words>
  <Characters>7086</Characters>
  <Lines>96</Lines>
  <Paragraphs>27</Paragraphs>
  <TotalTime>36</TotalTime>
  <ScaleCrop>false</ScaleCrop>
  <LinksUpToDate>false</LinksUpToDate>
  <CharactersWithSpaces>7213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2019-11-08T18:00:00Z</dcterms:created>
  <dc:creator>User</dc:creator>
  <cp:lastModifiedBy>天天向下-.-</cp:lastModifiedBy>
  <cp:lastPrinted>2024-06-21T17:36:00Z</cp:lastPrinted>
  <dcterms:modified xsi:type="dcterms:W3CDTF">2025-03-28T07:22:24Z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23148E7FB650412D9ED74295F1D49E55_13</vt:lpwstr>
  </property>
  <property fmtid="{D5CDD505-2E9C-101B-9397-08002B2CF9AE}" pid="4" name="KSOTemplateDocerSaveRecord">
    <vt:lpwstr>eyJoZGlkIjoiNTA1YTllMWMyMWVjZDQxYTM5YjhlMmU2ZmM3MDk3ZDIiLCJ1c2VySWQiOiIyOTc1MDY1MjcifQ==</vt:lpwstr>
  </property>
</Properties>
</file>