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9C85D">
      <w:pPr>
        <w:spacing w:line="640" w:lineRule="exact"/>
        <w:ind w:firstLine="2200" w:firstLineChars="500"/>
        <w:jc w:val="both"/>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u w:val="none"/>
          <w:lang w:eastAsia="zh-CN"/>
        </w:rPr>
        <w:t>息县</w:t>
      </w:r>
      <w:r>
        <w:rPr>
          <w:rFonts w:hint="eastAsia" w:ascii="Times New Roman" w:hAnsi="Times New Roman" w:eastAsia="方正小标宋简体" w:cs="方正小标宋简体"/>
          <w:b w:val="0"/>
          <w:bCs/>
          <w:color w:val="000000"/>
          <w:sz w:val="44"/>
          <w:szCs w:val="44"/>
        </w:rPr>
        <w:t>市场监督管理局</w:t>
      </w:r>
    </w:p>
    <w:p w14:paraId="57DBB0F8">
      <w:pPr>
        <w:spacing w:line="640" w:lineRule="exact"/>
        <w:jc w:val="center"/>
        <w:rPr>
          <w:rFonts w:ascii="Times New Roman" w:hAnsi="Times New Roman" w:eastAsia="方正小标宋简体" w:cs="方正小标宋简体"/>
          <w:b w:val="0"/>
          <w:bCs/>
          <w:color w:val="000000"/>
          <w:sz w:val="44"/>
          <w:szCs w:val="44"/>
        </w:rPr>
      </w:pPr>
      <w:r>
        <w:rPr>
          <w:rFonts w:hint="eastAsia" w:ascii="Times New Roman" w:hAnsi="Times New Roman" w:eastAsia="方正小标宋简体" w:cs="方正小标宋简体"/>
          <w:b w:val="0"/>
          <w:bCs/>
          <w:color w:val="000000"/>
          <w:sz w:val="44"/>
          <w:szCs w:val="44"/>
        </w:rPr>
        <w:t>行政处罚决定书</w:t>
      </w:r>
    </w:p>
    <w:p w14:paraId="43CE4CD4">
      <w:pPr>
        <w:keepNext w:val="0"/>
        <w:keepLines w:val="0"/>
        <w:pageBreakBefore w:val="0"/>
        <w:kinsoku/>
        <w:overflowPunct/>
        <w:topLinePunct w:val="0"/>
        <w:autoSpaceDE/>
        <w:autoSpaceDN/>
        <w:bidi w:val="0"/>
        <w:snapToGrid/>
        <w:spacing w:line="560" w:lineRule="exact"/>
        <w:jc w:val="center"/>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val="en-US" w:eastAsia="zh-CN"/>
        </w:rPr>
        <w:t>息</w:t>
      </w:r>
      <w:r>
        <w:rPr>
          <w:rFonts w:hint="eastAsia" w:ascii="仿宋" w:hAnsi="仿宋" w:eastAsia="仿宋" w:cs="仿宋"/>
          <w:color w:val="000000"/>
          <w:sz w:val="32"/>
          <w:szCs w:val="32"/>
          <w:u w:val="none"/>
          <w:lang w:eastAsia="zh-CN"/>
        </w:rPr>
        <w:t>市</w:t>
      </w:r>
      <w:r>
        <w:rPr>
          <w:rFonts w:hint="eastAsia" w:ascii="仿宋" w:hAnsi="仿宋" w:eastAsia="仿宋" w:cs="仿宋"/>
          <w:color w:val="000000"/>
          <w:sz w:val="32"/>
          <w:szCs w:val="32"/>
          <w:u w:val="none"/>
          <w:lang w:val="en-US" w:eastAsia="zh-CN"/>
        </w:rPr>
        <w:t>监罚决字</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2023</w:t>
      </w:r>
      <w:r>
        <w:rPr>
          <w:rFonts w:hint="eastAsia" w:ascii="仿宋" w:hAnsi="仿宋" w:eastAsia="仿宋" w:cs="仿宋"/>
          <w:color w:val="000000"/>
          <w:sz w:val="32"/>
          <w:szCs w:val="32"/>
          <w:u w:val="none"/>
          <w:lang w:eastAsia="zh-CN"/>
        </w:rPr>
        <w:t>〕</w:t>
      </w:r>
      <w:r>
        <w:rPr>
          <w:rFonts w:hint="eastAsia" w:ascii="仿宋" w:hAnsi="仿宋" w:eastAsia="仿宋" w:cs="仿宋"/>
          <w:color w:val="000000"/>
          <w:sz w:val="32"/>
          <w:szCs w:val="32"/>
          <w:u w:val="none"/>
          <w:lang w:val="en-US" w:eastAsia="zh-CN"/>
        </w:rPr>
        <w:t xml:space="preserve">185 </w:t>
      </w:r>
      <w:r>
        <w:rPr>
          <w:rFonts w:hint="eastAsia" w:ascii="仿宋" w:hAnsi="仿宋" w:eastAsia="仿宋" w:cs="仿宋"/>
          <w:color w:val="000000"/>
          <w:sz w:val="32"/>
          <w:szCs w:val="32"/>
          <w:u w:val="none"/>
          <w:lang w:eastAsia="zh-CN"/>
        </w:rPr>
        <w:t>号</w:t>
      </w:r>
    </w:p>
    <w:p w14:paraId="27EF49F0">
      <w:pPr>
        <w:keepNext w:val="0"/>
        <w:keepLines w:val="0"/>
        <w:pageBreakBefore w:val="0"/>
        <w:tabs>
          <w:tab w:val="center" w:pos="4153"/>
          <w:tab w:val="right" w:pos="8306"/>
        </w:tabs>
        <w:kinsoku/>
        <w:overflowPunct/>
        <w:topLinePunct w:val="0"/>
        <w:autoSpaceDE/>
        <w:autoSpaceDN/>
        <w:bidi w:val="0"/>
        <w:snapToGrid/>
        <w:spacing w:line="560" w:lineRule="exact"/>
        <w:ind w:left="1280" w:hanging="1280" w:hangingChars="400"/>
        <w:textAlignment w:val="auto"/>
        <w:rPr>
          <w:rFonts w:hint="eastAsia" w:ascii="仿宋" w:hAnsi="仿宋" w:eastAsia="仿宋" w:cs="仿宋"/>
          <w:bCs/>
          <w:color w:val="0000FF"/>
          <w:sz w:val="32"/>
          <w:szCs w:val="32"/>
          <w:u w:val="none" w:color="auto"/>
          <w:lang w:eastAsia="zh-CN"/>
        </w:rPr>
      </w:pPr>
      <w:r>
        <w:rPr>
          <w:rFonts w:hint="eastAsia" w:ascii="仿宋" w:hAnsi="仿宋" w:eastAsia="仿宋" w:cs="仿宋"/>
          <w:bCs/>
          <w:color w:val="auto"/>
          <w:sz w:val="32"/>
          <w:szCs w:val="32"/>
          <w:u w:val="none" w:color="auto"/>
          <w:lang w:eastAsia="zh-CN"/>
        </w:rPr>
        <w:t>当事人：</w:t>
      </w:r>
      <w:r>
        <w:rPr>
          <w:rFonts w:hint="eastAsia" w:ascii="仿宋" w:hAnsi="仿宋" w:eastAsia="仿宋" w:cs="仿宋"/>
          <w:color w:val="auto"/>
          <w:kern w:val="2"/>
          <w:sz w:val="32"/>
          <w:szCs w:val="32"/>
          <w:u w:val="none" w:color="auto"/>
          <w:lang w:eastAsia="zh-CN"/>
        </w:rPr>
        <w:t>盛</w:t>
      </w:r>
      <w:r>
        <w:rPr>
          <w:rFonts w:hint="eastAsia" w:ascii="仿宋" w:hAnsi="仿宋" w:eastAsia="仿宋" w:cs="仿宋"/>
          <w:color w:val="auto"/>
          <w:kern w:val="2"/>
          <w:sz w:val="32"/>
          <w:szCs w:val="32"/>
          <w:u w:val="none" w:color="auto"/>
          <w:lang w:val="en-US" w:eastAsia="zh-CN"/>
        </w:rPr>
        <w:t xml:space="preserve">某某                         </w:t>
      </w:r>
      <w:r>
        <w:rPr>
          <w:rFonts w:hint="eastAsia" w:ascii="仿宋" w:hAnsi="仿宋" w:eastAsia="仿宋" w:cs="仿宋"/>
          <w:bCs/>
          <w:color w:val="auto"/>
          <w:sz w:val="32"/>
          <w:szCs w:val="32"/>
          <w:u w:val="none" w:color="auto"/>
          <w:lang w:eastAsia="zh-CN"/>
        </w:rPr>
        <w:t xml:space="preserve"> </w:t>
      </w:r>
      <w:r>
        <w:rPr>
          <w:rFonts w:hint="eastAsia" w:ascii="仿宋" w:hAnsi="仿宋" w:eastAsia="仿宋" w:cs="仿宋"/>
          <w:bCs/>
          <w:color w:val="0000FF"/>
          <w:sz w:val="32"/>
          <w:szCs w:val="32"/>
          <w:u w:val="none" w:color="auto"/>
          <w:lang w:eastAsia="zh-CN"/>
        </w:rPr>
        <w:t xml:space="preserve">                                                      </w:t>
      </w:r>
    </w:p>
    <w:p w14:paraId="423CCBC2">
      <w:pPr>
        <w:keepNext w:val="0"/>
        <w:keepLines w:val="0"/>
        <w:pageBreakBefore w:val="0"/>
        <w:tabs>
          <w:tab w:val="center" w:pos="4153"/>
          <w:tab w:val="right" w:pos="8306"/>
        </w:tabs>
        <w:kinsoku/>
        <w:overflowPunct/>
        <w:topLinePunct w:val="0"/>
        <w:autoSpaceDE/>
        <w:autoSpaceDN/>
        <w:bidi w:val="0"/>
        <w:snapToGrid/>
        <w:spacing w:line="560" w:lineRule="exact"/>
        <w:textAlignment w:val="auto"/>
        <w:rPr>
          <w:rFonts w:hint="eastAsia" w:ascii="仿宋" w:hAnsi="仿宋" w:eastAsia="仿宋" w:cs="仿宋"/>
          <w:bCs/>
          <w:color w:val="auto"/>
          <w:sz w:val="32"/>
          <w:szCs w:val="32"/>
          <w:u w:val="none" w:color="auto"/>
          <w:lang w:eastAsia="zh-CN"/>
        </w:rPr>
      </w:pPr>
      <w:r>
        <w:rPr>
          <w:rFonts w:hint="eastAsia" w:ascii="仿宋" w:hAnsi="仿宋" w:eastAsia="仿宋" w:cs="仿宋"/>
          <w:bCs/>
          <w:color w:val="auto"/>
          <w:sz w:val="32"/>
          <w:szCs w:val="32"/>
          <w:u w:val="none" w:color="auto"/>
          <w:lang w:eastAsia="zh-CN"/>
        </w:rPr>
        <w:t>主体资格证照名称：</w:t>
      </w:r>
      <w:r>
        <w:rPr>
          <w:rFonts w:hint="eastAsia" w:ascii="仿宋" w:hAnsi="仿宋" w:eastAsia="仿宋" w:cs="仿宋"/>
          <w:bCs/>
          <w:color w:val="auto"/>
          <w:sz w:val="32"/>
          <w:szCs w:val="32"/>
          <w:u w:val="none" w:color="auto"/>
          <w:lang w:val="en-US" w:eastAsia="zh-CN"/>
        </w:rPr>
        <w:t>《营业执照》</w:t>
      </w:r>
      <w:r>
        <w:rPr>
          <w:rFonts w:hint="eastAsia" w:ascii="仿宋" w:hAnsi="仿宋" w:eastAsia="仿宋" w:cs="仿宋"/>
          <w:bCs/>
          <w:color w:val="auto"/>
          <w:sz w:val="32"/>
          <w:szCs w:val="32"/>
          <w:u w:val="none" w:color="auto"/>
          <w:lang w:eastAsia="zh-CN"/>
        </w:rPr>
        <w:t xml:space="preserve">                                             </w:t>
      </w:r>
    </w:p>
    <w:p w14:paraId="21569A4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FF"/>
          <w:kern w:val="1"/>
          <w:sz w:val="32"/>
          <w:szCs w:val="32"/>
          <w:u w:val="none" w:color="auto"/>
          <w:lang w:eastAsia="zh-CN"/>
        </w:rPr>
      </w:pPr>
      <w:r>
        <w:rPr>
          <w:rFonts w:hint="eastAsia" w:ascii="仿宋" w:hAnsi="仿宋" w:eastAsia="仿宋" w:cs="仿宋"/>
          <w:color w:val="000000"/>
          <w:kern w:val="1"/>
          <w:sz w:val="32"/>
          <w:szCs w:val="32"/>
          <w:u w:val="none" w:color="auto"/>
          <w:lang w:eastAsia="zh-CN"/>
        </w:rPr>
        <w:t>统一社会信用代码：92411528MA45Y8MG</w:t>
      </w:r>
      <w:r>
        <w:rPr>
          <w:rFonts w:hint="eastAsia" w:ascii="仿宋" w:hAnsi="仿宋" w:eastAsia="仿宋" w:cs="仿宋"/>
          <w:color w:val="000000"/>
          <w:kern w:val="1"/>
          <w:sz w:val="32"/>
          <w:szCs w:val="32"/>
          <w:u w:val="none" w:color="auto"/>
          <w:lang w:val="en-US" w:eastAsia="zh-CN"/>
        </w:rPr>
        <w:t>XX</w:t>
      </w:r>
      <w:r>
        <w:rPr>
          <w:rFonts w:hint="eastAsia" w:ascii="仿宋" w:hAnsi="仿宋" w:eastAsia="仿宋" w:cs="仿宋"/>
          <w:color w:val="000000"/>
          <w:kern w:val="1"/>
          <w:sz w:val="32"/>
          <w:szCs w:val="32"/>
          <w:u w:val="none" w:color="auto"/>
          <w:lang w:eastAsia="zh-CN"/>
        </w:rPr>
        <w:t xml:space="preserve">                                 </w:t>
      </w:r>
      <w:r>
        <w:rPr>
          <w:rFonts w:hint="eastAsia" w:ascii="仿宋" w:hAnsi="仿宋" w:eastAsia="仿宋" w:cs="仿宋"/>
          <w:color w:val="0000FF"/>
          <w:kern w:val="1"/>
          <w:sz w:val="32"/>
          <w:szCs w:val="32"/>
          <w:u w:val="none" w:color="auto"/>
          <w:lang w:eastAsia="zh-CN"/>
        </w:rPr>
        <w:t xml:space="preserve">    </w:t>
      </w:r>
    </w:p>
    <w:p w14:paraId="558F83A8">
      <w:pPr>
        <w:pStyle w:val="4"/>
        <w:keepNext w:val="0"/>
        <w:keepLines w:val="0"/>
        <w:pageBreakBefore w:val="0"/>
        <w:widowControl w:val="0"/>
        <w:tabs>
          <w:tab w:val="left" w:pos="5291"/>
          <w:tab w:val="left" w:pos="9206"/>
        </w:tabs>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color w:val="000000"/>
          <w:kern w:val="1"/>
          <w:sz w:val="32"/>
          <w:szCs w:val="32"/>
          <w:u w:val="none" w:color="auto"/>
          <w:lang w:val="en-US" w:eastAsia="zh-CN"/>
        </w:rPr>
      </w:pPr>
      <w:r>
        <w:rPr>
          <w:rFonts w:hint="eastAsia" w:ascii="仿宋" w:hAnsi="仿宋" w:eastAsia="仿宋" w:cs="仿宋"/>
          <w:color w:val="000000"/>
          <w:kern w:val="1"/>
          <w:sz w:val="32"/>
          <w:szCs w:val="32"/>
          <w:u w:val="none" w:color="auto"/>
          <w:lang w:val="en-US" w:eastAsia="zh-CN"/>
        </w:rPr>
        <w:t>类型：个体工商户</w:t>
      </w:r>
    </w:p>
    <w:p w14:paraId="23F5B435">
      <w:pPr>
        <w:pStyle w:val="4"/>
        <w:keepNext w:val="0"/>
        <w:keepLines w:val="0"/>
        <w:pageBreakBefore w:val="0"/>
        <w:widowControl w:val="0"/>
        <w:tabs>
          <w:tab w:val="left" w:pos="5291"/>
          <w:tab w:val="left" w:pos="9206"/>
        </w:tabs>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color w:val="000000"/>
          <w:kern w:val="1"/>
          <w:sz w:val="32"/>
          <w:szCs w:val="32"/>
          <w:u w:val="none" w:color="auto"/>
          <w:lang w:eastAsia="zh-CN"/>
        </w:rPr>
      </w:pPr>
      <w:r>
        <w:rPr>
          <w:rFonts w:hint="eastAsia" w:ascii="仿宋" w:hAnsi="仿宋" w:eastAsia="仿宋" w:cs="仿宋"/>
          <w:color w:val="000000"/>
          <w:kern w:val="1"/>
          <w:sz w:val="32"/>
          <w:szCs w:val="32"/>
          <w:u w:val="none" w:color="auto"/>
          <w:lang w:val="en-US" w:eastAsia="zh-CN"/>
        </w:rPr>
        <w:t>经营场所</w:t>
      </w:r>
      <w:r>
        <w:rPr>
          <w:rFonts w:hint="eastAsia" w:ascii="仿宋" w:hAnsi="仿宋" w:eastAsia="仿宋" w:cs="仿宋"/>
          <w:color w:val="000000"/>
          <w:kern w:val="1"/>
          <w:sz w:val="32"/>
          <w:szCs w:val="32"/>
          <w:u w:val="none" w:color="auto"/>
          <w:lang w:eastAsia="zh-CN"/>
        </w:rPr>
        <w:t>：</w:t>
      </w:r>
      <w:r>
        <w:rPr>
          <w:rFonts w:hint="eastAsia" w:ascii="仿宋" w:hAnsi="仿宋" w:eastAsia="仿宋" w:cs="仿宋"/>
          <w:color w:val="000000"/>
          <w:kern w:val="1"/>
          <w:sz w:val="32"/>
          <w:szCs w:val="32"/>
          <w:u w:val="none" w:color="auto"/>
          <w:lang w:val="en-US" w:eastAsia="zh-CN" w:bidi="ar-SA"/>
        </w:rPr>
        <w:t>河南省息县路口乡土桥村</w:t>
      </w:r>
      <w:r>
        <w:rPr>
          <w:rFonts w:hint="eastAsia" w:ascii="仿宋" w:hAnsi="仿宋" w:eastAsia="仿宋" w:cs="仿宋"/>
          <w:color w:val="000000"/>
          <w:kern w:val="1"/>
          <w:sz w:val="32"/>
          <w:szCs w:val="32"/>
          <w:u w:val="none" w:color="auto"/>
          <w:lang w:eastAsia="zh-CN"/>
        </w:rPr>
        <w:t xml:space="preserve">                                                    </w:t>
      </w:r>
    </w:p>
    <w:p w14:paraId="6E19B49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kern w:val="1"/>
          <w:sz w:val="32"/>
          <w:szCs w:val="32"/>
          <w:u w:val="none" w:color="auto"/>
          <w:lang w:eastAsia="zh-CN"/>
        </w:rPr>
      </w:pPr>
      <w:r>
        <w:rPr>
          <w:rFonts w:hint="eastAsia" w:ascii="仿宋" w:hAnsi="仿宋" w:eastAsia="仿宋" w:cs="仿宋"/>
          <w:color w:val="000000"/>
          <w:kern w:val="1"/>
          <w:sz w:val="32"/>
          <w:szCs w:val="32"/>
          <w:u w:val="none" w:color="auto"/>
          <w:lang w:val="en-US" w:eastAsia="zh-CN"/>
        </w:rPr>
        <w:t>经营者</w:t>
      </w:r>
      <w:r>
        <w:rPr>
          <w:rFonts w:hint="eastAsia" w:ascii="仿宋" w:hAnsi="仿宋" w:eastAsia="仿宋" w:cs="仿宋"/>
          <w:color w:val="000000"/>
          <w:kern w:val="1"/>
          <w:sz w:val="32"/>
          <w:szCs w:val="32"/>
          <w:u w:val="none" w:color="auto"/>
          <w:lang w:eastAsia="zh-CN"/>
        </w:rPr>
        <w:t>：</w:t>
      </w:r>
      <w:r>
        <w:rPr>
          <w:rFonts w:hint="eastAsia" w:ascii="仿宋" w:hAnsi="仿宋" w:eastAsia="仿宋" w:cs="仿宋"/>
          <w:color w:val="000000"/>
          <w:kern w:val="1"/>
          <w:sz w:val="32"/>
          <w:szCs w:val="32"/>
          <w:u w:val="none" w:color="auto"/>
          <w:lang w:val="en-US" w:eastAsia="zh-CN"/>
        </w:rPr>
        <w:t xml:space="preserve">盛某某 </w:t>
      </w:r>
      <w:r>
        <w:rPr>
          <w:rFonts w:hint="eastAsia" w:ascii="仿宋" w:hAnsi="仿宋" w:eastAsia="仿宋" w:cs="仿宋"/>
          <w:color w:val="000000"/>
          <w:kern w:val="1"/>
          <w:sz w:val="32"/>
          <w:szCs w:val="32"/>
          <w:u w:val="none" w:color="auto"/>
          <w:lang w:eastAsia="zh-CN"/>
        </w:rPr>
        <w:t xml:space="preserve">                                   </w:t>
      </w:r>
    </w:p>
    <w:p w14:paraId="6C71EDE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kern w:val="1"/>
          <w:sz w:val="32"/>
          <w:szCs w:val="32"/>
          <w:u w:val="none" w:color="auto"/>
          <w:lang w:eastAsia="zh-CN"/>
        </w:rPr>
      </w:pPr>
      <w:r>
        <w:rPr>
          <w:rFonts w:hint="eastAsia" w:ascii="仿宋" w:hAnsi="仿宋" w:eastAsia="仿宋" w:cs="仿宋"/>
          <w:color w:val="000000"/>
          <w:kern w:val="1"/>
          <w:sz w:val="32"/>
          <w:szCs w:val="32"/>
          <w:u w:val="none" w:color="auto"/>
          <w:lang w:eastAsia="zh-CN"/>
        </w:rPr>
        <w:t>身份证件号码：</w:t>
      </w:r>
      <w:r>
        <w:rPr>
          <w:rFonts w:hint="eastAsia" w:ascii="仿宋" w:hAnsi="仿宋" w:eastAsia="仿宋" w:cs="仿宋"/>
          <w:color w:val="auto"/>
          <w:sz w:val="32"/>
          <w:szCs w:val="32"/>
          <w:u w:val="none" w:color="auto"/>
          <w:lang w:val="en-US" w:eastAsia="zh-CN"/>
        </w:rPr>
        <w:t>4130211963081707XX</w:t>
      </w:r>
      <w:r>
        <w:rPr>
          <w:rFonts w:hint="eastAsia" w:ascii="仿宋" w:hAnsi="仿宋" w:eastAsia="仿宋" w:cs="仿宋"/>
          <w:color w:val="000000"/>
          <w:kern w:val="1"/>
          <w:sz w:val="32"/>
          <w:szCs w:val="32"/>
          <w:u w:val="none" w:color="auto"/>
          <w:lang w:val="en-US" w:eastAsia="zh-CN"/>
        </w:rPr>
        <w:t xml:space="preserve">    </w:t>
      </w:r>
      <w:r>
        <w:rPr>
          <w:rFonts w:hint="eastAsia" w:ascii="仿宋" w:hAnsi="仿宋" w:eastAsia="仿宋" w:cs="仿宋"/>
          <w:color w:val="000000"/>
          <w:kern w:val="1"/>
          <w:sz w:val="32"/>
          <w:szCs w:val="32"/>
          <w:u w:val="none" w:color="auto"/>
          <w:lang w:eastAsia="zh-CN"/>
        </w:rPr>
        <w:t xml:space="preserve">                                             </w:t>
      </w:r>
    </w:p>
    <w:p w14:paraId="0DC4EC83">
      <w:pPr>
        <w:keepNext w:val="0"/>
        <w:keepLines w:val="0"/>
        <w:pageBreakBefore w:val="0"/>
        <w:tabs>
          <w:tab w:val="center" w:pos="4153"/>
          <w:tab w:val="right" w:pos="8306"/>
        </w:tabs>
        <w:kinsoku/>
        <w:overflowPunct/>
        <w:topLinePunct w:val="0"/>
        <w:autoSpaceDE/>
        <w:autoSpaceDN/>
        <w:bidi w:val="0"/>
        <w:snapToGrid/>
        <w:spacing w:line="560" w:lineRule="exact"/>
        <w:textAlignment w:val="auto"/>
        <w:rPr>
          <w:rFonts w:hint="default" w:ascii="仿宋" w:hAnsi="仿宋" w:eastAsia="仿宋" w:cs="仿宋"/>
          <w:color w:val="000000"/>
          <w:kern w:val="1"/>
          <w:sz w:val="32"/>
          <w:szCs w:val="32"/>
          <w:u w:val="none" w:color="auto"/>
          <w:lang w:val="en-US" w:eastAsia="zh-CN"/>
        </w:rPr>
      </w:pPr>
      <w:r>
        <w:rPr>
          <w:rFonts w:hint="eastAsia" w:ascii="仿宋" w:hAnsi="仿宋" w:eastAsia="仿宋" w:cs="仿宋"/>
          <w:color w:val="000000"/>
          <w:kern w:val="1"/>
          <w:sz w:val="32"/>
          <w:szCs w:val="32"/>
          <w:u w:val="none" w:color="auto"/>
          <w:lang w:eastAsia="zh-CN"/>
        </w:rPr>
        <w:t>联系电话：139397680</w:t>
      </w:r>
      <w:r>
        <w:rPr>
          <w:rFonts w:hint="eastAsia" w:ascii="仿宋" w:hAnsi="仿宋" w:eastAsia="仿宋" w:cs="仿宋"/>
          <w:color w:val="000000"/>
          <w:kern w:val="1"/>
          <w:sz w:val="32"/>
          <w:szCs w:val="32"/>
          <w:u w:val="none" w:color="auto"/>
          <w:lang w:val="en-US" w:eastAsia="zh-CN"/>
        </w:rPr>
        <w:t>XX</w:t>
      </w:r>
    </w:p>
    <w:p w14:paraId="1540B06D">
      <w:pPr>
        <w:keepNext w:val="0"/>
        <w:keepLines w:val="0"/>
        <w:pageBreakBefore w:val="0"/>
        <w:tabs>
          <w:tab w:val="center" w:pos="4153"/>
          <w:tab w:val="right" w:pos="8306"/>
        </w:tabs>
        <w:kinsoku/>
        <w:overflowPunct/>
        <w:topLinePunct w:val="0"/>
        <w:autoSpaceDE/>
        <w:autoSpaceDN/>
        <w:bidi w:val="0"/>
        <w:snapToGrid/>
        <w:spacing w:line="560" w:lineRule="exact"/>
        <w:textAlignment w:val="auto"/>
        <w:rPr>
          <w:rFonts w:hint="eastAsia" w:ascii="仿宋" w:hAnsi="仿宋" w:eastAsia="仿宋" w:cs="仿宋"/>
          <w:color w:val="000000"/>
          <w:sz w:val="32"/>
          <w:szCs w:val="32"/>
          <w:u w:val="none" w:color="auto"/>
          <w:lang w:eastAsia="zh-CN"/>
        </w:rPr>
      </w:pPr>
      <w:r>
        <w:rPr>
          <w:rFonts w:hint="eastAsia" w:ascii="仿宋" w:hAnsi="仿宋" w:eastAsia="仿宋" w:cs="仿宋"/>
          <w:bCs/>
          <w:color w:val="000000"/>
          <w:sz w:val="32"/>
          <w:szCs w:val="32"/>
          <w:lang w:eastAsia="zh-CN"/>
        </w:rPr>
        <w:t>联系地址：</w:t>
      </w:r>
      <w:r>
        <w:rPr>
          <w:rFonts w:hint="eastAsia" w:ascii="仿宋" w:hAnsi="仿宋" w:eastAsia="仿宋" w:cs="仿宋"/>
          <w:color w:val="000000"/>
          <w:kern w:val="1"/>
          <w:sz w:val="32"/>
          <w:szCs w:val="32"/>
          <w:u w:val="none" w:color="auto"/>
          <w:lang w:val="en-US" w:eastAsia="zh-CN" w:bidi="ar-SA"/>
        </w:rPr>
        <w:t>河南省信阳市息县路口乡土桥村一队</w:t>
      </w:r>
      <w:r>
        <w:rPr>
          <w:rFonts w:hint="eastAsia" w:ascii="仿宋" w:hAnsi="仿宋" w:eastAsia="仿宋" w:cs="仿宋"/>
          <w:color w:val="000000"/>
          <w:kern w:val="1"/>
          <w:sz w:val="32"/>
          <w:szCs w:val="32"/>
          <w:u w:val="none" w:color="auto"/>
          <w:lang w:eastAsia="zh-CN"/>
        </w:rPr>
        <w:t xml:space="preserve"> </w:t>
      </w:r>
      <w:r>
        <w:rPr>
          <w:rFonts w:hint="eastAsia" w:ascii="仿宋" w:hAnsi="仿宋" w:eastAsia="仿宋" w:cs="仿宋"/>
          <w:color w:val="000000"/>
          <w:kern w:val="1"/>
          <w:sz w:val="32"/>
          <w:szCs w:val="32"/>
          <w:u w:val="none" w:color="auto"/>
          <w:lang w:val="en-US" w:eastAsia="zh-CN"/>
        </w:rPr>
        <w:t xml:space="preserve">   </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bCs/>
          <w:sz w:val="32"/>
          <w:szCs w:val="32"/>
          <w:u w:val="none" w:color="auto"/>
          <w:lang w:eastAsia="zh-CN"/>
        </w:rPr>
        <w:t xml:space="preserve">                                </w:t>
      </w:r>
    </w:p>
    <w:p w14:paraId="3F04062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经营范围:零售，预包装食品兼散装食品，乳制品。</w:t>
      </w:r>
    </w:p>
    <w:p w14:paraId="275393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2023年4月14日，我局对当事人涉嫌经营不符合食品安全标准的食品进行立案调查。</w:t>
      </w:r>
    </w:p>
    <w:p w14:paraId="5D71A92D">
      <w:pPr>
        <w:keepNext w:val="0"/>
        <w:keepLines w:val="0"/>
        <w:pageBreakBefore w:val="0"/>
        <w:widowControl w:val="0"/>
        <w:kinsoku/>
        <w:wordWrap w:val="0"/>
        <w:overflowPunct/>
        <w:topLinePunct w:val="0"/>
        <w:autoSpaceDE w:val="0"/>
        <w:autoSpaceDN w:val="0"/>
        <w:bidi w:val="0"/>
        <w:adjustRightInd w:val="0"/>
        <w:snapToGrid/>
        <w:spacing w:beforeLines="0" w:afterLines="0" w:line="560" w:lineRule="exact"/>
        <w:ind w:firstLine="640" w:firstLineChars="200"/>
        <w:jc w:val="left"/>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经查，</w:t>
      </w:r>
      <w:r>
        <w:rPr>
          <w:rFonts w:hint="eastAsia" w:ascii="仿宋" w:hAnsi="仿宋" w:eastAsia="仿宋" w:cs="仿宋"/>
          <w:color w:val="000000"/>
          <w:spacing w:val="6"/>
          <w:kern w:val="0"/>
          <w:sz w:val="32"/>
          <w:szCs w:val="32"/>
          <w:lang w:val="en-US" w:eastAsia="zh-CN"/>
        </w:rPr>
        <w:t>2023年3月1日，我局依法委托河南省标谱检测技术有限公司对当事人经营销售的“椰子汁植物蛋白饮料”进行抽样检验。2023年4月14日，我局收到河南省标谱检测技术有限公司出具的《检验报告》(№:SP2023-0136-106)，显示当事人被抽检的“椰子汁植物蛋白饮料”蛋白质项目不符合Q/HAS0OO3S-2018《蛋白饮料》要求，标准指标≥0.55，实测值0.021，检验结论为不合格。于当日向当事人送达，上述检验报告由当事人盛某某确认签收。</w:t>
      </w:r>
    </w:p>
    <w:p w14:paraId="22CDA538">
      <w:pPr>
        <w:keepNext w:val="0"/>
        <w:keepLines w:val="0"/>
        <w:pageBreakBefore w:val="0"/>
        <w:widowControl w:val="0"/>
        <w:kinsoku/>
        <w:wordWrap w:val="0"/>
        <w:overflowPunct/>
        <w:topLinePunct w:val="0"/>
        <w:autoSpaceDE w:val="0"/>
        <w:autoSpaceDN w:val="0"/>
        <w:bidi w:val="0"/>
        <w:adjustRightInd w:val="0"/>
        <w:snapToGrid/>
        <w:spacing w:beforeLines="0" w:afterLines="0" w:line="560" w:lineRule="exact"/>
        <w:ind w:firstLine="664" w:firstLineChars="200"/>
        <w:jc w:val="left"/>
        <w:textAlignment w:val="auto"/>
        <w:rPr>
          <w:rFonts w:hint="eastAsia" w:ascii="仿宋" w:hAnsi="仿宋" w:eastAsia="仿宋" w:cs="仿宋"/>
          <w:color w:val="000000"/>
          <w:spacing w:val="6"/>
          <w:kern w:val="0"/>
          <w:sz w:val="32"/>
          <w:szCs w:val="32"/>
          <w:lang w:val="en-US" w:eastAsia="zh-CN"/>
        </w:rPr>
      </w:pPr>
      <w:r>
        <w:rPr>
          <w:rFonts w:hint="eastAsia" w:ascii="仿宋" w:hAnsi="仿宋" w:eastAsia="仿宋" w:cs="仿宋"/>
          <w:color w:val="000000"/>
          <w:spacing w:val="6"/>
          <w:kern w:val="0"/>
          <w:sz w:val="32"/>
          <w:szCs w:val="32"/>
          <w:lang w:val="en-US" w:eastAsia="zh-CN"/>
        </w:rPr>
        <w:t>上述抽检不合格的“椰子汁植物蛋白饮料”是当事人2023年2月19日从息县孙庙乡吴某某处购进的，共2件，每件16罐，购进价40元/件，销售价每罐4元，截止案发已全部销售完毕，当事人未建立进货查验台账，也无销售票据及销售记录。</w:t>
      </w:r>
    </w:p>
    <w:p w14:paraId="222F177A">
      <w:pPr>
        <w:keepNext w:val="0"/>
        <w:keepLines w:val="0"/>
        <w:pageBreakBefore w:val="0"/>
        <w:widowControl w:val="0"/>
        <w:kinsoku/>
        <w:wordWrap w:val="0"/>
        <w:overflowPunct/>
        <w:topLinePunct w:val="0"/>
        <w:autoSpaceDE w:val="0"/>
        <w:autoSpaceDN w:val="0"/>
        <w:bidi w:val="0"/>
        <w:adjustRightInd w:val="0"/>
        <w:snapToGrid/>
        <w:spacing w:beforeLines="0" w:afterLines="0" w:line="560" w:lineRule="exact"/>
        <w:ind w:firstLine="664" w:firstLineChars="200"/>
        <w:jc w:val="left"/>
        <w:textAlignment w:val="auto"/>
        <w:rPr>
          <w:rFonts w:hint="eastAsia" w:ascii="仿宋" w:hAnsi="仿宋" w:eastAsia="仿宋" w:cs="仿宋"/>
          <w:color w:val="000000"/>
          <w:spacing w:val="6"/>
          <w:kern w:val="0"/>
          <w:sz w:val="32"/>
          <w:szCs w:val="32"/>
          <w:lang w:val="en-US" w:eastAsia="zh-CN"/>
        </w:rPr>
      </w:pPr>
      <w:r>
        <w:rPr>
          <w:rFonts w:hint="eastAsia" w:ascii="仿宋" w:hAnsi="仿宋" w:eastAsia="仿宋" w:cs="仿宋"/>
          <w:color w:val="000000"/>
          <w:spacing w:val="6"/>
          <w:kern w:val="0"/>
          <w:sz w:val="32"/>
          <w:szCs w:val="32"/>
          <w:lang w:val="en-US" w:eastAsia="zh-CN"/>
        </w:rPr>
        <w:t>经计算，当事人经营的不符合食品安全标准的“椰子汁植物蛋白饮料”货值金额为80元，违法所得为128元。</w:t>
      </w:r>
    </w:p>
    <w:p w14:paraId="5065FC33">
      <w:pPr>
        <w:keepNext w:val="0"/>
        <w:keepLines w:val="0"/>
        <w:pageBreakBefore w:val="0"/>
        <w:widowControl w:val="0"/>
        <w:kinsoku/>
        <w:wordWrap w:val="0"/>
        <w:overflowPunct/>
        <w:topLinePunct w:val="0"/>
        <w:autoSpaceDE w:val="0"/>
        <w:autoSpaceDN w:val="0"/>
        <w:bidi w:val="0"/>
        <w:adjustRightInd w:val="0"/>
        <w:snapToGrid/>
        <w:spacing w:beforeLines="0" w:afterLines="0" w:line="560" w:lineRule="exact"/>
        <w:ind w:firstLine="643" w:firstLineChars="200"/>
        <w:jc w:val="left"/>
        <w:textAlignment w:val="auto"/>
        <w:rPr>
          <w:rFonts w:hint="eastAsia" w:ascii="仿宋" w:hAnsi="仿宋" w:eastAsia="仿宋" w:cs="仿宋"/>
          <w:b/>
          <w:bCs w:val="0"/>
          <w:sz w:val="32"/>
          <w:szCs w:val="32"/>
          <w:u w:val="none" w:color="auto"/>
          <w:lang w:val="en-US" w:eastAsia="zh-CN"/>
        </w:rPr>
      </w:pPr>
      <w:r>
        <w:rPr>
          <w:rFonts w:hint="eastAsia" w:ascii="仿宋" w:hAnsi="仿宋" w:eastAsia="仿宋" w:cs="仿宋"/>
          <w:b/>
          <w:bCs w:val="0"/>
          <w:sz w:val="32"/>
          <w:szCs w:val="32"/>
          <w:u w:val="none" w:color="auto"/>
          <w:lang w:val="en-US" w:eastAsia="zh-CN"/>
        </w:rPr>
        <w:t>上述事实，主要有以下证据证明：</w:t>
      </w:r>
    </w:p>
    <w:p w14:paraId="4A9EFFF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1、当事人提供的《营业执照》、《食品经营许可证》复印件各1份，证明当事人的主体</w:t>
      </w:r>
      <w:r>
        <w:rPr>
          <w:rFonts w:hint="eastAsia" w:ascii="仿宋" w:hAnsi="仿宋" w:eastAsia="仿宋" w:cs="仿宋"/>
          <w:color w:val="000000"/>
          <w:kern w:val="2"/>
          <w:sz w:val="32"/>
          <w:szCs w:val="32"/>
          <w:u w:val="none" w:color="auto"/>
          <w:lang w:eastAsia="zh-CN"/>
        </w:rPr>
        <w:t>资格</w:t>
      </w:r>
      <w:r>
        <w:rPr>
          <w:rFonts w:hint="eastAsia" w:ascii="仿宋" w:hAnsi="仿宋" w:eastAsia="仿宋" w:cs="仿宋"/>
          <w:color w:val="000000"/>
          <w:kern w:val="2"/>
          <w:sz w:val="32"/>
          <w:szCs w:val="32"/>
          <w:u w:val="none" w:color="auto"/>
          <w:lang w:val="en-US" w:eastAsia="zh-CN"/>
        </w:rPr>
        <w:t xml:space="preserve">。                        </w:t>
      </w:r>
    </w:p>
    <w:p w14:paraId="0EDBC1F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2"/>
          <w:sz w:val="32"/>
          <w:szCs w:val="32"/>
          <w:u w:val="none" w:color="auto"/>
          <w:lang w:eastAsia="zh-CN"/>
        </w:rPr>
      </w:pPr>
      <w:r>
        <w:rPr>
          <w:rFonts w:hint="eastAsia" w:ascii="仿宋" w:hAnsi="仿宋" w:eastAsia="仿宋" w:cs="仿宋"/>
          <w:color w:val="000000"/>
          <w:kern w:val="2"/>
          <w:sz w:val="32"/>
          <w:szCs w:val="32"/>
          <w:u w:val="none" w:color="auto"/>
          <w:lang w:eastAsia="zh-CN"/>
        </w:rPr>
        <w:t>2、现场检查笔录1份</w:t>
      </w:r>
      <w:r>
        <w:rPr>
          <w:rFonts w:hint="eastAsia" w:ascii="仿宋" w:hAnsi="仿宋" w:eastAsia="仿宋" w:cs="仿宋"/>
          <w:color w:val="000000"/>
          <w:kern w:val="2"/>
          <w:sz w:val="32"/>
          <w:szCs w:val="32"/>
          <w:u w:val="none" w:color="auto"/>
          <w:lang w:val="en-US" w:eastAsia="zh-CN"/>
        </w:rPr>
        <w:t>共3页</w:t>
      </w:r>
      <w:r>
        <w:rPr>
          <w:rFonts w:hint="eastAsia" w:ascii="仿宋" w:hAnsi="仿宋" w:eastAsia="仿宋" w:cs="仿宋"/>
          <w:color w:val="000000"/>
          <w:kern w:val="2"/>
          <w:sz w:val="32"/>
          <w:szCs w:val="32"/>
          <w:u w:val="none" w:color="auto"/>
          <w:lang w:eastAsia="zh-CN"/>
        </w:rPr>
        <w:t>，证明</w:t>
      </w:r>
      <w:r>
        <w:rPr>
          <w:rFonts w:hint="eastAsia" w:ascii="仿宋" w:hAnsi="仿宋" w:eastAsia="仿宋" w:cs="仿宋"/>
          <w:color w:val="000000"/>
          <w:kern w:val="2"/>
          <w:sz w:val="32"/>
          <w:szCs w:val="32"/>
          <w:u w:val="none" w:color="auto"/>
          <w:lang w:val="en-US" w:eastAsia="zh-CN"/>
        </w:rPr>
        <w:t>执法人员现场送达《检验报告》及</w:t>
      </w:r>
      <w:r>
        <w:rPr>
          <w:rFonts w:hint="eastAsia" w:ascii="仿宋" w:hAnsi="仿宋" w:eastAsia="仿宋" w:cs="仿宋"/>
          <w:color w:val="000000"/>
          <w:kern w:val="2"/>
          <w:sz w:val="32"/>
          <w:szCs w:val="32"/>
          <w:u w:val="none" w:color="auto"/>
          <w:lang w:eastAsia="zh-CN"/>
        </w:rPr>
        <w:t>现场</w:t>
      </w:r>
      <w:r>
        <w:rPr>
          <w:rFonts w:hint="eastAsia" w:ascii="仿宋" w:hAnsi="仿宋" w:eastAsia="仿宋" w:cs="仿宋"/>
          <w:color w:val="000000"/>
          <w:kern w:val="2"/>
          <w:sz w:val="32"/>
          <w:szCs w:val="32"/>
          <w:u w:val="none" w:color="auto"/>
          <w:lang w:val="en-US" w:eastAsia="zh-CN"/>
        </w:rPr>
        <w:t>检查</w:t>
      </w:r>
      <w:r>
        <w:rPr>
          <w:rFonts w:hint="eastAsia" w:ascii="仿宋" w:hAnsi="仿宋" w:eastAsia="仿宋" w:cs="仿宋"/>
          <w:color w:val="000000"/>
          <w:kern w:val="2"/>
          <w:sz w:val="32"/>
          <w:szCs w:val="32"/>
          <w:u w:val="none" w:color="auto"/>
          <w:lang w:eastAsia="zh-CN"/>
        </w:rPr>
        <w:t xml:space="preserve">情况。            </w:t>
      </w:r>
    </w:p>
    <w:p w14:paraId="364DC54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kern w:val="2"/>
          <w:sz w:val="32"/>
          <w:szCs w:val="32"/>
          <w:u w:val="none" w:color="auto"/>
          <w:lang w:eastAsia="zh-CN"/>
        </w:rPr>
      </w:pPr>
      <w:r>
        <w:rPr>
          <w:rFonts w:hint="eastAsia" w:ascii="仿宋" w:hAnsi="仿宋" w:eastAsia="仿宋" w:cs="仿宋"/>
          <w:color w:val="000000"/>
          <w:kern w:val="2"/>
          <w:sz w:val="32"/>
          <w:szCs w:val="32"/>
          <w:u w:val="none" w:color="auto"/>
          <w:lang w:eastAsia="zh-CN"/>
        </w:rPr>
        <w:t>3、</w:t>
      </w:r>
      <w:r>
        <w:rPr>
          <w:rFonts w:hint="eastAsia" w:ascii="仿宋" w:hAnsi="仿宋" w:eastAsia="仿宋" w:cs="仿宋"/>
          <w:color w:val="000000"/>
          <w:kern w:val="2"/>
          <w:sz w:val="32"/>
          <w:szCs w:val="32"/>
          <w:u w:val="none" w:color="auto"/>
          <w:lang w:val="en-US" w:eastAsia="zh-CN"/>
        </w:rPr>
        <w:t>当事人</w:t>
      </w:r>
      <w:r>
        <w:rPr>
          <w:rFonts w:hint="eastAsia" w:ascii="仿宋" w:hAnsi="仿宋" w:eastAsia="仿宋" w:cs="仿宋"/>
          <w:color w:val="000000"/>
          <w:kern w:val="2"/>
          <w:sz w:val="32"/>
          <w:szCs w:val="32"/>
          <w:u w:val="none" w:color="auto"/>
          <w:lang w:eastAsia="zh-CN"/>
        </w:rPr>
        <w:t>盛</w:t>
      </w:r>
      <w:r>
        <w:rPr>
          <w:rFonts w:hint="eastAsia" w:ascii="仿宋" w:hAnsi="仿宋" w:eastAsia="仿宋" w:cs="仿宋"/>
          <w:color w:val="000000"/>
          <w:kern w:val="2"/>
          <w:sz w:val="32"/>
          <w:szCs w:val="32"/>
          <w:u w:val="none" w:color="auto"/>
          <w:lang w:val="en-US" w:eastAsia="zh-CN"/>
        </w:rPr>
        <w:t>某某提供的</w:t>
      </w:r>
      <w:r>
        <w:rPr>
          <w:rFonts w:hint="eastAsia" w:ascii="仿宋" w:hAnsi="仿宋" w:eastAsia="仿宋" w:cs="仿宋"/>
          <w:color w:val="000000"/>
          <w:kern w:val="2"/>
          <w:sz w:val="32"/>
          <w:szCs w:val="32"/>
          <w:u w:val="none" w:color="auto"/>
          <w:lang w:eastAsia="zh-CN"/>
        </w:rPr>
        <w:t xml:space="preserve">身份证复印件1张，证明当事人的身份。    </w:t>
      </w:r>
    </w:p>
    <w:p w14:paraId="6E617E7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kern w:val="2"/>
          <w:sz w:val="32"/>
          <w:szCs w:val="32"/>
          <w:u w:val="none" w:color="auto"/>
          <w:lang w:eastAsia="zh-CN"/>
        </w:rPr>
      </w:pPr>
      <w:r>
        <w:rPr>
          <w:rFonts w:hint="eastAsia" w:ascii="仿宋" w:hAnsi="仿宋" w:eastAsia="仿宋" w:cs="仿宋"/>
          <w:color w:val="000000"/>
          <w:kern w:val="2"/>
          <w:sz w:val="32"/>
          <w:szCs w:val="32"/>
          <w:u w:val="none" w:color="auto"/>
          <w:lang w:eastAsia="zh-CN"/>
        </w:rPr>
        <w:t>4、</w:t>
      </w:r>
      <w:r>
        <w:rPr>
          <w:rFonts w:hint="eastAsia" w:ascii="仿宋" w:hAnsi="仿宋" w:eastAsia="仿宋" w:cs="仿宋"/>
          <w:color w:val="000000"/>
          <w:kern w:val="2"/>
          <w:sz w:val="32"/>
          <w:szCs w:val="32"/>
          <w:u w:val="none" w:color="auto"/>
          <w:lang w:val="en-US" w:eastAsia="zh-CN"/>
        </w:rPr>
        <w:t>2023年4月14日，执法人员对当事人</w:t>
      </w:r>
      <w:r>
        <w:rPr>
          <w:rFonts w:hint="eastAsia" w:ascii="仿宋" w:hAnsi="仿宋" w:eastAsia="仿宋" w:cs="仿宋"/>
          <w:color w:val="000000"/>
          <w:kern w:val="2"/>
          <w:sz w:val="32"/>
          <w:szCs w:val="32"/>
          <w:u w:val="none" w:color="auto"/>
          <w:lang w:eastAsia="zh-CN"/>
        </w:rPr>
        <w:t>盛</w:t>
      </w:r>
      <w:r>
        <w:rPr>
          <w:rFonts w:hint="eastAsia" w:ascii="仿宋" w:hAnsi="仿宋" w:eastAsia="仿宋" w:cs="仿宋"/>
          <w:color w:val="000000"/>
          <w:kern w:val="2"/>
          <w:sz w:val="32"/>
          <w:szCs w:val="32"/>
          <w:u w:val="none" w:color="auto"/>
          <w:lang w:val="en-US" w:eastAsia="zh-CN"/>
        </w:rPr>
        <w:t>某某</w:t>
      </w:r>
      <w:r>
        <w:rPr>
          <w:rFonts w:hint="eastAsia" w:ascii="仿宋" w:hAnsi="仿宋" w:eastAsia="仿宋" w:cs="仿宋"/>
          <w:color w:val="000000"/>
          <w:kern w:val="2"/>
          <w:sz w:val="32"/>
          <w:szCs w:val="32"/>
          <w:u w:val="none" w:color="auto"/>
          <w:lang w:eastAsia="zh-CN"/>
        </w:rPr>
        <w:t>询问笔录1份</w:t>
      </w:r>
      <w:r>
        <w:rPr>
          <w:rFonts w:hint="eastAsia" w:ascii="仿宋" w:hAnsi="仿宋" w:eastAsia="仿宋" w:cs="仿宋"/>
          <w:color w:val="000000"/>
          <w:kern w:val="2"/>
          <w:sz w:val="32"/>
          <w:szCs w:val="32"/>
          <w:u w:val="none" w:color="auto"/>
          <w:lang w:val="en-US" w:eastAsia="zh-CN"/>
        </w:rPr>
        <w:t>共3页</w:t>
      </w:r>
      <w:r>
        <w:rPr>
          <w:rFonts w:hint="eastAsia" w:ascii="仿宋" w:hAnsi="仿宋" w:eastAsia="仿宋" w:cs="仿宋"/>
          <w:color w:val="000000"/>
          <w:kern w:val="2"/>
          <w:sz w:val="32"/>
          <w:szCs w:val="32"/>
          <w:u w:val="none" w:color="auto"/>
          <w:lang w:eastAsia="zh-CN"/>
        </w:rPr>
        <w:t>，证明当事人</w:t>
      </w:r>
      <w:r>
        <w:rPr>
          <w:rFonts w:hint="eastAsia" w:ascii="仿宋" w:hAnsi="仿宋" w:eastAsia="仿宋" w:cs="仿宋"/>
          <w:bCs/>
          <w:color w:val="000000"/>
          <w:sz w:val="32"/>
          <w:szCs w:val="32"/>
          <w:u w:val="none" w:color="auto"/>
          <w:lang w:eastAsia="zh-CN"/>
        </w:rPr>
        <w:t>经营不符合食品安全标准的食品</w:t>
      </w:r>
      <w:r>
        <w:rPr>
          <w:rFonts w:hint="eastAsia" w:ascii="仿宋" w:hAnsi="仿宋" w:eastAsia="仿宋" w:cs="仿宋"/>
          <w:color w:val="000000"/>
          <w:kern w:val="2"/>
          <w:sz w:val="32"/>
          <w:szCs w:val="32"/>
          <w:u w:val="none" w:color="auto"/>
          <w:lang w:eastAsia="zh-CN"/>
        </w:rPr>
        <w:t>的具体情节、事实、经过。</w:t>
      </w:r>
    </w:p>
    <w:p w14:paraId="62F16F5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Cs/>
          <w:color w:val="000000"/>
          <w:sz w:val="32"/>
          <w:szCs w:val="32"/>
          <w:u w:val="none" w:color="auto"/>
          <w:lang w:val="en-US" w:eastAsia="zh-CN"/>
        </w:rPr>
      </w:pPr>
      <w:r>
        <w:rPr>
          <w:rFonts w:hint="eastAsia" w:ascii="仿宋" w:hAnsi="仿宋" w:eastAsia="仿宋" w:cs="仿宋"/>
          <w:kern w:val="2"/>
          <w:sz w:val="32"/>
          <w:szCs w:val="32"/>
          <w:lang w:val="en-US" w:eastAsia="zh-CN"/>
        </w:rPr>
        <w:t>5、</w:t>
      </w:r>
      <w:r>
        <w:rPr>
          <w:rFonts w:hint="eastAsia" w:ascii="仿宋" w:hAnsi="仿宋" w:eastAsia="仿宋" w:cs="仿宋"/>
          <w:color w:val="000000"/>
          <w:spacing w:val="6"/>
          <w:kern w:val="0"/>
          <w:sz w:val="32"/>
          <w:szCs w:val="32"/>
          <w:lang w:val="en-US" w:eastAsia="zh-CN"/>
        </w:rPr>
        <w:t>河南省标谱检测技术有限公司</w:t>
      </w:r>
      <w:r>
        <w:rPr>
          <w:rFonts w:hint="eastAsia" w:ascii="仿宋" w:hAnsi="仿宋" w:eastAsia="仿宋" w:cs="仿宋"/>
          <w:bCs/>
          <w:color w:val="000000"/>
          <w:sz w:val="32"/>
          <w:szCs w:val="32"/>
          <w:u w:val="none" w:color="auto"/>
          <w:lang w:val="en-US" w:eastAsia="zh-CN"/>
        </w:rPr>
        <w:t>出具的《检验报告》共1份（报告编号：</w:t>
      </w:r>
      <w:r>
        <w:rPr>
          <w:rFonts w:hint="eastAsia" w:ascii="仿宋" w:hAnsi="仿宋" w:eastAsia="仿宋" w:cs="仿宋"/>
          <w:color w:val="000000"/>
          <w:spacing w:val="6"/>
          <w:kern w:val="0"/>
          <w:sz w:val="32"/>
          <w:szCs w:val="32"/>
          <w:lang w:val="en-US" w:eastAsia="zh-CN"/>
        </w:rPr>
        <w:t>(№:SP2023-0136-106)</w:t>
      </w:r>
      <w:r>
        <w:rPr>
          <w:rFonts w:hint="eastAsia" w:ascii="仿宋" w:hAnsi="仿宋" w:eastAsia="仿宋" w:cs="仿宋"/>
          <w:bCs/>
          <w:color w:val="000000"/>
          <w:sz w:val="32"/>
          <w:szCs w:val="32"/>
          <w:u w:val="none" w:color="auto"/>
          <w:lang w:val="en-US" w:eastAsia="zh-CN"/>
        </w:rPr>
        <w:t>），证明当事人销售的</w:t>
      </w:r>
      <w:r>
        <w:rPr>
          <w:rFonts w:hint="eastAsia" w:ascii="仿宋" w:hAnsi="仿宋" w:eastAsia="仿宋" w:cs="仿宋"/>
          <w:color w:val="000000"/>
          <w:spacing w:val="6"/>
          <w:kern w:val="0"/>
          <w:sz w:val="32"/>
          <w:szCs w:val="32"/>
          <w:lang w:val="en-US" w:eastAsia="zh-CN"/>
        </w:rPr>
        <w:t>“椰子汁植物蛋白饮料”</w:t>
      </w:r>
      <w:r>
        <w:rPr>
          <w:rFonts w:hint="eastAsia" w:ascii="仿宋" w:hAnsi="仿宋" w:eastAsia="仿宋" w:cs="仿宋"/>
          <w:bCs/>
          <w:color w:val="000000"/>
          <w:sz w:val="32"/>
          <w:szCs w:val="32"/>
          <w:u w:val="none" w:color="auto"/>
          <w:lang w:val="en-US" w:eastAsia="zh-CN"/>
        </w:rPr>
        <w:t>经检验为不合格。</w:t>
      </w:r>
    </w:p>
    <w:p w14:paraId="0E12914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6、现场检查照片2张，证明执法人员现场检查情况。</w:t>
      </w:r>
    </w:p>
    <w:p w14:paraId="74CFC74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bCs/>
          <w:sz w:val="32"/>
          <w:szCs w:val="32"/>
          <w:u w:val="none" w:color="auto"/>
          <w:lang w:eastAsia="zh-CN"/>
        </w:rPr>
      </w:pPr>
      <w:r>
        <w:rPr>
          <w:rFonts w:hint="eastAsia" w:ascii="仿宋" w:hAnsi="仿宋" w:eastAsia="仿宋" w:cs="仿宋"/>
          <w:color w:val="000000"/>
          <w:kern w:val="2"/>
          <w:sz w:val="32"/>
          <w:szCs w:val="32"/>
          <w:u w:val="none" w:color="auto"/>
          <w:lang w:val="en-US" w:eastAsia="zh-CN"/>
        </w:rPr>
        <w:t>以上各证据间相互印证，形成证据链充分证明当事人</w:t>
      </w:r>
      <w:r>
        <w:rPr>
          <w:rFonts w:hint="eastAsia" w:ascii="仿宋" w:hAnsi="仿宋" w:eastAsia="仿宋" w:cs="仿宋"/>
          <w:color w:val="000000"/>
          <w:kern w:val="2"/>
          <w:sz w:val="32"/>
          <w:szCs w:val="32"/>
          <w:u w:val="none" w:color="auto"/>
          <w:lang w:eastAsia="zh-CN"/>
        </w:rPr>
        <w:t>盛梅英</w:t>
      </w:r>
      <w:r>
        <w:rPr>
          <w:rFonts w:hint="eastAsia" w:ascii="仿宋" w:hAnsi="仿宋" w:eastAsia="仿宋" w:cs="仿宋"/>
          <w:color w:val="auto"/>
          <w:sz w:val="32"/>
          <w:szCs w:val="32"/>
          <w:u w:val="none" w:color="auto"/>
          <w:lang w:val="en-US" w:eastAsia="zh-CN"/>
        </w:rPr>
        <w:t>经营不符合食品安全标准的食品</w:t>
      </w:r>
      <w:r>
        <w:rPr>
          <w:rFonts w:hint="eastAsia" w:ascii="仿宋" w:hAnsi="仿宋" w:eastAsia="仿宋" w:cs="仿宋"/>
          <w:color w:val="000000"/>
          <w:kern w:val="2"/>
          <w:sz w:val="32"/>
          <w:szCs w:val="32"/>
          <w:u w:val="none" w:color="auto"/>
          <w:lang w:val="en-US" w:eastAsia="zh-CN"/>
        </w:rPr>
        <w:t>的行为存在。</w:t>
      </w:r>
    </w:p>
    <w:p w14:paraId="1348EDC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我局于2023年5月29日向当事人送达了《行政处罚听证告知书》[息市监罚告</w:t>
      </w:r>
      <w:r>
        <w:rPr>
          <w:rFonts w:hint="eastAsia" w:ascii="仿宋" w:hAnsi="仿宋" w:eastAsia="仿宋" w:cs="仿宋"/>
          <w:color w:val="000000" w:themeColor="text1"/>
          <w:kern w:val="2"/>
          <w:sz w:val="32"/>
          <w:szCs w:val="32"/>
          <w:u w:val="none" w:color="auto"/>
          <w:lang w:val="en-US" w:eastAsia="zh-CN"/>
          <w14:textFill>
            <w14:solidFill>
              <w14:schemeClr w14:val="tx1"/>
            </w14:solidFill>
          </w14:textFill>
        </w:rPr>
        <w:t>〔2023〕192号</w:t>
      </w:r>
      <w:r>
        <w:rPr>
          <w:rFonts w:hint="eastAsia" w:ascii="仿宋" w:hAnsi="仿宋" w:eastAsia="仿宋" w:cs="仿宋"/>
          <w:color w:val="000000"/>
          <w:kern w:val="2"/>
          <w:sz w:val="32"/>
          <w:szCs w:val="32"/>
          <w:u w:val="none" w:color="auto"/>
          <w:lang w:val="en-US" w:eastAsia="zh-CN"/>
        </w:rPr>
        <w:t>]，</w:t>
      </w:r>
      <w:r>
        <w:rPr>
          <w:rFonts w:hint="eastAsia" w:ascii="仿宋" w:hAnsi="仿宋" w:eastAsia="仿宋" w:cs="仿宋"/>
          <w:spacing w:val="0"/>
          <w:sz w:val="32"/>
          <w:szCs w:val="32"/>
          <w:u w:val="none" w:color="auto"/>
          <w:lang w:val="en-US" w:eastAsia="zh-CN"/>
        </w:rPr>
        <w:t>当事人在法定期限内未行使陈述、申辩、也未提出</w:t>
      </w:r>
      <w:r>
        <w:rPr>
          <w:rFonts w:hint="eastAsia" w:ascii="仿宋" w:hAnsi="仿宋" w:eastAsia="仿宋" w:cs="仿宋"/>
          <w:color w:val="000000"/>
          <w:kern w:val="2"/>
          <w:sz w:val="32"/>
          <w:szCs w:val="32"/>
          <w:u w:val="none" w:color="auto"/>
          <w:lang w:val="en-US" w:eastAsia="zh-CN"/>
        </w:rPr>
        <w:t>听证</w:t>
      </w:r>
      <w:r>
        <w:rPr>
          <w:rFonts w:hint="eastAsia" w:ascii="仿宋" w:hAnsi="仿宋" w:eastAsia="仿宋" w:cs="仿宋"/>
          <w:spacing w:val="0"/>
          <w:sz w:val="32"/>
          <w:szCs w:val="32"/>
          <w:u w:val="none" w:color="auto"/>
          <w:lang w:val="en-US" w:eastAsia="zh-CN"/>
        </w:rPr>
        <w:t xml:space="preserve">，视为放弃此权利。    </w:t>
      </w:r>
      <w:r>
        <w:rPr>
          <w:rFonts w:hint="eastAsia" w:ascii="仿宋" w:hAnsi="仿宋" w:eastAsia="仿宋" w:cs="仿宋"/>
          <w:b w:val="0"/>
          <w:bCs/>
          <w:sz w:val="32"/>
          <w:szCs w:val="32"/>
          <w:u w:val="none" w:color="auto"/>
          <w:lang w:eastAsia="zh-CN"/>
        </w:rPr>
        <w:t>本局认为：</w:t>
      </w:r>
      <w:r>
        <w:rPr>
          <w:rFonts w:hint="eastAsia" w:ascii="仿宋" w:hAnsi="仿宋" w:eastAsia="仿宋" w:cs="仿宋"/>
          <w:kern w:val="2"/>
          <w:sz w:val="32"/>
          <w:szCs w:val="32"/>
          <w:u w:val="none" w:color="auto"/>
          <w:lang w:eastAsia="zh-CN"/>
        </w:rPr>
        <w:t>当事人</w:t>
      </w:r>
      <w:bookmarkStart w:id="0" w:name="_GoBack"/>
      <w:r>
        <w:rPr>
          <w:rFonts w:hint="eastAsia" w:ascii="仿宋" w:hAnsi="仿宋" w:eastAsia="仿宋" w:cs="仿宋"/>
          <w:color w:val="auto"/>
          <w:sz w:val="32"/>
          <w:szCs w:val="32"/>
          <w:u w:val="none" w:color="auto"/>
          <w:lang w:val="en-US" w:eastAsia="zh-CN"/>
        </w:rPr>
        <w:t>经营不符合食品安全标准的食品</w:t>
      </w:r>
      <w:bookmarkEnd w:id="0"/>
      <w:r>
        <w:rPr>
          <w:rFonts w:hint="eastAsia" w:ascii="仿宋" w:hAnsi="仿宋" w:eastAsia="仿宋" w:cs="仿宋"/>
          <w:bCs/>
          <w:sz w:val="32"/>
          <w:szCs w:val="32"/>
          <w:u w:val="none" w:color="auto"/>
          <w:lang w:val="en-US" w:eastAsia="zh-CN"/>
        </w:rPr>
        <w:t>的行为，违反了</w:t>
      </w:r>
      <w:r>
        <w:rPr>
          <w:rFonts w:hint="eastAsia" w:ascii="仿宋" w:hAnsi="仿宋" w:eastAsia="仿宋" w:cs="仿宋"/>
          <w:kern w:val="2"/>
          <w:sz w:val="32"/>
          <w:szCs w:val="32"/>
          <w:u w:val="none" w:color="auto"/>
          <w:lang w:val="en-US" w:eastAsia="zh-CN"/>
        </w:rPr>
        <w:t>《中华人民共和国食品安全法》第三十四条第（十三）项“禁止生产经营下列食品、食品添加剂、食品先关产品:</w:t>
      </w:r>
      <w:r>
        <w:rPr>
          <w:rFonts w:hint="eastAsia" w:ascii="仿宋" w:hAnsi="仿宋" w:eastAsia="仿宋" w:cs="仿宋"/>
          <w:kern w:val="2"/>
          <w:sz w:val="32"/>
          <w:szCs w:val="32"/>
          <w:u w:val="none" w:color="auto"/>
          <w:lang w:eastAsia="zh-CN"/>
        </w:rPr>
        <w:t>（</w:t>
      </w:r>
      <w:r>
        <w:rPr>
          <w:rFonts w:hint="eastAsia" w:ascii="仿宋" w:hAnsi="仿宋" w:eastAsia="仿宋" w:cs="仿宋"/>
          <w:kern w:val="2"/>
          <w:sz w:val="32"/>
          <w:szCs w:val="32"/>
          <w:u w:val="none" w:color="auto"/>
          <w:lang w:val="en-US" w:eastAsia="zh-CN"/>
        </w:rPr>
        <w:t>十三</w:t>
      </w:r>
      <w:r>
        <w:rPr>
          <w:rFonts w:hint="eastAsia" w:ascii="仿宋" w:hAnsi="仿宋" w:eastAsia="仿宋" w:cs="仿宋"/>
          <w:kern w:val="2"/>
          <w:sz w:val="32"/>
          <w:szCs w:val="32"/>
          <w:u w:val="none" w:color="auto"/>
          <w:lang w:eastAsia="zh-CN"/>
        </w:rPr>
        <w:t>）其他不符合法律、法规或者食品安全标准的食品、食品添加剂、食品相关产品；</w:t>
      </w:r>
      <w:r>
        <w:rPr>
          <w:rFonts w:hint="eastAsia" w:ascii="仿宋" w:hAnsi="仿宋" w:eastAsia="仿宋" w:cs="仿宋"/>
          <w:kern w:val="2"/>
          <w:sz w:val="32"/>
          <w:szCs w:val="32"/>
          <w:u w:val="none" w:color="auto"/>
          <w:lang w:val="en-US" w:eastAsia="zh-CN"/>
        </w:rPr>
        <w:t>”的规定。</w:t>
      </w:r>
      <w:r>
        <w:rPr>
          <w:rFonts w:hint="eastAsia" w:ascii="仿宋" w:hAnsi="仿宋" w:eastAsia="仿宋" w:cs="仿宋"/>
          <w:color w:val="auto"/>
          <w:sz w:val="32"/>
          <w:szCs w:val="32"/>
          <w:u w:val="none" w:color="auto"/>
          <w:lang w:val="en-US" w:eastAsia="zh-CN"/>
        </w:rPr>
        <w:t xml:space="preserve">                 </w:t>
      </w:r>
      <w:r>
        <w:rPr>
          <w:rFonts w:hint="eastAsia" w:ascii="仿宋" w:hAnsi="仿宋" w:eastAsia="仿宋" w:cs="仿宋"/>
          <w:color w:val="000000"/>
          <w:kern w:val="2"/>
          <w:sz w:val="32"/>
          <w:szCs w:val="32"/>
          <w:u w:val="none" w:color="auto"/>
          <w:lang w:eastAsia="zh-CN"/>
        </w:rPr>
        <w:t>依据</w:t>
      </w:r>
      <w:r>
        <w:rPr>
          <w:rFonts w:hint="eastAsia" w:ascii="仿宋" w:hAnsi="仿宋" w:eastAsia="仿宋" w:cs="仿宋"/>
          <w:kern w:val="2"/>
          <w:sz w:val="32"/>
          <w:szCs w:val="32"/>
          <w:u w:val="none" w:color="auto"/>
          <w:lang w:val="en-US" w:eastAsia="zh-CN"/>
        </w:rPr>
        <w:t>《中华人民共和国食品安全法》第一百二十四条</w:t>
      </w:r>
      <w:r>
        <w:rPr>
          <w:rFonts w:hint="eastAsia" w:ascii="仿宋" w:hAnsi="仿宋" w:eastAsia="仿宋" w:cs="仿宋"/>
          <w:color w:val="000000"/>
          <w:kern w:val="2"/>
          <w:sz w:val="32"/>
          <w:szCs w:val="32"/>
          <w:u w:val="none" w:color="auto"/>
          <w:lang w:val="en-US" w:eastAsia="zh-CN"/>
        </w:rPr>
        <w:t>第二款</w:t>
      </w:r>
      <w:r>
        <w:rPr>
          <w:rFonts w:hint="eastAsia" w:ascii="仿宋" w:hAnsi="仿宋" w:eastAsia="仿宋" w:cs="仿宋"/>
          <w:bCs/>
          <w:color w:val="000000"/>
          <w:sz w:val="32"/>
          <w:szCs w:val="32"/>
          <w:u w:val="none" w:color="auto"/>
          <w:lang w:val="en-US" w:eastAsia="zh-CN"/>
        </w:rPr>
        <w:t>“</w:t>
      </w:r>
      <w:r>
        <w:rPr>
          <w:rFonts w:hint="eastAsia" w:ascii="仿宋" w:hAnsi="仿宋" w:eastAsia="仿宋" w:cs="仿宋"/>
          <w:color w:val="000000"/>
          <w:kern w:val="2"/>
          <w:sz w:val="32"/>
          <w:szCs w:val="32"/>
          <w:u w:val="none" w:color="auto"/>
          <w:lang w:eastAsia="zh-CN"/>
        </w:rPr>
        <w:t>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除前款和本法 第一百二十三条、第 一百二十五条规定的情形外， 生产经营不符合法律 法规或者食品安全标准的食 品、食品添加剂的依照前款规定给予处罚；”的规定。鉴于案发后</w:t>
      </w:r>
      <w:r>
        <w:rPr>
          <w:rFonts w:hint="eastAsia" w:ascii="仿宋" w:hAnsi="仿宋" w:eastAsia="仿宋" w:cs="仿宋"/>
          <w:color w:val="000000"/>
          <w:kern w:val="2"/>
          <w:sz w:val="32"/>
          <w:szCs w:val="32"/>
          <w:u w:val="none" w:color="auto"/>
          <w:lang w:val="en-US" w:eastAsia="zh-CN"/>
        </w:rPr>
        <w:t>当事人能积极配合调查，涉案金额小，未造成社会危害后果。依据《中华人民共和国行政处罚法》第三十二条第一款第（五）项“当事人有下列情形之一的，应当从轻或者减轻行政处罚:（五）法律、法规、规章规定其他应当从轻或者减轻行政处罚的。”参照《河南省市场监督管理行政处罚裁量权适用通则》</w:t>
      </w:r>
      <w:r>
        <w:rPr>
          <w:rFonts w:hint="eastAsia" w:ascii="仿宋" w:hAnsi="仿宋" w:eastAsia="仿宋" w:cs="仿宋"/>
          <w:b w:val="0"/>
          <w:bCs w:val="0"/>
          <w:color w:val="000000"/>
          <w:kern w:val="0"/>
          <w:sz w:val="32"/>
          <w:szCs w:val="32"/>
          <w:lang w:val="en-US" w:eastAsia="zh-CN" w:bidi="ar"/>
        </w:rPr>
        <w:t>第十条第（一）、第（二）项：“</w:t>
      </w:r>
      <w:r>
        <w:rPr>
          <w:rFonts w:hint="eastAsia" w:ascii="仿宋" w:hAnsi="仿宋" w:eastAsia="仿宋" w:cs="仿宋"/>
          <w:color w:val="000000"/>
          <w:kern w:val="0"/>
          <w:sz w:val="32"/>
          <w:szCs w:val="32"/>
          <w:lang w:val="en-US" w:eastAsia="zh-CN" w:bidi="ar"/>
        </w:rPr>
        <w:t>有下列情形之一的，可以依法从轻或者减轻行政处罚：（一）积极配合市场监管部门调查，如实陈述违法事实并 主动提供证据材料的；（二）违法行为轻微且社会危害性较小的</w:t>
      </w:r>
      <w:r>
        <w:rPr>
          <w:rFonts w:hint="eastAsia" w:ascii="仿宋" w:hAnsi="仿宋" w:eastAsia="仿宋" w:cs="仿宋"/>
          <w:b w:val="0"/>
          <w:bCs w:val="0"/>
          <w:color w:val="000000"/>
          <w:kern w:val="0"/>
          <w:sz w:val="32"/>
          <w:szCs w:val="32"/>
          <w:lang w:val="en-US" w:eastAsia="zh-CN" w:bidi="ar"/>
        </w:rPr>
        <w:t>”的规定，</w:t>
      </w:r>
      <w:r>
        <w:rPr>
          <w:rFonts w:hint="eastAsia" w:ascii="仿宋" w:hAnsi="仿宋" w:eastAsia="仿宋" w:cs="仿宋"/>
          <w:color w:val="000000"/>
          <w:kern w:val="2"/>
          <w:sz w:val="32"/>
          <w:szCs w:val="32"/>
          <w:u w:val="none" w:color="auto"/>
          <w:lang w:val="en-US" w:eastAsia="zh-CN"/>
        </w:rPr>
        <w:t>予以减轻行政处罚。</w:t>
      </w:r>
      <w:r>
        <w:rPr>
          <w:rFonts w:hint="eastAsia" w:ascii="仿宋" w:hAnsi="仿宋" w:eastAsia="仿宋" w:cs="仿宋"/>
          <w:kern w:val="2"/>
          <w:sz w:val="32"/>
          <w:szCs w:val="32"/>
          <w:u w:val="none" w:color="auto"/>
          <w:lang w:eastAsia="zh-CN"/>
        </w:rPr>
        <w:t>本局</w:t>
      </w:r>
      <w:r>
        <w:rPr>
          <w:rFonts w:hint="eastAsia" w:ascii="仿宋" w:hAnsi="仿宋" w:eastAsia="仿宋" w:cs="仿宋"/>
          <w:kern w:val="2"/>
          <w:sz w:val="32"/>
          <w:szCs w:val="32"/>
          <w:u w:val="none" w:color="auto"/>
          <w:lang w:val="en-US" w:eastAsia="zh-CN"/>
        </w:rPr>
        <w:t>决定责令当事人改正上述违法行为，并</w:t>
      </w:r>
      <w:r>
        <w:rPr>
          <w:rFonts w:hint="eastAsia" w:ascii="仿宋" w:hAnsi="仿宋" w:eastAsia="仿宋" w:cs="仿宋"/>
          <w:kern w:val="2"/>
          <w:sz w:val="32"/>
          <w:szCs w:val="32"/>
          <w:u w:val="none" w:color="auto"/>
          <w:lang w:eastAsia="zh-CN"/>
        </w:rPr>
        <w:t>对当事人作出以下行政处罚</w:t>
      </w:r>
      <w:r>
        <w:rPr>
          <w:rFonts w:hint="eastAsia" w:ascii="仿宋" w:hAnsi="仿宋" w:eastAsia="仿宋" w:cs="仿宋"/>
          <w:color w:val="000000"/>
          <w:kern w:val="2"/>
          <w:sz w:val="32"/>
          <w:szCs w:val="32"/>
          <w:u w:val="none" w:color="auto"/>
          <w:lang w:eastAsia="zh-CN"/>
        </w:rPr>
        <w:t>：</w:t>
      </w:r>
      <w:r>
        <w:rPr>
          <w:rFonts w:hint="eastAsia" w:ascii="仿宋" w:hAnsi="仿宋" w:eastAsia="仿宋" w:cs="仿宋"/>
          <w:color w:val="000000"/>
          <w:kern w:val="2"/>
          <w:sz w:val="32"/>
          <w:szCs w:val="32"/>
          <w:u w:val="none" w:color="auto"/>
          <w:lang w:val="en-US" w:eastAsia="zh-CN"/>
        </w:rPr>
        <w:t xml:space="preserve">        </w:t>
      </w:r>
    </w:p>
    <w:p w14:paraId="7DBF7DC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1、没收违法所得壹佰贰拾捌元整(￥128元);</w:t>
      </w:r>
    </w:p>
    <w:p w14:paraId="6F7B275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2、罚款伍仟元整（￥5000元）。</w:t>
      </w:r>
    </w:p>
    <w:p w14:paraId="52F71C8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kern w:val="2"/>
          <w:sz w:val="32"/>
          <w:szCs w:val="32"/>
          <w:u w:val="none" w:color="auto"/>
          <w:lang w:val="en-US" w:eastAsia="zh-CN"/>
        </w:rPr>
      </w:pPr>
      <w:r>
        <w:rPr>
          <w:rFonts w:hint="eastAsia" w:ascii="仿宋" w:hAnsi="仿宋" w:eastAsia="仿宋" w:cs="仿宋"/>
          <w:kern w:val="2"/>
          <w:sz w:val="32"/>
          <w:szCs w:val="32"/>
          <w:u w:val="none" w:color="auto"/>
          <w:lang w:val="en-US" w:eastAsia="zh-CN"/>
        </w:rPr>
        <w:t xml:space="preserve">上述罚没款合计：伍仟壹佰贰拾捌元整（￥5128元）。             </w:t>
      </w:r>
    </w:p>
    <w:p w14:paraId="5D66FA4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u w:val="none" w:color="auto"/>
          <w:lang w:eastAsia="zh-CN"/>
        </w:rPr>
      </w:pPr>
      <w:r>
        <w:rPr>
          <w:rFonts w:hint="eastAsia" w:ascii="仿宋" w:hAnsi="仿宋" w:eastAsia="仿宋" w:cs="仿宋"/>
          <w:color w:val="000000"/>
          <w:kern w:val="2"/>
          <w:sz w:val="32"/>
          <w:szCs w:val="32"/>
          <w:u w:val="none" w:color="auto"/>
          <w:lang w:eastAsia="zh-CN"/>
        </w:rPr>
        <w:t>当事人应当自收到本决定书之日起十五日内将罚款缴至中原银行息县城关支行（户名：息县财政局国库股账号：411533010170003701 执收单位名称：息县市场监督管理局</w:t>
      </w:r>
      <w:r>
        <w:rPr>
          <w:rFonts w:hint="eastAsia" w:ascii="仿宋" w:hAnsi="仿宋" w:eastAsia="仿宋" w:cs="仿宋"/>
          <w:color w:val="000000"/>
          <w:kern w:val="2"/>
          <w:sz w:val="32"/>
          <w:szCs w:val="32"/>
          <w:u w:val="none" w:color="auto"/>
          <w:lang w:val="en-US" w:eastAsia="zh-CN"/>
        </w:rPr>
        <w:t xml:space="preserve"> </w:t>
      </w:r>
      <w:r>
        <w:rPr>
          <w:rFonts w:hint="eastAsia" w:ascii="仿宋" w:hAnsi="仿宋" w:eastAsia="仿宋" w:cs="仿宋"/>
          <w:color w:val="000000"/>
          <w:kern w:val="2"/>
          <w:sz w:val="32"/>
          <w:szCs w:val="32"/>
          <w:u w:val="none" w:color="auto"/>
          <w:lang w:eastAsia="zh-CN"/>
        </w:rPr>
        <w:t>项目编码：8000</w:t>
      </w:r>
      <w:r>
        <w:rPr>
          <w:rFonts w:hint="eastAsia" w:ascii="仿宋" w:hAnsi="仿宋" w:eastAsia="仿宋" w:cs="仿宋"/>
          <w:color w:val="000000"/>
          <w:kern w:val="2"/>
          <w:sz w:val="32"/>
          <w:szCs w:val="32"/>
          <w:u w:val="none" w:color="auto"/>
          <w:lang w:val="en-US" w:eastAsia="zh-CN"/>
        </w:rPr>
        <w:t>2</w:t>
      </w:r>
      <w:r>
        <w:rPr>
          <w:rFonts w:hint="eastAsia" w:ascii="仿宋" w:hAnsi="仿宋" w:eastAsia="仿宋" w:cs="仿宋"/>
          <w:color w:val="000000"/>
          <w:kern w:val="2"/>
          <w:sz w:val="32"/>
          <w:szCs w:val="32"/>
          <w:u w:val="none" w:color="auto"/>
          <w:lang w:eastAsia="zh-CN"/>
        </w:rPr>
        <w:t>9 项目名称：市场监管罚没收入）。逾期不缴纳罚款的，根据《中华人民共和国行政处罚法》第七十二条的规定，本局将每日按罚款数额的百分之三加处罚款，并依法申请人民法院强制执行。</w:t>
      </w:r>
    </w:p>
    <w:p w14:paraId="184EBD7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eastAsia="zh-CN"/>
        </w:rPr>
        <w:t>如当事人不服本行政处罚决定，可以自收到本行政处罚决定书之日起六十日内向息县人民政府申请行政复议；也可以在六个月内依法向息县人民法院提起行政诉讼。申请行政复议或提起行政诉讼期间，行政处罚不停止执行。</w:t>
      </w:r>
      <w:r>
        <w:rPr>
          <w:rFonts w:hint="eastAsia" w:ascii="仿宋" w:hAnsi="仿宋" w:eastAsia="仿宋" w:cs="仿宋"/>
          <w:color w:val="000000"/>
          <w:kern w:val="2"/>
          <w:sz w:val="32"/>
          <w:szCs w:val="32"/>
          <w:u w:val="none" w:color="auto"/>
          <w:lang w:val="en-US" w:eastAsia="zh-CN"/>
        </w:rPr>
        <w:t xml:space="preserve">           </w:t>
      </w:r>
    </w:p>
    <w:p w14:paraId="11A085C2">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市场监督管理部门将依法向社会公开本行政处罚决定信息。</w:t>
      </w:r>
    </w:p>
    <w:p w14:paraId="79EF863D">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baseline"/>
        <w:rPr>
          <w:rFonts w:hint="eastAsia" w:ascii="仿宋" w:hAnsi="仿宋" w:eastAsia="仿宋" w:cs="仿宋"/>
          <w:color w:val="000000"/>
          <w:kern w:val="2"/>
          <w:sz w:val="32"/>
          <w:szCs w:val="32"/>
          <w:u w:val="none" w:color="auto"/>
          <w:lang w:val="en-US" w:eastAsia="zh-CN"/>
        </w:rPr>
      </w:pPr>
    </w:p>
    <w:p w14:paraId="2AE9ABAF">
      <w:pPr>
        <w:keepNext w:val="0"/>
        <w:keepLines w:val="0"/>
        <w:pageBreakBefore w:val="0"/>
        <w:kinsoku/>
        <w:wordWrap/>
        <w:overflowPunct/>
        <w:topLinePunct w:val="0"/>
        <w:autoSpaceDE/>
        <w:autoSpaceDN/>
        <w:bidi w:val="0"/>
        <w:adjustRightInd w:val="0"/>
        <w:snapToGrid/>
        <w:spacing w:line="560" w:lineRule="exact"/>
        <w:ind w:firstLine="4800" w:firstLineChars="1500"/>
        <w:jc w:val="both"/>
        <w:textAlignment w:val="baseline"/>
        <w:rPr>
          <w:rFonts w:hint="eastAsia" w:ascii="仿宋" w:hAnsi="仿宋" w:eastAsia="仿宋" w:cs="仿宋"/>
          <w:color w:val="000000"/>
          <w:kern w:val="2"/>
          <w:sz w:val="32"/>
          <w:szCs w:val="32"/>
          <w:u w:val="none" w:color="auto"/>
          <w:lang w:val="en-US" w:eastAsia="zh-CN"/>
        </w:rPr>
      </w:pPr>
      <w:r>
        <w:rPr>
          <w:rFonts w:hint="eastAsia" w:ascii="仿宋" w:hAnsi="仿宋" w:eastAsia="仿宋" w:cs="仿宋"/>
          <w:color w:val="000000"/>
          <w:kern w:val="2"/>
          <w:sz w:val="32"/>
          <w:szCs w:val="32"/>
          <w:u w:val="none" w:color="auto"/>
          <w:lang w:val="en-US" w:eastAsia="zh-CN"/>
        </w:rPr>
        <w:t>息县市场监督管理局</w:t>
      </w:r>
    </w:p>
    <w:p w14:paraId="4BD118E1">
      <w:pPr>
        <w:keepNext w:val="0"/>
        <w:keepLines w:val="0"/>
        <w:pageBreakBefore w:val="0"/>
        <w:kinsoku/>
        <w:wordWrap/>
        <w:overflowPunct/>
        <w:topLinePunct w:val="0"/>
        <w:autoSpaceDE/>
        <w:autoSpaceDN/>
        <w:bidi w:val="0"/>
        <w:adjustRightInd w:val="0"/>
        <w:snapToGrid/>
        <w:spacing w:line="560" w:lineRule="exact"/>
        <w:ind w:firstLine="640" w:firstLineChars="200"/>
        <w:jc w:val="center"/>
        <w:textAlignment w:val="baseline"/>
        <w:rPr>
          <w:rFonts w:hint="eastAsia" w:ascii="仿宋" w:hAnsi="仿宋" w:eastAsia="仿宋" w:cs="仿宋"/>
          <w:color w:val="000000"/>
          <w:sz w:val="32"/>
          <w:szCs w:val="32"/>
          <w:lang w:eastAsia="zh-CN"/>
        </w:rPr>
      </w:pPr>
      <w:r>
        <w:rPr>
          <w:rFonts w:hint="eastAsia" w:ascii="仿宋" w:hAnsi="仿宋" w:eastAsia="仿宋" w:cs="仿宋"/>
          <w:color w:val="000000"/>
          <w:kern w:val="2"/>
          <w:sz w:val="32"/>
          <w:szCs w:val="32"/>
          <w:u w:val="none" w:color="auto"/>
          <w:lang w:val="en-US" w:eastAsia="zh-CN"/>
        </w:rPr>
        <w:t xml:space="preserve">                       2023年06月19日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B42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78CC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A78CC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QwYmNmOGEzNGRkMjY1ODdhMDZkYzE1YzU5ZjUifQ=="/>
  </w:docVars>
  <w:rsids>
    <w:rsidRoot w:val="00000000"/>
    <w:rsid w:val="21A26B33"/>
    <w:rsid w:val="543C1934"/>
    <w:rsid w:val="70D8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hint="default"/>
      <w:w w:val="88"/>
      <w:sz w:val="21"/>
    </w:rPr>
  </w:style>
  <w:style w:type="paragraph" w:styleId="3">
    <w:name w:val="Body Text Indent"/>
    <w:basedOn w:val="1"/>
    <w:unhideWhenUsed/>
    <w:qFormat/>
    <w:uiPriority w:val="0"/>
    <w:pPr>
      <w:spacing w:after="120"/>
      <w:ind w:left="420" w:leftChars="200"/>
    </w:pPr>
    <w:rPr>
      <w:rFonts w:hint="default"/>
      <w:sz w:val="21"/>
    </w:rPr>
  </w:style>
  <w:style w:type="paragraph" w:styleId="4">
    <w:name w:val="Body Text"/>
    <w:basedOn w:val="1"/>
    <w:unhideWhenUsed/>
    <w:qFormat/>
    <w:uiPriority w:val="99"/>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1935</Words>
  <Characters>2106</Characters>
  <Lines>0</Lines>
  <Paragraphs>0</Paragraphs>
  <TotalTime>3</TotalTime>
  <ScaleCrop>false</ScaleCrop>
  <LinksUpToDate>false</LinksUpToDate>
  <CharactersWithSpaces>2574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2023-06-16T08:07:00Z</dcterms:created>
  <dc:creator>Administrator</dc:creator>
  <cp:lastModifiedBy>一缕阳光</cp:lastModifiedBy>
  <cp:lastPrinted>2023-06-19T01:07:00Z</cp:lastPrinted>
  <dcterms:modified xsi:type="dcterms:W3CDTF">2025-03-25T02:46:06Z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D792C3F8D8CB42209B57194B9EAD7845_13</vt:lpwstr>
  </property>
  <property fmtid="{D5CDD505-2E9C-101B-9397-08002B2CF9AE}" pid="4" name="KSOTemplateDocerSaveRecord">
    <vt:lpwstr>eyJoZGlkIjoiMzY5ZTQwYmNmOGEzNGRkMjY1ODdhMDZkYzE1YzU5ZjUiLCJ1c2VySWQiOiI5Nzg3NTA2MTQifQ==</vt:lpwstr>
  </property>
</Properties>
</file>