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6A1A4">
      <w:pPr>
        <w:spacing w:line="640" w:lineRule="exact"/>
        <w:ind w:firstLine="2200" w:firstLineChars="500"/>
        <w:jc w:val="both"/>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u w:val="none"/>
          <w:lang w:eastAsia="zh-CN"/>
        </w:rPr>
        <w:t>息县</w:t>
      </w:r>
      <w:r>
        <w:rPr>
          <w:rFonts w:hint="eastAsia" w:ascii="Times New Roman" w:hAnsi="Times New Roman" w:eastAsia="方正小标宋简体" w:cs="方正小标宋简体"/>
          <w:b w:val="0"/>
          <w:bCs/>
          <w:color w:val="000000"/>
          <w:sz w:val="44"/>
          <w:szCs w:val="44"/>
        </w:rPr>
        <w:t>市场监督管理局</w:t>
      </w:r>
    </w:p>
    <w:p w14:paraId="4AC8D2BB">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行政处罚决定书</w:t>
      </w:r>
    </w:p>
    <w:p w14:paraId="0D00484F">
      <w:pPr>
        <w:keepNext w:val="0"/>
        <w:keepLines w:val="0"/>
        <w:pageBreakBefore w:val="0"/>
        <w:kinsoku/>
        <w:overflowPunct/>
        <w:topLinePunct w:val="0"/>
        <w:autoSpaceDE/>
        <w:autoSpaceDN/>
        <w:bidi w:val="0"/>
        <w:snapToGrid/>
        <w:spacing w:line="500" w:lineRule="exact"/>
        <w:jc w:val="center"/>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val="en-US" w:eastAsia="zh-CN"/>
        </w:rPr>
        <w:t>息</w:t>
      </w:r>
      <w:r>
        <w:rPr>
          <w:rFonts w:hint="eastAsia" w:ascii="仿宋" w:hAnsi="仿宋" w:eastAsia="仿宋" w:cs="仿宋"/>
          <w:color w:val="000000"/>
          <w:sz w:val="32"/>
          <w:szCs w:val="32"/>
          <w:u w:val="none"/>
          <w:lang w:eastAsia="zh-CN"/>
        </w:rPr>
        <w:t>市</w:t>
      </w:r>
      <w:r>
        <w:rPr>
          <w:rFonts w:hint="eastAsia" w:ascii="仿宋" w:hAnsi="仿宋" w:eastAsia="仿宋" w:cs="仿宋"/>
          <w:color w:val="000000"/>
          <w:sz w:val="32"/>
          <w:szCs w:val="32"/>
          <w:u w:val="none"/>
          <w:lang w:val="en-US" w:eastAsia="zh-CN"/>
        </w:rPr>
        <w:t>监罚决字</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2023</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162</w:t>
      </w:r>
      <w:r>
        <w:rPr>
          <w:rFonts w:hint="eastAsia" w:ascii="仿宋" w:hAnsi="仿宋" w:eastAsia="仿宋" w:cs="仿宋"/>
          <w:color w:val="000000"/>
          <w:sz w:val="32"/>
          <w:szCs w:val="32"/>
          <w:u w:val="none"/>
          <w:lang w:eastAsia="zh-CN"/>
        </w:rPr>
        <w:t>号</w:t>
      </w:r>
    </w:p>
    <w:p w14:paraId="110433C6">
      <w:pPr>
        <w:keepNext w:val="0"/>
        <w:keepLines w:val="0"/>
        <w:pageBreakBefore w:val="0"/>
        <w:tabs>
          <w:tab w:val="center" w:pos="4153"/>
          <w:tab w:val="right" w:pos="8306"/>
        </w:tabs>
        <w:kinsoku/>
        <w:overflowPunct/>
        <w:topLinePunct w:val="0"/>
        <w:autoSpaceDE/>
        <w:autoSpaceDN/>
        <w:bidi w:val="0"/>
        <w:snapToGrid/>
        <w:spacing w:line="500" w:lineRule="exact"/>
        <w:ind w:left="1280" w:hanging="1280" w:hangingChars="400"/>
        <w:textAlignment w:val="auto"/>
        <w:rPr>
          <w:rFonts w:hint="eastAsia" w:ascii="仿宋_GB2312" w:hAnsi="仿宋_GB2312" w:eastAsia="仿宋_GB2312" w:cs="仿宋_GB2312"/>
          <w:bCs/>
          <w:color w:val="0000FF"/>
          <w:sz w:val="32"/>
          <w:szCs w:val="32"/>
          <w:u w:val="none" w:color="auto"/>
          <w:lang w:eastAsia="zh-CN"/>
        </w:rPr>
      </w:pPr>
      <w:r>
        <w:rPr>
          <w:rFonts w:hint="eastAsia" w:ascii="仿宋_GB2312" w:hAnsi="仿宋_GB2312" w:eastAsia="仿宋_GB2312" w:cs="仿宋_GB2312"/>
          <w:bCs/>
          <w:color w:val="auto"/>
          <w:sz w:val="32"/>
          <w:szCs w:val="32"/>
          <w:u w:val="none" w:color="auto"/>
          <w:lang w:eastAsia="zh-CN"/>
        </w:rPr>
        <w:t>当事人：</w:t>
      </w:r>
      <w:r>
        <w:rPr>
          <w:rFonts w:hint="eastAsia" w:ascii="仿宋_GB2312" w:hAnsi="仿宋_GB2312" w:eastAsia="仿宋_GB2312" w:cs="仿宋_GB2312"/>
          <w:bCs/>
          <w:color w:val="auto"/>
          <w:sz w:val="32"/>
          <w:szCs w:val="32"/>
          <w:u w:val="none" w:color="auto"/>
          <w:lang w:val="en-US" w:eastAsia="zh-CN"/>
        </w:rPr>
        <w:t xml:space="preserve">息县彭店乡某某便利超市  </w:t>
      </w:r>
      <w:r>
        <w:rPr>
          <w:rFonts w:hint="eastAsia" w:ascii="仿宋" w:hAnsi="仿宋" w:eastAsia="仿宋" w:cs="仿宋"/>
          <w:color w:val="auto"/>
          <w:kern w:val="2"/>
          <w:sz w:val="32"/>
          <w:szCs w:val="32"/>
          <w:u w:val="none" w:color="auto"/>
          <w:lang w:val="en-US" w:eastAsia="zh-CN"/>
        </w:rPr>
        <w:t xml:space="preserve">                       </w:t>
      </w:r>
      <w:r>
        <w:rPr>
          <w:rFonts w:hint="eastAsia" w:ascii="仿宋_GB2312" w:hAnsi="仿宋_GB2312" w:eastAsia="仿宋_GB2312" w:cs="仿宋_GB2312"/>
          <w:bCs/>
          <w:color w:val="auto"/>
          <w:sz w:val="32"/>
          <w:szCs w:val="32"/>
          <w:u w:val="none" w:color="auto"/>
          <w:lang w:eastAsia="zh-CN"/>
        </w:rPr>
        <w:t xml:space="preserve"> </w:t>
      </w:r>
      <w:r>
        <w:rPr>
          <w:rFonts w:hint="eastAsia" w:ascii="仿宋_GB2312" w:hAnsi="仿宋_GB2312" w:eastAsia="仿宋_GB2312" w:cs="仿宋_GB2312"/>
          <w:bCs/>
          <w:color w:val="0000FF"/>
          <w:sz w:val="32"/>
          <w:szCs w:val="32"/>
          <w:u w:val="none" w:color="auto"/>
          <w:lang w:eastAsia="zh-CN"/>
        </w:rPr>
        <w:t xml:space="preserve">                                                      </w:t>
      </w:r>
    </w:p>
    <w:p w14:paraId="18397D93">
      <w:pPr>
        <w:keepNext w:val="0"/>
        <w:keepLines w:val="0"/>
        <w:pageBreakBefore w:val="0"/>
        <w:tabs>
          <w:tab w:val="center" w:pos="4153"/>
          <w:tab w:val="right" w:pos="8306"/>
        </w:tabs>
        <w:kinsoku/>
        <w:overflowPunct/>
        <w:topLinePunct w:val="0"/>
        <w:autoSpaceDE/>
        <w:autoSpaceDN/>
        <w:bidi w:val="0"/>
        <w:snapToGrid/>
        <w:spacing w:line="500" w:lineRule="exact"/>
        <w:textAlignment w:val="auto"/>
        <w:rPr>
          <w:rFonts w:hint="eastAsia" w:ascii="仿宋_GB2312" w:hAnsi="仿宋_GB2312" w:eastAsia="仿宋_GB2312" w:cs="仿宋_GB2312"/>
          <w:bCs/>
          <w:color w:val="auto"/>
          <w:sz w:val="32"/>
          <w:szCs w:val="32"/>
          <w:u w:val="none" w:color="auto"/>
          <w:lang w:eastAsia="zh-CN"/>
        </w:rPr>
      </w:pPr>
      <w:r>
        <w:rPr>
          <w:rFonts w:hint="eastAsia" w:ascii="仿宋_GB2312" w:hAnsi="仿宋_GB2312" w:eastAsia="仿宋_GB2312" w:cs="仿宋_GB2312"/>
          <w:bCs/>
          <w:color w:val="auto"/>
          <w:sz w:val="32"/>
          <w:szCs w:val="32"/>
          <w:u w:val="none" w:color="auto"/>
          <w:lang w:eastAsia="zh-CN"/>
        </w:rPr>
        <w:t>主体资格证照名称：</w:t>
      </w:r>
      <w:r>
        <w:rPr>
          <w:rFonts w:hint="eastAsia" w:ascii="仿宋_GB2312" w:hAnsi="仿宋_GB2312" w:eastAsia="仿宋_GB2312" w:cs="仿宋_GB2312"/>
          <w:bCs/>
          <w:color w:val="auto"/>
          <w:sz w:val="32"/>
          <w:szCs w:val="32"/>
          <w:u w:val="none" w:color="auto"/>
          <w:lang w:val="en-US" w:eastAsia="zh-CN"/>
        </w:rPr>
        <w:t>《营业执照》</w:t>
      </w:r>
      <w:r>
        <w:rPr>
          <w:rFonts w:hint="eastAsia" w:ascii="仿宋_GB2312" w:hAnsi="仿宋_GB2312" w:eastAsia="仿宋_GB2312" w:cs="仿宋_GB2312"/>
          <w:bCs/>
          <w:color w:val="auto"/>
          <w:sz w:val="32"/>
          <w:szCs w:val="32"/>
          <w:u w:val="none" w:color="auto"/>
          <w:lang w:eastAsia="zh-CN"/>
        </w:rPr>
        <w:t xml:space="preserve">                                             </w:t>
      </w:r>
    </w:p>
    <w:p w14:paraId="49380C9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0000FF"/>
          <w:kern w:val="1"/>
          <w:sz w:val="32"/>
          <w:szCs w:val="32"/>
          <w:u w:val="none" w:color="auto"/>
          <w:lang w:eastAsia="zh-CN"/>
        </w:rPr>
      </w:pPr>
      <w:r>
        <w:rPr>
          <w:rFonts w:hint="eastAsia" w:ascii="仿宋" w:hAnsi="仿宋" w:eastAsia="仿宋" w:cs="仿宋"/>
          <w:color w:val="000000"/>
          <w:kern w:val="1"/>
          <w:sz w:val="32"/>
          <w:szCs w:val="32"/>
          <w:u w:val="none" w:color="auto"/>
          <w:lang w:eastAsia="zh-CN"/>
        </w:rPr>
        <w:t>统一社会信用代码：</w:t>
      </w:r>
      <w:r>
        <w:rPr>
          <w:rFonts w:hint="eastAsia" w:ascii="仿宋_GB2312" w:hAnsi="仿宋_GB2312" w:eastAsia="仿宋_GB2312" w:cs="仿宋_GB2312"/>
          <w:bCs/>
          <w:color w:val="auto"/>
          <w:sz w:val="32"/>
          <w:szCs w:val="32"/>
          <w:u w:val="none" w:color="auto"/>
          <w:lang w:val="en-US" w:eastAsia="zh-CN"/>
        </w:rPr>
        <w:t>92411528MA9M1QWJXX</w:t>
      </w:r>
      <w:r>
        <w:rPr>
          <w:rFonts w:hint="eastAsia" w:ascii="仿宋" w:hAnsi="仿宋" w:eastAsia="仿宋" w:cs="仿宋"/>
          <w:color w:val="000000"/>
          <w:kern w:val="1"/>
          <w:sz w:val="32"/>
          <w:szCs w:val="32"/>
          <w:u w:val="none" w:color="auto"/>
          <w:lang w:eastAsia="zh-CN"/>
        </w:rPr>
        <w:t xml:space="preserve">                                 </w:t>
      </w:r>
      <w:r>
        <w:rPr>
          <w:rFonts w:hint="eastAsia" w:ascii="仿宋" w:hAnsi="仿宋" w:eastAsia="仿宋" w:cs="仿宋"/>
          <w:color w:val="0000FF"/>
          <w:kern w:val="1"/>
          <w:sz w:val="32"/>
          <w:szCs w:val="32"/>
          <w:u w:val="none" w:color="auto"/>
          <w:lang w:eastAsia="zh-CN"/>
        </w:rPr>
        <w:t xml:space="preserve">    </w:t>
      </w:r>
    </w:p>
    <w:p w14:paraId="1617D07B">
      <w:pPr>
        <w:pStyle w:val="4"/>
        <w:keepNext w:val="0"/>
        <w:keepLines w:val="0"/>
        <w:pageBreakBefore w:val="0"/>
        <w:widowControl w:val="0"/>
        <w:tabs>
          <w:tab w:val="left" w:pos="5291"/>
          <w:tab w:val="left" w:pos="9206"/>
        </w:tabs>
        <w:kinsoku/>
        <w:wordWrap/>
        <w:overflowPunct/>
        <w:topLinePunct w:val="0"/>
        <w:autoSpaceDE/>
        <w:autoSpaceDN/>
        <w:bidi w:val="0"/>
        <w:adjustRightInd w:val="0"/>
        <w:snapToGrid w:val="0"/>
        <w:spacing w:after="0" w:line="500" w:lineRule="exact"/>
        <w:jc w:val="both"/>
        <w:textAlignment w:val="auto"/>
        <w:rPr>
          <w:rFonts w:hint="eastAsia" w:ascii="仿宋_GB2312" w:hAnsi="仿宋_GB2312" w:eastAsia="仿宋_GB2312" w:cs="仿宋_GB2312"/>
          <w:bCs/>
          <w:color w:val="auto"/>
          <w:kern w:val="2"/>
          <w:sz w:val="32"/>
          <w:szCs w:val="32"/>
          <w:u w:val="none" w:color="auto"/>
          <w:lang w:val="en-US" w:eastAsia="zh-CN" w:bidi="ar-SA"/>
        </w:rPr>
      </w:pPr>
      <w:r>
        <w:rPr>
          <w:rFonts w:hint="eastAsia" w:ascii="仿宋" w:hAnsi="仿宋" w:eastAsia="仿宋" w:cs="仿宋"/>
          <w:color w:val="000000"/>
          <w:kern w:val="1"/>
          <w:sz w:val="32"/>
          <w:szCs w:val="32"/>
          <w:u w:val="none" w:color="auto"/>
          <w:lang w:val="en-US" w:eastAsia="zh-CN"/>
        </w:rPr>
        <w:t>经营场所</w:t>
      </w:r>
      <w:r>
        <w:rPr>
          <w:rFonts w:hint="eastAsia" w:ascii="仿宋" w:hAnsi="仿宋" w:eastAsia="仿宋" w:cs="仿宋"/>
          <w:color w:val="000000"/>
          <w:kern w:val="1"/>
          <w:sz w:val="32"/>
          <w:szCs w:val="32"/>
          <w:u w:val="none" w:color="auto"/>
          <w:lang w:eastAsia="zh-CN"/>
        </w:rPr>
        <w:t>：</w:t>
      </w:r>
      <w:r>
        <w:rPr>
          <w:rFonts w:hint="eastAsia" w:ascii="仿宋_GB2312" w:hAnsi="仿宋_GB2312" w:eastAsia="仿宋_GB2312" w:cs="仿宋_GB2312"/>
          <w:bCs/>
          <w:color w:val="auto"/>
          <w:kern w:val="2"/>
          <w:sz w:val="32"/>
          <w:szCs w:val="32"/>
          <w:u w:val="none" w:color="auto"/>
          <w:lang w:val="en-US" w:eastAsia="zh-CN" w:bidi="ar-SA"/>
        </w:rPr>
        <w:t xml:space="preserve">河南省息县彭店乡北街XX号                                                     </w:t>
      </w:r>
    </w:p>
    <w:p w14:paraId="0C39862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类型：个体工商户</w:t>
      </w:r>
    </w:p>
    <w:p w14:paraId="5A57739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000000"/>
          <w:kern w:val="1"/>
          <w:sz w:val="32"/>
          <w:szCs w:val="32"/>
          <w:u w:val="none" w:color="auto"/>
          <w:lang w:eastAsia="zh-CN"/>
        </w:rPr>
      </w:pPr>
      <w:r>
        <w:rPr>
          <w:rFonts w:hint="eastAsia" w:ascii="仿宋_GB2312" w:hAnsi="仿宋_GB2312" w:eastAsia="仿宋_GB2312" w:cs="仿宋_GB2312"/>
          <w:bCs/>
          <w:color w:val="auto"/>
          <w:kern w:val="2"/>
          <w:sz w:val="32"/>
          <w:szCs w:val="32"/>
          <w:u w:val="none" w:color="auto"/>
          <w:lang w:val="en-US" w:eastAsia="zh-CN" w:bidi="ar-SA"/>
        </w:rPr>
        <w:t xml:space="preserve">经营者：靳某                    </w:t>
      </w:r>
      <w:r>
        <w:rPr>
          <w:rFonts w:hint="eastAsia" w:ascii="仿宋" w:hAnsi="仿宋" w:eastAsia="仿宋" w:cs="仿宋"/>
          <w:color w:val="000000"/>
          <w:kern w:val="1"/>
          <w:sz w:val="32"/>
          <w:szCs w:val="32"/>
          <w:u w:val="none" w:color="auto"/>
          <w:lang w:eastAsia="zh-CN"/>
        </w:rPr>
        <w:t xml:space="preserve">               </w:t>
      </w:r>
    </w:p>
    <w:p w14:paraId="674641D3">
      <w:pPr>
        <w:pStyle w:val="4"/>
        <w:keepNext w:val="0"/>
        <w:keepLines w:val="0"/>
        <w:pageBreakBefore w:val="0"/>
        <w:widowControl w:val="0"/>
        <w:tabs>
          <w:tab w:val="left" w:pos="5291"/>
          <w:tab w:val="left" w:pos="9206"/>
        </w:tabs>
        <w:kinsoku/>
        <w:wordWrap/>
        <w:overflowPunct/>
        <w:topLinePunct w:val="0"/>
        <w:autoSpaceDE/>
        <w:autoSpaceDN/>
        <w:bidi w:val="0"/>
        <w:adjustRightInd w:val="0"/>
        <w:snapToGrid w:val="0"/>
        <w:spacing w:after="0" w:line="500" w:lineRule="exact"/>
        <w:jc w:val="both"/>
        <w:textAlignment w:val="auto"/>
        <w:rPr>
          <w:rFonts w:hint="eastAsia" w:ascii="仿宋_GB2312" w:hAnsi="仿宋_GB2312" w:eastAsia="仿宋_GB2312" w:cs="仿宋_GB2312"/>
          <w:bCs/>
          <w:color w:val="auto"/>
          <w:kern w:val="2"/>
          <w:sz w:val="32"/>
          <w:szCs w:val="32"/>
          <w:u w:val="none" w:color="auto"/>
          <w:lang w:val="en-US" w:eastAsia="zh-CN" w:bidi="ar-SA"/>
        </w:rPr>
      </w:pPr>
      <w:r>
        <w:rPr>
          <w:rFonts w:hint="eastAsia" w:ascii="仿宋" w:hAnsi="仿宋" w:eastAsia="仿宋" w:cs="仿宋"/>
          <w:color w:val="000000"/>
          <w:kern w:val="1"/>
          <w:sz w:val="32"/>
          <w:szCs w:val="32"/>
          <w:u w:val="none" w:color="auto"/>
          <w:lang w:eastAsia="zh-CN"/>
        </w:rPr>
        <w:t>身份证件号码：</w:t>
      </w:r>
      <w:r>
        <w:rPr>
          <w:rFonts w:hint="eastAsia" w:ascii="仿宋_GB2312" w:hAnsi="仿宋_GB2312" w:eastAsia="仿宋_GB2312" w:cs="仿宋_GB2312"/>
          <w:bCs/>
          <w:color w:val="auto"/>
          <w:kern w:val="2"/>
          <w:sz w:val="32"/>
          <w:szCs w:val="32"/>
          <w:u w:val="none" w:color="auto"/>
          <w:lang w:val="en-US" w:eastAsia="zh-CN" w:bidi="ar-SA"/>
        </w:rPr>
        <w:t xml:space="preserve">413021196509201XXX                                                  </w:t>
      </w:r>
    </w:p>
    <w:p w14:paraId="4250AF3B">
      <w:pPr>
        <w:pStyle w:val="4"/>
        <w:keepNext w:val="0"/>
        <w:keepLines w:val="0"/>
        <w:pageBreakBefore w:val="0"/>
        <w:widowControl w:val="0"/>
        <w:tabs>
          <w:tab w:val="left" w:pos="5291"/>
          <w:tab w:val="left" w:pos="9206"/>
        </w:tabs>
        <w:kinsoku/>
        <w:wordWrap/>
        <w:overflowPunct/>
        <w:topLinePunct w:val="0"/>
        <w:autoSpaceDE/>
        <w:autoSpaceDN/>
        <w:bidi w:val="0"/>
        <w:adjustRightInd w:val="0"/>
        <w:snapToGrid w:val="0"/>
        <w:spacing w:after="0" w:line="500" w:lineRule="exact"/>
        <w:jc w:val="both"/>
        <w:textAlignment w:val="auto"/>
        <w:rPr>
          <w:rFonts w:hint="default"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bCs/>
          <w:color w:val="auto"/>
          <w:kern w:val="2"/>
          <w:sz w:val="32"/>
          <w:szCs w:val="32"/>
          <w:u w:val="none" w:color="auto"/>
          <w:lang w:val="en-US" w:eastAsia="zh-CN" w:bidi="ar-SA"/>
        </w:rPr>
        <w:t>联系电话：156491835XX</w:t>
      </w:r>
    </w:p>
    <w:p w14:paraId="7CD92FE0">
      <w:pPr>
        <w:pStyle w:val="4"/>
        <w:keepNext w:val="0"/>
        <w:keepLines w:val="0"/>
        <w:pageBreakBefore w:val="0"/>
        <w:widowControl w:val="0"/>
        <w:tabs>
          <w:tab w:val="left" w:pos="5291"/>
          <w:tab w:val="left" w:pos="9206"/>
        </w:tabs>
        <w:kinsoku/>
        <w:wordWrap/>
        <w:overflowPunct/>
        <w:topLinePunct w:val="0"/>
        <w:autoSpaceDE/>
        <w:autoSpaceDN/>
        <w:bidi w:val="0"/>
        <w:adjustRightInd w:val="0"/>
        <w:snapToGrid w:val="0"/>
        <w:spacing w:after="0" w:line="500" w:lineRule="exact"/>
        <w:jc w:val="both"/>
        <w:textAlignment w:val="auto"/>
        <w:rPr>
          <w:rFonts w:ascii="仿宋" w:hAnsi="仿宋" w:eastAsia="仿宋" w:cs="仿宋"/>
          <w:color w:val="000000"/>
          <w:sz w:val="28"/>
          <w:szCs w:val="28"/>
          <w:u w:val="none" w:color="auto"/>
          <w:lang w:eastAsia="zh-CN"/>
        </w:rPr>
      </w:pPr>
      <w:r>
        <w:rPr>
          <w:rFonts w:hint="eastAsia" w:ascii="仿宋_GB2312" w:hAnsi="仿宋_GB2312" w:eastAsia="仿宋_GB2312" w:cs="仿宋_GB2312"/>
          <w:bCs/>
          <w:color w:val="auto"/>
          <w:kern w:val="2"/>
          <w:sz w:val="32"/>
          <w:szCs w:val="32"/>
          <w:u w:val="none" w:color="auto"/>
          <w:lang w:val="en-US" w:eastAsia="zh-CN" w:bidi="ar-SA"/>
        </w:rPr>
        <w:t xml:space="preserve">联系地址：河南省息县彭店乡谢楼村元庄 </w:t>
      </w:r>
      <w:r>
        <w:rPr>
          <w:rFonts w:hint="eastAsia" w:ascii="仿宋" w:hAnsi="仿宋" w:eastAsia="仿宋" w:cs="仿宋"/>
          <w:color w:val="000000"/>
          <w:kern w:val="1"/>
          <w:sz w:val="32"/>
          <w:szCs w:val="32"/>
          <w:u w:val="none" w:color="auto"/>
          <w:lang w:val="en-US" w:eastAsia="zh-CN"/>
        </w:rPr>
        <w:t xml:space="preserve">  </w:t>
      </w:r>
      <w:r>
        <w:rPr>
          <w:rFonts w:hint="eastAsia" w:ascii="仿宋_GB2312" w:hAnsi="仿宋" w:eastAsia="仿宋_GB2312" w:cs="仿宋"/>
          <w:color w:val="auto"/>
          <w:sz w:val="32"/>
          <w:szCs w:val="32"/>
          <w:u w:val="none" w:color="auto"/>
          <w:lang w:val="en-US" w:eastAsia="zh-CN"/>
        </w:rPr>
        <w:t xml:space="preserve">      </w:t>
      </w:r>
      <w:r>
        <w:rPr>
          <w:rFonts w:hint="eastAsia" w:ascii="仿宋_GB2312" w:hAnsi="仿宋_GB2312" w:eastAsia="仿宋_GB2312" w:cs="仿宋_GB2312"/>
          <w:bCs/>
          <w:sz w:val="32"/>
          <w:szCs w:val="32"/>
          <w:u w:val="none" w:color="auto"/>
          <w:lang w:eastAsia="zh-CN"/>
        </w:rPr>
        <w:t xml:space="preserve">                                </w:t>
      </w:r>
    </w:p>
    <w:p w14:paraId="1643EAB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经营范围:许可项目:食品销售（仅销售预包装食品）；日用百货销售；新鲜水果零售；鲜肉零售；水产品零售；食用农产品零售；新鲜蔬菜零售；婴幼儿配方乳粉及其他婴幼儿配方食品销售（除依法须经批准的项目外，凭营业执照依法自主开展经营活动）许可项目：烟草制品零售；酒类经营；食品销售</w:t>
      </w:r>
    </w:p>
    <w:p w14:paraId="4A8780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2023年4月25日，我局对当事人</w:t>
      </w:r>
      <w:r>
        <w:rPr>
          <w:rFonts w:hint="eastAsia" w:ascii="仿宋" w:hAnsi="仿宋" w:eastAsia="仿宋" w:cs="仿宋_GB2312"/>
          <w:b w:val="0"/>
          <w:bCs/>
          <w:color w:val="000000"/>
          <w:sz w:val="30"/>
          <w:szCs w:val="30"/>
          <w:lang w:val="en-US" w:eastAsia="zh-CN"/>
        </w:rPr>
        <w:t>涉嫌经营超过保质期的食品</w:t>
      </w:r>
      <w:r>
        <w:rPr>
          <w:rFonts w:hint="eastAsia" w:ascii="仿宋" w:hAnsi="仿宋" w:eastAsia="仿宋" w:cs="仿宋"/>
          <w:color w:val="auto"/>
          <w:sz w:val="32"/>
          <w:szCs w:val="32"/>
          <w:u w:val="none" w:color="auto"/>
          <w:lang w:val="en-US" w:eastAsia="zh-CN"/>
        </w:rPr>
        <w:t>进行立案调查。</w:t>
      </w:r>
    </w:p>
    <w:p w14:paraId="2DB91D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经查，2023年4月25日，我局执法法人员对当事人超市进行了日常监督检查，在当事人超市货架上发现有待销售的1、薯愿焙烤马铃薯膨化食品（生产日期:20220622，保质期至 20230321，数量:3盒)，2、柳州螺蛳粉 (生产日期:2022年10月22日 ，保质期:180天，数量:2袋 )，3、体质能量维生素果味饮料(生产日期 20220316，保质期:12个月，数量:8瓶)，上述食品均已超过保质期且与在保质期内的食品混放在一起。经请示局分管领导批准后，执法人员现场下达了《实施行政强制措施决定书》，对当事人超市销售的超过保质期的上述食品依法予以扣押。</w:t>
      </w:r>
    </w:p>
    <w:p w14:paraId="51CB88DA">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 xml:space="preserve">上述超过保质期的食品:1、薯愿焙烤型马铃薯膨化食品是应瑞儿子在西亚超市购买的，共购进了5盒，当时吃了2盒，后来小孩不吃就放在货架上进行售卖，一直没有卖出去，故无违法所得。2、柳州螺蛳粉是一个学生在多多买菜平台上买了3袋，放在当事人超市待取。但是该学生有2个星期一直未领取，应瑞就吃了一袋，剩下两袋就被应瑞放在货架上售卖，一直没有卖出去，故无违法所得。3、体质能量维生素果味饮料是应瑞于2022年9月份的时候从一个卖饮料的业务员（具体叫什么不知道）那购进的，共购进3箱（15瓶/箱），购进价格为60元/箱，当事人店以每瓶5元的价格进行销售，截止案发已经销售了37瓶，剩余8瓶还未销售，由于当事人店无销售记录，也没有通过技术手段记录销售情况，以现有证据无法证明你店已售出的37瓶体质能量维生素果味饮料在售出时已超过保质期，经计算货值金额40元。                                             </w:t>
      </w:r>
    </w:p>
    <w:p w14:paraId="5B1137EC">
      <w:pPr>
        <w:keepNext w:val="0"/>
        <w:keepLines w:val="0"/>
        <w:pageBreakBefore w:val="0"/>
        <w:widowControl w:val="0"/>
        <w:kinsoku/>
        <w:wordWrap/>
        <w:overflowPunct/>
        <w:topLinePunct w:val="0"/>
        <w:autoSpaceDE/>
        <w:autoSpaceDN/>
        <w:bidi w:val="0"/>
        <w:spacing w:line="500" w:lineRule="exact"/>
        <w:ind w:firstLine="643" w:firstLineChars="200"/>
        <w:jc w:val="both"/>
        <w:textAlignment w:val="auto"/>
        <w:rPr>
          <w:rFonts w:hint="eastAsia" w:ascii="仿宋" w:hAnsi="仿宋" w:eastAsia="仿宋" w:cs="仿宋"/>
          <w:b/>
          <w:bCs w:val="0"/>
          <w:sz w:val="32"/>
          <w:szCs w:val="32"/>
          <w:u w:val="none" w:color="auto"/>
          <w:lang w:val="en-US" w:eastAsia="zh-CN"/>
        </w:rPr>
      </w:pPr>
      <w:r>
        <w:rPr>
          <w:rFonts w:hint="eastAsia" w:ascii="仿宋" w:hAnsi="仿宋" w:eastAsia="仿宋" w:cs="仿宋"/>
          <w:b/>
          <w:bCs w:val="0"/>
          <w:sz w:val="32"/>
          <w:szCs w:val="32"/>
          <w:u w:val="none" w:color="auto"/>
          <w:lang w:val="en-US" w:eastAsia="zh-CN"/>
        </w:rPr>
        <w:t>上述事实，主要有以下证据证明：</w:t>
      </w:r>
    </w:p>
    <w:p w14:paraId="5B766BE3">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1、现场检查笔录1份，证明当事人经营超过保质期食品的违法行为。</w:t>
      </w:r>
    </w:p>
    <w:p w14:paraId="497D9014">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2、询问笔录2份，证明当事人经营超过保质期食品的违法事实。</w:t>
      </w:r>
    </w:p>
    <w:p w14:paraId="74DAE294">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3、《营业执照》复印件和被询问人身份证复印件各一份，证明当事人主体资格和被询问人的身份。</w:t>
      </w:r>
    </w:p>
    <w:p w14:paraId="77B061C6">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 xml:space="preserve">4、《实施行政强制措施决定书》、《场所/设施/财务清单》各一份，证明扣押物品的具体数量。            </w:t>
      </w:r>
    </w:p>
    <w:p w14:paraId="1DE36E46">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5、现场检查照片2张，证明执法人员现场检查情况。</w:t>
      </w:r>
    </w:p>
    <w:p w14:paraId="233E4BBF">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Cs/>
          <w:sz w:val="32"/>
          <w:szCs w:val="32"/>
          <w:u w:val="none" w:color="auto"/>
          <w:lang w:eastAsia="zh-CN"/>
        </w:rPr>
      </w:pPr>
      <w:r>
        <w:rPr>
          <w:rFonts w:hint="eastAsia" w:ascii="仿宋" w:hAnsi="仿宋" w:eastAsia="仿宋" w:cs="仿宋"/>
          <w:color w:val="000000"/>
          <w:kern w:val="2"/>
          <w:sz w:val="32"/>
          <w:szCs w:val="32"/>
          <w:u w:val="none" w:color="auto"/>
          <w:lang w:val="en-US" w:eastAsia="zh-CN"/>
        </w:rPr>
        <w:t>以上各证据间相互印证，形成证据链充分证明</w:t>
      </w:r>
      <w:r>
        <w:rPr>
          <w:rFonts w:hint="eastAsia" w:ascii="仿宋" w:hAnsi="仿宋" w:eastAsia="仿宋" w:cs="仿宋_GB2312"/>
          <w:b w:val="0"/>
          <w:bCs/>
          <w:color w:val="000000"/>
          <w:sz w:val="30"/>
          <w:szCs w:val="30"/>
          <w:lang w:val="en-US" w:eastAsia="zh-CN"/>
        </w:rPr>
        <w:t>息县彭店乡北街便利超市经营超过保质期的食品</w:t>
      </w:r>
      <w:r>
        <w:rPr>
          <w:rFonts w:hint="eastAsia" w:ascii="仿宋" w:hAnsi="仿宋" w:eastAsia="仿宋" w:cs="仿宋"/>
          <w:color w:val="000000"/>
          <w:kern w:val="2"/>
          <w:sz w:val="32"/>
          <w:szCs w:val="32"/>
          <w:u w:val="none" w:color="auto"/>
          <w:lang w:val="en-US" w:eastAsia="zh-CN"/>
        </w:rPr>
        <w:t>的行为存在。</w:t>
      </w:r>
    </w:p>
    <w:p w14:paraId="210008E9">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left"/>
        <w:textAlignment w:val="auto"/>
        <w:outlineLvl w:val="9"/>
        <w:rPr>
          <w:rFonts w:hint="default" w:ascii="仿宋" w:hAnsi="仿宋" w:eastAsia="仿宋" w:cs="仿宋"/>
          <w:color w:val="000000"/>
          <w:kern w:val="2"/>
          <w:sz w:val="32"/>
          <w:szCs w:val="32"/>
          <w:u w:val="none" w:color="auto"/>
          <w:lang w:val="en-US" w:eastAsia="zh-CN"/>
        </w:rPr>
      </w:pPr>
      <w:r>
        <w:rPr>
          <w:rFonts w:hint="eastAsia" w:ascii="仿宋" w:hAnsi="仿宋" w:eastAsia="仿宋" w:cs="Times New Roman"/>
          <w:color w:val="000000"/>
          <w:kern w:val="2"/>
          <w:sz w:val="32"/>
          <w:szCs w:val="32"/>
          <w:u w:val="none" w:color="auto"/>
          <w:lang w:val="en-US" w:eastAsia="zh-CN"/>
        </w:rPr>
        <w:t>我局于2023年5月19日向当事人送达了《行政处罚听证告知书》[息市监罚听告</w:t>
      </w:r>
      <w:r>
        <w:rPr>
          <w:rFonts w:hint="eastAsia" w:ascii="仿宋" w:hAnsi="仿宋" w:eastAsia="仿宋" w:cs="Times New Roman"/>
          <w:color w:val="000000" w:themeColor="text1"/>
          <w:kern w:val="2"/>
          <w:sz w:val="32"/>
          <w:szCs w:val="32"/>
          <w:u w:val="none" w:color="auto"/>
          <w:lang w:val="en-US" w:eastAsia="zh-CN"/>
          <w14:textFill>
            <w14:solidFill>
              <w14:schemeClr w14:val="tx1"/>
            </w14:solidFill>
          </w14:textFill>
        </w:rPr>
        <w:t>〔2023〕159号</w:t>
      </w:r>
      <w:r>
        <w:rPr>
          <w:rFonts w:hint="eastAsia" w:ascii="仿宋" w:hAnsi="仿宋" w:eastAsia="仿宋" w:cs="Times New Roman"/>
          <w:color w:val="000000"/>
          <w:kern w:val="2"/>
          <w:sz w:val="32"/>
          <w:szCs w:val="32"/>
          <w:u w:val="none" w:color="auto"/>
          <w:lang w:val="en-US" w:eastAsia="zh-CN"/>
        </w:rPr>
        <w:t>]，</w:t>
      </w:r>
      <w:r>
        <w:rPr>
          <w:rFonts w:hint="eastAsia" w:ascii="仿宋" w:hAnsi="仿宋" w:eastAsia="仿宋" w:cs="仿宋"/>
          <w:spacing w:val="0"/>
          <w:sz w:val="32"/>
          <w:szCs w:val="32"/>
          <w:u w:val="none" w:color="auto"/>
          <w:lang w:val="en-US" w:eastAsia="zh-CN"/>
        </w:rPr>
        <w:t>当事人在法定期限内未行使陈述、申辩、</w:t>
      </w:r>
      <w:r>
        <w:rPr>
          <w:rFonts w:hint="eastAsia" w:ascii="仿宋" w:hAnsi="仿宋" w:eastAsia="仿宋" w:cs="仿宋"/>
          <w:color w:val="000000"/>
          <w:kern w:val="2"/>
          <w:sz w:val="32"/>
          <w:szCs w:val="32"/>
          <w:u w:val="none" w:color="auto"/>
          <w:lang w:val="en-US" w:eastAsia="zh-CN"/>
        </w:rPr>
        <w:t>行听证的</w:t>
      </w:r>
      <w:r>
        <w:rPr>
          <w:rFonts w:hint="eastAsia" w:ascii="仿宋" w:hAnsi="仿宋" w:eastAsia="仿宋" w:cs="仿宋"/>
          <w:spacing w:val="0"/>
          <w:sz w:val="32"/>
          <w:szCs w:val="32"/>
          <w:u w:val="none" w:color="auto"/>
          <w:lang w:val="en-US" w:eastAsia="zh-CN"/>
        </w:rPr>
        <w:t xml:space="preserve">，视为放弃此权利。      </w:t>
      </w:r>
      <w:r>
        <w:rPr>
          <w:rFonts w:hint="eastAsia" w:ascii="仿宋" w:hAnsi="仿宋" w:eastAsia="仿宋" w:cs="仿宋"/>
          <w:b w:val="0"/>
          <w:bCs/>
          <w:sz w:val="32"/>
          <w:szCs w:val="32"/>
          <w:u w:val="none" w:color="auto"/>
          <w:lang w:eastAsia="zh-CN"/>
        </w:rPr>
        <w:t>本局认为：</w:t>
      </w:r>
      <w:r>
        <w:rPr>
          <w:rFonts w:hint="eastAsia" w:ascii="仿宋" w:hAnsi="仿宋" w:eastAsia="仿宋" w:cs="仿宋"/>
          <w:kern w:val="2"/>
          <w:sz w:val="32"/>
          <w:szCs w:val="32"/>
          <w:u w:val="none" w:color="auto"/>
          <w:lang w:eastAsia="zh-CN"/>
        </w:rPr>
        <w:t>当事人</w:t>
      </w:r>
      <w:bookmarkStart w:id="0" w:name="_GoBack"/>
      <w:r>
        <w:rPr>
          <w:rFonts w:hint="eastAsia" w:ascii="仿宋" w:hAnsi="仿宋" w:eastAsia="仿宋" w:cs="仿宋"/>
          <w:color w:val="auto"/>
          <w:sz w:val="32"/>
          <w:szCs w:val="32"/>
          <w:u w:val="none" w:color="auto"/>
          <w:lang w:val="en-US" w:eastAsia="zh-CN"/>
        </w:rPr>
        <w:t>经营超过保质期食品</w:t>
      </w:r>
      <w:bookmarkEnd w:id="0"/>
      <w:r>
        <w:rPr>
          <w:rFonts w:hint="eastAsia" w:ascii="仿宋" w:hAnsi="仿宋" w:eastAsia="仿宋" w:cs="仿宋"/>
          <w:color w:val="auto"/>
          <w:sz w:val="32"/>
          <w:szCs w:val="32"/>
          <w:u w:val="none" w:color="auto"/>
          <w:lang w:val="en-US" w:eastAsia="zh-CN"/>
        </w:rPr>
        <w:t>的行为，违反了</w:t>
      </w:r>
      <w:r>
        <w:rPr>
          <w:rFonts w:hint="eastAsia" w:ascii="仿宋" w:hAnsi="仿宋" w:eastAsia="仿宋" w:cs="仿宋_GB2312"/>
          <w:b w:val="0"/>
          <w:bCs/>
          <w:color w:val="000000"/>
          <w:sz w:val="32"/>
          <w:szCs w:val="32"/>
          <w:lang w:val="en-US" w:eastAsia="zh-CN"/>
        </w:rPr>
        <w:t>《河南省食品小作坊、小经营店和小摊点管理条例》第十五条“禁止小作坊、小经营店和小摊点生产销售腐败变质、油脂酸败、霉变生虫、掺假掺杂、超过保质期或者被包装材料、容器、运输工具等污染的食品”的规定。</w:t>
      </w:r>
      <w:r>
        <w:rPr>
          <w:rFonts w:hint="eastAsia" w:ascii="仿宋" w:hAnsi="仿宋" w:eastAsia="仿宋" w:cs="仿宋"/>
          <w:color w:val="auto"/>
          <w:sz w:val="32"/>
          <w:szCs w:val="32"/>
          <w:u w:val="none" w:color="auto"/>
          <w:lang w:val="en-US" w:eastAsia="zh-CN"/>
        </w:rPr>
        <w:t xml:space="preserve">                  </w:t>
      </w:r>
      <w:r>
        <w:rPr>
          <w:rFonts w:hint="eastAsia" w:ascii="仿宋" w:hAnsi="仿宋" w:eastAsia="仿宋" w:cs="仿宋"/>
          <w:color w:val="auto"/>
          <w:sz w:val="32"/>
          <w:szCs w:val="32"/>
          <w:u w:val="none" w:color="auto"/>
          <w:lang w:eastAsia="zh-CN"/>
        </w:rPr>
        <w:t xml:space="preserve">   </w:t>
      </w:r>
      <w:r>
        <w:rPr>
          <w:rFonts w:hint="eastAsia" w:ascii="仿宋" w:hAnsi="仿宋" w:eastAsia="仿宋" w:cs="仿宋_GB2312"/>
          <w:b w:val="0"/>
          <w:bCs/>
          <w:color w:val="000000"/>
          <w:sz w:val="32"/>
          <w:szCs w:val="32"/>
          <w:lang w:val="en-US" w:eastAsia="zh-CN"/>
        </w:rPr>
        <w:t>依据《河南省食品小作坊、小经营店和小摊点管理条例》第四十四条第（四）项“违反本条例规定，小作坊和小经营店有下列行为之一，由县级人民政府食品药品监督管理部门没收违法所得，没收不符合食品安全标准和要求的食品和食品原料，处一万元以上十万元以下罚款；情节严重的，责令停产停业：（四）生产经营腐败变质、油脂酸败、霉变生虫、掺假掺杂、超过保质期或者被包装材料、容器、运输工具等污染的食品的”的规定。鉴于案发后当事人能积极配合调查，涉案金额小，未造成危害后果。依据《中华人民共和国行政处罚法》第三十二条第一款第（五）项“当事人有下列情形之一的，应当从轻或者减轻行政处罚:（五）法律、法规、规章规定其他应当从轻或者减轻行政处罚的。”参照《河南省市场监督管理</w:t>
      </w:r>
      <w:r>
        <w:rPr>
          <w:rFonts w:hint="default" w:ascii="仿宋" w:hAnsi="仿宋" w:eastAsia="仿宋" w:cs="仿宋_GB2312"/>
          <w:b w:val="0"/>
          <w:bCs/>
          <w:color w:val="000000"/>
          <w:sz w:val="32"/>
          <w:szCs w:val="32"/>
          <w:lang w:val="en-US" w:eastAsia="zh-CN"/>
        </w:rPr>
        <w:t>行政处罚裁量权适用通则</w:t>
      </w:r>
      <w:r>
        <w:rPr>
          <w:rFonts w:hint="eastAsia" w:ascii="仿宋" w:hAnsi="仿宋" w:eastAsia="仿宋" w:cs="仿宋_GB2312"/>
          <w:b w:val="0"/>
          <w:bCs/>
          <w:color w:val="000000"/>
          <w:sz w:val="32"/>
          <w:szCs w:val="32"/>
          <w:lang w:val="en-US" w:eastAsia="zh-CN"/>
        </w:rPr>
        <w:t>》第十条第（一）、第（二）项：“有下列情形之一的，可以依法从轻或者减轻行政处罚：（一）积极配合市场监管部门调查，如实陈述违法事实并 主动提供证据材料的；（二）违法行为轻微且社会危害性较小的”的规定，予以减轻行政处罚。</w:t>
      </w:r>
      <w:r>
        <w:rPr>
          <w:rFonts w:hint="eastAsia" w:ascii="仿宋" w:hAnsi="仿宋" w:eastAsia="仿宋" w:cs="仿宋"/>
          <w:kern w:val="2"/>
          <w:sz w:val="32"/>
          <w:szCs w:val="32"/>
          <w:u w:val="none" w:color="auto"/>
          <w:lang w:eastAsia="zh-CN"/>
        </w:rPr>
        <w:t>本局</w:t>
      </w:r>
      <w:r>
        <w:rPr>
          <w:rFonts w:hint="eastAsia" w:ascii="仿宋" w:hAnsi="仿宋" w:eastAsia="仿宋" w:cs="仿宋"/>
          <w:kern w:val="2"/>
          <w:sz w:val="32"/>
          <w:szCs w:val="32"/>
          <w:u w:val="none" w:color="auto"/>
          <w:lang w:val="en-US" w:eastAsia="zh-CN"/>
        </w:rPr>
        <w:t>决定责令当事人改正上述违法行为并</w:t>
      </w:r>
      <w:r>
        <w:rPr>
          <w:rFonts w:hint="eastAsia" w:ascii="仿宋" w:hAnsi="仿宋" w:eastAsia="仿宋" w:cs="仿宋"/>
          <w:kern w:val="2"/>
          <w:sz w:val="32"/>
          <w:szCs w:val="32"/>
          <w:u w:val="none" w:color="auto"/>
          <w:lang w:eastAsia="zh-CN"/>
        </w:rPr>
        <w:t>对当事人作出以下行政处罚</w:t>
      </w:r>
      <w:r>
        <w:rPr>
          <w:rFonts w:hint="eastAsia" w:ascii="仿宋" w:hAnsi="仿宋" w:eastAsia="仿宋" w:cs="仿宋"/>
          <w:color w:val="000000"/>
          <w:kern w:val="2"/>
          <w:sz w:val="32"/>
          <w:szCs w:val="32"/>
          <w:u w:val="none" w:color="auto"/>
          <w:lang w:eastAsia="zh-CN"/>
        </w:rPr>
        <w:t>：</w:t>
      </w:r>
      <w:r>
        <w:rPr>
          <w:rFonts w:hint="eastAsia" w:ascii="仿宋" w:hAnsi="仿宋" w:eastAsia="仿宋" w:cs="仿宋"/>
          <w:color w:val="000000"/>
          <w:kern w:val="2"/>
          <w:sz w:val="32"/>
          <w:szCs w:val="32"/>
          <w:u w:val="none" w:color="auto"/>
          <w:lang w:val="en-US" w:eastAsia="zh-CN"/>
        </w:rPr>
        <w:t xml:space="preserve">        </w:t>
      </w:r>
    </w:p>
    <w:p w14:paraId="03DCFBD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2"/>
          <w:sz w:val="32"/>
          <w:szCs w:val="32"/>
          <w:u w:val="none"/>
          <w:lang w:val="en-US" w:eastAsia="zh-CN"/>
        </w:rPr>
      </w:pPr>
      <w:r>
        <w:rPr>
          <w:rFonts w:hint="eastAsia" w:ascii="仿宋" w:hAnsi="仿宋" w:eastAsia="仿宋" w:cs="仿宋"/>
          <w:color w:val="000000"/>
          <w:kern w:val="2"/>
          <w:sz w:val="32"/>
          <w:szCs w:val="32"/>
          <w:u w:val="none"/>
          <w:lang w:val="en-US" w:eastAsia="zh-CN"/>
        </w:rPr>
        <w:t>1、没收超过保质期的薯愿焙烤型马铃薯膨化食品2盒、柳州螺蛳粉2袋、体质能量维生素果味饮料8瓶；</w:t>
      </w:r>
    </w:p>
    <w:p w14:paraId="0F93BDE4">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default" w:ascii="仿宋" w:hAnsi="仿宋" w:eastAsia="仿宋" w:cs="仿宋"/>
          <w:kern w:val="2"/>
          <w:sz w:val="32"/>
          <w:szCs w:val="32"/>
          <w:u w:val="none" w:color="auto"/>
          <w:lang w:val="en-US" w:eastAsia="zh-CN"/>
        </w:rPr>
      </w:pPr>
      <w:r>
        <w:rPr>
          <w:rFonts w:hint="eastAsia" w:ascii="仿宋" w:hAnsi="仿宋" w:eastAsia="仿宋" w:cs="仿宋"/>
          <w:color w:val="000000"/>
          <w:kern w:val="2"/>
          <w:sz w:val="32"/>
          <w:szCs w:val="32"/>
          <w:u w:val="none"/>
          <w:lang w:val="en-US" w:eastAsia="zh-CN"/>
        </w:rPr>
        <w:t>2、罚款伍仟元整（¥5000.00元）。</w:t>
      </w:r>
      <w:r>
        <w:rPr>
          <w:rFonts w:hint="eastAsia" w:ascii="仿宋" w:hAnsi="仿宋" w:eastAsia="仿宋" w:cs="仿宋"/>
          <w:kern w:val="2"/>
          <w:sz w:val="32"/>
          <w:szCs w:val="32"/>
          <w:u w:val="none" w:color="auto"/>
          <w:lang w:val="en-US" w:eastAsia="zh-CN"/>
        </w:rPr>
        <w:t xml:space="preserve">                 </w:t>
      </w:r>
    </w:p>
    <w:p w14:paraId="4B47FB84">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000000"/>
          <w:kern w:val="2"/>
          <w:sz w:val="32"/>
          <w:szCs w:val="32"/>
          <w:u w:val="none" w:color="auto"/>
          <w:lang w:eastAsia="zh-CN"/>
        </w:rPr>
      </w:pPr>
      <w:r>
        <w:rPr>
          <w:rFonts w:hint="eastAsia" w:ascii="仿宋" w:hAnsi="仿宋" w:eastAsia="仿宋" w:cs="仿宋"/>
          <w:color w:val="000000"/>
          <w:kern w:val="2"/>
          <w:sz w:val="32"/>
          <w:szCs w:val="32"/>
          <w:u w:val="none" w:color="auto"/>
          <w:lang w:eastAsia="zh-CN"/>
        </w:rPr>
        <w:t>当事人应当自收到本决定书之日起十五日内将罚款缴至中原银行息县城关支行（户名：息县财政局国库股账号：411533010170003701 执收单位名称：息县市场监督管理局</w:t>
      </w:r>
      <w:r>
        <w:rPr>
          <w:rFonts w:hint="eastAsia" w:ascii="仿宋" w:hAnsi="仿宋" w:eastAsia="仿宋" w:cs="仿宋"/>
          <w:color w:val="000000"/>
          <w:kern w:val="2"/>
          <w:sz w:val="32"/>
          <w:szCs w:val="32"/>
          <w:u w:val="none" w:color="auto"/>
          <w:lang w:val="en-US" w:eastAsia="zh-CN"/>
        </w:rPr>
        <w:t xml:space="preserve"> </w:t>
      </w:r>
      <w:r>
        <w:rPr>
          <w:rFonts w:hint="eastAsia" w:ascii="仿宋" w:hAnsi="仿宋" w:eastAsia="仿宋" w:cs="仿宋"/>
          <w:color w:val="000000"/>
          <w:kern w:val="2"/>
          <w:sz w:val="32"/>
          <w:szCs w:val="32"/>
          <w:u w:val="none" w:color="auto"/>
          <w:lang w:eastAsia="zh-CN"/>
        </w:rPr>
        <w:t>项目编码：8000</w:t>
      </w:r>
      <w:r>
        <w:rPr>
          <w:rFonts w:hint="eastAsia" w:ascii="仿宋" w:hAnsi="仿宋" w:eastAsia="仿宋" w:cs="仿宋"/>
          <w:color w:val="000000"/>
          <w:kern w:val="2"/>
          <w:sz w:val="32"/>
          <w:szCs w:val="32"/>
          <w:u w:val="none" w:color="auto"/>
          <w:lang w:val="en-US" w:eastAsia="zh-CN"/>
        </w:rPr>
        <w:t>2</w:t>
      </w:r>
      <w:r>
        <w:rPr>
          <w:rFonts w:hint="eastAsia" w:ascii="仿宋" w:hAnsi="仿宋" w:eastAsia="仿宋" w:cs="仿宋"/>
          <w:color w:val="000000"/>
          <w:kern w:val="2"/>
          <w:sz w:val="32"/>
          <w:szCs w:val="32"/>
          <w:u w:val="none" w:color="auto"/>
          <w:lang w:eastAsia="zh-CN"/>
        </w:rPr>
        <w:t>9 项目名称：市场监管罚没收入）。逾期不缴纳罚款的，根据《中华人民共和国行政处罚法》第七十二条的规定，本局将每日按罚款数额的百分之三加处罚款，并依法申请人民法院强制执行。</w:t>
      </w:r>
    </w:p>
    <w:p w14:paraId="0D11002F">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Times New Roman"/>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eastAsia="zh-CN"/>
        </w:rPr>
        <w:t>如当事人不服本行政处罚决定，可以自收到本行政处罚决定书之日起六十日内向息县人民政府申请行政复议；也可以在六个月内依法向息县人民法院提起行政诉讼。申请行政复议或提起行政诉讼期间，行政处罚不停止执行。</w:t>
      </w:r>
      <w:r>
        <w:rPr>
          <w:rFonts w:hint="eastAsia" w:ascii="仿宋" w:hAnsi="仿宋" w:eastAsia="仿宋" w:cs="仿宋"/>
          <w:color w:val="000000"/>
          <w:kern w:val="2"/>
          <w:sz w:val="32"/>
          <w:szCs w:val="32"/>
          <w:u w:val="none" w:color="auto"/>
          <w:lang w:val="en-US" w:eastAsia="zh-CN"/>
        </w:rPr>
        <w:t xml:space="preserve">           </w:t>
      </w:r>
    </w:p>
    <w:p w14:paraId="4D0727A9">
      <w:pPr>
        <w:keepNext w:val="0"/>
        <w:keepLines w:val="0"/>
        <w:pageBreakBefore w:val="0"/>
        <w:kinsoku/>
        <w:wordWrap/>
        <w:overflowPunct/>
        <w:topLinePunct w:val="0"/>
        <w:autoSpaceDE/>
        <w:autoSpaceDN/>
        <w:bidi w:val="0"/>
        <w:adjustRightInd w:val="0"/>
        <w:snapToGrid/>
        <w:spacing w:line="500" w:lineRule="exact"/>
        <w:jc w:val="both"/>
        <w:textAlignment w:val="baseline"/>
        <w:rPr>
          <w:rFonts w:hint="eastAsia" w:ascii="仿宋" w:hAnsi="仿宋" w:eastAsia="仿宋" w:cs="Times New Roman"/>
          <w:color w:val="000000"/>
          <w:kern w:val="2"/>
          <w:sz w:val="32"/>
          <w:szCs w:val="32"/>
          <w:u w:val="none" w:color="auto"/>
          <w:lang w:val="en-US" w:eastAsia="zh-CN"/>
        </w:rPr>
      </w:pPr>
    </w:p>
    <w:p w14:paraId="612150BB">
      <w:pPr>
        <w:keepNext w:val="0"/>
        <w:keepLines w:val="0"/>
        <w:pageBreakBefore w:val="0"/>
        <w:kinsoku/>
        <w:wordWrap/>
        <w:overflowPunct/>
        <w:topLinePunct w:val="0"/>
        <w:autoSpaceDE/>
        <w:autoSpaceDN/>
        <w:bidi w:val="0"/>
        <w:adjustRightInd w:val="0"/>
        <w:snapToGrid/>
        <w:spacing w:line="500" w:lineRule="exact"/>
        <w:ind w:firstLine="640" w:firstLineChars="200"/>
        <w:jc w:val="both"/>
        <w:textAlignment w:val="baseline"/>
        <w:rPr>
          <w:rFonts w:hint="eastAsia" w:ascii="仿宋" w:hAnsi="仿宋" w:eastAsia="仿宋" w:cs="Times New Roman"/>
          <w:color w:val="000000"/>
          <w:kern w:val="2"/>
          <w:sz w:val="32"/>
          <w:szCs w:val="32"/>
          <w:u w:val="none" w:color="auto"/>
          <w:lang w:val="en-US" w:eastAsia="zh-CN"/>
        </w:rPr>
      </w:pPr>
    </w:p>
    <w:p w14:paraId="26EAB1A8">
      <w:pPr>
        <w:keepNext w:val="0"/>
        <w:keepLines w:val="0"/>
        <w:pageBreakBefore w:val="0"/>
        <w:kinsoku/>
        <w:wordWrap/>
        <w:overflowPunct/>
        <w:topLinePunct w:val="0"/>
        <w:autoSpaceDE/>
        <w:autoSpaceDN/>
        <w:bidi w:val="0"/>
        <w:adjustRightInd w:val="0"/>
        <w:snapToGrid/>
        <w:spacing w:line="500" w:lineRule="exact"/>
        <w:ind w:firstLine="1600" w:firstLineChars="500"/>
        <w:jc w:val="both"/>
        <w:textAlignment w:val="baseline"/>
        <w:rPr>
          <w:rFonts w:hint="default" w:ascii="仿宋" w:hAnsi="仿宋" w:eastAsia="仿宋" w:cs="Times New Roman"/>
          <w:color w:val="000000"/>
          <w:kern w:val="2"/>
          <w:sz w:val="32"/>
          <w:szCs w:val="32"/>
          <w:u w:val="none" w:color="auto"/>
          <w:lang w:val="en-US" w:eastAsia="zh-CN"/>
        </w:rPr>
      </w:pPr>
      <w:r>
        <w:rPr>
          <w:rFonts w:hint="eastAsia" w:ascii="仿宋" w:hAnsi="仿宋" w:eastAsia="仿宋" w:cs="Times New Roman"/>
          <w:color w:val="000000"/>
          <w:kern w:val="2"/>
          <w:sz w:val="32"/>
          <w:szCs w:val="32"/>
          <w:u w:val="none" w:color="auto"/>
          <w:lang w:val="en-US" w:eastAsia="zh-CN"/>
        </w:rPr>
        <w:t xml:space="preserve">                   息县市场监督管理局</w:t>
      </w:r>
    </w:p>
    <w:p w14:paraId="3AF0D3E9">
      <w:pPr>
        <w:keepNext w:val="0"/>
        <w:keepLines w:val="0"/>
        <w:pageBreakBefore w:val="0"/>
        <w:kinsoku/>
        <w:wordWrap/>
        <w:overflowPunct/>
        <w:topLinePunct w:val="0"/>
        <w:autoSpaceDE/>
        <w:autoSpaceDN/>
        <w:bidi w:val="0"/>
        <w:adjustRightInd w:val="0"/>
        <w:snapToGrid/>
        <w:spacing w:line="500" w:lineRule="exact"/>
        <w:ind w:firstLine="640" w:firstLineChars="200"/>
        <w:jc w:val="center"/>
        <w:textAlignment w:val="baseline"/>
        <w:rPr>
          <w:rFonts w:hint="eastAsia" w:ascii="黑体" w:hAnsi="黑体" w:eastAsia="黑体" w:cs="黑体"/>
          <w:color w:val="000000"/>
          <w:sz w:val="30"/>
          <w:szCs w:val="30"/>
          <w:lang w:eastAsia="zh-CN"/>
        </w:rPr>
      </w:pPr>
      <w:r>
        <w:rPr>
          <w:rFonts w:hint="eastAsia" w:ascii="仿宋" w:hAnsi="仿宋" w:eastAsia="仿宋" w:cs="Times New Roman"/>
          <w:color w:val="000000"/>
          <w:kern w:val="2"/>
          <w:sz w:val="32"/>
          <w:szCs w:val="32"/>
          <w:u w:val="none" w:color="auto"/>
          <w:lang w:val="en-US" w:eastAsia="zh-CN"/>
        </w:rPr>
        <w:t xml:space="preserve">                   2023年05月30日</w:t>
      </w:r>
    </w:p>
    <w:p w14:paraId="6940A68B">
      <w:pPr>
        <w:pStyle w:val="2"/>
        <w:ind w:left="0" w:leftChars="0" w:firstLine="0" w:firstLineChars="0"/>
        <w:rPr>
          <w:rFonts w:hint="eastAsia" w:ascii="黑体" w:hAnsi="黑体" w:eastAsia="黑体" w:cs="黑体"/>
          <w:color w:val="000000"/>
          <w:sz w:val="30"/>
          <w:szCs w:val="30"/>
          <w:lang w:eastAsia="zh-CN"/>
        </w:rPr>
      </w:pPr>
    </w:p>
    <w:p w14:paraId="497E0E33">
      <w:pPr>
        <w:wordWrap w:val="0"/>
        <w:snapToGrid w:val="0"/>
        <w:spacing w:line="520" w:lineRule="exact"/>
        <w:rPr>
          <w:rFonts w:ascii="黑体" w:hAnsi="黑体" w:eastAsia="黑体" w:cs="黑体"/>
          <w:color w:val="000000"/>
          <w:sz w:val="30"/>
          <w:szCs w:val="30"/>
          <w:lang w:eastAsia="zh-CN"/>
        </w:rPr>
      </w:pPr>
      <w:r>
        <w:rPr>
          <w:rFonts w:hint="eastAsia" w:ascii="黑体" w:hAnsi="黑体" w:eastAsia="黑体" w:cs="黑体"/>
          <w:color w:val="000000"/>
          <w:sz w:val="30"/>
          <w:szCs w:val="30"/>
          <w:lang w:eastAsia="zh-CN"/>
        </w:rPr>
        <w:t>（市场监督管理部门将依法向社会公开行政处罚决定信息）</w:t>
      </w:r>
    </w:p>
    <w:p w14:paraId="09B4F79C">
      <w:pPr>
        <w:spacing w:line="0" w:lineRule="atLeast"/>
        <w:rPr>
          <w:rFonts w:ascii="仿宋_GB2312" w:hAnsi="仿宋_GB2312" w:eastAsia="仿宋_GB2312"/>
          <w:color w:val="000000"/>
          <w:kern w:val="2"/>
          <w:sz w:val="30"/>
          <w:szCs w:val="30"/>
          <w:u w:val="thick"/>
          <w:lang w:eastAsia="zh-CN"/>
        </w:rPr>
      </w:pPr>
      <w:r>
        <w:rPr>
          <w:rFonts w:hint="eastAsia" w:ascii="仿宋_GB2312" w:hAnsi="仿宋_GB2312" w:eastAsia="仿宋_GB2312"/>
          <w:color w:val="000000"/>
          <w:kern w:val="2"/>
          <w:sz w:val="30"/>
          <w:szCs w:val="30"/>
          <w:u w:val="thick"/>
          <w:lang w:eastAsia="zh-CN"/>
        </w:rPr>
        <w:t xml:space="preserve">                                             </w:t>
      </w:r>
      <w:r>
        <w:rPr>
          <w:rFonts w:ascii="仿宋_GB2312" w:hAnsi="仿宋_GB2312" w:eastAsia="仿宋_GB2312"/>
          <w:color w:val="000000"/>
          <w:kern w:val="2"/>
          <w:sz w:val="30"/>
          <w:szCs w:val="30"/>
          <w:u w:val="thick"/>
          <w:lang w:eastAsia="zh-CN"/>
        </w:rPr>
        <w:t xml:space="preserve">  </w:t>
      </w:r>
      <w:r>
        <w:rPr>
          <w:rFonts w:hint="eastAsia" w:ascii="仿宋_GB2312" w:hAnsi="仿宋_GB2312" w:eastAsia="仿宋_GB2312"/>
          <w:color w:val="000000"/>
          <w:kern w:val="2"/>
          <w:sz w:val="30"/>
          <w:szCs w:val="30"/>
          <w:u w:val="thick"/>
          <w:lang w:eastAsia="zh-CN"/>
        </w:rPr>
        <w:t xml:space="preserve">         </w:t>
      </w:r>
    </w:p>
    <w:p w14:paraId="1DC55EEA">
      <w:pPr>
        <w:spacing w:line="440" w:lineRule="exact"/>
        <w:ind w:firstLine="260" w:firstLineChars="100"/>
      </w:pPr>
      <w:r>
        <w:rPr>
          <w:rFonts w:hint="eastAsia" w:ascii="仿宋_GB2312"/>
          <w:color w:val="000000"/>
          <w:spacing w:val="-20"/>
          <w:sz w:val="30"/>
          <w:szCs w:val="30"/>
          <w:lang w:eastAsia="zh-CN"/>
        </w:rPr>
        <w:t>本文书一式两份，一份送达，一份存档</w:t>
      </w:r>
      <w:r>
        <w:rPr>
          <w:rFonts w:ascii="仿宋" w:hAnsi="仿宋" w:eastAsia="仿宋" w:cs="仿宋"/>
          <w:color w:val="000000"/>
          <w:sz w:val="28"/>
          <w:szCs w:val="28"/>
          <w:lang w:eastAsia="zh-CN"/>
        </w:rPr>
        <w:t xml:space="preserve"> </w:t>
      </w:r>
      <w:r>
        <w:rPr>
          <w:rFonts w:hint="eastAsia" w:ascii="仿宋" w:hAnsi="仿宋" w:eastAsia="仿宋" w:cs="仿宋"/>
          <w:color w:val="000000"/>
          <w:sz w:val="28"/>
          <w:szCs w:val="2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490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E379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FE379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00000000"/>
    <w:rsid w:val="1BB830C2"/>
    <w:rsid w:val="36DD54FB"/>
    <w:rsid w:val="4655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w w:val="88"/>
      <w:sz w:val="21"/>
    </w:rPr>
  </w:style>
  <w:style w:type="paragraph" w:styleId="3">
    <w:name w:val="Body Text Indent"/>
    <w:basedOn w:val="1"/>
    <w:unhideWhenUsed/>
    <w:qFormat/>
    <w:uiPriority w:val="0"/>
    <w:pPr>
      <w:spacing w:after="120"/>
      <w:ind w:left="420" w:leftChars="200"/>
    </w:pPr>
    <w:rPr>
      <w:rFonts w:hint="default"/>
      <w:sz w:val="21"/>
    </w:rPr>
  </w:style>
  <w:style w:type="paragraph" w:styleId="4">
    <w:name w:val="Body Text"/>
    <w:basedOn w:val="1"/>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2158</Words>
  <Characters>2304</Characters>
  <Lines>0</Lines>
  <Paragraphs>0</Paragraphs>
  <TotalTime>13</TotalTime>
  <ScaleCrop>false</ScaleCrop>
  <LinksUpToDate>false</LinksUpToDate>
  <CharactersWithSpaces>2870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2023-05-30T02:36:00Z</dcterms:created>
  <dc:creator>Administrator</dc:creator>
  <cp:lastModifiedBy>一缕阳光</cp:lastModifiedBy>
  <cp:lastPrinted>2023-05-31T02:33:00Z</cp:lastPrinted>
  <dcterms:modified xsi:type="dcterms:W3CDTF">2025-03-25T02:40:07Z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46241208FDCD45EC8357D5970D03A53B_13</vt:lpwstr>
  </property>
  <property fmtid="{D5CDD505-2E9C-101B-9397-08002B2CF9AE}" pid="4" name="KSOTemplateDocerSaveRecord">
    <vt:lpwstr>eyJoZGlkIjoiMzY5ZTQwYmNmOGEzNGRkMjY1ODdhMDZkYzE1YzU5ZjUiLCJ1c2VySWQiOiI5Nzg3NTA2MTQifQ==</vt:lpwstr>
  </property>
</Properties>
</file>