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附  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方正小标宋简体" w:hAnsi="方正小标宋简体" w:eastAsia="方正小标宋简体" w:cs="方正小标宋简体"/>
          <w:color w:val="auto"/>
          <w:kern w:val="2"/>
          <w:sz w:val="44"/>
          <w:szCs w:val="4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auto"/>
        </w:rPr>
      </w:pPr>
      <w:r>
        <w:rPr>
          <w:rFonts w:ascii="方正小标宋简体" w:hAnsi="方正小标宋简体" w:eastAsia="方正小标宋简体" w:cs="方正小标宋简体"/>
          <w:color w:val="auto"/>
          <w:kern w:val="2"/>
          <w:sz w:val="44"/>
          <w:szCs w:val="44"/>
        </w:rPr>
        <w:t>郑州航空港经济综合实验区</w:t>
      </w:r>
      <w:r>
        <w:rPr>
          <w:rFonts w:hint="eastAsia" w:ascii="方正小标宋简体" w:hAnsi="方正小标宋简体" w:eastAsia="方正小标宋简体" w:cs="方正小标宋简体"/>
          <w:color w:val="auto"/>
          <w:kern w:val="2"/>
          <w:sz w:val="44"/>
          <w:szCs w:val="44"/>
          <w:lang w:val="en-US" w:eastAsia="zh-CN"/>
        </w:rPr>
        <w:t>水利工程建设</w:t>
      </w:r>
      <w:r>
        <w:rPr>
          <w:rFonts w:ascii="方正小标宋简体" w:hAnsi="方正小标宋简体" w:eastAsia="方正小标宋简体" w:cs="方正小标宋简体"/>
          <w:color w:val="auto"/>
          <w:kern w:val="2"/>
          <w:sz w:val="44"/>
          <w:szCs w:val="44"/>
        </w:rPr>
        <w:t>项目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contextualSpacing/>
        <w:jc w:val="both"/>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招标投标行政监督管理办法（试行）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contextualSpacing/>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（征求意见稿）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ascii="微软雅黑 ! important" w:hAnsi="微软雅黑 ! important" w:eastAsia="微软雅黑 ! important" w:cs="微软雅黑 ! important"/>
          <w:b w:val="0"/>
          <w:bCs/>
          <w:color w:val="auto"/>
          <w:kern w:val="2"/>
          <w:sz w:val="32"/>
          <w:szCs w:val="32"/>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ascii="微软雅黑 ! important" w:hAnsi="微软雅黑 ! important" w:eastAsia="微软雅黑 ! important" w:cs="微软雅黑 ! important"/>
          <w:b w:val="0"/>
          <w:bCs/>
          <w:color w:val="auto"/>
          <w:kern w:val="2"/>
          <w:sz w:val="32"/>
          <w:szCs w:val="32"/>
          <w:lang w:val="en-US" w:eastAsia="zh-CN" w:bidi="ar"/>
        </w:rPr>
        <w:t>第一条</w:t>
      </w:r>
      <w:r>
        <w:rPr>
          <w:rFonts w:hint="default" w:ascii="微软雅黑 ! important" w:hAnsi="微软雅黑 ! important" w:eastAsia="微软雅黑 ! important" w:cs="微软雅黑 ! important"/>
          <w:b w:val="0"/>
          <w:bCs/>
          <w:color w:val="auto"/>
          <w:kern w:val="2"/>
          <w:sz w:val="32"/>
          <w:szCs w:val="32"/>
          <w:lang w:val="en-US" w:eastAsia="zh-CN" w:bidi="ar"/>
        </w:rPr>
        <w:t> </w:t>
      </w:r>
      <w:r>
        <w:rPr>
          <w:rFonts w:ascii="仿宋_GB2312" w:hAnsi="Calibri" w:eastAsia="仿宋_GB2312" w:cs="仿宋_GB2312"/>
          <w:color w:val="auto"/>
          <w:kern w:val="2"/>
          <w:sz w:val="32"/>
          <w:szCs w:val="32"/>
          <w:lang w:val="en-US" w:eastAsia="zh-CN" w:bidi="ar"/>
        </w:rPr>
        <w:t>为</w:t>
      </w:r>
      <w:r>
        <w:rPr>
          <w:rFonts w:hint="eastAsia" w:ascii="仿宋_GB2312" w:eastAsia="仿宋_GB2312" w:cs="仿宋_GB2312"/>
          <w:color w:val="auto"/>
          <w:kern w:val="2"/>
          <w:sz w:val="32"/>
          <w:szCs w:val="32"/>
          <w:lang w:val="en-US" w:eastAsia="zh-CN" w:bidi="ar"/>
        </w:rPr>
        <w:t>规范我区水利工程建设项目招投标活动，维护招标投标活动当事人的合法权益，创造公开、公平、公正的水利市场环境，</w:t>
      </w:r>
      <w:r>
        <w:rPr>
          <w:rFonts w:ascii="仿宋_GB2312" w:hAnsi="Calibri" w:eastAsia="仿宋_GB2312" w:cs="仿宋_GB2312"/>
          <w:color w:val="auto"/>
          <w:kern w:val="2"/>
          <w:sz w:val="32"/>
          <w:szCs w:val="32"/>
          <w:lang w:val="en-US" w:eastAsia="zh-CN" w:bidi="ar"/>
        </w:rPr>
        <w:t>根据</w:t>
      </w:r>
      <w:r>
        <w:rPr>
          <w:rFonts w:hint="eastAsia" w:ascii="仿宋_GB2312" w:eastAsia="仿宋_GB2312" w:cs="仿宋_GB2312"/>
          <w:color w:val="auto"/>
          <w:kern w:val="2"/>
          <w:sz w:val="32"/>
          <w:szCs w:val="32"/>
          <w:lang w:val="en-US" w:eastAsia="zh-CN" w:bidi="ar"/>
        </w:rPr>
        <w:t>《中华人民共和国招标投标法》《中华人民共和国招标投标法实施条例》《</w:t>
      </w:r>
      <w:r>
        <w:rPr>
          <w:rFonts w:hint="default" w:ascii="仿宋_GB2312" w:eastAsia="仿宋_GB2312" w:cs="仿宋_GB2312"/>
          <w:color w:val="auto"/>
          <w:kern w:val="2"/>
          <w:sz w:val="32"/>
          <w:szCs w:val="32"/>
          <w:lang w:val="en-US" w:eastAsia="zh-CN" w:bidi="ar"/>
        </w:rPr>
        <w:t>国家发展改革委等部门关于严格执行招标投标法规制度进一步规范招标投标主体行为的若干意见</w:t>
      </w:r>
      <w:r>
        <w:rPr>
          <w:rFonts w:hint="eastAsia" w:ascii="仿宋_GB2312" w:eastAsia="仿宋_GB2312" w:cs="仿宋_GB2312"/>
          <w:color w:val="auto"/>
          <w:kern w:val="2"/>
          <w:sz w:val="32"/>
          <w:szCs w:val="32"/>
          <w:lang w:val="en-US" w:eastAsia="zh-CN" w:bidi="ar"/>
        </w:rPr>
        <w:t>》（</w:t>
      </w:r>
      <w:r>
        <w:rPr>
          <w:rFonts w:hint="default" w:ascii="仿宋_GB2312" w:eastAsia="仿宋_GB2312" w:cs="仿宋_GB2312"/>
          <w:color w:val="auto"/>
          <w:kern w:val="2"/>
          <w:sz w:val="32"/>
          <w:szCs w:val="32"/>
          <w:lang w:val="en-US" w:eastAsia="zh-CN" w:bidi="ar"/>
        </w:rPr>
        <w:t>发改法规规〔2022〕1117号</w:t>
      </w:r>
      <w:r>
        <w:rPr>
          <w:rFonts w:hint="eastAsia" w:ascii="仿宋_GB2312" w:eastAsia="仿宋_GB2312" w:cs="仿宋_GB2312"/>
          <w:color w:val="auto"/>
          <w:kern w:val="2"/>
          <w:sz w:val="32"/>
          <w:szCs w:val="32"/>
          <w:lang w:val="en-US" w:eastAsia="zh-CN" w:bidi="ar"/>
        </w:rPr>
        <w:t>）《水利工程建设项目招标投标管理规定》《河南省水利工程建设项目招标投标行政监督规定》《郑州航空港经济综合实验区公共资源交易监督管理办法（试行）》等法律法规及文件精神</w:t>
      </w:r>
      <w:r>
        <w:rPr>
          <w:rFonts w:hint="default" w:ascii="仿宋_GB2312" w:eastAsia="仿宋_GB2312" w:cs="仿宋_GB2312"/>
          <w:color w:val="auto"/>
          <w:kern w:val="2"/>
          <w:sz w:val="32"/>
          <w:szCs w:val="32"/>
          <w:lang w:val="en-US" w:eastAsia="zh-CN" w:bidi="ar"/>
        </w:rPr>
        <w:t>，</w:t>
      </w:r>
      <w:r>
        <w:rPr>
          <w:rFonts w:hint="eastAsia" w:ascii="仿宋_GB2312" w:eastAsia="仿宋_GB2312" w:cs="仿宋_GB2312"/>
          <w:color w:val="auto"/>
          <w:kern w:val="2"/>
          <w:sz w:val="32"/>
          <w:szCs w:val="32"/>
          <w:lang w:val="en-US" w:eastAsia="zh-CN" w:bidi="ar"/>
        </w:rPr>
        <w:t>结合我区水利工程建设项目领域工作实际</w:t>
      </w:r>
      <w:r>
        <w:rPr>
          <w:rFonts w:hint="default" w:ascii="仿宋_GB2312" w:eastAsia="仿宋_GB2312" w:cs="仿宋_GB2312"/>
          <w:color w:val="auto"/>
          <w:kern w:val="2"/>
          <w:sz w:val="32"/>
          <w:szCs w:val="32"/>
          <w:lang w:val="en-US" w:eastAsia="zh-CN" w:bidi="ar"/>
        </w:rPr>
        <w:t>制定</w:t>
      </w:r>
      <w:r>
        <w:rPr>
          <w:rFonts w:hint="eastAsia" w:ascii="仿宋_GB2312" w:eastAsia="仿宋_GB2312" w:cs="仿宋_GB2312"/>
          <w:color w:val="auto"/>
          <w:kern w:val="2"/>
          <w:sz w:val="32"/>
          <w:szCs w:val="32"/>
          <w:lang w:val="en-US" w:eastAsia="zh-CN" w:bidi="ar"/>
        </w:rPr>
        <w:t>本办法</w:t>
      </w:r>
      <w:r>
        <w:rPr>
          <w:rFonts w:hint="default"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第二条</w:t>
      </w:r>
      <w:r>
        <w:rPr>
          <w:rFonts w:hint="default" w:ascii="仿宋_GB2312" w:eastAsia="仿宋_GB2312" w:cs="仿宋_GB2312"/>
          <w:color w:val="auto"/>
          <w:kern w:val="2"/>
          <w:sz w:val="32"/>
          <w:szCs w:val="32"/>
          <w:lang w:val="en-US" w:eastAsia="zh-CN" w:bidi="ar"/>
        </w:rPr>
        <w:t> </w:t>
      </w:r>
      <w:r>
        <w:rPr>
          <w:rFonts w:hint="eastAsia" w:ascii="仿宋_GB2312" w:eastAsia="仿宋_GB2312" w:cs="仿宋_GB2312"/>
          <w:color w:val="auto"/>
          <w:kern w:val="2"/>
          <w:sz w:val="32"/>
          <w:szCs w:val="32"/>
          <w:lang w:val="en-US" w:eastAsia="zh-CN" w:bidi="ar"/>
        </w:rPr>
        <w:t>本办法适用于郑州航空港经济综合实验区内依法必须招标的水利工程建设项目（以下简称水利项目）的勘察、设计、施工、监理以及与水利工程建设有关的重要设备、材料采购等的招标投标行政监督工作。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lang w:val="en-US" w:eastAsia="zh-CN"/>
        </w:rPr>
      </w:pPr>
      <w:r>
        <w:rPr>
          <w:rFonts w:hint="eastAsia" w:ascii="仿宋_GB2312" w:eastAsia="仿宋_GB2312" w:cs="仿宋_GB2312"/>
          <w:color w:val="auto"/>
          <w:kern w:val="2"/>
          <w:sz w:val="32"/>
          <w:szCs w:val="32"/>
          <w:lang w:val="en-US" w:eastAsia="zh-CN" w:bidi="ar"/>
        </w:rPr>
        <w:t>依法必须招标的范围和规模标准按国家和省有关规定执行。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第三条 </w:t>
      </w:r>
      <w:r>
        <w:rPr>
          <w:rFonts w:hint="eastAsia" w:ascii="仿宋_GB2312" w:eastAsia="仿宋_GB2312" w:cs="仿宋_GB2312"/>
          <w:color w:val="auto"/>
          <w:kern w:val="2"/>
          <w:sz w:val="32"/>
          <w:szCs w:val="32"/>
          <w:lang w:val="en-US" w:eastAsia="zh-CN" w:bidi="ar"/>
        </w:rPr>
        <w:t>郑州航空港经济综合实验区生态环境和城市管理局（综合行政执法局）作为航空港实验区水行政主管部门，负责全区水利项目招标投标活动的行政监督与管理的日常工作，并接受河南省水利厅的监督、指导。</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第四条</w:t>
      </w:r>
      <w:r>
        <w:rPr>
          <w:rFonts w:hint="default" w:ascii="仿宋_GB2312" w:eastAsia="仿宋_GB2312" w:cs="仿宋_GB2312"/>
          <w:color w:val="auto"/>
          <w:kern w:val="2"/>
          <w:sz w:val="32"/>
          <w:szCs w:val="32"/>
          <w:lang w:val="en-US" w:eastAsia="zh-CN" w:bidi="ar"/>
        </w:rPr>
        <w:t> </w:t>
      </w:r>
      <w:r>
        <w:rPr>
          <w:rFonts w:hint="eastAsia" w:ascii="仿宋_GB2312" w:eastAsia="仿宋_GB2312" w:cs="仿宋_GB2312"/>
          <w:color w:val="auto"/>
          <w:kern w:val="2"/>
          <w:sz w:val="32"/>
          <w:szCs w:val="32"/>
          <w:lang w:val="en-US" w:eastAsia="zh-CN" w:bidi="ar"/>
        </w:rPr>
        <w:t>航空港实验区水行政主管部门主要监督职责为：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(一)贯彻执行有关招标投标的法律、法规、规章和政策；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(二)依照有关法律、法规和规章，制定本行政区域水利项目招标投标的管理办法；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lang w:val="en-US" w:eastAsia="zh-CN"/>
        </w:rPr>
      </w:pPr>
      <w:r>
        <w:rPr>
          <w:rFonts w:hint="eastAsia" w:ascii="仿宋_GB2312" w:eastAsia="仿宋_GB2312" w:cs="仿宋_GB2312"/>
          <w:color w:val="auto"/>
          <w:kern w:val="2"/>
          <w:sz w:val="32"/>
          <w:szCs w:val="32"/>
          <w:lang w:val="en-US" w:eastAsia="zh-CN" w:bidi="ar"/>
        </w:rPr>
        <w:t>(三)对本行政区域内水利项目招标代理活动进行监督;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(四)受理管理权限范围内水利项目招标投标活动的投诉，依法查处招标投标活动中的违法违规行为;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(五)负责本行政区域内除省管以外水利项目的招标投标活动的行政监督与管理;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(六) 法律、法规赋予的其他行政监督职责。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第五条 </w:t>
      </w:r>
      <w:r>
        <w:rPr>
          <w:rFonts w:hint="default" w:ascii="仿宋_GB2312" w:eastAsia="仿宋_GB2312" w:cs="仿宋_GB2312"/>
          <w:color w:val="auto"/>
          <w:kern w:val="2"/>
          <w:sz w:val="32"/>
          <w:szCs w:val="32"/>
          <w:lang w:val="en-US" w:eastAsia="zh-CN" w:bidi="ar"/>
        </w:rPr>
        <w:t>水利项目招标投标活动的行政监督一般采取事前报告、事中监督和事后备案的方式进行。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contextualSpacing/>
        <w:jc w:val="both"/>
        <w:textAlignment w:val="auto"/>
        <w:rPr>
          <w:rFonts w:hint="default"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（一）</w:t>
      </w:r>
      <w:r>
        <w:rPr>
          <w:rFonts w:hint="default" w:ascii="仿宋_GB2312" w:eastAsia="仿宋_GB2312" w:cs="仿宋_GB2312"/>
          <w:color w:val="auto"/>
          <w:kern w:val="2"/>
          <w:sz w:val="32"/>
          <w:szCs w:val="32"/>
          <w:lang w:val="en-US" w:eastAsia="zh-CN" w:bidi="ar"/>
        </w:rPr>
        <w:t>事前报告。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default"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水利项目</w:t>
      </w:r>
      <w:r>
        <w:rPr>
          <w:rFonts w:hint="default" w:ascii="仿宋_GB2312" w:eastAsia="仿宋_GB2312" w:cs="仿宋_GB2312"/>
          <w:color w:val="auto"/>
          <w:kern w:val="2"/>
          <w:sz w:val="32"/>
          <w:szCs w:val="32"/>
          <w:lang w:val="en-US" w:eastAsia="zh-CN" w:bidi="ar"/>
        </w:rPr>
        <w:t>取消</w:t>
      </w:r>
      <w:r>
        <w:rPr>
          <w:rFonts w:hint="eastAsia" w:ascii="仿宋_GB2312" w:eastAsia="仿宋_GB2312" w:cs="仿宋_GB2312"/>
          <w:color w:val="auto"/>
          <w:kern w:val="2"/>
          <w:sz w:val="32"/>
          <w:szCs w:val="32"/>
          <w:lang w:val="en-US" w:eastAsia="zh-CN" w:bidi="ar"/>
        </w:rPr>
        <w:t>了招标前</w:t>
      </w:r>
      <w:r>
        <w:rPr>
          <w:rFonts w:hint="default" w:ascii="仿宋_GB2312" w:eastAsia="仿宋_GB2312" w:cs="仿宋_GB2312"/>
          <w:color w:val="auto"/>
          <w:kern w:val="2"/>
          <w:sz w:val="32"/>
          <w:szCs w:val="32"/>
          <w:lang w:val="en-US" w:eastAsia="zh-CN" w:bidi="ar"/>
        </w:rPr>
        <w:t>备案</w:t>
      </w:r>
      <w:r>
        <w:rPr>
          <w:rFonts w:hint="eastAsia" w:ascii="仿宋_GB2312" w:eastAsia="仿宋_GB2312" w:cs="仿宋_GB2312"/>
          <w:color w:val="auto"/>
          <w:kern w:val="2"/>
          <w:sz w:val="32"/>
          <w:szCs w:val="32"/>
          <w:lang w:val="en-US" w:eastAsia="zh-CN" w:bidi="ar"/>
        </w:rPr>
        <w:t>环节，实行事前承诺制。对于已满足招标条件的项目，招标人提交《招标人承诺书》后，可以自主发起招标，依法办理招标事宜。招标人应承担因项目规划条件等因素发生变化而导致招标失败的风险。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（二）</w:t>
      </w:r>
      <w:r>
        <w:rPr>
          <w:rFonts w:hint="default" w:ascii="仿宋_GB2312" w:eastAsia="仿宋_GB2312" w:cs="仿宋_GB2312"/>
          <w:color w:val="auto"/>
          <w:kern w:val="2"/>
          <w:sz w:val="32"/>
          <w:szCs w:val="32"/>
          <w:lang w:val="en-US" w:eastAsia="zh-CN" w:bidi="ar"/>
        </w:rPr>
        <w:t>事中监督。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招标公告发布后，</w:t>
      </w:r>
      <w:bookmarkStart w:id="0" w:name="OLE_LINK1"/>
      <w:r>
        <w:rPr>
          <w:rFonts w:hint="eastAsia" w:ascii="仿宋_GB2312" w:eastAsia="仿宋_GB2312" w:cs="仿宋_GB2312"/>
          <w:color w:val="auto"/>
          <w:kern w:val="2"/>
          <w:sz w:val="32"/>
          <w:szCs w:val="32"/>
          <w:lang w:val="en-US" w:eastAsia="zh-CN" w:bidi="ar"/>
        </w:rPr>
        <w:t>行政监督部门</w:t>
      </w:r>
      <w:bookmarkEnd w:id="0"/>
      <w:r>
        <w:rPr>
          <w:rFonts w:hint="eastAsia" w:ascii="仿宋_GB2312" w:eastAsia="仿宋_GB2312" w:cs="仿宋_GB2312"/>
          <w:color w:val="auto"/>
          <w:kern w:val="2"/>
          <w:sz w:val="32"/>
          <w:szCs w:val="32"/>
          <w:lang w:val="en-US" w:eastAsia="zh-CN" w:bidi="ar"/>
        </w:rPr>
        <w:t>按照“双随机，一公开”对招标活动全过程进行监督，对</w:t>
      </w:r>
      <w:r>
        <w:rPr>
          <w:rFonts w:hint="eastAsia" w:ascii="仿宋_GB2312" w:hAnsi="仿宋_GB2312" w:eastAsia="仿宋_GB2312" w:cs="仿宋_GB2312"/>
          <w:sz w:val="32"/>
          <w:szCs w:val="32"/>
          <w:lang w:val="en-US" w:eastAsia="zh-CN"/>
        </w:rPr>
        <w:t>发现的违反法律、法规、规章等不良行为，依法严肃处理</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contextualSpacing/>
        <w:jc w:val="both"/>
        <w:textAlignment w:val="auto"/>
        <w:rPr>
          <w:rFonts w:hint="default"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（三）</w:t>
      </w:r>
      <w:r>
        <w:rPr>
          <w:rFonts w:hint="default" w:ascii="仿宋_GB2312" w:eastAsia="仿宋_GB2312" w:cs="仿宋_GB2312"/>
          <w:color w:val="auto"/>
          <w:kern w:val="2"/>
          <w:sz w:val="32"/>
          <w:szCs w:val="32"/>
          <w:lang w:val="en-US" w:eastAsia="zh-CN" w:bidi="ar"/>
        </w:rPr>
        <w:t>事后备案。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default"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t>招标人应当自发出中标通知书之日起十五日内，向行政监督部门提交招标投标情况的书面报告(包括投诉及违法违规处理情况)</w:t>
      </w:r>
      <w:r>
        <w:rPr>
          <w:rFonts w:hint="eastAsia" w:ascii="仿宋_GB2312" w:eastAsia="仿宋_GB2312" w:cs="仿宋_GB2312"/>
          <w:color w:val="auto"/>
          <w:kern w:val="2"/>
          <w:sz w:val="32"/>
          <w:szCs w:val="32"/>
          <w:lang w:val="en-US" w:eastAsia="zh-CN" w:bidi="ar"/>
        </w:rPr>
        <w:t>，</w:t>
      </w:r>
      <w:r>
        <w:rPr>
          <w:rFonts w:hint="default" w:ascii="仿宋_GB2312" w:eastAsia="仿宋_GB2312" w:cs="仿宋_GB2312"/>
          <w:color w:val="auto"/>
          <w:kern w:val="2"/>
          <w:sz w:val="32"/>
          <w:szCs w:val="32"/>
          <w:lang w:val="en-US" w:eastAsia="zh-CN" w:bidi="ar"/>
        </w:rPr>
        <w:t>行政监督部门对发现的违法违规内容应及时进行处理。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六</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仿宋_GB2312" w:eastAsia="仿宋_GB2312" w:cs="仿宋_GB2312"/>
          <w:color w:val="auto"/>
          <w:kern w:val="2"/>
          <w:sz w:val="32"/>
          <w:szCs w:val="32"/>
          <w:lang w:val="en-US" w:eastAsia="zh-CN" w:bidi="ar"/>
        </w:rPr>
        <w:t xml:space="preserve"> 水利项目招投标活动由招标人组织进行，招标人在选择招标代理机构、编制招标文件、在统一的公共资源交易平台体系内选择电子交易系统和交易场所、组建评标委员会、委派代表参加评标、确定中标人、签订合同等方面依法享有自主权，任何单位和个人不得非法干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微软雅黑 ! important" w:hAnsi="微软雅黑 ! important" w:eastAsia="微软雅黑 ! important" w:cs="微软雅黑 ! important"/>
          <w:b w:val="0"/>
          <w:bCs/>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七</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default" w:ascii="仿宋_GB2312" w:hAnsi="Calibri" w:eastAsia="仿宋_GB2312" w:cs="仿宋_GB2312"/>
          <w:color w:val="auto"/>
          <w:kern w:val="2"/>
          <w:sz w:val="32"/>
          <w:szCs w:val="32"/>
          <w:lang w:val="en-US" w:eastAsia="zh-CN" w:bidi="ar"/>
        </w:rPr>
        <w:t>按照国家有关规定需要履行项目审批、核准手续的依法必须进行招标的</w:t>
      </w:r>
      <w:r>
        <w:rPr>
          <w:rFonts w:hint="eastAsia" w:ascii="仿宋_GB2312" w:hAnsi="Calibri" w:eastAsia="仿宋_GB2312" w:cs="仿宋_GB2312"/>
          <w:color w:val="auto"/>
          <w:kern w:val="2"/>
          <w:sz w:val="32"/>
          <w:szCs w:val="32"/>
          <w:lang w:val="en-US" w:eastAsia="zh-CN" w:bidi="ar"/>
        </w:rPr>
        <w:t>水利</w:t>
      </w:r>
      <w:r>
        <w:rPr>
          <w:rFonts w:hint="default" w:ascii="仿宋_GB2312" w:hAnsi="Calibri" w:eastAsia="仿宋_GB2312" w:cs="仿宋_GB2312"/>
          <w:color w:val="auto"/>
          <w:kern w:val="2"/>
          <w:sz w:val="32"/>
          <w:szCs w:val="32"/>
          <w:lang w:val="en-US" w:eastAsia="zh-CN" w:bidi="ar"/>
        </w:rPr>
        <w:t>项目，其招标范围、招标方式、招标组织形式应当报项目审批、核准部门审批、核准</w:t>
      </w:r>
      <w:r>
        <w:rPr>
          <w:rFonts w:hint="default" w:ascii="微软雅黑 ! important" w:hAnsi="微软雅黑 ! important" w:eastAsia="微软雅黑 ! important" w:cs="微软雅黑 ! important"/>
          <w:b w:val="0"/>
          <w:bCs/>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八</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招标工作一般按下列程序进行：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(一)招标计划公示；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(二)编制招标文件；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(三)发布招标信息及招标文件（或资格预审文件）；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(四)按规定日期接受潜在投标人编制的资格预审文件；（如有）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(五)组织对潜在投标人资格预审文件进行审核；（如有）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(六)组织潜在投标人现场踏勘；（如有）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(七)对投标人</w:t>
      </w:r>
      <w:r>
        <w:rPr>
          <w:rFonts w:hint="eastAsia" w:ascii="仿宋_GB2312" w:eastAsia="仿宋_GB2312" w:cs="仿宋_GB2312"/>
          <w:color w:val="auto"/>
          <w:kern w:val="2"/>
          <w:sz w:val="32"/>
          <w:szCs w:val="32"/>
          <w:lang w:val="en-US" w:eastAsia="zh-CN" w:bidi="ar"/>
        </w:rPr>
        <w:t>提出的</w:t>
      </w:r>
      <w:r>
        <w:rPr>
          <w:rFonts w:hint="eastAsia" w:ascii="仿宋_GB2312" w:hAnsi="Calibri" w:eastAsia="仿宋_GB2312" w:cs="仿宋_GB2312"/>
          <w:color w:val="auto"/>
          <w:kern w:val="2"/>
          <w:sz w:val="32"/>
          <w:szCs w:val="32"/>
          <w:lang w:val="en-US" w:eastAsia="zh-CN" w:bidi="ar"/>
        </w:rPr>
        <w:t>招标文件</w:t>
      </w:r>
      <w:r>
        <w:rPr>
          <w:rFonts w:hint="eastAsia" w:ascii="仿宋_GB2312" w:eastAsia="仿宋_GB2312" w:cs="仿宋_GB2312"/>
          <w:color w:val="auto"/>
          <w:kern w:val="2"/>
          <w:sz w:val="32"/>
          <w:szCs w:val="32"/>
          <w:lang w:val="en-US" w:eastAsia="zh-CN" w:bidi="ar"/>
        </w:rPr>
        <w:t>中</w:t>
      </w:r>
      <w:r>
        <w:rPr>
          <w:rFonts w:hint="eastAsia" w:ascii="仿宋_GB2312" w:hAnsi="Calibri" w:eastAsia="仿宋_GB2312" w:cs="仿宋_GB2312"/>
          <w:color w:val="auto"/>
          <w:kern w:val="2"/>
          <w:sz w:val="32"/>
          <w:szCs w:val="32"/>
          <w:lang w:val="en-US" w:eastAsia="zh-CN" w:bidi="ar"/>
        </w:rPr>
        <w:t>有关问题进行澄清，并通知所有潜在投标人；（如有）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(八)在规定时间和地点开标；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(九)依法组建评标委员会；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(十)评标委员会独立评标；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(十一)评标结果公示</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bookmarkStart w:id="1" w:name="OLE_LINK3"/>
      <w:r>
        <w:rPr>
          <w:rFonts w:hint="eastAsia" w:ascii="仿宋_GB2312" w:hAnsi="Calibri" w:eastAsia="仿宋_GB2312" w:cs="仿宋_GB2312"/>
          <w:color w:val="auto"/>
          <w:kern w:val="2"/>
          <w:sz w:val="32"/>
          <w:szCs w:val="32"/>
          <w:lang w:val="en-US" w:eastAsia="zh-CN" w:bidi="ar"/>
        </w:rPr>
        <w:t>(十二)</w:t>
      </w:r>
      <w:bookmarkEnd w:id="1"/>
      <w:r>
        <w:rPr>
          <w:rFonts w:hint="eastAsia" w:ascii="仿宋_GB2312" w:hAnsi="Calibri" w:eastAsia="仿宋_GB2312" w:cs="仿宋_GB2312"/>
          <w:color w:val="auto"/>
          <w:kern w:val="2"/>
          <w:sz w:val="32"/>
          <w:szCs w:val="32"/>
          <w:lang w:val="en-US" w:eastAsia="zh-CN" w:bidi="ar"/>
        </w:rPr>
        <w:t>依法组建定标委员会；（如有）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w:t>
      </w:r>
      <w:r>
        <w:rPr>
          <w:rFonts w:hint="eastAsia" w:ascii="仿宋_GB2312" w:eastAsia="仿宋_GB2312" w:cs="仿宋_GB2312"/>
          <w:color w:val="auto"/>
          <w:kern w:val="2"/>
          <w:sz w:val="32"/>
          <w:szCs w:val="32"/>
          <w:lang w:val="en-US" w:eastAsia="zh-CN" w:bidi="ar"/>
        </w:rPr>
        <w:t>三</w:t>
      </w:r>
      <w:r>
        <w:rPr>
          <w:rFonts w:hint="eastAsia" w:ascii="仿宋_GB2312" w:hAnsi="Calibri" w:eastAsia="仿宋_GB2312" w:cs="仿宋_GB2312"/>
          <w:color w:val="auto"/>
          <w:kern w:val="2"/>
          <w:sz w:val="32"/>
          <w:szCs w:val="32"/>
          <w:lang w:val="en-US" w:eastAsia="zh-CN" w:bidi="ar"/>
        </w:rPr>
        <w:t>)定标委员会</w:t>
      </w:r>
      <w:r>
        <w:rPr>
          <w:rFonts w:hint="eastAsia" w:ascii="仿宋_GB2312" w:eastAsia="仿宋_GB2312" w:cs="仿宋_GB2312"/>
          <w:color w:val="auto"/>
          <w:kern w:val="2"/>
          <w:sz w:val="32"/>
          <w:szCs w:val="32"/>
          <w:lang w:val="en-US" w:eastAsia="zh-CN" w:bidi="ar"/>
        </w:rPr>
        <w:t>独立定标</w:t>
      </w:r>
      <w:r>
        <w:rPr>
          <w:rFonts w:hint="eastAsia" w:ascii="仿宋_GB2312" w:hAnsi="Calibri" w:eastAsia="仿宋_GB2312" w:cs="仿宋_GB2312"/>
          <w:color w:val="auto"/>
          <w:kern w:val="2"/>
          <w:sz w:val="32"/>
          <w:szCs w:val="32"/>
          <w:lang w:val="en-US" w:eastAsia="zh-CN" w:bidi="ar"/>
        </w:rPr>
        <w:t>；（如有）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bookmarkStart w:id="2" w:name="OLE_LINK4"/>
      <w:r>
        <w:rPr>
          <w:rFonts w:hint="eastAsia" w:ascii="仿宋_GB2312" w:hAnsi="Calibri" w:eastAsia="仿宋_GB2312" w:cs="仿宋_GB2312"/>
          <w:color w:val="auto"/>
          <w:kern w:val="2"/>
          <w:sz w:val="32"/>
          <w:szCs w:val="32"/>
          <w:lang w:val="en-US" w:eastAsia="zh-CN" w:bidi="ar"/>
        </w:rPr>
        <w:t>(十</w:t>
      </w:r>
      <w:r>
        <w:rPr>
          <w:rFonts w:hint="eastAsia" w:ascii="仿宋_GB2312" w:eastAsia="仿宋_GB2312" w:cs="仿宋_GB2312"/>
          <w:color w:val="auto"/>
          <w:kern w:val="2"/>
          <w:sz w:val="32"/>
          <w:szCs w:val="32"/>
          <w:lang w:val="en-US" w:eastAsia="zh-CN" w:bidi="ar"/>
        </w:rPr>
        <w:t>四</w:t>
      </w:r>
      <w:r>
        <w:rPr>
          <w:rFonts w:hint="eastAsia" w:ascii="仿宋_GB2312" w:hAnsi="Calibri" w:eastAsia="仿宋_GB2312" w:cs="仿宋_GB2312"/>
          <w:color w:val="auto"/>
          <w:kern w:val="2"/>
          <w:sz w:val="32"/>
          <w:szCs w:val="32"/>
          <w:lang w:val="en-US" w:eastAsia="zh-CN" w:bidi="ar"/>
        </w:rPr>
        <w:t>)</w:t>
      </w:r>
      <w:bookmarkEnd w:id="2"/>
      <w:r>
        <w:rPr>
          <w:rFonts w:hint="eastAsia" w:ascii="仿宋_GB2312" w:hAnsi="Calibri" w:eastAsia="仿宋_GB2312" w:cs="仿宋_GB2312"/>
          <w:color w:val="auto"/>
          <w:kern w:val="2"/>
          <w:sz w:val="32"/>
          <w:szCs w:val="32"/>
          <w:lang w:val="en-US" w:eastAsia="zh-CN" w:bidi="ar"/>
        </w:rPr>
        <w:t>定标结果公示；（如有）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w:t>
      </w:r>
      <w:r>
        <w:rPr>
          <w:rFonts w:hint="eastAsia" w:ascii="仿宋_GB2312" w:eastAsia="仿宋_GB2312" w:cs="仿宋_GB2312"/>
          <w:color w:val="auto"/>
          <w:kern w:val="2"/>
          <w:sz w:val="32"/>
          <w:szCs w:val="32"/>
          <w:lang w:val="en-US" w:eastAsia="zh-CN" w:bidi="ar"/>
        </w:rPr>
        <w:t>五</w:t>
      </w:r>
      <w:r>
        <w:rPr>
          <w:rFonts w:hint="eastAsia" w:ascii="仿宋_GB2312" w:hAnsi="Calibri" w:eastAsia="仿宋_GB2312" w:cs="仿宋_GB2312"/>
          <w:color w:val="auto"/>
          <w:kern w:val="2"/>
          <w:sz w:val="32"/>
          <w:szCs w:val="32"/>
          <w:lang w:val="en-US" w:eastAsia="zh-CN" w:bidi="ar"/>
        </w:rPr>
        <w:t>)发中标通知书，并将中标结果通知所有投标人；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w:t>
      </w:r>
      <w:r>
        <w:rPr>
          <w:rFonts w:hint="eastAsia" w:ascii="仿宋_GB2312" w:eastAsia="仿宋_GB2312" w:cs="仿宋_GB2312"/>
          <w:color w:val="auto"/>
          <w:kern w:val="2"/>
          <w:sz w:val="32"/>
          <w:szCs w:val="32"/>
          <w:lang w:val="en-US" w:eastAsia="zh-CN" w:bidi="ar"/>
        </w:rPr>
        <w:t>六</w:t>
      </w:r>
      <w:r>
        <w:rPr>
          <w:rFonts w:hint="eastAsia" w:ascii="仿宋_GB2312" w:hAnsi="Calibri" w:eastAsia="仿宋_GB2312" w:cs="仿宋_GB2312"/>
          <w:color w:val="auto"/>
          <w:kern w:val="2"/>
          <w:sz w:val="32"/>
          <w:szCs w:val="32"/>
          <w:lang w:val="en-US" w:eastAsia="zh-CN" w:bidi="ar"/>
        </w:rPr>
        <w:t>)向行政监督部门提交招标投标情况的书面总结报告；</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(十</w:t>
      </w:r>
      <w:r>
        <w:rPr>
          <w:rFonts w:hint="eastAsia" w:ascii="仿宋_GB2312" w:eastAsia="仿宋_GB2312" w:cs="仿宋_GB2312"/>
          <w:color w:val="auto"/>
          <w:kern w:val="2"/>
          <w:sz w:val="32"/>
          <w:szCs w:val="32"/>
          <w:lang w:val="en-US" w:eastAsia="zh-CN" w:bidi="ar"/>
        </w:rPr>
        <w:t>七</w:t>
      </w:r>
      <w:r>
        <w:rPr>
          <w:rFonts w:hint="eastAsia" w:ascii="仿宋_GB2312" w:hAnsi="Calibri" w:eastAsia="仿宋_GB2312" w:cs="仿宋_GB2312"/>
          <w:color w:val="auto"/>
          <w:kern w:val="2"/>
          <w:sz w:val="32"/>
          <w:szCs w:val="32"/>
          <w:lang w:val="en-US" w:eastAsia="zh-CN" w:bidi="ar"/>
        </w:rPr>
        <w:t>)在线签订合同。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九</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default" w:ascii="仿宋_GB2312" w:eastAsia="仿宋_GB2312" w:cs="仿宋_GB2312"/>
          <w:color w:val="auto"/>
          <w:kern w:val="2"/>
          <w:sz w:val="32"/>
          <w:szCs w:val="32"/>
          <w:lang w:val="en-US" w:eastAsia="zh-CN" w:bidi="ar"/>
        </w:rPr>
        <w:t>招标</w:t>
      </w:r>
      <w:r>
        <w:rPr>
          <w:rFonts w:hint="default" w:ascii="仿宋_GB2312" w:hAnsi="Calibri" w:eastAsia="仿宋_GB2312" w:cs="仿宋_GB2312"/>
          <w:color w:val="auto"/>
          <w:kern w:val="2"/>
          <w:sz w:val="32"/>
          <w:szCs w:val="32"/>
          <w:lang w:val="en-US" w:eastAsia="zh-CN" w:bidi="ar"/>
        </w:rPr>
        <w:t>项目需要划分标段的 招标人应根据工程投资、工期、项目特点、现场管理、技术指标等要求及河南省有关规定科学合理划分，</w:t>
      </w:r>
      <w:r>
        <w:rPr>
          <w:rFonts w:hint="eastAsia" w:ascii="仿宋_GB2312" w:eastAsia="仿宋_GB2312" w:cs="仿宋_GB2312"/>
          <w:color w:val="auto"/>
          <w:kern w:val="2"/>
          <w:sz w:val="32"/>
          <w:szCs w:val="32"/>
          <w:lang w:val="en-US" w:eastAsia="zh-CN" w:bidi="ar"/>
        </w:rPr>
        <w:t>不得以任何方式规避招标。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十</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eastAsia="仿宋_GB2312" w:cs="仿宋_GB2312"/>
          <w:color w:val="auto"/>
          <w:kern w:val="2"/>
          <w:sz w:val="32"/>
          <w:szCs w:val="32"/>
          <w:lang w:val="en-US" w:eastAsia="zh-CN" w:bidi="ar"/>
        </w:rPr>
        <w:t>郑州航空港经济综合实验区依法必须招标的水利项目应在招标文件发布至少30日前，在实验区公共资源交易平台公开发布招标计划。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t>招标计划发</w:t>
      </w:r>
      <w:r>
        <w:rPr>
          <w:rFonts w:hint="eastAsia" w:ascii="仿宋_GB2312" w:eastAsia="仿宋_GB2312" w:cs="仿宋_GB2312"/>
          <w:color w:val="auto"/>
          <w:kern w:val="2"/>
          <w:sz w:val="32"/>
          <w:szCs w:val="32"/>
          <w:lang w:val="en-US" w:eastAsia="zh-CN" w:bidi="ar"/>
        </w:rPr>
        <w:t>布</w:t>
      </w:r>
      <w:r>
        <w:rPr>
          <w:rFonts w:hint="default" w:ascii="仿宋_GB2312" w:eastAsia="仿宋_GB2312" w:cs="仿宋_GB2312"/>
          <w:color w:val="auto"/>
          <w:kern w:val="2"/>
          <w:sz w:val="32"/>
          <w:szCs w:val="32"/>
          <w:lang w:val="en-US" w:eastAsia="zh-CN" w:bidi="ar"/>
        </w:rPr>
        <w:t>内容应当包括: 项目名称、项目概况、计划招标时间等内容，内容应尽可能清晰完整。招标计划内容仅作为潜在投标人提前了解招标人初步招标安排的参考,项目实际内容以招标人最终发布的招标公告 (或发出的投标邀请书)和招标文件为准</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t>招标人对已公布的招标计划内容进行必要的修改或者调整的，至少于招标文件发布之日 10 日前补发招标计划。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t>涉及国家安全、国家秘密、抢险救灾或因不可预见等原因急需开展的招标项目除外</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0000FF"/>
          <w:kern w:val="2"/>
          <w:sz w:val="32"/>
          <w:szCs w:val="32"/>
          <w:lang w:val="en-US" w:eastAsia="zh-CN" w:bidi="ar"/>
        </w:rPr>
      </w:pPr>
      <w:bookmarkStart w:id="3" w:name="OLE_LINK2"/>
      <w:r>
        <w:rPr>
          <w:rFonts w:hint="default" w:ascii="微软雅黑 ! important" w:hAnsi="微软雅黑 ! important" w:eastAsia="微软雅黑 ! important" w:cs="微软雅黑 ! important"/>
          <w:b w:val="0"/>
          <w:bCs/>
          <w:color w:val="auto"/>
          <w:kern w:val="2"/>
          <w:sz w:val="32"/>
          <w:szCs w:val="32"/>
          <w:lang w:val="en-US" w:eastAsia="zh-CN" w:bidi="ar"/>
        </w:rPr>
        <w:t>第十</w:t>
      </w:r>
      <w:r>
        <w:rPr>
          <w:rFonts w:hint="eastAsia" w:ascii="微软雅黑 ! important" w:hAnsi="微软雅黑 ! important" w:eastAsia="微软雅黑 ! important" w:cs="微软雅黑 ! important"/>
          <w:b w:val="0"/>
          <w:bCs/>
          <w:color w:val="auto"/>
          <w:kern w:val="2"/>
          <w:sz w:val="32"/>
          <w:szCs w:val="32"/>
          <w:lang w:val="en-US" w:eastAsia="zh-CN" w:bidi="ar"/>
        </w:rPr>
        <w:t>一</w:t>
      </w:r>
      <w:r>
        <w:rPr>
          <w:rFonts w:hint="default" w:ascii="微软雅黑 ! important" w:hAnsi="微软雅黑 ! important" w:eastAsia="微软雅黑 ! important" w:cs="微软雅黑 ! important"/>
          <w:b w:val="0"/>
          <w:bCs/>
          <w:color w:val="auto"/>
          <w:kern w:val="2"/>
          <w:sz w:val="32"/>
          <w:szCs w:val="32"/>
          <w:lang w:val="en-US" w:eastAsia="zh-CN" w:bidi="ar"/>
        </w:rPr>
        <w:t>条</w:t>
      </w:r>
      <w:bookmarkEnd w:id="3"/>
      <w:r>
        <w:rPr>
          <w:rFonts w:hint="default" w:ascii="微软雅黑 ! important" w:hAnsi="微软雅黑 ! important" w:eastAsia="微软雅黑 ! important" w:cs="微软雅黑 ! important"/>
          <w:b w:val="0"/>
          <w:bCs/>
          <w:color w:val="auto"/>
          <w:kern w:val="2"/>
          <w:sz w:val="32"/>
          <w:szCs w:val="32"/>
          <w:lang w:val="en-US" w:eastAsia="zh-CN" w:bidi="ar"/>
        </w:rPr>
        <w:t> </w:t>
      </w:r>
      <w:r>
        <w:rPr>
          <w:rFonts w:hint="eastAsia" w:ascii="仿宋_GB2312" w:hAnsi="Calibri" w:eastAsia="仿宋_GB2312" w:cs="仿宋_GB2312"/>
          <w:color w:val="auto"/>
          <w:kern w:val="2"/>
          <w:sz w:val="32"/>
          <w:szCs w:val="32"/>
          <w:lang w:val="en-US" w:eastAsia="zh-CN" w:bidi="ar"/>
        </w:rPr>
        <w:t>招标人应审慎选择代理机构，规范签订委托合同，符合相关法律法规规定。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第十</w:t>
      </w:r>
      <w:r>
        <w:rPr>
          <w:rFonts w:hint="eastAsia" w:ascii="微软雅黑 ! important" w:hAnsi="微软雅黑 ! important" w:eastAsia="微软雅黑 ! important" w:cs="微软雅黑 ! important"/>
          <w:b w:val="0"/>
          <w:bCs/>
          <w:color w:val="auto"/>
          <w:kern w:val="2"/>
          <w:sz w:val="32"/>
          <w:szCs w:val="32"/>
          <w:lang w:val="en-US" w:eastAsia="zh-CN" w:bidi="ar"/>
        </w:rPr>
        <w:t>二</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依法必须招标的水利项目，招标人应严格按照</w:t>
      </w:r>
      <w:r>
        <w:rPr>
          <w:rFonts w:hint="default" w:ascii="仿宋_GB2312" w:hAnsi="Calibri" w:eastAsia="仿宋_GB2312" w:cs="仿宋_GB2312"/>
          <w:color w:val="auto"/>
          <w:kern w:val="2"/>
          <w:sz w:val="32"/>
          <w:szCs w:val="32"/>
          <w:lang w:val="en-US" w:eastAsia="zh-CN" w:bidi="ar"/>
        </w:rPr>
        <w:t>国家</w:t>
      </w:r>
      <w:r>
        <w:rPr>
          <w:rFonts w:hint="eastAsia" w:ascii="仿宋_GB2312" w:hAnsi="Calibri" w:eastAsia="仿宋_GB2312" w:cs="仿宋_GB2312"/>
          <w:color w:val="auto"/>
          <w:kern w:val="2"/>
          <w:sz w:val="32"/>
          <w:szCs w:val="32"/>
          <w:lang w:val="en-US" w:eastAsia="zh-CN" w:bidi="ar"/>
        </w:rPr>
        <w:t>有关</w:t>
      </w:r>
      <w:r>
        <w:rPr>
          <w:rFonts w:hint="default" w:ascii="仿宋_GB2312" w:hAnsi="Calibri" w:eastAsia="仿宋_GB2312" w:cs="仿宋_GB2312"/>
          <w:color w:val="auto"/>
          <w:kern w:val="2"/>
          <w:sz w:val="32"/>
          <w:szCs w:val="32"/>
          <w:lang w:val="en-US" w:eastAsia="zh-CN" w:bidi="ar"/>
        </w:rPr>
        <w:t>规定</w:t>
      </w:r>
      <w:r>
        <w:rPr>
          <w:rFonts w:hint="eastAsia" w:ascii="仿宋_GB2312" w:hAnsi="Calibri" w:eastAsia="仿宋_GB2312" w:cs="仿宋_GB2312"/>
          <w:color w:val="auto"/>
          <w:kern w:val="2"/>
          <w:sz w:val="32"/>
          <w:szCs w:val="32"/>
          <w:lang w:val="en-US" w:eastAsia="zh-CN" w:bidi="ar"/>
        </w:rPr>
        <w:t>编制资格预审文件和招标文件</w:t>
      </w:r>
      <w:r>
        <w:rPr>
          <w:rFonts w:hint="default" w:ascii="仿宋_GB2312" w:hAnsi="Calibri"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招标人可聘请有关专家对招标文件进行评审</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第十</w:t>
      </w:r>
      <w:r>
        <w:rPr>
          <w:rFonts w:hint="eastAsia" w:ascii="微软雅黑 ! important" w:hAnsi="微软雅黑 ! important" w:eastAsia="微软雅黑 ! important" w:cs="微软雅黑 ! important"/>
          <w:b w:val="0"/>
          <w:bCs/>
          <w:color w:val="auto"/>
          <w:kern w:val="2"/>
          <w:sz w:val="32"/>
          <w:szCs w:val="32"/>
          <w:lang w:val="en-US" w:eastAsia="zh-CN" w:bidi="ar"/>
        </w:rPr>
        <w:t>三</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default" w:ascii="仿宋_GB2312" w:hAnsi="Calibri" w:eastAsia="仿宋_GB2312" w:cs="仿宋_GB2312"/>
          <w:color w:val="auto"/>
          <w:kern w:val="2"/>
          <w:sz w:val="32"/>
          <w:szCs w:val="32"/>
          <w:lang w:val="en-US" w:eastAsia="zh-CN" w:bidi="ar"/>
        </w:rPr>
        <w:t>评标办法应按照国家、河南省有关规定执行。其中，施工标按照《河南省水利工程建设项目施工评标办法》规定选择综合评估法或合理投标价法。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第十</w:t>
      </w:r>
      <w:r>
        <w:rPr>
          <w:rFonts w:hint="eastAsia" w:ascii="微软雅黑 ! important" w:hAnsi="微软雅黑 ! important" w:eastAsia="微软雅黑 ! important" w:cs="微软雅黑 ! important"/>
          <w:b w:val="0"/>
          <w:bCs/>
          <w:color w:val="auto"/>
          <w:kern w:val="2"/>
          <w:sz w:val="32"/>
          <w:szCs w:val="32"/>
          <w:lang w:val="en-US" w:eastAsia="zh-CN" w:bidi="ar"/>
        </w:rPr>
        <w:t>四</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default" w:ascii="仿宋_GB2312" w:hAnsi="Calibri" w:eastAsia="仿宋_GB2312" w:cs="仿宋_GB2312"/>
          <w:color w:val="auto"/>
          <w:kern w:val="2"/>
          <w:sz w:val="32"/>
          <w:szCs w:val="32"/>
          <w:lang w:val="en-US" w:eastAsia="zh-CN" w:bidi="ar"/>
        </w:rPr>
        <w:t>招标人应根据项目投资情况合理设定最高投标限价，</w:t>
      </w:r>
      <w:r>
        <w:rPr>
          <w:rFonts w:hint="eastAsia" w:ascii="仿宋_GB2312" w:eastAsia="仿宋_GB2312" w:cs="仿宋_GB2312"/>
          <w:color w:val="auto"/>
          <w:kern w:val="2"/>
          <w:sz w:val="32"/>
          <w:szCs w:val="32"/>
          <w:lang w:val="en-US" w:eastAsia="zh-CN" w:bidi="ar"/>
        </w:rPr>
        <w:t>并</w:t>
      </w:r>
      <w:r>
        <w:rPr>
          <w:rFonts w:hint="default" w:ascii="仿宋_GB2312" w:hAnsi="Calibri" w:eastAsia="仿宋_GB2312" w:cs="仿宋_GB2312"/>
          <w:color w:val="auto"/>
          <w:kern w:val="2"/>
          <w:sz w:val="32"/>
          <w:szCs w:val="32"/>
          <w:lang w:val="en-US" w:eastAsia="zh-CN" w:bidi="ar"/>
        </w:rPr>
        <w:t>在招标文件中明确最高投标限价的数额或其计算方法</w:t>
      </w:r>
      <w:r>
        <w:rPr>
          <w:rFonts w:hint="eastAsia" w:ascii="仿宋_GB2312"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第十</w:t>
      </w:r>
      <w:r>
        <w:rPr>
          <w:rFonts w:hint="eastAsia" w:ascii="微软雅黑 ! important" w:hAnsi="微软雅黑 ! important" w:eastAsia="微软雅黑 ! important" w:cs="微软雅黑 ! important"/>
          <w:b w:val="0"/>
          <w:bCs/>
          <w:color w:val="auto"/>
          <w:kern w:val="2"/>
          <w:sz w:val="32"/>
          <w:szCs w:val="32"/>
          <w:lang w:val="en-US" w:eastAsia="zh-CN" w:bidi="ar"/>
        </w:rPr>
        <w:t>五</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eastAsia" w:ascii="仿宋_GB2312" w:eastAsia="仿宋_GB2312" w:cs="仿宋_GB2312"/>
          <w:color w:val="auto"/>
          <w:kern w:val="2"/>
          <w:sz w:val="32"/>
          <w:szCs w:val="32"/>
          <w:lang w:val="en-US" w:eastAsia="zh-CN" w:bidi="ar"/>
        </w:rPr>
        <w:t>行政监督部门对于已发布的招标文件应随机抽查，发现招标文件内容存在违法行为和严重缺陷的，责令招标人重新编制招标文件，重新招标;发现招标文件对技术要求、投标人资格审查标准、投标报价要求和评标标准等实质性要求和条件以及拟签订合同的主要条款等方面表述不明确或存在异议的，责令招标人及时修改或澄清招标文件有关内容并及时在公共资源交易平台发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bookmarkStart w:id="4" w:name="OLE_LINK5"/>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十六</w:t>
      </w:r>
      <w:r>
        <w:rPr>
          <w:rFonts w:hint="default" w:ascii="微软雅黑 ! important" w:hAnsi="微软雅黑 ! important" w:eastAsia="微软雅黑 ! important" w:cs="微软雅黑 ! important"/>
          <w:b w:val="0"/>
          <w:bCs/>
          <w:color w:val="auto"/>
          <w:kern w:val="2"/>
          <w:sz w:val="32"/>
          <w:szCs w:val="32"/>
          <w:lang w:val="en-US" w:eastAsia="zh-CN" w:bidi="ar"/>
        </w:rPr>
        <w:t>条</w:t>
      </w:r>
      <w:bookmarkEnd w:id="4"/>
      <w:r>
        <w:rPr>
          <w:rFonts w:hint="default" w:ascii="微软雅黑 ! important" w:hAnsi="微软雅黑 ! important" w:eastAsia="微软雅黑 ! important" w:cs="微软雅黑 ! important"/>
          <w:b w:val="0"/>
          <w:bCs/>
          <w:color w:val="auto"/>
          <w:kern w:val="2"/>
          <w:sz w:val="32"/>
          <w:szCs w:val="32"/>
          <w:lang w:val="en-US" w:eastAsia="zh-CN" w:bidi="ar"/>
        </w:rPr>
        <w:t>  </w:t>
      </w:r>
      <w:r>
        <w:rPr>
          <w:rFonts w:hint="eastAsia" w:ascii="仿宋_GB2312" w:hAnsi="Calibri" w:eastAsia="仿宋_GB2312" w:cs="仿宋_GB2312"/>
          <w:b w:val="0"/>
          <w:color w:val="auto"/>
          <w:kern w:val="2"/>
          <w:sz w:val="32"/>
          <w:szCs w:val="32"/>
          <w:lang w:val="en-US" w:eastAsia="zh-CN" w:bidi="ar"/>
        </w:rPr>
        <w:t>招标人应按照招标文件规定，依法组建评标委员会进行评标</w:t>
      </w:r>
      <w:r>
        <w:rPr>
          <w:rFonts w:hint="eastAsia" w:ascii="仿宋_GB2312" w:eastAsia="仿宋_GB2312" w:cs="仿宋_GB2312"/>
          <w:b w:val="0"/>
          <w:color w:val="auto"/>
          <w:kern w:val="2"/>
          <w:sz w:val="32"/>
          <w:szCs w:val="32"/>
          <w:lang w:val="en-US" w:eastAsia="zh-CN" w:bidi="ar"/>
        </w:rPr>
        <w:t>（评审）</w:t>
      </w:r>
      <w:r>
        <w:rPr>
          <w:rFonts w:hint="eastAsia" w:ascii="仿宋_GB2312" w:hAnsi="Calibri" w:eastAsia="仿宋_GB2312" w:cs="仿宋_GB2312"/>
          <w:b w:val="0"/>
          <w:color w:val="auto"/>
          <w:kern w:val="2"/>
          <w:sz w:val="32"/>
          <w:szCs w:val="32"/>
          <w:lang w:val="en-US" w:eastAsia="zh-CN" w:bidi="ar"/>
        </w:rPr>
        <w:t>。使用“评定分</w:t>
      </w:r>
      <w:r>
        <w:rPr>
          <w:rFonts w:hint="eastAsia" w:ascii="仿宋_GB2312" w:hAnsi="Calibri" w:eastAsia="仿宋_GB2312" w:cs="仿宋_GB2312"/>
          <w:color w:val="auto"/>
          <w:kern w:val="2"/>
          <w:sz w:val="32"/>
          <w:szCs w:val="32"/>
          <w:lang w:val="en-US" w:eastAsia="zh-CN" w:bidi="ar"/>
        </w:rPr>
        <w:t>离”方式招标的，招标人按照招标文件规定，组</w:t>
      </w:r>
      <w:r>
        <w:rPr>
          <w:rFonts w:hint="eastAsia" w:ascii="仿宋_GB2312" w:hAnsi="Calibri" w:eastAsia="仿宋_GB2312" w:cs="仿宋_GB2312"/>
          <w:b w:val="0"/>
          <w:color w:val="auto"/>
          <w:kern w:val="2"/>
          <w:sz w:val="32"/>
          <w:szCs w:val="32"/>
          <w:lang w:val="en-US" w:eastAsia="zh-CN" w:bidi="ar"/>
        </w:rPr>
        <w:t>建</w:t>
      </w:r>
      <w:r>
        <w:rPr>
          <w:rFonts w:hint="eastAsia" w:ascii="仿宋_GB2312" w:hAnsi="Calibri" w:eastAsia="仿宋_GB2312" w:cs="仿宋_GB2312"/>
          <w:color w:val="auto"/>
          <w:kern w:val="2"/>
          <w:sz w:val="32"/>
          <w:szCs w:val="32"/>
          <w:lang w:val="en-US" w:eastAsia="zh-CN" w:bidi="ar"/>
        </w:rPr>
        <w:t>定标委员会进行定标。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hAnsi="Calibri" w:eastAsia="仿宋_GB2312" w:cs="仿宋_GB2312"/>
          <w:b w:val="0"/>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十七</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default" w:ascii="仿宋_GB2312" w:hAnsi="Calibri" w:eastAsia="仿宋_GB2312" w:cs="仿宋_GB2312"/>
          <w:b w:val="0"/>
          <w:color w:val="auto"/>
          <w:kern w:val="2"/>
          <w:sz w:val="32"/>
          <w:szCs w:val="32"/>
          <w:lang w:val="en-US" w:eastAsia="zh-CN" w:bidi="ar"/>
        </w:rPr>
        <w:t>评标委员会应严格遵守评标纪律，自觉接受行政监督人员的监督管理;严格执行回避原则，不得擅离职守和私下接触投标人，不得收受投标人的财物或其他好处。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b w:val="0"/>
          <w:color w:val="auto"/>
          <w:kern w:val="2"/>
          <w:sz w:val="32"/>
          <w:szCs w:val="32"/>
          <w:lang w:val="en-US" w:eastAsia="zh-CN" w:bidi="ar"/>
        </w:rPr>
      </w:pPr>
      <w:r>
        <w:rPr>
          <w:rFonts w:hint="default" w:ascii="仿宋_GB2312" w:hAnsi="Calibri" w:eastAsia="仿宋_GB2312" w:cs="仿宋_GB2312"/>
          <w:b w:val="0"/>
          <w:color w:val="auto"/>
          <w:kern w:val="2"/>
          <w:sz w:val="32"/>
          <w:szCs w:val="32"/>
          <w:lang w:val="en-US" w:eastAsia="zh-CN" w:bidi="ar"/>
        </w:rPr>
        <w:t>评审中应按照招标文件规定的评标标准和方法，依法对投标文件进行独立评审，提出评审意见，不得向招标人征询确定中标人意向，不得接受任何单位或个人提出的倾向或排斥特定投标人的要求。</w:t>
      </w:r>
      <w:r>
        <w:rPr>
          <w:rFonts w:hint="eastAsia" w:ascii="仿宋_GB2312" w:hAnsi="Calibri" w:eastAsia="仿宋_GB2312" w:cs="仿宋_GB2312"/>
          <w:b w:val="0"/>
          <w:color w:val="auto"/>
          <w:kern w:val="2"/>
          <w:sz w:val="32"/>
          <w:szCs w:val="32"/>
          <w:lang w:val="en-US" w:eastAsia="zh-CN" w:bidi="ar"/>
        </w:rPr>
        <w:t>招标人应按照招标文件规定，依法组建评标委员会进行评标</w:t>
      </w:r>
      <w:r>
        <w:rPr>
          <w:rFonts w:hint="eastAsia" w:ascii="仿宋_GB2312" w:eastAsia="仿宋_GB2312" w:cs="仿宋_GB2312"/>
          <w:b w:val="0"/>
          <w:color w:val="auto"/>
          <w:kern w:val="2"/>
          <w:sz w:val="32"/>
          <w:szCs w:val="32"/>
          <w:lang w:val="en-US" w:eastAsia="zh-CN" w:bidi="ar"/>
        </w:rPr>
        <w:t>（评审）</w:t>
      </w:r>
      <w:r>
        <w:rPr>
          <w:rFonts w:hint="eastAsia" w:ascii="仿宋_GB2312" w:hAnsi="Calibri" w:eastAsia="仿宋_GB2312" w:cs="仿宋_GB2312"/>
          <w:b w:val="0"/>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b w:val="0"/>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十八</w:t>
      </w:r>
      <w:r>
        <w:rPr>
          <w:rFonts w:hint="default" w:ascii="微软雅黑 ! important" w:hAnsi="微软雅黑 ! important" w:eastAsia="微软雅黑 ! important" w:cs="微软雅黑 ! important"/>
          <w:b w:val="0"/>
          <w:bCs/>
          <w:color w:val="auto"/>
          <w:kern w:val="2"/>
          <w:sz w:val="32"/>
          <w:szCs w:val="32"/>
          <w:lang w:val="en-US" w:eastAsia="zh-CN" w:bidi="ar"/>
        </w:rPr>
        <w:t>条</w:t>
      </w:r>
      <w:r>
        <w:rPr>
          <w:rFonts w:hint="eastAsia" w:ascii="微软雅黑 ! important" w:hAnsi="微软雅黑 ! important" w:eastAsia="微软雅黑 ! important" w:cs="微软雅黑 ! important"/>
          <w:b w:val="0"/>
          <w:bCs/>
          <w:color w:val="auto"/>
          <w:kern w:val="2"/>
          <w:sz w:val="32"/>
          <w:szCs w:val="32"/>
          <w:lang w:val="en-US" w:eastAsia="zh-CN" w:bidi="ar"/>
        </w:rPr>
        <w:t xml:space="preserve"> </w:t>
      </w:r>
      <w:r>
        <w:rPr>
          <w:rFonts w:hint="default" w:ascii="仿宋_GB2312" w:eastAsia="仿宋_GB2312" w:cs="仿宋_GB2312"/>
          <w:color w:val="auto"/>
          <w:kern w:val="2"/>
          <w:sz w:val="32"/>
          <w:szCs w:val="32"/>
          <w:lang w:val="en-US" w:eastAsia="zh-CN" w:bidi="ar"/>
        </w:rPr>
        <w:t>招标人在开标前，须提前向行政监督部门报告开标的具体时间、地点，行政监督部门</w:t>
      </w:r>
      <w:r>
        <w:rPr>
          <w:rFonts w:hint="eastAsia" w:ascii="仿宋_GB2312" w:eastAsia="仿宋_GB2312" w:cs="仿宋_GB2312"/>
          <w:color w:val="auto"/>
          <w:kern w:val="2"/>
          <w:sz w:val="32"/>
          <w:szCs w:val="32"/>
          <w:lang w:val="en-US" w:eastAsia="zh-CN" w:bidi="ar"/>
        </w:rPr>
        <w:t>应</w:t>
      </w:r>
      <w:r>
        <w:rPr>
          <w:rFonts w:hint="default" w:ascii="仿宋_GB2312" w:eastAsia="仿宋_GB2312" w:cs="仿宋_GB2312"/>
          <w:color w:val="auto"/>
          <w:kern w:val="2"/>
          <w:sz w:val="32"/>
          <w:szCs w:val="32"/>
          <w:lang w:val="en-US" w:eastAsia="zh-CN" w:bidi="ar"/>
        </w:rPr>
        <w:t>派人到现场监督开标评标活动，对发现的违法违规行为，应立即责令改正，必要时可做出包括暂停开标或评标以及宣布开标、评标结果无效的决定</w:t>
      </w:r>
      <w:r>
        <w:rPr>
          <w:rFonts w:hint="eastAsia" w:ascii="仿宋_GB2312" w:eastAsia="仿宋_GB2312" w:cs="仿宋_GB2312"/>
          <w:color w:val="auto"/>
          <w:kern w:val="2"/>
          <w:sz w:val="32"/>
          <w:szCs w:val="32"/>
          <w:lang w:val="en-US" w:eastAsia="zh-CN" w:bidi="ar"/>
        </w:rPr>
        <w:t>，</w:t>
      </w:r>
      <w:r>
        <w:rPr>
          <w:rFonts w:hint="default" w:ascii="仿宋_GB2312" w:eastAsia="仿宋_GB2312" w:cs="仿宋_GB2312"/>
          <w:color w:val="auto"/>
          <w:kern w:val="2"/>
          <w:sz w:val="32"/>
          <w:szCs w:val="32"/>
          <w:lang w:val="en-US" w:eastAsia="zh-CN" w:bidi="ar"/>
        </w:rPr>
        <w:t>对违法的中标结果予以否决。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十九</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hAnsi="Calibri" w:eastAsia="仿宋_GB2312" w:cs="仿宋_GB2312"/>
          <w:color w:val="auto"/>
          <w:kern w:val="2"/>
          <w:sz w:val="32"/>
          <w:szCs w:val="32"/>
          <w:lang w:val="en-US" w:eastAsia="zh-CN" w:bidi="ar"/>
        </w:rPr>
        <w:t>招标人应按照有关法律法规规定的时限和媒介进行招投标信息公示或公告，并及时发送中标（成交）通知书。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二十</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default" w:ascii="仿宋_GB2312" w:hAnsi="Calibri" w:eastAsia="仿宋_GB2312" w:cs="仿宋_GB2312"/>
          <w:color w:val="auto"/>
          <w:kern w:val="2"/>
          <w:sz w:val="32"/>
          <w:szCs w:val="32"/>
          <w:lang w:val="en-US" w:eastAsia="zh-CN" w:bidi="ar"/>
        </w:rPr>
        <w:t>招标人和中标人应当自中标通知书发出之日起30日内，按照招标文件和中标人的投标文件通过公共资源交易平台在线签订合同。另需纸质合同的，由招标人与中标人线下签订，线下签订的合同条款需与线上签订的合同条款保持一致</w:t>
      </w:r>
      <w:r>
        <w:rPr>
          <w:rFonts w:hint="eastAsia" w:ascii="仿宋_GB2312" w:hAnsi="Calibri" w:eastAsia="仿宋_GB2312" w:cs="仿宋_GB2312"/>
          <w:color w:val="auto"/>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二十一</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hAnsi="Calibri" w:eastAsia="仿宋_GB2312" w:cs="仿宋_GB2312"/>
          <w:color w:val="auto"/>
          <w:kern w:val="2"/>
          <w:sz w:val="32"/>
          <w:szCs w:val="32"/>
          <w:lang w:val="en-US" w:eastAsia="zh-CN" w:bidi="ar"/>
        </w:rPr>
        <w:t>行政监督部门按照职责分工依法处理招标投标违法行为投诉，投诉处理结果反馈当事人的同时按规定向社会公开，接受社会监督。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二十二</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hAnsi="Calibri" w:eastAsia="仿宋_GB2312" w:cs="仿宋_GB2312"/>
          <w:color w:val="auto"/>
          <w:kern w:val="2"/>
          <w:sz w:val="32"/>
          <w:szCs w:val="32"/>
          <w:lang w:val="en-US" w:eastAsia="zh-CN" w:bidi="ar"/>
        </w:rPr>
        <w:t>行政监督部门将监管重心从事前向事中事后全程监管转移。全面推行“双随机一公开”监管，提升监管主动性和覆盖面。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ascii="仿宋_GB2312" w:hAnsi="Calibri" w:eastAsia="仿宋_GB2312" w:cs="仿宋_GB2312"/>
          <w:color w:val="auto"/>
          <w:kern w:val="2"/>
          <w:sz w:val="32"/>
          <w:szCs w:val="32"/>
          <w:lang w:val="en-US" w:eastAsia="zh-CN" w:bidi="ar"/>
        </w:rPr>
      </w:pPr>
      <w:r>
        <w:rPr>
          <w:rFonts w:hint="eastAsia" w:ascii="微软雅黑 ! important" w:hAnsi="微软雅黑 ! important" w:eastAsia="微软雅黑 ! important" w:cs="微软雅黑 ! important"/>
          <w:b w:val="0"/>
          <w:bCs/>
          <w:color w:val="auto"/>
          <w:kern w:val="2"/>
          <w:sz w:val="32"/>
          <w:szCs w:val="32"/>
          <w:lang w:val="en-US" w:eastAsia="zh-CN" w:bidi="ar"/>
        </w:rPr>
        <w:t>第二十三条</w:t>
      </w:r>
      <w:r>
        <w:rPr>
          <w:rFonts w:hint="eastAsia" w:ascii="仿宋_GB2312" w:eastAsia="仿宋_GB2312" w:cs="仿宋_GB2312"/>
          <w:color w:val="auto"/>
          <w:kern w:val="2"/>
          <w:sz w:val="32"/>
          <w:szCs w:val="32"/>
          <w:lang w:val="en-US" w:eastAsia="zh-CN" w:bidi="ar"/>
        </w:rPr>
        <w:t xml:space="preserve"> 各参与主体的招投标行为违反法律、法规、规范性文件等规定的，由行政监督部门责令限期整改，依法给予行政处分。构成犯罪的，依法追究刑事责任。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eastAsia" w:ascii="仿宋_GB2312" w:hAnsi="Calibri" w:eastAsia="仿宋_GB2312" w:cs="仿宋_GB2312"/>
          <w:color w:val="auto"/>
          <w:kern w:val="2"/>
          <w:sz w:val="32"/>
          <w:szCs w:val="32"/>
          <w:lang w:val="en-US" w:eastAsia="zh-CN" w:bidi="ar"/>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二十四</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hAnsi="Calibri" w:eastAsia="仿宋_GB2312" w:cs="仿宋_GB2312"/>
          <w:color w:val="auto"/>
          <w:kern w:val="2"/>
          <w:sz w:val="32"/>
          <w:szCs w:val="32"/>
          <w:lang w:val="en-US" w:eastAsia="zh-CN" w:bidi="ar"/>
        </w:rPr>
        <w:t>行政监督部门</w:t>
      </w:r>
      <w:r>
        <w:rPr>
          <w:rFonts w:hint="eastAsia" w:ascii="仿宋_GB2312" w:eastAsia="仿宋_GB2312" w:cs="仿宋_GB2312"/>
          <w:color w:val="auto"/>
          <w:kern w:val="2"/>
          <w:sz w:val="32"/>
          <w:szCs w:val="32"/>
          <w:lang w:val="en-US" w:eastAsia="zh-CN" w:bidi="ar"/>
        </w:rPr>
        <w:t>相关工作人员不履行或者不正确履行职责，违规插手交易活动谋取不正当利益，以及有其他严重违纪违法行为且造成严重后果的，由相关主管部门或纪检监察部门按照有关规定追究责任；构成犯罪的，依法追究刑事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left"/>
        <w:textAlignment w:val="auto"/>
        <w:rPr>
          <w:rFonts w:hint="default" w:ascii="仿宋_GB2312" w:hAnsi="Calibri" w:eastAsia="仿宋_GB2312" w:cs="仿宋_GB2312"/>
          <w:color w:val="auto"/>
          <w:kern w:val="2"/>
          <w:sz w:val="32"/>
          <w:szCs w:val="32"/>
          <w:lang w:val="en-US" w:eastAsia="zh-CN" w:bidi="ar"/>
        </w:rPr>
      </w:pPr>
      <w:r>
        <w:rPr>
          <w:rFonts w:hint="default" w:ascii="Times New Roman" w:hAnsi="Times New Roman" w:eastAsia="黑体" w:cs="Times New Roman"/>
          <w:color w:val="auto"/>
          <w:spacing w:val="0"/>
          <w:kern w:val="2"/>
          <w:sz w:val="32"/>
          <w:szCs w:val="32"/>
          <w:lang w:val="en-US" w:eastAsia="zh-CN" w:bidi="ar"/>
        </w:rPr>
        <w:t>第二十</w:t>
      </w:r>
      <w:r>
        <w:rPr>
          <w:rFonts w:hint="eastAsia" w:ascii="Times New Roman" w:hAnsi="Times New Roman" w:eastAsia="黑体" w:cs="Times New Roman"/>
          <w:color w:val="auto"/>
          <w:spacing w:val="0"/>
          <w:kern w:val="2"/>
          <w:sz w:val="32"/>
          <w:szCs w:val="32"/>
          <w:lang w:val="en-US" w:eastAsia="zh-CN" w:bidi="ar"/>
        </w:rPr>
        <w:t>五</w:t>
      </w:r>
      <w:r>
        <w:rPr>
          <w:rFonts w:hint="default" w:ascii="Times New Roman" w:hAnsi="Times New Roman" w:eastAsia="黑体" w:cs="Times New Roman"/>
          <w:color w:val="auto"/>
          <w:spacing w:val="0"/>
          <w:kern w:val="2"/>
          <w:sz w:val="32"/>
          <w:szCs w:val="32"/>
          <w:lang w:val="en-US" w:eastAsia="zh-CN" w:bidi="ar"/>
        </w:rPr>
        <w:t xml:space="preserve">条 </w:t>
      </w:r>
      <w:r>
        <w:rPr>
          <w:rFonts w:hint="default" w:ascii="仿宋_GB2312" w:hAnsi="Calibri" w:eastAsia="仿宋_GB2312" w:cs="仿宋_GB2312"/>
          <w:color w:val="auto"/>
          <w:kern w:val="2"/>
          <w:sz w:val="32"/>
          <w:szCs w:val="32"/>
          <w:lang w:val="en-US" w:eastAsia="zh-CN" w:bidi="ar"/>
        </w:rPr>
        <w:t>本</w:t>
      </w:r>
      <w:r>
        <w:rPr>
          <w:rFonts w:hint="default" w:ascii="仿宋_GB2312" w:eastAsia="仿宋_GB2312" w:cs="仿宋_GB2312"/>
          <w:color w:val="auto"/>
          <w:kern w:val="2"/>
          <w:sz w:val="32"/>
          <w:szCs w:val="32"/>
          <w:lang w:eastAsia="zh-CN" w:bidi="ar"/>
        </w:rPr>
        <w:t>办法</w:t>
      </w:r>
      <w:r>
        <w:rPr>
          <w:rFonts w:hint="default" w:ascii="仿宋_GB2312" w:hAnsi="Calibri" w:eastAsia="仿宋_GB2312" w:cs="仿宋_GB2312"/>
          <w:color w:val="auto"/>
          <w:kern w:val="2"/>
          <w:sz w:val="32"/>
          <w:szCs w:val="32"/>
          <w:lang w:val="en-US" w:eastAsia="zh-CN" w:bidi="ar"/>
        </w:rPr>
        <w:t>在执行过程中若国家、省、市另有规定的，从其规定。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jc w:val="both"/>
        <w:textAlignment w:val="auto"/>
        <w:rPr>
          <w:rFonts w:hint="default"/>
          <w:lang w:val="en-US" w:eastAsia="zh-CN"/>
        </w:rPr>
      </w:pPr>
      <w:r>
        <w:rPr>
          <w:rFonts w:hint="default" w:ascii="微软雅黑 ! important" w:hAnsi="微软雅黑 ! important" w:eastAsia="微软雅黑 ! important" w:cs="微软雅黑 ! important"/>
          <w:b w:val="0"/>
          <w:bCs/>
          <w:color w:val="auto"/>
          <w:kern w:val="2"/>
          <w:sz w:val="32"/>
          <w:szCs w:val="32"/>
          <w:lang w:val="en-US" w:eastAsia="zh-CN" w:bidi="ar"/>
        </w:rPr>
        <w:t>第</w:t>
      </w:r>
      <w:r>
        <w:rPr>
          <w:rFonts w:hint="eastAsia" w:ascii="微软雅黑 ! important" w:hAnsi="微软雅黑 ! important" w:eastAsia="微软雅黑 ! important" w:cs="微软雅黑 ! important"/>
          <w:b w:val="0"/>
          <w:bCs/>
          <w:color w:val="auto"/>
          <w:kern w:val="2"/>
          <w:sz w:val="32"/>
          <w:szCs w:val="32"/>
          <w:lang w:val="en-US" w:eastAsia="zh-CN" w:bidi="ar"/>
        </w:rPr>
        <w:t>二十六</w:t>
      </w:r>
      <w:r>
        <w:rPr>
          <w:rFonts w:hint="default" w:ascii="微软雅黑 ! important" w:hAnsi="微软雅黑 ! important" w:eastAsia="微软雅黑 ! important" w:cs="微软雅黑 ! important"/>
          <w:b w:val="0"/>
          <w:bCs/>
          <w:color w:val="auto"/>
          <w:kern w:val="2"/>
          <w:sz w:val="32"/>
          <w:szCs w:val="32"/>
          <w:lang w:val="en-US" w:eastAsia="zh-CN" w:bidi="ar"/>
        </w:rPr>
        <w:t>条 </w:t>
      </w:r>
      <w:r>
        <w:rPr>
          <w:rFonts w:hint="eastAsia" w:ascii="仿宋_GB2312" w:hAnsi="Calibri" w:eastAsia="仿宋_GB2312" w:cs="仿宋_GB2312"/>
          <w:color w:val="auto"/>
          <w:kern w:val="2"/>
          <w:sz w:val="32"/>
          <w:szCs w:val="32"/>
          <w:lang w:val="en-US" w:eastAsia="zh-CN" w:bidi="ar"/>
        </w:rPr>
        <w:t>本办法自202</w:t>
      </w:r>
      <w:r>
        <w:rPr>
          <w:rFonts w:hint="eastAsia" w:ascii="仿宋_GB2312" w:eastAsia="仿宋_GB2312" w:cs="仿宋_GB2312"/>
          <w:color w:val="auto"/>
          <w:kern w:val="2"/>
          <w:sz w:val="32"/>
          <w:szCs w:val="32"/>
          <w:lang w:val="en-US" w:eastAsia="zh-CN" w:bidi="ar"/>
        </w:rPr>
        <w:t>5</w:t>
      </w:r>
      <w:r>
        <w:rPr>
          <w:rFonts w:hint="eastAsia" w:ascii="仿宋_GB2312" w:hAnsi="Calibri" w:eastAsia="仿宋_GB2312" w:cs="仿宋_GB2312"/>
          <w:color w:val="auto"/>
          <w:kern w:val="2"/>
          <w:sz w:val="32"/>
          <w:szCs w:val="32"/>
          <w:lang w:val="en-US" w:eastAsia="zh-CN" w:bidi="ar"/>
        </w:rPr>
        <w:t>年</w:t>
      </w:r>
      <w:r>
        <w:rPr>
          <w:rFonts w:hint="eastAsia" w:ascii="仿宋_GB2312"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月</w:t>
      </w:r>
      <w:r>
        <w:rPr>
          <w:rFonts w:hint="eastAsia" w:ascii="仿宋_GB2312"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日起试行。</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color w:val="auto"/>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highlight w:val="none"/>
        </w:rPr>
      </w:pPr>
      <w:bookmarkStart w:id="6" w:name="_GoBack"/>
      <w:bookmarkEnd w:id="6"/>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br w:type="page"/>
      </w:r>
    </w:p>
    <w:p>
      <w:pPr>
        <w:pStyle w:val="2"/>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ascii="仿宋_GB2312" w:eastAsia="仿宋_GB2312" w:cs="仿宋_GB2312"/>
          <w:color w:val="auto"/>
          <w:kern w:val="2"/>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44"/>
          <w:szCs w:val="44"/>
        </w:rPr>
      </w:pPr>
      <w:bookmarkStart w:id="5" w:name="OLE_LINK6"/>
      <w:r>
        <w:rPr>
          <w:rFonts w:hint="eastAsia" w:ascii="方正小标宋简体" w:hAnsi="方正小标宋简体" w:eastAsia="方正小标宋简体" w:cs="方正小标宋简体"/>
          <w:color w:val="auto"/>
          <w:sz w:val="44"/>
          <w:szCs w:val="44"/>
        </w:rPr>
        <w:t>招标人承诺书</w:t>
      </w:r>
      <w:bookmarkEnd w:id="5"/>
      <w:r>
        <w:rPr>
          <w:rFonts w:hint="eastAsia" w:ascii="宋体" w:hAnsi="宋体" w:eastAsia="宋体" w:cs="宋体"/>
          <w:color w:val="auto"/>
          <w:sz w:val="44"/>
          <w:szCs w:val="44"/>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郑州航空港经济综合实验区生态环境和城市管理局</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综合行政执法局</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lang w:eastAsia="zh-CN"/>
        </w:rPr>
        <w:t>项目已由</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lang w:eastAsia="zh-CN"/>
        </w:rPr>
        <w:t>以</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lang w:eastAsia="zh-CN"/>
        </w:rPr>
        <w:t>批准建设，现该项目</w:t>
      </w:r>
      <w:r>
        <w:rPr>
          <w:rFonts w:hint="eastAsia" w:ascii="仿宋" w:hAnsi="仿宋" w:eastAsia="仿宋" w:cs="仿宋_GB2312"/>
          <w:color w:val="auto"/>
          <w:sz w:val="32"/>
          <w:szCs w:val="32"/>
          <w:u w:val="single"/>
          <w:lang w:val="en-US" w:eastAsia="zh-CN"/>
        </w:rPr>
        <w:t>勘察/设计/施工/监理/设备及材料</w:t>
      </w:r>
      <w:r>
        <w:rPr>
          <w:rFonts w:hint="eastAsia" w:ascii="仿宋" w:hAnsi="仿宋" w:eastAsia="仿宋" w:cs="仿宋_GB2312"/>
          <w:color w:val="auto"/>
          <w:sz w:val="32"/>
          <w:szCs w:val="32"/>
          <w:lang w:eastAsia="zh-CN"/>
        </w:rPr>
        <w:t>已具备招标条件，拟进行</w:t>
      </w:r>
      <w:r>
        <w:rPr>
          <w:rFonts w:hint="eastAsia" w:ascii="仿宋" w:hAnsi="仿宋" w:eastAsia="仿宋" w:cs="仿宋_GB2312"/>
          <w:color w:val="auto"/>
          <w:sz w:val="32"/>
          <w:szCs w:val="32"/>
          <w:u w:val="single"/>
          <w:lang w:eastAsia="zh-CN"/>
        </w:rPr>
        <w:t>公开</w:t>
      </w:r>
      <w:r>
        <w:rPr>
          <w:rFonts w:hint="eastAsia" w:ascii="仿宋" w:hAnsi="仿宋" w:eastAsia="仿宋" w:cs="仿宋_GB2312"/>
          <w:color w:val="auto"/>
          <w:sz w:val="32"/>
          <w:szCs w:val="32"/>
          <w:u w:val="single"/>
          <w:lang w:val="en-US" w:eastAsia="zh-CN"/>
        </w:rPr>
        <w:t>/邀请</w:t>
      </w:r>
      <w:r>
        <w:rPr>
          <w:rFonts w:hint="eastAsia" w:ascii="仿宋" w:hAnsi="仿宋" w:eastAsia="仿宋" w:cs="仿宋_GB2312"/>
          <w:color w:val="auto"/>
          <w:sz w:val="32"/>
          <w:szCs w:val="32"/>
          <w:lang w:eastAsia="zh-CN"/>
        </w:rPr>
        <w:t>招标，我单位作为该项目招标人，作出以下承诺：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lang w:eastAsia="zh-CN"/>
        </w:rPr>
        <w:t>项目</w:t>
      </w:r>
      <w:r>
        <w:rPr>
          <w:rFonts w:hint="eastAsia" w:ascii="仿宋" w:hAnsi="仿宋" w:eastAsia="仿宋" w:cs="仿宋_GB2312"/>
          <w:color w:val="auto"/>
          <w:sz w:val="32"/>
          <w:szCs w:val="32"/>
          <w:u w:val="single"/>
          <w:lang w:val="en-US" w:eastAsia="zh-CN"/>
        </w:rPr>
        <w:t>勘察/设计/施工/监理/设备及材料</w:t>
      </w:r>
      <w:r>
        <w:rPr>
          <w:rFonts w:hint="eastAsia" w:ascii="仿宋" w:hAnsi="仿宋" w:eastAsia="仿宋" w:cs="仿宋_GB2312"/>
          <w:color w:val="auto"/>
          <w:sz w:val="32"/>
          <w:szCs w:val="32"/>
          <w:lang w:eastAsia="zh-CN"/>
        </w:rPr>
        <w:t>已具备招标条件，资金和资金来源已落实，我单位正式启动该项目招标工作，并自行承担因项目规划条件等发生变化而导致招标失败的风险。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lang w:eastAsia="zh-CN"/>
        </w:rPr>
        <w:t>严格按照《中华人民共和国招标投标法》等有关法律法规开展招投标活动，</w:t>
      </w:r>
      <w:r>
        <w:rPr>
          <w:rFonts w:hint="eastAsia" w:ascii="仿宋_GB2312" w:hAnsi="仿宋_GB2312" w:eastAsia="仿宋_GB2312" w:cs="仿宋_GB2312"/>
          <w:color w:val="auto"/>
          <w:sz w:val="32"/>
          <w:szCs w:val="32"/>
          <w:lang w:eastAsia="zh-CN"/>
        </w:rPr>
        <w:t>不违规做任何可能影响中标结果的事情</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lang w:eastAsia="zh-CN"/>
        </w:rPr>
        <w:t>在招标过程中，秉承诚信、信用、公平、公正的原则开展工作，向招投标监管部门出具的各类书面文件真实、有效。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若因上述条款出现的违法违规行为，本招标人愿意承担所有相关责任，接受行政主管部门、纪检监察部门或司法机关调查处理。    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招标人（盖单位章）：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_GB2312" w:eastAsia="仿宋_GB2312"/>
          <w:color w:val="auto"/>
          <w:sz w:val="32"/>
          <w:szCs w:val="32"/>
          <w:lang w:val="en-US" w:eastAsia="zh-CN"/>
        </w:rPr>
      </w:pPr>
      <w:r>
        <w:rPr>
          <w:rFonts w:hint="eastAsia" w:ascii="仿宋" w:hAnsi="仿宋" w:eastAsia="仿宋" w:cs="仿宋_GB2312"/>
          <w:color w:val="auto"/>
          <w:sz w:val="32"/>
          <w:szCs w:val="32"/>
          <w:lang w:eastAsia="zh-CN"/>
        </w:rPr>
        <w:t>   </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lang w:eastAsia="zh-CN"/>
        </w:rPr>
        <w:t>年</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lang w:eastAsia="zh-CN"/>
        </w:rPr>
        <w:t>月</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lang w:eastAsia="zh-CN"/>
        </w:rPr>
        <w:t> </w:t>
      </w:r>
      <w:r>
        <w:rPr>
          <w:rFonts w:hint="eastAsia" w:hAnsi="仿宋_GB2312" w:eastAsia="仿宋_GB2312"/>
          <w:color w:val="auto"/>
          <w:sz w:val="32"/>
          <w:szCs w:val="32"/>
          <w:lang w:val="en-US" w:eastAsia="zh-CN"/>
        </w:rPr>
        <w:t>日</w:t>
      </w:r>
    </w:p>
    <w:p>
      <w:pPr>
        <w:pStyle w:val="2"/>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cs="仿宋_GB2312"/>
          <w:color w:val="auto"/>
          <w:kern w:val="2"/>
          <w:sz w:val="32"/>
          <w:szCs w:val="32"/>
          <w:lang w:val="en-US" w:eastAsia="zh-CN" w:bidi="ar"/>
        </w:rPr>
      </w:pPr>
      <w:r>
        <w:rPr>
          <w:rFonts w:hint="default" w:ascii="仿宋_GB2312" w:eastAsia="仿宋_GB2312" w:cs="仿宋_GB2312"/>
          <w:color w:val="auto"/>
          <w:kern w:val="2"/>
          <w:sz w:val="32"/>
          <w:szCs w:val="32"/>
          <w:lang w:val="en-US" w:eastAsia="zh-CN" w:bidi="ar"/>
        </w:rPr>
        <w:t>附件</w:t>
      </w:r>
      <w:r>
        <w:rPr>
          <w:rFonts w:hint="eastAsia" w:ascii="仿宋_GB2312" w:eastAsia="仿宋_GB2312" w:cs="仿宋_GB2312"/>
          <w:color w:val="auto"/>
          <w:kern w:val="2"/>
          <w:sz w:val="32"/>
          <w:szCs w:val="32"/>
          <w:lang w:val="en-US" w:eastAsia="zh-CN" w:bidi="ar"/>
        </w:rPr>
        <w:t>2</w:t>
      </w:r>
    </w:p>
    <w:p>
      <w:pPr>
        <w:pStyle w:val="2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s="仿宋_GB2312"/>
          <w:color w:val="auto"/>
          <w:kern w:val="2"/>
          <w:sz w:val="32"/>
          <w:szCs w:val="32"/>
          <w:lang w:val="en-US" w:eastAsia="zh-CN" w:bidi="ar"/>
        </w:rPr>
      </w:pPr>
      <w:r>
        <w:rPr>
          <w:rFonts w:hint="eastAsia" w:ascii="仿宋_GB2312" w:eastAsia="仿宋_GB2312" w:cs="仿宋_GB2312"/>
          <w:color w:val="auto"/>
          <w:kern w:val="2"/>
          <w:sz w:val="32"/>
          <w:szCs w:val="32"/>
          <w:lang w:val="en-US" w:eastAsia="zh-CN" w:bidi="ar"/>
        </w:rPr>
        <w:t>（水利项目招标计划发布参考文本）</w:t>
      </w:r>
    </w:p>
    <w:p>
      <w:pPr>
        <w:pStyle w:val="2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方正小标宋简体"/>
          <w:color w:val="auto"/>
          <w:sz w:val="40"/>
          <w:szCs w:val="40"/>
          <w:u w:val="none"/>
          <w:lang w:val="en-US" w:eastAsia="zh-CN"/>
        </w:rPr>
      </w:pPr>
      <w:r>
        <w:rPr>
          <w:rFonts w:hint="eastAsia"/>
          <w:color w:val="auto"/>
          <w:sz w:val="40"/>
          <w:szCs w:val="40"/>
          <w:u w:val="single"/>
          <w:lang w:val="en-US" w:eastAsia="zh-CN"/>
        </w:rPr>
        <w:t>招标人名称**</w:t>
      </w:r>
      <w:r>
        <w:rPr>
          <w:color w:val="auto"/>
          <w:sz w:val="40"/>
          <w:szCs w:val="40"/>
          <w:u w:val="none"/>
        </w:rPr>
        <w:t>年</w:t>
      </w:r>
      <w:r>
        <w:rPr>
          <w:rFonts w:hint="eastAsia"/>
          <w:color w:val="auto"/>
          <w:sz w:val="40"/>
          <w:szCs w:val="40"/>
          <w:u w:val="single"/>
          <w:lang w:val="en-US" w:eastAsia="zh-CN"/>
        </w:rPr>
        <w:t>**</w:t>
      </w:r>
      <w:r>
        <w:rPr>
          <w:color w:val="auto"/>
          <w:sz w:val="40"/>
          <w:szCs w:val="40"/>
          <w:u w:val="none"/>
        </w:rPr>
        <w:t>至</w:t>
      </w:r>
      <w:r>
        <w:rPr>
          <w:rFonts w:hint="eastAsia"/>
          <w:color w:val="auto"/>
          <w:sz w:val="40"/>
          <w:szCs w:val="40"/>
          <w:u w:val="single"/>
          <w:lang w:val="en-US" w:eastAsia="zh-CN"/>
        </w:rPr>
        <w:t>**</w:t>
      </w:r>
      <w:r>
        <w:rPr>
          <w:color w:val="auto"/>
          <w:sz w:val="40"/>
          <w:szCs w:val="40"/>
          <w:u w:val="none"/>
        </w:rPr>
        <w:t>月</w:t>
      </w:r>
      <w:r>
        <w:rPr>
          <w:rFonts w:hint="eastAsia"/>
          <w:color w:val="auto"/>
          <w:sz w:val="40"/>
          <w:szCs w:val="40"/>
          <w:u w:val="none"/>
          <w:lang w:val="en-US" w:eastAsia="zh-CN"/>
        </w:rPr>
        <w:t>招标计划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为便于</w:t>
      </w:r>
      <w:r>
        <w:rPr>
          <w:rFonts w:hint="eastAsia" w:ascii="仿宋" w:hAnsi="仿宋" w:eastAsia="仿宋" w:cs="仿宋_GB2312"/>
          <w:color w:val="auto"/>
          <w:sz w:val="32"/>
          <w:szCs w:val="32"/>
          <w:lang w:val="en-US" w:eastAsia="zh-CN"/>
        </w:rPr>
        <w:t>潜在投标人</w:t>
      </w:r>
      <w:r>
        <w:rPr>
          <w:rFonts w:hint="eastAsia" w:ascii="仿宋" w:hAnsi="仿宋" w:eastAsia="仿宋" w:cs="仿宋_GB2312"/>
          <w:color w:val="auto"/>
          <w:sz w:val="32"/>
          <w:szCs w:val="32"/>
          <w:lang w:eastAsia="zh-CN"/>
        </w:rPr>
        <w:t>及时了解</w:t>
      </w:r>
      <w:r>
        <w:rPr>
          <w:rFonts w:hint="eastAsia" w:ascii="仿宋" w:hAnsi="仿宋" w:eastAsia="仿宋" w:cs="仿宋_GB2312"/>
          <w:color w:val="auto"/>
          <w:sz w:val="32"/>
          <w:szCs w:val="32"/>
          <w:lang w:val="en-US" w:eastAsia="zh-CN"/>
        </w:rPr>
        <w:t>招投标有关信息</w:t>
      </w:r>
      <w:r>
        <w:rPr>
          <w:rFonts w:hint="eastAsia" w:ascii="仿宋" w:hAnsi="仿宋" w:eastAsia="仿宋" w:cs="仿宋_GB2312"/>
          <w:color w:val="auto"/>
          <w:sz w:val="32"/>
          <w:szCs w:val="32"/>
          <w:lang w:eastAsia="zh-CN"/>
        </w:rPr>
        <w:t>，现将（</w:t>
      </w:r>
      <w:r>
        <w:rPr>
          <w:rFonts w:hint="eastAsia" w:ascii="仿宋" w:hAnsi="仿宋" w:eastAsia="仿宋" w:cs="仿宋_GB2312"/>
          <w:color w:val="auto"/>
          <w:sz w:val="32"/>
          <w:szCs w:val="32"/>
          <w:lang w:val="en-US" w:eastAsia="zh-CN"/>
        </w:rPr>
        <w:t>招标人名称</w:t>
      </w:r>
      <w:r>
        <w:rPr>
          <w:rFonts w:hint="eastAsia" w:ascii="仿宋" w:hAnsi="仿宋" w:eastAsia="仿宋" w:cs="仿宋_GB2312"/>
          <w:color w:val="auto"/>
          <w:sz w:val="32"/>
          <w:szCs w:val="32"/>
          <w:lang w:eastAsia="zh-CN"/>
        </w:rPr>
        <w:t xml:space="preserve">） </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u w:val="single"/>
          <w:lang w:eastAsia="zh-CN"/>
        </w:rPr>
        <w:t xml:space="preserve"> 年 </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u w:val="single"/>
          <w:lang w:eastAsia="zh-CN"/>
        </w:rPr>
        <w:t xml:space="preserve"> 至  </w:t>
      </w:r>
      <w:r>
        <w:rPr>
          <w:rFonts w:hint="eastAsia" w:ascii="仿宋" w:hAnsi="仿宋" w:eastAsia="仿宋" w:cs="仿宋_GB2312"/>
          <w:color w:val="auto"/>
          <w:sz w:val="32"/>
          <w:szCs w:val="32"/>
          <w:u w:val="single"/>
          <w:lang w:val="en-US" w:eastAsia="zh-CN"/>
        </w:rPr>
        <w:t>**</w:t>
      </w:r>
      <w:r>
        <w:rPr>
          <w:rFonts w:hint="eastAsia" w:ascii="仿宋" w:hAnsi="仿宋" w:eastAsia="仿宋" w:cs="仿宋_GB2312"/>
          <w:color w:val="auto"/>
          <w:sz w:val="32"/>
          <w:szCs w:val="32"/>
          <w:u w:val="single"/>
          <w:lang w:eastAsia="zh-CN"/>
        </w:rPr>
        <w:t xml:space="preserve"> 月</w:t>
      </w:r>
      <w:r>
        <w:rPr>
          <w:rFonts w:hint="eastAsia" w:ascii="仿宋" w:hAnsi="仿宋" w:eastAsia="仿宋" w:cs="仿宋_GB2312"/>
          <w:color w:val="auto"/>
          <w:sz w:val="32"/>
          <w:szCs w:val="32"/>
          <w:lang w:val="en-US" w:eastAsia="zh-CN"/>
        </w:rPr>
        <w:t>水利工程建设项目</w:t>
      </w:r>
      <w:r>
        <w:rPr>
          <w:rFonts w:hint="eastAsia" w:ascii="仿宋" w:hAnsi="仿宋" w:eastAsia="仿宋" w:cs="仿宋_GB2312"/>
          <w:color w:val="auto"/>
          <w:sz w:val="32"/>
          <w:szCs w:val="32"/>
          <w:lang w:eastAsia="zh-CN"/>
        </w:rPr>
        <w:t>招标计划公开如下：</w:t>
      </w:r>
    </w:p>
    <w:tbl>
      <w:tblPr>
        <w:tblStyle w:val="10"/>
        <w:tblW w:w="885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307"/>
        <w:gridCol w:w="2595"/>
        <w:gridCol w:w="1140"/>
        <w:gridCol w:w="1260"/>
        <w:gridCol w:w="105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0" w:hRule="exact"/>
          <w:jc w:val="center"/>
        </w:trPr>
        <w:tc>
          <w:tcPr>
            <w:tcW w:w="699"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项目名称</w:t>
            </w:r>
          </w:p>
        </w:tc>
        <w:tc>
          <w:tcPr>
            <w:tcW w:w="25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主要招标内容</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计划工期</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投资估算或概算</w:t>
            </w:r>
            <w:r>
              <w:rPr>
                <w:rFonts w:hint="eastAsia" w:ascii="仿宋_GB2312" w:hAnsi="仿宋_GB2312" w:eastAsia="仿宋_GB2312" w:cs="仿宋_GB2312"/>
                <w:b w:val="0"/>
                <w:bCs w:val="0"/>
                <w:color w:val="auto"/>
                <w:sz w:val="28"/>
                <w:szCs w:val="28"/>
              </w:rPr>
              <w:t>（万元）</w:t>
            </w:r>
          </w:p>
        </w:tc>
        <w:tc>
          <w:tcPr>
            <w:tcW w:w="10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预计</w:t>
            </w:r>
            <w:r>
              <w:rPr>
                <w:rFonts w:hint="eastAsia" w:ascii="仿宋_GB2312" w:hAnsi="仿宋_GB2312" w:eastAsia="仿宋_GB2312" w:cs="仿宋_GB2312"/>
                <w:b w:val="0"/>
                <w:bCs w:val="0"/>
                <w:color w:val="auto"/>
                <w:sz w:val="28"/>
                <w:szCs w:val="28"/>
                <w:lang w:val="en-US" w:eastAsia="zh-CN"/>
              </w:rPr>
              <w:t>招标</w:t>
            </w:r>
            <w:r>
              <w:rPr>
                <w:rFonts w:hint="eastAsia" w:ascii="仿宋_GB2312" w:hAnsi="仿宋_GB2312" w:eastAsia="仿宋_GB2312" w:cs="仿宋_GB2312"/>
                <w:b w:val="0"/>
                <w:bCs w:val="0"/>
                <w:color w:val="auto"/>
                <w:sz w:val="28"/>
                <w:szCs w:val="28"/>
              </w:rPr>
              <w:t>时间</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1" w:hRule="exact"/>
          <w:jc w:val="center"/>
        </w:trPr>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98" w:firstLineChars="71"/>
              <w:jc w:val="center"/>
              <w:textAlignment w:val="auto"/>
              <w:rPr>
                <w:rFonts w:hint="eastAsia" w:ascii="仿宋_GB2312" w:hAnsi="仿宋_GB2312" w:eastAsia="宋体" w:cs="仿宋_GB2312"/>
                <w:color w:val="auto"/>
                <w:sz w:val="28"/>
                <w:szCs w:val="28"/>
                <w:lang w:val="en-US" w:eastAsia="zh-CN"/>
              </w:rPr>
            </w:pPr>
            <w:r>
              <w:rPr>
                <w:rFonts w:hint="eastAsia" w:ascii="仿宋_GB2312" w:hAnsi="仿宋_GB2312" w:cs="仿宋_GB2312"/>
                <w:color w:val="auto"/>
                <w:sz w:val="28"/>
                <w:szCs w:val="28"/>
                <w:lang w:val="en-US" w:eastAsia="zh-CN"/>
              </w:rPr>
              <w:t>1</w:t>
            </w:r>
          </w:p>
        </w:tc>
        <w:tc>
          <w:tcPr>
            <w:tcW w:w="13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114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126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color w:val="auto"/>
                <w:sz w:val="24"/>
                <w:szCs w:val="24"/>
              </w:rPr>
            </w:pPr>
          </w:p>
        </w:tc>
        <w:tc>
          <w:tcPr>
            <w:tcW w:w="1055"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c>
          <w:tcPr>
            <w:tcW w:w="799"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1" w:hRule="exact"/>
          <w:jc w:val="center"/>
        </w:trPr>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98" w:firstLineChars="71"/>
              <w:jc w:val="center"/>
              <w:textAlignment w:val="auto"/>
              <w:rPr>
                <w:rFonts w:hint="eastAsia" w:ascii="仿宋_GB2312" w:hAnsi="仿宋_GB2312" w:eastAsia="宋体" w:cs="仿宋_GB2312"/>
                <w:color w:val="auto"/>
                <w:sz w:val="28"/>
                <w:szCs w:val="28"/>
                <w:lang w:val="en-US" w:eastAsia="zh-CN"/>
              </w:rPr>
            </w:pPr>
            <w:r>
              <w:rPr>
                <w:rFonts w:hint="eastAsia" w:ascii="仿宋_GB2312" w:hAnsi="仿宋_GB2312" w:cs="仿宋_GB2312"/>
                <w:color w:val="auto"/>
                <w:sz w:val="28"/>
                <w:szCs w:val="28"/>
                <w:lang w:val="en-US" w:eastAsia="zh-CN"/>
              </w:rPr>
              <w:t>2</w:t>
            </w:r>
          </w:p>
        </w:tc>
        <w:tc>
          <w:tcPr>
            <w:tcW w:w="13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114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126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color w:val="auto"/>
                <w:sz w:val="24"/>
                <w:szCs w:val="24"/>
              </w:rPr>
            </w:pPr>
          </w:p>
        </w:tc>
        <w:tc>
          <w:tcPr>
            <w:tcW w:w="1055"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c>
          <w:tcPr>
            <w:tcW w:w="799"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1" w:hRule="exact"/>
          <w:jc w:val="center"/>
        </w:trPr>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98" w:firstLineChars="71"/>
              <w:jc w:val="center"/>
              <w:textAlignment w:val="auto"/>
              <w:rPr>
                <w:rFonts w:hint="default" w:ascii="仿宋_GB2312" w:hAnsi="仿宋_GB2312" w:eastAsia="宋体" w:cs="仿宋_GB2312"/>
                <w:color w:val="auto"/>
                <w:sz w:val="28"/>
                <w:szCs w:val="28"/>
                <w:lang w:val="en-US" w:eastAsia="zh-CN"/>
              </w:rPr>
            </w:pPr>
            <w:r>
              <w:rPr>
                <w:rFonts w:hint="eastAsia" w:ascii="仿宋_GB2312" w:hAnsi="仿宋_GB2312" w:cs="仿宋_GB2312"/>
                <w:color w:val="auto"/>
                <w:sz w:val="28"/>
                <w:szCs w:val="28"/>
                <w:lang w:val="en-US" w:eastAsia="zh-CN"/>
              </w:rPr>
              <w:t>…</w:t>
            </w:r>
          </w:p>
        </w:tc>
        <w:tc>
          <w:tcPr>
            <w:tcW w:w="130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259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center"/>
              <w:textAlignment w:val="baseline"/>
              <w:rPr>
                <w:rFonts w:hint="eastAsia" w:ascii="仿宋_GB2312" w:hAnsi="仿宋_GB2312" w:eastAsia="仿宋_GB2312" w:cs="仿宋_GB2312"/>
                <w:color w:val="auto"/>
                <w:sz w:val="24"/>
                <w:szCs w:val="24"/>
                <w:lang w:val="en-US" w:eastAsia="zh-CN"/>
              </w:rPr>
            </w:pPr>
          </w:p>
        </w:tc>
        <w:tc>
          <w:tcPr>
            <w:tcW w:w="114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color w:val="auto"/>
                <w:sz w:val="24"/>
                <w:szCs w:val="24"/>
                <w:lang w:val="en-US" w:eastAsia="zh-CN"/>
              </w:rPr>
            </w:pPr>
          </w:p>
        </w:tc>
        <w:tc>
          <w:tcPr>
            <w:tcW w:w="1260"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color w:val="auto"/>
                <w:sz w:val="24"/>
                <w:szCs w:val="24"/>
              </w:rPr>
            </w:pPr>
          </w:p>
        </w:tc>
        <w:tc>
          <w:tcPr>
            <w:tcW w:w="1055"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c>
          <w:tcPr>
            <w:tcW w:w="799" w:type="dxa"/>
            <w:noWrap w:val="0"/>
            <w:vAlign w:val="center"/>
          </w:tcPr>
          <w:p>
            <w:pPr>
              <w:pStyle w:val="23"/>
              <w:keepNext w:val="0"/>
              <w:keepLines w:val="0"/>
              <w:pageBreakBefore w:val="0"/>
              <w:widowControl w:val="0"/>
              <w:kinsoku/>
              <w:wordWrap/>
              <w:overflowPunct/>
              <w:topLinePunct w:val="0"/>
              <w:autoSpaceDE/>
              <w:autoSpaceDN/>
              <w:bidi w:val="0"/>
              <w:adjustRightInd/>
              <w:snapToGrid/>
              <w:spacing w:line="400" w:lineRule="exact"/>
              <w:ind w:right="129" w:firstLine="0" w:firstLineChars="0"/>
              <w:jc w:val="center"/>
              <w:textAlignment w:val="auto"/>
              <w:rPr>
                <w:rFonts w:hint="default" w:ascii="仿宋_GB2312" w:hAnsi="仿宋_GB2312" w:eastAsia="仿宋_GB2312" w:cs="仿宋_GB2312"/>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仿宋_GB2312" w:hAnsi="仿宋_GB2312" w:cs="仿宋_GB2312"/>
          <w:color w:val="auto"/>
          <w:sz w:val="28"/>
          <w:szCs w:val="21"/>
        </w:rPr>
      </w:pPr>
      <w:r>
        <w:rPr>
          <w:rFonts w:hint="eastAsia" w:ascii="仿宋" w:hAnsi="仿宋" w:eastAsia="仿宋" w:cs="仿宋_GB2312"/>
          <w:color w:val="auto"/>
          <w:sz w:val="32"/>
          <w:szCs w:val="32"/>
          <w:lang w:eastAsia="zh-CN"/>
        </w:rPr>
        <w:t>本次公开的</w:t>
      </w:r>
      <w:r>
        <w:rPr>
          <w:rFonts w:hint="eastAsia" w:ascii="仿宋" w:hAnsi="仿宋" w:eastAsia="仿宋" w:cs="仿宋_GB2312"/>
          <w:color w:val="auto"/>
          <w:sz w:val="32"/>
          <w:szCs w:val="32"/>
          <w:lang w:val="en-US" w:eastAsia="zh-CN"/>
        </w:rPr>
        <w:t>招标计划</w:t>
      </w:r>
      <w:r>
        <w:rPr>
          <w:rFonts w:hint="eastAsia" w:ascii="仿宋" w:hAnsi="仿宋" w:eastAsia="仿宋" w:cs="仿宋_GB2312"/>
          <w:color w:val="auto"/>
          <w:sz w:val="32"/>
          <w:szCs w:val="32"/>
          <w:lang w:eastAsia="zh-CN"/>
        </w:rPr>
        <w:t>是本单位</w:t>
      </w:r>
      <w:r>
        <w:rPr>
          <w:rFonts w:hint="eastAsia" w:ascii="仿宋" w:hAnsi="仿宋" w:eastAsia="仿宋" w:cs="仿宋_GB2312"/>
          <w:color w:val="auto"/>
          <w:sz w:val="32"/>
          <w:szCs w:val="32"/>
          <w:lang w:val="en-US" w:eastAsia="zh-CN"/>
        </w:rPr>
        <w:t>招标</w:t>
      </w:r>
      <w:r>
        <w:rPr>
          <w:rFonts w:hint="eastAsia" w:ascii="仿宋" w:hAnsi="仿宋" w:eastAsia="仿宋" w:cs="仿宋_GB2312"/>
          <w:color w:val="auto"/>
          <w:sz w:val="32"/>
          <w:szCs w:val="32"/>
          <w:lang w:eastAsia="zh-CN"/>
        </w:rPr>
        <w:t>工作的初步安排，具体项目情况以</w:t>
      </w:r>
      <w:r>
        <w:rPr>
          <w:rFonts w:hint="eastAsia" w:ascii="仿宋" w:hAnsi="仿宋" w:eastAsia="仿宋" w:cs="仿宋_GB2312"/>
          <w:color w:val="auto"/>
          <w:sz w:val="32"/>
          <w:szCs w:val="32"/>
          <w:lang w:val="en-US" w:eastAsia="zh-CN"/>
        </w:rPr>
        <w:t>发布的招标</w:t>
      </w:r>
      <w:r>
        <w:rPr>
          <w:rFonts w:hint="eastAsia" w:ascii="仿宋" w:hAnsi="仿宋" w:eastAsia="仿宋" w:cs="仿宋_GB2312"/>
          <w:color w:val="auto"/>
          <w:sz w:val="32"/>
          <w:szCs w:val="32"/>
          <w:lang w:eastAsia="zh-CN"/>
        </w:rPr>
        <w:t>公告和</w:t>
      </w:r>
      <w:r>
        <w:rPr>
          <w:rFonts w:hint="eastAsia" w:ascii="仿宋" w:hAnsi="仿宋" w:eastAsia="仿宋" w:cs="仿宋_GB2312"/>
          <w:color w:val="auto"/>
          <w:sz w:val="32"/>
          <w:szCs w:val="32"/>
          <w:lang w:val="en-US" w:eastAsia="zh-CN"/>
        </w:rPr>
        <w:t>招标</w:t>
      </w:r>
      <w:r>
        <w:rPr>
          <w:rFonts w:hint="eastAsia" w:ascii="仿宋" w:hAnsi="仿宋" w:eastAsia="仿宋" w:cs="仿宋_GB2312"/>
          <w:color w:val="auto"/>
          <w:sz w:val="32"/>
          <w:szCs w:val="32"/>
          <w:lang w:eastAsia="zh-CN"/>
        </w:rPr>
        <w:t>文件为准。</w:t>
      </w:r>
    </w:p>
    <w:p>
      <w:pPr>
        <w:pStyle w:val="2"/>
        <w:keepNext/>
        <w:keepLines/>
        <w:pageBreakBefore w:val="0"/>
        <w:widowControl w:val="0"/>
        <w:kinsoku/>
        <w:wordWrap/>
        <w:overflowPunct/>
        <w:topLinePunct w:val="0"/>
        <w:autoSpaceDE/>
        <w:autoSpaceDN/>
        <w:bidi w:val="0"/>
        <w:adjustRightInd/>
        <w:snapToGrid/>
        <w:spacing w:line="4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400" w:lineRule="exact"/>
        <w:ind w:right="645" w:rightChars="307" w:firstLine="640"/>
        <w:jc w:val="right"/>
        <w:textAlignment w:val="auto"/>
        <w:rPr>
          <w:rFonts w:hint="eastAsia" w:ascii="仿宋_GB2312" w:hAnsi="仿宋_GB2312" w:cs="仿宋_GB2312"/>
          <w:color w:val="auto"/>
          <w:sz w:val="28"/>
          <w:szCs w:val="21"/>
        </w:rPr>
      </w:pP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lang w:eastAsia="zh-CN"/>
        </w:rPr>
        <w:t>年</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lang w:eastAsia="zh-CN"/>
        </w:rPr>
        <w:t>月</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lang w:eastAsia="zh-CN"/>
        </w:rPr>
        <w:t>日</w:t>
      </w:r>
      <w:r>
        <w:rPr>
          <w:rFonts w:hint="eastAsia" w:ascii="仿宋_GB2312" w:hAnsi="仿宋_GB2312" w:cs="仿宋_GB2312"/>
          <w:color w:val="auto"/>
          <w:sz w:val="28"/>
          <w:szCs w:val="21"/>
        </w:rPr>
        <w:t xml:space="preserve">   </w:t>
      </w:r>
    </w:p>
    <w:p>
      <w:pPr>
        <w:pageBreakBefore w:val="0"/>
        <w:kinsoku/>
        <w:wordWrap/>
        <w:overflowPunct/>
        <w:topLinePunct w:val="0"/>
        <w:autoSpaceDE/>
        <w:autoSpaceDN/>
        <w:bidi w:val="0"/>
        <w:adjustRightInd/>
        <w:snapToGrid/>
        <w:spacing w:line="400" w:lineRule="exact"/>
        <w:rPr>
          <w:rFonts w:hint="default"/>
          <w:lang w:val="en-US" w:eastAsia="zh-CN"/>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13"/>
    <w:rsid w:val="000440ED"/>
    <w:rsid w:val="000A61C5"/>
    <w:rsid w:val="000D185E"/>
    <w:rsid w:val="000D5F2F"/>
    <w:rsid w:val="00106659"/>
    <w:rsid w:val="0024117C"/>
    <w:rsid w:val="00312505"/>
    <w:rsid w:val="0033269D"/>
    <w:rsid w:val="00351CF2"/>
    <w:rsid w:val="00366E6A"/>
    <w:rsid w:val="003914BD"/>
    <w:rsid w:val="003C2981"/>
    <w:rsid w:val="004443C9"/>
    <w:rsid w:val="005010F4"/>
    <w:rsid w:val="0052470F"/>
    <w:rsid w:val="00541FC6"/>
    <w:rsid w:val="00543D0F"/>
    <w:rsid w:val="00584B67"/>
    <w:rsid w:val="005853E0"/>
    <w:rsid w:val="005B0258"/>
    <w:rsid w:val="00643B1F"/>
    <w:rsid w:val="006754DB"/>
    <w:rsid w:val="006A36F4"/>
    <w:rsid w:val="00715ED7"/>
    <w:rsid w:val="007A6331"/>
    <w:rsid w:val="00806824"/>
    <w:rsid w:val="00822CD8"/>
    <w:rsid w:val="00852213"/>
    <w:rsid w:val="00891316"/>
    <w:rsid w:val="008A78DA"/>
    <w:rsid w:val="008B4C24"/>
    <w:rsid w:val="008C00E8"/>
    <w:rsid w:val="00911DF3"/>
    <w:rsid w:val="00917475"/>
    <w:rsid w:val="0093329E"/>
    <w:rsid w:val="00933E31"/>
    <w:rsid w:val="00990D5C"/>
    <w:rsid w:val="00A4485D"/>
    <w:rsid w:val="00B92401"/>
    <w:rsid w:val="00BB3EEC"/>
    <w:rsid w:val="00C91639"/>
    <w:rsid w:val="00D159CA"/>
    <w:rsid w:val="00D76765"/>
    <w:rsid w:val="00D87413"/>
    <w:rsid w:val="00DC6784"/>
    <w:rsid w:val="00DF4944"/>
    <w:rsid w:val="00E240F3"/>
    <w:rsid w:val="00E6127D"/>
    <w:rsid w:val="00E85FA3"/>
    <w:rsid w:val="00F47D8F"/>
    <w:rsid w:val="00FD4243"/>
    <w:rsid w:val="00FD57A1"/>
    <w:rsid w:val="00FF4EFE"/>
    <w:rsid w:val="011A6BA4"/>
    <w:rsid w:val="02526120"/>
    <w:rsid w:val="02BE5D9E"/>
    <w:rsid w:val="02E303DB"/>
    <w:rsid w:val="02E77881"/>
    <w:rsid w:val="032E1442"/>
    <w:rsid w:val="037D2E03"/>
    <w:rsid w:val="04BF01BE"/>
    <w:rsid w:val="04CA431D"/>
    <w:rsid w:val="05B54654"/>
    <w:rsid w:val="05DE058D"/>
    <w:rsid w:val="07B17FBF"/>
    <w:rsid w:val="08211C77"/>
    <w:rsid w:val="08A74200"/>
    <w:rsid w:val="09CB3F1D"/>
    <w:rsid w:val="0A8A69EA"/>
    <w:rsid w:val="0A964E0D"/>
    <w:rsid w:val="0ACF16E4"/>
    <w:rsid w:val="0B242460"/>
    <w:rsid w:val="0B530DC0"/>
    <w:rsid w:val="0C790D87"/>
    <w:rsid w:val="0D970766"/>
    <w:rsid w:val="0E0C3DA7"/>
    <w:rsid w:val="0EA6429B"/>
    <w:rsid w:val="0ECD13D7"/>
    <w:rsid w:val="0F1E553B"/>
    <w:rsid w:val="0FCA3437"/>
    <w:rsid w:val="0FF11AE6"/>
    <w:rsid w:val="0FF70A43"/>
    <w:rsid w:val="10175F79"/>
    <w:rsid w:val="10CC171E"/>
    <w:rsid w:val="11610368"/>
    <w:rsid w:val="11F11918"/>
    <w:rsid w:val="11FC2B13"/>
    <w:rsid w:val="12641168"/>
    <w:rsid w:val="12703D1A"/>
    <w:rsid w:val="136361D9"/>
    <w:rsid w:val="138C47E4"/>
    <w:rsid w:val="13DE7681"/>
    <w:rsid w:val="1472526D"/>
    <w:rsid w:val="14965BD3"/>
    <w:rsid w:val="14F2539B"/>
    <w:rsid w:val="151C23FB"/>
    <w:rsid w:val="157D7D75"/>
    <w:rsid w:val="15E34AED"/>
    <w:rsid w:val="15F008C0"/>
    <w:rsid w:val="166266A0"/>
    <w:rsid w:val="180F2BAD"/>
    <w:rsid w:val="182C756C"/>
    <w:rsid w:val="183D11E3"/>
    <w:rsid w:val="184B4F8C"/>
    <w:rsid w:val="18CC56B4"/>
    <w:rsid w:val="18E72A9F"/>
    <w:rsid w:val="18EE2026"/>
    <w:rsid w:val="195F5E47"/>
    <w:rsid w:val="199E02E4"/>
    <w:rsid w:val="19B82AF2"/>
    <w:rsid w:val="1A0A0D5F"/>
    <w:rsid w:val="1A856250"/>
    <w:rsid w:val="1AA13E7C"/>
    <w:rsid w:val="1AA72754"/>
    <w:rsid w:val="1AC635F9"/>
    <w:rsid w:val="1B7A112A"/>
    <w:rsid w:val="1BA500DA"/>
    <w:rsid w:val="1BEB5F19"/>
    <w:rsid w:val="1C2E556E"/>
    <w:rsid w:val="1CAC0A5C"/>
    <w:rsid w:val="1CBA3102"/>
    <w:rsid w:val="1D177C80"/>
    <w:rsid w:val="1E1D29F6"/>
    <w:rsid w:val="1EF325C0"/>
    <w:rsid w:val="1FAE7DC9"/>
    <w:rsid w:val="20AA06B6"/>
    <w:rsid w:val="21290AC0"/>
    <w:rsid w:val="21383DBF"/>
    <w:rsid w:val="214B6071"/>
    <w:rsid w:val="22497B72"/>
    <w:rsid w:val="227A2824"/>
    <w:rsid w:val="228D3BDA"/>
    <w:rsid w:val="22DD2B5D"/>
    <w:rsid w:val="23FE3861"/>
    <w:rsid w:val="246D38A1"/>
    <w:rsid w:val="247A54D7"/>
    <w:rsid w:val="24D441EA"/>
    <w:rsid w:val="25036150"/>
    <w:rsid w:val="252E08B6"/>
    <w:rsid w:val="26265265"/>
    <w:rsid w:val="26C72D1A"/>
    <w:rsid w:val="284C0783"/>
    <w:rsid w:val="29B350DE"/>
    <w:rsid w:val="29B7348C"/>
    <w:rsid w:val="29C847F3"/>
    <w:rsid w:val="29FB7A9F"/>
    <w:rsid w:val="2B052F80"/>
    <w:rsid w:val="2BB23F35"/>
    <w:rsid w:val="2C4400FF"/>
    <w:rsid w:val="2C4B10F1"/>
    <w:rsid w:val="2C6612CD"/>
    <w:rsid w:val="2C8D70E0"/>
    <w:rsid w:val="2C954DA8"/>
    <w:rsid w:val="2CEE39D4"/>
    <w:rsid w:val="2CFC2E2A"/>
    <w:rsid w:val="2D7A3E10"/>
    <w:rsid w:val="2E2D5112"/>
    <w:rsid w:val="2E6A629D"/>
    <w:rsid w:val="2E861BC1"/>
    <w:rsid w:val="2EA17F48"/>
    <w:rsid w:val="2ED338AA"/>
    <w:rsid w:val="2EDD3AE7"/>
    <w:rsid w:val="2EED50C0"/>
    <w:rsid w:val="2F235566"/>
    <w:rsid w:val="2F2755F0"/>
    <w:rsid w:val="2F341379"/>
    <w:rsid w:val="2F38106E"/>
    <w:rsid w:val="2F4255A1"/>
    <w:rsid w:val="3033517D"/>
    <w:rsid w:val="30DC6E9A"/>
    <w:rsid w:val="30F95F93"/>
    <w:rsid w:val="3172799B"/>
    <w:rsid w:val="31FB5BCF"/>
    <w:rsid w:val="32DA4F46"/>
    <w:rsid w:val="32F113B8"/>
    <w:rsid w:val="33AD70A3"/>
    <w:rsid w:val="33E210F2"/>
    <w:rsid w:val="34511203"/>
    <w:rsid w:val="3481438A"/>
    <w:rsid w:val="34C76A2F"/>
    <w:rsid w:val="35004F89"/>
    <w:rsid w:val="355F2AED"/>
    <w:rsid w:val="3598090F"/>
    <w:rsid w:val="36705B75"/>
    <w:rsid w:val="367B5CD2"/>
    <w:rsid w:val="37260870"/>
    <w:rsid w:val="376F53A2"/>
    <w:rsid w:val="37C20743"/>
    <w:rsid w:val="38AD7460"/>
    <w:rsid w:val="38CE50DE"/>
    <w:rsid w:val="39046D90"/>
    <w:rsid w:val="39A55E62"/>
    <w:rsid w:val="39B31932"/>
    <w:rsid w:val="39C330C4"/>
    <w:rsid w:val="3A361B34"/>
    <w:rsid w:val="3A9A0C4A"/>
    <w:rsid w:val="3AAD046E"/>
    <w:rsid w:val="3B00504C"/>
    <w:rsid w:val="3B875A72"/>
    <w:rsid w:val="3C541EDC"/>
    <w:rsid w:val="3C803F20"/>
    <w:rsid w:val="3E9B2704"/>
    <w:rsid w:val="3EA01988"/>
    <w:rsid w:val="3ED5374C"/>
    <w:rsid w:val="3EF953A8"/>
    <w:rsid w:val="3EFF2C04"/>
    <w:rsid w:val="3F91128B"/>
    <w:rsid w:val="3F9C6090"/>
    <w:rsid w:val="4046171E"/>
    <w:rsid w:val="40681320"/>
    <w:rsid w:val="408336F8"/>
    <w:rsid w:val="412D799A"/>
    <w:rsid w:val="4133434D"/>
    <w:rsid w:val="414C7F80"/>
    <w:rsid w:val="416F72CC"/>
    <w:rsid w:val="427F318A"/>
    <w:rsid w:val="42FF30AA"/>
    <w:rsid w:val="43463CD1"/>
    <w:rsid w:val="4371651D"/>
    <w:rsid w:val="461D02F5"/>
    <w:rsid w:val="462C2AC7"/>
    <w:rsid w:val="46400616"/>
    <w:rsid w:val="46D54E63"/>
    <w:rsid w:val="47114571"/>
    <w:rsid w:val="478D7144"/>
    <w:rsid w:val="47BF2191"/>
    <w:rsid w:val="47CD4456"/>
    <w:rsid w:val="48C1621D"/>
    <w:rsid w:val="4A2512F3"/>
    <w:rsid w:val="4AA178B8"/>
    <w:rsid w:val="4ACA1AA1"/>
    <w:rsid w:val="4B043EB2"/>
    <w:rsid w:val="4B1E5AE8"/>
    <w:rsid w:val="4B253115"/>
    <w:rsid w:val="4B500A25"/>
    <w:rsid w:val="4D005886"/>
    <w:rsid w:val="4D443527"/>
    <w:rsid w:val="4DA60C29"/>
    <w:rsid w:val="4DB40FDF"/>
    <w:rsid w:val="4DC14DE8"/>
    <w:rsid w:val="4DC60953"/>
    <w:rsid w:val="4E1D69EC"/>
    <w:rsid w:val="4E4A2CD0"/>
    <w:rsid w:val="4EC2145F"/>
    <w:rsid w:val="4EE54876"/>
    <w:rsid w:val="4F0F66CF"/>
    <w:rsid w:val="4F1C3532"/>
    <w:rsid w:val="4F3154D9"/>
    <w:rsid w:val="4F4560EF"/>
    <w:rsid w:val="4F5C0B59"/>
    <w:rsid w:val="502C0569"/>
    <w:rsid w:val="5030070E"/>
    <w:rsid w:val="508F1C8E"/>
    <w:rsid w:val="50C70EDC"/>
    <w:rsid w:val="512F752C"/>
    <w:rsid w:val="518A5350"/>
    <w:rsid w:val="52115AF1"/>
    <w:rsid w:val="530B2786"/>
    <w:rsid w:val="530C7079"/>
    <w:rsid w:val="53191970"/>
    <w:rsid w:val="536175BA"/>
    <w:rsid w:val="53705279"/>
    <w:rsid w:val="54D24D8B"/>
    <w:rsid w:val="557201B7"/>
    <w:rsid w:val="562E072A"/>
    <w:rsid w:val="562F3691"/>
    <w:rsid w:val="56832427"/>
    <w:rsid w:val="56D71DC9"/>
    <w:rsid w:val="56D766EA"/>
    <w:rsid w:val="56E873EB"/>
    <w:rsid w:val="56F00128"/>
    <w:rsid w:val="58EC7515"/>
    <w:rsid w:val="58F6717C"/>
    <w:rsid w:val="59A9739F"/>
    <w:rsid w:val="59DA296E"/>
    <w:rsid w:val="5A014460"/>
    <w:rsid w:val="5A734D9C"/>
    <w:rsid w:val="5ACD4CF8"/>
    <w:rsid w:val="5AE9400A"/>
    <w:rsid w:val="5B2F62B1"/>
    <w:rsid w:val="5B3A3FDB"/>
    <w:rsid w:val="5C832B8A"/>
    <w:rsid w:val="5CD073A2"/>
    <w:rsid w:val="5CF040DF"/>
    <w:rsid w:val="5D034084"/>
    <w:rsid w:val="5D7906FF"/>
    <w:rsid w:val="5E067005"/>
    <w:rsid w:val="5FD1544C"/>
    <w:rsid w:val="5FE91156"/>
    <w:rsid w:val="600C2793"/>
    <w:rsid w:val="602F3DB4"/>
    <w:rsid w:val="60B971E8"/>
    <w:rsid w:val="60F73547"/>
    <w:rsid w:val="61154C91"/>
    <w:rsid w:val="615B3555"/>
    <w:rsid w:val="62AC6ABB"/>
    <w:rsid w:val="63013856"/>
    <w:rsid w:val="630C5642"/>
    <w:rsid w:val="632F0CDA"/>
    <w:rsid w:val="63310C63"/>
    <w:rsid w:val="63953EF3"/>
    <w:rsid w:val="63B36B42"/>
    <w:rsid w:val="63BA22D5"/>
    <w:rsid w:val="64BB1660"/>
    <w:rsid w:val="65851007"/>
    <w:rsid w:val="65D4580E"/>
    <w:rsid w:val="660A53E2"/>
    <w:rsid w:val="66396FCE"/>
    <w:rsid w:val="664E375A"/>
    <w:rsid w:val="667103EC"/>
    <w:rsid w:val="66827532"/>
    <w:rsid w:val="66BF2000"/>
    <w:rsid w:val="66D47B15"/>
    <w:rsid w:val="66DC1543"/>
    <w:rsid w:val="670C0125"/>
    <w:rsid w:val="676D4355"/>
    <w:rsid w:val="677871F5"/>
    <w:rsid w:val="680545B1"/>
    <w:rsid w:val="68DA1767"/>
    <w:rsid w:val="693D43C0"/>
    <w:rsid w:val="698E2508"/>
    <w:rsid w:val="698E6B59"/>
    <w:rsid w:val="69B447F1"/>
    <w:rsid w:val="69C472B5"/>
    <w:rsid w:val="6B6F0525"/>
    <w:rsid w:val="6BC96E7F"/>
    <w:rsid w:val="6BF24BF2"/>
    <w:rsid w:val="6C992725"/>
    <w:rsid w:val="6CC83243"/>
    <w:rsid w:val="6CF73BD7"/>
    <w:rsid w:val="6D290842"/>
    <w:rsid w:val="6D8638A1"/>
    <w:rsid w:val="6DF860B1"/>
    <w:rsid w:val="6E78107E"/>
    <w:rsid w:val="6EAA04A8"/>
    <w:rsid w:val="6F8213D4"/>
    <w:rsid w:val="6FA85E9F"/>
    <w:rsid w:val="6FC82462"/>
    <w:rsid w:val="6FF63045"/>
    <w:rsid w:val="70265D18"/>
    <w:rsid w:val="71E92BED"/>
    <w:rsid w:val="73867AC7"/>
    <w:rsid w:val="73C4059B"/>
    <w:rsid w:val="74351793"/>
    <w:rsid w:val="74AE703E"/>
    <w:rsid w:val="74AF607F"/>
    <w:rsid w:val="74D811CC"/>
    <w:rsid w:val="74DF08B4"/>
    <w:rsid w:val="76512457"/>
    <w:rsid w:val="76BF3683"/>
    <w:rsid w:val="776F0A81"/>
    <w:rsid w:val="788F4375"/>
    <w:rsid w:val="78D565EE"/>
    <w:rsid w:val="790F04A4"/>
    <w:rsid w:val="7A4A4F1A"/>
    <w:rsid w:val="7B071071"/>
    <w:rsid w:val="7C2A5E07"/>
    <w:rsid w:val="7C3F6966"/>
    <w:rsid w:val="7CBC56B0"/>
    <w:rsid w:val="7CF11B53"/>
    <w:rsid w:val="7D0301FC"/>
    <w:rsid w:val="7D3B10E6"/>
    <w:rsid w:val="7D4E7B5C"/>
    <w:rsid w:val="7D7F5243"/>
    <w:rsid w:val="7E1631CB"/>
    <w:rsid w:val="7E657F18"/>
    <w:rsid w:val="7F0237E8"/>
    <w:rsid w:val="7F406CEA"/>
    <w:rsid w:val="7F486E8A"/>
    <w:rsid w:val="7F8C292D"/>
    <w:rsid w:val="7FDA24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0"/>
    <w:pPr>
      <w:keepNext/>
      <w:keepLines/>
      <w:autoSpaceDE w:val="0"/>
      <w:autoSpaceDN w:val="0"/>
      <w:spacing w:before="20" w:after="20"/>
      <w:outlineLvl w:val="2"/>
    </w:pPr>
    <w:rPr>
      <w:rFonts w:ascii="Times New Roman" w:hAnsi="Times New Roman" w:eastAsia="黑体"/>
      <w:b/>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qFormat/>
    <w:uiPriority w:val="0"/>
    <w:rPr>
      <w:rFonts w:cs="仿宋"/>
      <w:szCs w:val="3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tLeast"/>
      <w:jc w:val="center"/>
      <w:outlineLvl w:val="1"/>
    </w:pPr>
    <w:rPr>
      <w:rFonts w:ascii="Calibri Light" w:hAnsi="Calibri Light" w:eastAsia="宋体"/>
      <w:b/>
      <w:bCs/>
      <w:kern w:val="28"/>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styleId="14">
    <w:name w:val="FollowedHyperlink"/>
    <w:basedOn w:val="12"/>
    <w:qFormat/>
    <w:uiPriority w:val="0"/>
    <w:rPr>
      <w:color w:val="444444"/>
      <w:sz w:val="21"/>
      <w:szCs w:val="21"/>
      <w:u w:val="none"/>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批注框文本 Char"/>
    <w:basedOn w:val="12"/>
    <w:link w:val="5"/>
    <w:qFormat/>
    <w:uiPriority w:val="0"/>
    <w:rPr>
      <w:rFonts w:ascii="Calibri" w:hAnsi="Calibri"/>
      <w:kern w:val="2"/>
      <w:sz w:val="18"/>
      <w:szCs w:val="18"/>
    </w:rPr>
  </w:style>
  <w:style w:type="character" w:customStyle="1" w:styleId="18">
    <w:name w:val="正文文本 Char"/>
    <w:basedOn w:val="12"/>
    <w:link w:val="4"/>
    <w:qFormat/>
    <w:uiPriority w:val="0"/>
    <w:rPr>
      <w:rFonts w:ascii="Calibri" w:hAnsi="Calibri" w:cs="仿宋"/>
      <w:kern w:val="2"/>
      <w:sz w:val="21"/>
      <w:szCs w:val="32"/>
    </w:rPr>
  </w:style>
  <w:style w:type="paragraph" w:customStyle="1" w:styleId="19">
    <w:name w:val="三仿"/>
    <w:basedOn w:val="1"/>
    <w:qFormat/>
    <w:uiPriority w:val="0"/>
    <w:pPr>
      <w:snapToGrid w:val="0"/>
      <w:spacing w:line="567" w:lineRule="atLeast"/>
      <w:ind w:firstLine="646"/>
    </w:pPr>
    <w:rPr>
      <w:rFonts w:eastAsia="仿宋_GB2312"/>
      <w:snapToGrid w:val="0"/>
      <w:color w:val="000000"/>
      <w:sz w:val="32"/>
    </w:rPr>
  </w:style>
  <w:style w:type="paragraph" w:customStyle="1" w:styleId="20">
    <w:name w:val="Body Text First Indent_48b2488d-5093-4c6a-b3c1-06c22fd07939"/>
    <w:basedOn w:val="4"/>
    <w:qFormat/>
    <w:uiPriority w:val="0"/>
    <w:pPr>
      <w:tabs>
        <w:tab w:val="left" w:pos="2250"/>
      </w:tabs>
      <w:suppressAutoHyphens/>
      <w:spacing w:line="600" w:lineRule="exact"/>
      <w:ind w:firstLine="420"/>
    </w:pPr>
    <w:rPr>
      <w:rFonts w:ascii="Times New Roman" w:hAnsi="Times New Roman" w:cs="Times New Roman"/>
      <w:bCs/>
      <w:sz w:val="30"/>
      <w:szCs w:val="24"/>
    </w:rPr>
  </w:style>
  <w:style w:type="character" w:customStyle="1" w:styleId="21">
    <w:name w:val="hover17"/>
    <w:basedOn w:val="12"/>
    <w:qFormat/>
    <w:uiPriority w:val="0"/>
  </w:style>
  <w:style w:type="paragraph" w:customStyle="1" w:styleId="22">
    <w:name w:val="正文标题"/>
    <w:basedOn w:val="1"/>
    <w:next w:val="8"/>
    <w:qFormat/>
    <w:uiPriority w:val="0"/>
    <w:pPr>
      <w:spacing w:line="640" w:lineRule="exact"/>
      <w:ind w:firstLine="0" w:firstLineChars="0"/>
      <w:jc w:val="center"/>
    </w:pPr>
    <w:rPr>
      <w:rFonts w:hint="eastAsia" w:ascii="方正小标宋简体" w:hAnsi="方正小标宋简体" w:eastAsia="方正小标宋简体" w:cs="方正小标宋简体"/>
      <w:sz w:val="44"/>
      <w:szCs w:val="44"/>
    </w:r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66</Words>
  <Characters>379</Characters>
  <Lines>3</Lines>
  <Paragraphs>1</Paragraphs>
  <TotalTime>3</TotalTime>
  <ScaleCrop>false</ScaleCrop>
  <LinksUpToDate>false</LinksUpToDate>
  <CharactersWithSpaces>444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2021-07-24T08:31:00Z</dcterms:created>
  <dc:creator>Administrator.PPT03-20180615N</dc:creator>
  <cp:lastModifiedBy>唐卫杰</cp:lastModifiedBy>
  <cp:lastPrinted>2023-12-04T15:08:00Z</cp:lastPrinted>
  <dcterms:modified xsi:type="dcterms:W3CDTF">2025-03-31T09:30:28Z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woTemplateTypoMode" linkTarget="0">
    <vt:lpwstr>web</vt:lpwstr>
  </property>
  <property fmtid="{D5CDD505-2E9C-101B-9397-08002B2CF9AE}" pid="4" name="woTemplate" linkTarget="0">
    <vt:i4>1</vt:i4>
  </property>
</Properties>
</file>