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《2025 年安阳县人民政府重大行政决策事项目录》（征求意见稿）起草说明</w:t>
      </w:r>
    </w:p>
    <w:p>
      <w:pPr>
        <w:pStyle w:val="Heading2"/>
      </w:pPr>
      <w:r>
        <w:t xml:space="preserve">一、起草背景</w:t>
      </w:r>
    </w:p>
    <w:p>
      <w:pPr>
        <w:pStyle w:val="text"/>
      </w:pPr>
      <w:r>
        <w:t xml:space="preserve">为确保安阳县政府行政决策科学、民主且合法，依据《中华人民共和国行政处罚法》《中华人民共和国政府信息公开条例》，以及国务院《重大行政决策程序暂行条例》、《河南省重大行政决策程序规定》等法律法规与国家相关要求，安阳县政府决定编制《2025 年安阳县人民政府重大行政决策事项目录》（以下简称《目录》）。现对《目录》（征求意见稿）的起草过程及主要内容说明如下。</w:t>
      </w:r>
    </w:p>
    <w:p>
      <w:pPr>
        <w:pStyle w:val="Heading2"/>
      </w:pPr>
      <w:r>
        <w:t xml:space="preserve">二、起草目的</w:t>
      </w:r>
    </w:p>
    <w:p>
      <w:pPr>
        <w:pStyle w:val="text"/>
        <w:numPr>
          <w:ilvl w:val="0"/>
          <w:numId w:val="2"/>
        </w:numPr>
      </w:pPr>
      <w:r>
        <w:t xml:space="preserve">精准明确 2025 年安阳县政府重大行政决策事项，为决策执行奠定坚实基础。</w:t>
      </w:r>
    </w:p>
    <w:p>
      <w:pPr>
        <w:pStyle w:val="text"/>
        <w:numPr>
          <w:ilvl w:val="0"/>
          <w:numId w:val="2"/>
        </w:numPr>
      </w:pPr>
      <w:r>
        <w:t xml:space="preserve">大幅提升政府决策透明度，广泛增强公众参与度，切实保障决策契合人民群众利益。</w:t>
      </w:r>
    </w:p>
    <w:p>
      <w:pPr>
        <w:pStyle w:val="text"/>
        <w:numPr>
          <w:ilvl w:val="0"/>
          <w:numId w:val="2"/>
        </w:numPr>
      </w:pPr>
      <w:r>
        <w:t xml:space="preserve">严格遵循依法行政原则，确保决策程序合法合规，有效防范决策失误。</w:t>
      </w:r>
    </w:p>
    <w:p>
      <w:pPr>
        <w:pStyle w:val="Heading2"/>
      </w:pPr>
      <w:r>
        <w:t xml:space="preserve">三、起草依据</w:t>
      </w:r>
    </w:p>
    <w:p>
      <w:pPr>
        <w:pStyle w:val="text"/>
        <w:numPr>
          <w:ilvl w:val="0"/>
          <w:numId w:val="3"/>
        </w:numPr>
      </w:pPr>
      <w:r>
        <w:t xml:space="preserve">《中华人民共和国行政处罚法》</w:t>
      </w:r>
    </w:p>
    <w:p>
      <w:pPr>
        <w:pStyle w:val="text"/>
        <w:numPr>
          <w:ilvl w:val="0"/>
          <w:numId w:val="3"/>
        </w:numPr>
      </w:pPr>
      <w:r>
        <w:t xml:space="preserve">《中华人民共和国政府信息公开条例》</w:t>
      </w:r>
    </w:p>
    <w:p>
      <w:pPr>
        <w:pStyle w:val="text"/>
        <w:numPr>
          <w:ilvl w:val="0"/>
          <w:numId w:val="3"/>
        </w:numPr>
      </w:pPr>
      <w:r>
        <w:t xml:space="preserve">国务院《重大行政决策程序暂行条例》</w:t>
      </w:r>
    </w:p>
    <w:p>
      <w:pPr>
        <w:pStyle w:val="text"/>
        <w:numPr>
          <w:ilvl w:val="0"/>
          <w:numId w:val="3"/>
        </w:numPr>
      </w:pPr>
      <w:r>
        <w:t xml:space="preserve">《河南省重大行政决策程序规定》</w:t>
      </w:r>
    </w:p>
    <w:p>
      <w:pPr>
        <w:pStyle w:val="Heading2"/>
      </w:pPr>
      <w:r>
        <w:t xml:space="preserve">四、起草过程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深入调研分析</w:t>
      </w:r>
      <w:r>
        <w:t xml:space="preserve">：组织相关部门与专家，全面调研安阳县当前经济社会发展状况、重大民生需求及政策环境等方面情况，为后续工作提供有力支撑。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广泛征求意见</w:t>
      </w:r>
      <w:r>
        <w:t xml:space="preserve">：完成《目录》初稿起草后，通过召开座谈会、发放调查问卷等形式，广泛征求政府部门、企事业单位、人大代表、政协委员及社会公众的意见与建议，确保决策充分吸纳各方智慧。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梳理筛选完善</w:t>
      </w:r>
      <w:r>
        <w:t xml:space="preserve">：系统整理征集到的意见建议，紧密结合安阳县实际，对初稿进行修改完善，形成《目录》（征求意见稿）。</w:t>
      </w:r>
    </w:p>
    <w:p>
      <w:pPr>
        <w:pStyle w:val="Heading2"/>
      </w:pPr>
      <w:r>
        <w:t xml:space="preserve">五、《目录》（征求意见稿）主要内容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重大行政决策事项范围</w:t>
      </w:r>
      <w:r>
        <w:t xml:space="preserve">：涵盖城市规划、土地利用、环境保护、交通运输、教育卫生、社会治安、公共资源配置等多个重要领域。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重大行政决策事项清单</w:t>
      </w:r>
      <w:r>
        <w:t xml:space="preserve">：详细列出 2025 年安阳县政府预计需作出的重大行政决策事项，使决策事项清晰明了。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决策程序</w:t>
      </w:r>
      <w:r>
        <w:t xml:space="preserve">：明确决策从发起、调研、论证，到公众参与、合法性审查、集体讨论决定的全流程，确保决策规范有序。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决策执行和监督</w:t>
      </w:r>
      <w:r>
        <w:t xml:space="preserve">：对决策执行情况进行全程跟踪监督，适时调整决策内容，全力保障决策有效实施。</w:t>
      </w:r>
    </w:p>
    <w:p>
      <w:pPr>
        <w:pStyle w:val="Heading2"/>
      </w:pPr>
      <w:r>
        <w:t xml:space="preserve">六、后续工作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公开征求公众意见</w:t>
      </w:r>
      <w:r>
        <w:t xml:space="preserve">：借助政府网站、报纸等媒体平台，面向公众公开征求对《目录》（征求意见稿）的意见建议，进一步扩大公众参与。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完善决策目录</w:t>
      </w:r>
      <w:r>
        <w:t xml:space="preserve">：依据公众反馈意见，对《目录》作进一步修改完善，提升目录质量。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提交审议</w:t>
      </w:r>
      <w:r>
        <w:t xml:space="preserve">：将完善后的《目录》提交安阳县政府常务会议或相关决策会议审议通过，推动决策科学化、民主化进程。</w:t>
      </w:r>
    </w:p>
    <w:p>
      <w:pPr>
        <w:pStyle w:val="text"/>
      </w:pPr>
      <w:r>
        <w:t xml:space="preserve">通过上述系列措施，旨在强化安阳县政府行政决策能力，有力推动政府决策朝着科学化、民主化方向发展，更好服务全县经济社会发展与人民群众需求。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2025-04-14T07:32:49.195Z</dcterms:created>
  <dcterms:modified xsi:type="dcterms:W3CDTF">2025-04-14T07:32:49.195Z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