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EA01EC">
      <w:pPr>
        <w:jc w:val="right"/>
        <w:rPr>
          <w:rFonts w:hint="eastAsia" w:ascii="宋体" w:hAnsi="宋体" w:eastAsia="宋体" w:cs="宋体"/>
          <w:b w:val="0"/>
          <w:bCs w:val="0"/>
          <w:kern w:val="2"/>
          <w:sz w:val="28"/>
          <w:szCs w:val="28"/>
          <w:lang w:val="en-US" w:eastAsia="zh-CN" w:bidi="ar-SA"/>
        </w:rPr>
      </w:pPr>
    </w:p>
    <w:p w14:paraId="095D4AF4">
      <w:pPr>
        <w:jc w:val="right"/>
        <w:rPr>
          <w:rFonts w:hint="eastAsia" w:ascii="宋体" w:hAnsi="宋体" w:eastAsia="宋体" w:cs="宋体"/>
          <w:b w:val="0"/>
          <w:bCs w:val="0"/>
          <w:kern w:val="2"/>
          <w:sz w:val="28"/>
          <w:szCs w:val="28"/>
          <w:lang w:val="en-US" w:eastAsia="zh-CN" w:bidi="ar-SA"/>
        </w:rPr>
      </w:pPr>
    </w:p>
    <w:p w14:paraId="46DE6FE8">
      <w:pPr>
        <w:jc w:val="right"/>
        <w:rPr>
          <w:rFonts w:hint="eastAsia" w:ascii="宋体" w:hAnsi="宋体" w:eastAsia="宋体" w:cs="宋体"/>
          <w:b w:val="0"/>
          <w:bCs w:val="0"/>
          <w:kern w:val="2"/>
          <w:sz w:val="28"/>
          <w:szCs w:val="28"/>
          <w:lang w:val="en-US" w:eastAsia="zh-CN" w:bidi="ar-SA"/>
        </w:rPr>
      </w:pPr>
    </w:p>
    <w:p w14:paraId="3D5ECB8F">
      <w:pPr>
        <w:jc w:val="right"/>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殷建环表〔2025〕006号</w:t>
      </w:r>
    </w:p>
    <w:p w14:paraId="6B720FC4">
      <w:pPr>
        <w:pStyle w:val="11"/>
        <w:keepNext w:val="0"/>
        <w:keepLines w:val="0"/>
        <w:pageBreakBefore w:val="0"/>
        <w:widowControl w:val="0"/>
        <w:kinsoku/>
        <w:wordWrap/>
        <w:overflowPunct/>
        <w:topLinePunct w:val="0"/>
        <w:autoSpaceDE/>
        <w:autoSpaceDN/>
        <w:bidi w:val="0"/>
        <w:adjustRightInd/>
        <w:snapToGrid w:val="0"/>
        <w:spacing w:after="0" w:line="480" w:lineRule="atLeast"/>
        <w:ind w:left="0" w:leftChars="0" w:firstLine="560"/>
        <w:jc w:val="center"/>
        <w:textAlignment w:val="auto"/>
        <w:rPr>
          <w:rFonts w:hint="eastAsia" w:ascii="Times New Roman" w:hAnsi="Times New Roman" w:eastAsia="宋体" w:cs="Times New Roman"/>
          <w:b/>
          <w:bCs/>
          <w:sz w:val="30"/>
          <w:szCs w:val="30"/>
        </w:rPr>
      </w:pPr>
      <w:r>
        <w:rPr>
          <w:rFonts w:hint="eastAsia" w:ascii="Times New Roman" w:hAnsi="Times New Roman" w:eastAsia="宋体" w:cs="Times New Roman"/>
          <w:b/>
          <w:bCs/>
          <w:sz w:val="30"/>
          <w:szCs w:val="30"/>
        </w:rPr>
        <w:t>安阳市生态环境局殷都分局</w:t>
      </w:r>
    </w:p>
    <w:p w14:paraId="5DCCE870">
      <w:pPr>
        <w:pStyle w:val="11"/>
        <w:keepNext w:val="0"/>
        <w:keepLines w:val="0"/>
        <w:pageBreakBefore w:val="0"/>
        <w:widowControl w:val="0"/>
        <w:kinsoku/>
        <w:wordWrap/>
        <w:overflowPunct/>
        <w:topLinePunct w:val="0"/>
        <w:autoSpaceDE/>
        <w:autoSpaceDN/>
        <w:bidi w:val="0"/>
        <w:adjustRightInd/>
        <w:snapToGrid w:val="0"/>
        <w:spacing w:after="0" w:line="480" w:lineRule="atLeast"/>
        <w:ind w:left="0" w:leftChars="0" w:firstLine="560"/>
        <w:jc w:val="center"/>
        <w:textAlignment w:val="auto"/>
        <w:rPr>
          <w:rFonts w:hint="eastAsia" w:ascii="Times New Roman" w:hAnsi="Times New Roman" w:eastAsia="宋体" w:cs="Times New Roman"/>
          <w:b/>
          <w:bCs/>
          <w:sz w:val="30"/>
          <w:szCs w:val="30"/>
        </w:rPr>
      </w:pPr>
      <w:r>
        <w:rPr>
          <w:rFonts w:hint="eastAsia" w:ascii="Times New Roman" w:hAnsi="Times New Roman" w:eastAsia="宋体" w:cs="Times New Roman"/>
          <w:b/>
          <w:bCs/>
          <w:sz w:val="30"/>
          <w:szCs w:val="30"/>
        </w:rPr>
        <w:t>关于</w:t>
      </w:r>
      <w:r>
        <w:rPr>
          <w:rFonts w:hint="eastAsia" w:ascii="Times New Roman" w:hAnsi="Times New Roman" w:eastAsia="宋体" w:cs="Times New Roman"/>
          <w:b/>
          <w:bCs/>
          <w:sz w:val="30"/>
          <w:szCs w:val="30"/>
          <w:lang w:eastAsia="zh-CN"/>
        </w:rPr>
        <w:t>安阳市</w:t>
      </w:r>
      <w:r>
        <w:rPr>
          <w:rFonts w:hint="eastAsia" w:ascii="Times New Roman" w:hAnsi="Times New Roman" w:eastAsia="宋体" w:cs="Times New Roman"/>
          <w:b/>
          <w:bCs/>
          <w:sz w:val="30"/>
          <w:szCs w:val="30"/>
          <w:lang w:val="en-US" w:eastAsia="zh-CN"/>
        </w:rPr>
        <w:t>杨子</w:t>
      </w:r>
      <w:r>
        <w:rPr>
          <w:rFonts w:hint="eastAsia" w:ascii="Times New Roman" w:hAnsi="Times New Roman" w:eastAsia="宋体" w:cs="Times New Roman"/>
          <w:b/>
          <w:bCs/>
          <w:sz w:val="30"/>
          <w:szCs w:val="30"/>
          <w:lang w:eastAsia="zh-CN"/>
        </w:rPr>
        <w:t>包装材料有限公司塑料制品生产</w:t>
      </w:r>
      <w:r>
        <w:rPr>
          <w:rFonts w:hint="eastAsia" w:ascii="Times New Roman" w:hAnsi="Times New Roman" w:eastAsia="宋体" w:cs="Times New Roman"/>
          <w:b/>
          <w:bCs/>
          <w:sz w:val="30"/>
          <w:szCs w:val="30"/>
        </w:rPr>
        <w:t>项目</w:t>
      </w:r>
    </w:p>
    <w:p w14:paraId="33722D7E">
      <w:pPr>
        <w:pStyle w:val="11"/>
        <w:keepNext w:val="0"/>
        <w:keepLines w:val="0"/>
        <w:pageBreakBefore w:val="0"/>
        <w:widowControl w:val="0"/>
        <w:kinsoku/>
        <w:wordWrap/>
        <w:overflowPunct/>
        <w:topLinePunct w:val="0"/>
        <w:autoSpaceDE/>
        <w:autoSpaceDN/>
        <w:bidi w:val="0"/>
        <w:adjustRightInd/>
        <w:snapToGrid w:val="0"/>
        <w:spacing w:after="0" w:line="480" w:lineRule="atLeast"/>
        <w:ind w:left="0" w:leftChars="0" w:firstLine="560"/>
        <w:jc w:val="center"/>
        <w:textAlignment w:val="auto"/>
        <w:rPr>
          <w:rFonts w:hint="eastAsia" w:ascii="Times New Roman" w:hAnsi="Times New Roman" w:eastAsia="宋体" w:cs="Times New Roman"/>
          <w:b/>
          <w:bCs/>
          <w:sz w:val="30"/>
          <w:szCs w:val="30"/>
        </w:rPr>
      </w:pPr>
      <w:r>
        <w:rPr>
          <w:rFonts w:hint="eastAsia" w:ascii="Times New Roman" w:hAnsi="Times New Roman" w:eastAsia="宋体" w:cs="Times New Roman"/>
          <w:b/>
          <w:bCs/>
          <w:sz w:val="30"/>
          <w:szCs w:val="30"/>
        </w:rPr>
        <w:t>环境影响报告表的批复</w:t>
      </w:r>
    </w:p>
    <w:p w14:paraId="549C75B7">
      <w:pPr>
        <w:pStyle w:val="11"/>
        <w:keepNext w:val="0"/>
        <w:keepLines w:val="0"/>
        <w:pageBreakBefore w:val="0"/>
        <w:widowControl w:val="0"/>
        <w:kinsoku/>
        <w:wordWrap/>
        <w:overflowPunct/>
        <w:topLinePunct w:val="0"/>
        <w:autoSpaceDE/>
        <w:autoSpaceDN/>
        <w:bidi w:val="0"/>
        <w:adjustRightInd/>
        <w:snapToGrid w:val="0"/>
        <w:spacing w:after="0" w:line="480" w:lineRule="atLeast"/>
        <w:ind w:left="0" w:leftChars="0" w:firstLine="0" w:firstLineChars="0"/>
        <w:textAlignment w:val="auto"/>
        <w:rPr>
          <w:rFonts w:hint="eastAsia" w:ascii="Times New Roman" w:hAnsi="Times New Roman" w:eastAsia="宋体" w:cs="Times New Roman"/>
          <w:b w:val="0"/>
          <w:bCs w:val="0"/>
          <w:sz w:val="30"/>
          <w:szCs w:val="30"/>
        </w:rPr>
      </w:pPr>
      <w:r>
        <w:rPr>
          <w:rFonts w:hint="eastAsia" w:ascii="Times New Roman" w:hAnsi="Times New Roman" w:eastAsia="宋体" w:cs="Times New Roman"/>
          <w:b/>
          <w:bCs/>
          <w:sz w:val="30"/>
          <w:szCs w:val="30"/>
          <w:lang w:eastAsia="zh-CN"/>
        </w:rPr>
        <w:t>安阳市</w:t>
      </w:r>
      <w:r>
        <w:rPr>
          <w:rFonts w:hint="eastAsia" w:ascii="Times New Roman" w:hAnsi="Times New Roman" w:eastAsia="宋体" w:cs="Times New Roman"/>
          <w:b/>
          <w:bCs/>
          <w:sz w:val="30"/>
          <w:szCs w:val="30"/>
          <w:lang w:val="en-US" w:eastAsia="zh-CN"/>
        </w:rPr>
        <w:t>杨子</w:t>
      </w:r>
      <w:r>
        <w:rPr>
          <w:rFonts w:hint="eastAsia" w:ascii="Times New Roman" w:hAnsi="Times New Roman" w:eastAsia="宋体" w:cs="Times New Roman"/>
          <w:b/>
          <w:bCs/>
          <w:sz w:val="30"/>
          <w:szCs w:val="30"/>
          <w:lang w:eastAsia="zh-CN"/>
        </w:rPr>
        <w:t>包装材料有限公司</w:t>
      </w:r>
      <w:r>
        <w:rPr>
          <w:rFonts w:hint="eastAsia" w:ascii="Times New Roman" w:hAnsi="Times New Roman" w:eastAsia="宋体" w:cs="Times New Roman"/>
          <w:b/>
          <w:bCs/>
          <w:sz w:val="30"/>
          <w:szCs w:val="30"/>
        </w:rPr>
        <w:t>：</w:t>
      </w:r>
    </w:p>
    <w:p w14:paraId="0F283DCE">
      <w:pPr>
        <w:pStyle w:val="11"/>
        <w:keepNext w:val="0"/>
        <w:keepLines w:val="0"/>
        <w:pageBreakBefore w:val="0"/>
        <w:widowControl w:val="0"/>
        <w:kinsoku/>
        <w:wordWrap/>
        <w:overflowPunct/>
        <w:topLinePunct w:val="0"/>
        <w:autoSpaceDE/>
        <w:autoSpaceDN/>
        <w:bidi w:val="0"/>
        <w:adjustRightInd/>
        <w:snapToGrid w:val="0"/>
        <w:spacing w:after="0" w:line="400" w:lineRule="atLeast"/>
        <w:ind w:left="0" w:leftChars="0" w:firstLine="560"/>
        <w:textAlignment w:val="auto"/>
        <w:rPr>
          <w:rFonts w:hint="eastAsia" w:ascii="Times New Roman" w:hAnsi="Times New Roman" w:eastAsia="宋体" w:cs="Times New Roman"/>
          <w:b w:val="0"/>
          <w:bCs w:val="0"/>
          <w:sz w:val="28"/>
          <w:szCs w:val="28"/>
        </w:rPr>
      </w:pPr>
      <w:r>
        <w:rPr>
          <w:rFonts w:hint="eastAsia" w:ascii="Times New Roman" w:hAnsi="Times New Roman" w:eastAsia="宋体"/>
          <w:b w:val="0"/>
          <w:bCs w:val="0"/>
          <w:sz w:val="28"/>
          <w:szCs w:val="28"/>
        </w:rPr>
        <w:t>你</w:t>
      </w:r>
      <w:r>
        <w:rPr>
          <w:rFonts w:hint="eastAsia" w:ascii="Times New Roman" w:hAnsi="Times New Roman" w:eastAsia="宋体" w:cs="Times New Roman"/>
          <w:b w:val="0"/>
          <w:bCs w:val="0"/>
          <w:sz w:val="28"/>
          <w:szCs w:val="28"/>
        </w:rPr>
        <w:t>单位（91410505MA9NDC2P56）</w:t>
      </w:r>
      <w:r>
        <w:rPr>
          <w:rFonts w:hint="eastAsia" w:ascii="Times New Roman" w:hAnsi="Times New Roman" w:eastAsia="宋体" w:cs="Times New Roman"/>
          <w:b w:val="0"/>
          <w:bCs w:val="0"/>
          <w:sz w:val="28"/>
          <w:szCs w:val="28"/>
          <w:lang w:eastAsia="zh-CN"/>
        </w:rPr>
        <w:t>上报的由</w:t>
      </w:r>
      <w:r>
        <w:rPr>
          <w:rFonts w:hint="eastAsia" w:ascii="Times New Roman" w:hAnsi="Times New Roman" w:eastAsia="宋体" w:cs="Times New Roman"/>
          <w:b w:val="0"/>
          <w:bCs w:val="0"/>
          <w:sz w:val="28"/>
          <w:szCs w:val="28"/>
          <w:lang w:val="en-US" w:eastAsia="zh-CN"/>
        </w:rPr>
        <w:t>安阳市中诺环境保护咨询</w:t>
      </w:r>
      <w:r>
        <w:rPr>
          <w:rFonts w:hint="eastAsia" w:ascii="Times New Roman" w:hAnsi="Times New Roman" w:eastAsia="宋体" w:cs="Times New Roman"/>
          <w:b w:val="0"/>
          <w:bCs w:val="0"/>
          <w:sz w:val="28"/>
          <w:szCs w:val="28"/>
          <w:lang w:eastAsia="zh-CN"/>
        </w:rPr>
        <w:t>有限公司编制完成的</w:t>
      </w:r>
      <w:r>
        <w:rPr>
          <w:rFonts w:hint="eastAsia" w:ascii="Times New Roman" w:hAnsi="Times New Roman" w:eastAsia="宋体" w:cs="Times New Roman"/>
          <w:b w:val="0"/>
          <w:bCs w:val="0"/>
          <w:sz w:val="28"/>
          <w:szCs w:val="28"/>
        </w:rPr>
        <w:t>《</w:t>
      </w:r>
      <w:r>
        <w:rPr>
          <w:rFonts w:hint="eastAsia" w:ascii="Times New Roman" w:hAnsi="Times New Roman" w:eastAsia="宋体" w:cs="Times New Roman"/>
          <w:b w:val="0"/>
          <w:bCs w:val="0"/>
          <w:sz w:val="28"/>
          <w:szCs w:val="28"/>
          <w:lang w:eastAsia="zh-CN"/>
        </w:rPr>
        <w:t>安阳市</w:t>
      </w:r>
      <w:r>
        <w:rPr>
          <w:rFonts w:hint="eastAsia" w:ascii="Times New Roman" w:hAnsi="Times New Roman" w:eastAsia="宋体" w:cs="Times New Roman"/>
          <w:b w:val="0"/>
          <w:bCs w:val="0"/>
          <w:sz w:val="28"/>
          <w:szCs w:val="28"/>
          <w:lang w:val="en-US" w:eastAsia="zh-CN"/>
        </w:rPr>
        <w:t>杨子</w:t>
      </w:r>
      <w:r>
        <w:rPr>
          <w:rFonts w:hint="eastAsia" w:ascii="Times New Roman" w:hAnsi="Times New Roman" w:eastAsia="宋体" w:cs="Times New Roman"/>
          <w:b w:val="0"/>
          <w:bCs w:val="0"/>
          <w:sz w:val="28"/>
          <w:szCs w:val="28"/>
          <w:lang w:eastAsia="zh-CN"/>
        </w:rPr>
        <w:t>包装材料有限公司塑料制品生产</w:t>
      </w:r>
      <w:r>
        <w:rPr>
          <w:rFonts w:hint="eastAsia" w:ascii="Times New Roman" w:hAnsi="Times New Roman" w:eastAsia="宋体" w:cs="Times New Roman"/>
          <w:b w:val="0"/>
          <w:bCs w:val="0"/>
          <w:sz w:val="28"/>
          <w:szCs w:val="28"/>
        </w:rPr>
        <w:t>项目环境影响报告表》收悉，根据《中华人民共和国环境保护法》《中华人民共和国行政许可法》《中华人民共和国环境影响评价法》《建设项目环境保护管理条例》等法律法规规定</w:t>
      </w:r>
      <w:r>
        <w:rPr>
          <w:rFonts w:hint="eastAsia" w:ascii="Times New Roman" w:hAnsi="Times New Roman" w:eastAsia="宋体" w:cs="Times New Roman"/>
          <w:b w:val="0"/>
          <w:bCs w:val="0"/>
          <w:sz w:val="28"/>
          <w:szCs w:val="28"/>
          <w:lang w:eastAsia="zh-CN"/>
        </w:rPr>
        <w:t>，</w:t>
      </w:r>
      <w:r>
        <w:rPr>
          <w:rFonts w:hint="eastAsia" w:ascii="Times New Roman" w:hAnsi="Times New Roman" w:eastAsia="宋体" w:cs="Times New Roman"/>
          <w:b w:val="0"/>
          <w:bCs w:val="0"/>
          <w:sz w:val="28"/>
          <w:szCs w:val="28"/>
        </w:rPr>
        <w:t>经研究，批复如下：</w:t>
      </w:r>
    </w:p>
    <w:p w14:paraId="12B3A5CC">
      <w:pPr>
        <w:pStyle w:val="11"/>
        <w:keepNext w:val="0"/>
        <w:keepLines w:val="0"/>
        <w:pageBreakBefore w:val="0"/>
        <w:widowControl w:val="0"/>
        <w:kinsoku/>
        <w:wordWrap/>
        <w:overflowPunct/>
        <w:topLinePunct w:val="0"/>
        <w:autoSpaceDE/>
        <w:autoSpaceDN/>
        <w:bidi w:val="0"/>
        <w:adjustRightInd/>
        <w:snapToGrid w:val="0"/>
        <w:spacing w:after="0" w:line="400" w:lineRule="atLeast"/>
        <w:ind w:left="0" w:leftChars="0" w:firstLine="560"/>
        <w:textAlignment w:val="auto"/>
        <w:rPr>
          <w:rFonts w:hint="eastAsia" w:ascii="Times New Roman" w:hAnsi="Times New Roman" w:eastAsia="宋体" w:cs="Times New Roman"/>
          <w:b w:val="0"/>
          <w:bCs w:val="0"/>
          <w:sz w:val="28"/>
          <w:szCs w:val="28"/>
          <w:lang w:eastAsia="zh-CN"/>
        </w:rPr>
      </w:pPr>
      <w:r>
        <w:rPr>
          <w:rFonts w:hint="eastAsia" w:ascii="Times New Roman" w:hAnsi="Times New Roman" w:eastAsia="宋体" w:cs="Times New Roman"/>
          <w:b w:val="0"/>
          <w:bCs w:val="0"/>
          <w:sz w:val="28"/>
          <w:szCs w:val="28"/>
          <w:lang w:eastAsia="zh-CN"/>
        </w:rPr>
        <w:t>一、该项目位于安阳市殷都区先进制造业开发区（滨江社区孟蒋路与荣昌大道交叉口向西240米路南89号），为</w:t>
      </w:r>
      <w:r>
        <w:rPr>
          <w:rFonts w:hint="eastAsia" w:ascii="Times New Roman" w:hAnsi="Times New Roman" w:eastAsia="宋体" w:cs="Times New Roman"/>
          <w:b w:val="0"/>
          <w:bCs w:val="0"/>
          <w:sz w:val="28"/>
          <w:szCs w:val="28"/>
          <w:lang w:val="en-US" w:eastAsia="zh-CN"/>
        </w:rPr>
        <w:t>新建</w:t>
      </w:r>
      <w:r>
        <w:rPr>
          <w:rFonts w:hint="eastAsia" w:ascii="Times New Roman" w:hAnsi="Times New Roman" w:eastAsia="宋体" w:cs="Times New Roman"/>
          <w:b w:val="0"/>
          <w:bCs w:val="0"/>
          <w:sz w:val="28"/>
          <w:szCs w:val="28"/>
          <w:lang w:eastAsia="zh-CN"/>
        </w:rPr>
        <w:t>项目，</w:t>
      </w:r>
      <w:r>
        <w:rPr>
          <w:rFonts w:hint="eastAsia" w:ascii="Times New Roman" w:hAnsi="Times New Roman" w:eastAsia="宋体" w:cs="Times New Roman"/>
          <w:b w:val="0"/>
          <w:bCs w:val="0"/>
          <w:sz w:val="28"/>
          <w:szCs w:val="28"/>
          <w:lang w:val="en-US" w:eastAsia="zh-CN"/>
        </w:rPr>
        <w:t>生产珍珠棉及气泡膜、气泡膜袋。珍珠棉生产工艺：原料--挤出成型--复合--裁剪--冲压成型--贴合--包装；气泡膜及气泡膜袋生产工艺：原料--气泡膜机组--制袋--包装--成品。项目</w:t>
      </w:r>
      <w:r>
        <w:rPr>
          <w:rFonts w:hint="eastAsia" w:ascii="Times New Roman" w:hAnsi="Times New Roman" w:eastAsia="宋体" w:cs="Times New Roman"/>
          <w:b w:val="0"/>
          <w:bCs w:val="0"/>
          <w:sz w:val="28"/>
          <w:szCs w:val="28"/>
          <w:lang w:eastAsia="zh-CN"/>
        </w:rPr>
        <w:t>主要设备：挤出机组、增厚机、裁切机、冲床、贴合机、气泡膜组机、制袋机、边料回收机等及其配套环保设施。产品：珍珠棉</w:t>
      </w:r>
      <w:r>
        <w:rPr>
          <w:rFonts w:hint="eastAsia" w:ascii="Times New Roman" w:hAnsi="Times New Roman" w:eastAsia="宋体" w:cs="Times New Roman"/>
          <w:b w:val="0"/>
          <w:bCs w:val="0"/>
          <w:sz w:val="28"/>
          <w:szCs w:val="28"/>
          <w:lang w:val="en-US" w:eastAsia="zh-CN"/>
        </w:rPr>
        <w:t>、气泡膜、气泡膜袋，主要原料：聚乙烯、甘油、发泡剂</w:t>
      </w:r>
      <w:r>
        <w:rPr>
          <w:rFonts w:hint="eastAsia" w:ascii="Times New Roman" w:hAnsi="Times New Roman" w:eastAsia="宋体" w:cs="Times New Roman"/>
          <w:b w:val="0"/>
          <w:bCs w:val="0"/>
          <w:sz w:val="28"/>
          <w:szCs w:val="28"/>
          <w:lang w:eastAsia="zh-CN"/>
        </w:rPr>
        <w:t>。</w:t>
      </w:r>
    </w:p>
    <w:p w14:paraId="117C7910">
      <w:pPr>
        <w:pStyle w:val="11"/>
        <w:keepNext w:val="0"/>
        <w:keepLines w:val="0"/>
        <w:pageBreakBefore w:val="0"/>
        <w:widowControl w:val="0"/>
        <w:kinsoku/>
        <w:wordWrap/>
        <w:overflowPunct/>
        <w:topLinePunct w:val="0"/>
        <w:autoSpaceDE/>
        <w:autoSpaceDN/>
        <w:bidi w:val="0"/>
        <w:adjustRightInd/>
        <w:snapToGrid w:val="0"/>
        <w:spacing w:after="0" w:line="400" w:lineRule="atLeast"/>
        <w:ind w:left="0" w:leftChars="0" w:firstLine="560"/>
        <w:textAlignment w:val="auto"/>
        <w:rPr>
          <w:rFonts w:hint="default"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二、你单位应全面落实《报告表》提出的各项环境保护措施和要求，各项环境保护设施与主体工程同时设计、同时施工、同时投入使用，确保各项污染物达标排放。</w:t>
      </w:r>
    </w:p>
    <w:p w14:paraId="57B27F18">
      <w:pPr>
        <w:pStyle w:val="11"/>
        <w:keepNext w:val="0"/>
        <w:keepLines w:val="0"/>
        <w:pageBreakBefore w:val="0"/>
        <w:widowControl w:val="0"/>
        <w:kinsoku/>
        <w:wordWrap/>
        <w:overflowPunct/>
        <w:topLinePunct w:val="0"/>
        <w:autoSpaceDE/>
        <w:autoSpaceDN/>
        <w:bidi w:val="0"/>
        <w:adjustRightInd/>
        <w:snapToGrid w:val="0"/>
        <w:spacing w:after="0" w:line="400" w:lineRule="atLeast"/>
        <w:ind w:left="0" w:leftChars="0" w:firstLine="560"/>
        <w:textAlignment w:val="auto"/>
        <w:rPr>
          <w:rFonts w:hint="default"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三、废气：严格落实大气污染防治措施。该项目运营期挤出、复合、贴合、制袋等工序设置密闭装置，经引风机引至一套活性炭吸附浓缩+催化燃烧装置处理后，由不低于15m排气筒达标排放，应满足《合成树脂工业污染物排放标准》（</w:t>
      </w:r>
      <w:r>
        <w:rPr>
          <w:rFonts w:hint="default" w:ascii="Times New Roman" w:hAnsi="Times New Roman" w:eastAsia="宋体" w:cs="Times New Roman"/>
          <w:b w:val="0"/>
          <w:bCs w:val="0"/>
          <w:sz w:val="28"/>
          <w:szCs w:val="28"/>
          <w:lang w:val="en-US" w:eastAsia="zh-CN"/>
        </w:rPr>
        <w:t>GB31572-2015</w:t>
      </w:r>
      <w:r>
        <w:rPr>
          <w:rFonts w:hint="eastAsia" w:ascii="Times New Roman" w:hAnsi="Times New Roman" w:eastAsia="宋体" w:cs="Times New Roman"/>
          <w:b w:val="0"/>
          <w:bCs w:val="0"/>
          <w:sz w:val="28"/>
          <w:szCs w:val="28"/>
          <w:lang w:val="en-US" w:eastAsia="zh-CN"/>
        </w:rPr>
        <w:t>）及2024年修改单表</w:t>
      </w:r>
      <w:r>
        <w:rPr>
          <w:rFonts w:hint="default" w:ascii="Times New Roman" w:hAnsi="Times New Roman" w:eastAsia="宋体" w:cs="Times New Roman"/>
          <w:b w:val="0"/>
          <w:bCs w:val="0"/>
          <w:sz w:val="28"/>
          <w:szCs w:val="28"/>
          <w:lang w:val="en-US" w:eastAsia="zh-CN"/>
        </w:rPr>
        <w:t>5</w:t>
      </w:r>
      <w:r>
        <w:rPr>
          <w:rFonts w:hint="eastAsia" w:ascii="Times New Roman" w:hAnsi="Times New Roman" w:eastAsia="宋体" w:cs="Times New Roman"/>
          <w:b w:val="0"/>
          <w:bCs w:val="0"/>
          <w:sz w:val="28"/>
          <w:szCs w:val="28"/>
          <w:lang w:val="en-US" w:eastAsia="zh-CN"/>
        </w:rPr>
        <w:t>大气污染物特别排放限值：非甲烷总烃排放限值</w:t>
      </w:r>
      <w:r>
        <w:rPr>
          <w:rFonts w:hint="default" w:ascii="Times New Roman" w:hAnsi="Times New Roman" w:eastAsia="宋体" w:cs="Times New Roman"/>
          <w:b w:val="0"/>
          <w:bCs w:val="0"/>
          <w:sz w:val="28"/>
          <w:szCs w:val="28"/>
          <w:lang w:val="en-US" w:eastAsia="zh-CN"/>
        </w:rPr>
        <w:t>60mg/m3</w:t>
      </w:r>
      <w:r>
        <w:rPr>
          <w:rFonts w:hint="eastAsia" w:ascii="Times New Roman" w:hAnsi="Times New Roman" w:eastAsia="宋体" w:cs="Times New Roman"/>
          <w:b w:val="0"/>
          <w:bCs w:val="0"/>
          <w:sz w:val="28"/>
          <w:szCs w:val="28"/>
          <w:lang w:val="en-US" w:eastAsia="zh-CN"/>
        </w:rPr>
        <w:t>；厂界污染物排放应满足《合成树脂工业污染物排放标准》（GB31572-2015）及2024年修改单排放限值：颗粒物限值1.0mg/m3、非甲烷总烃4.0mg/m3；同时满足《关于全省开展工业企业挥发性有机物专项治理工作中排放建议值的通知》（豫环攻坚办[2017]162号）、《挥发性有机物无组织排放控制标准》（GB37822-2019）、《河南省重污染天气重点行业应急减排措施制定技术指南（2024年修订版）》中塑料制品行业A级绩效中相关要求。</w:t>
      </w:r>
    </w:p>
    <w:p w14:paraId="0CD0D60A">
      <w:pPr>
        <w:pStyle w:val="11"/>
        <w:keepNext w:val="0"/>
        <w:keepLines w:val="0"/>
        <w:pageBreakBefore w:val="0"/>
        <w:widowControl w:val="0"/>
        <w:kinsoku/>
        <w:wordWrap/>
        <w:overflowPunct/>
        <w:topLinePunct w:val="0"/>
        <w:autoSpaceDE/>
        <w:autoSpaceDN/>
        <w:bidi w:val="0"/>
        <w:adjustRightInd/>
        <w:snapToGrid w:val="0"/>
        <w:spacing w:after="0" w:line="400" w:lineRule="atLeast"/>
        <w:ind w:left="0" w:leftChars="0" w:firstLine="56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四、废水：严格落实水污染防治措施。项目挤出机组及气泡膜机组冷却水循环使用</w:t>
      </w:r>
      <w:r>
        <w:rPr>
          <w:rFonts w:hint="default" w:ascii="Times New Roman" w:hAnsi="Times New Roman" w:eastAsia="宋体" w:cs="Times New Roman"/>
          <w:b w:val="0"/>
          <w:bCs w:val="0"/>
          <w:sz w:val="28"/>
          <w:szCs w:val="28"/>
          <w:lang w:val="en-US" w:eastAsia="zh-CN"/>
        </w:rPr>
        <w:t>，不外排；</w:t>
      </w:r>
      <w:r>
        <w:rPr>
          <w:rFonts w:hint="eastAsia" w:ascii="Times New Roman" w:hAnsi="Times New Roman" w:eastAsia="宋体" w:cs="Times New Roman"/>
          <w:b w:val="0"/>
          <w:bCs w:val="0"/>
          <w:sz w:val="28"/>
          <w:szCs w:val="28"/>
          <w:lang w:val="en-US" w:eastAsia="zh-CN"/>
        </w:rPr>
        <w:t>职工生活废水化粪池处理后，排放至水冶镇首创污水处理厂，满足《污水综合排放标准》（GB8978-1996）</w:t>
      </w:r>
      <w:r>
        <w:rPr>
          <w:rFonts w:hint="eastAsia" w:ascii="Times New Roman" w:hAnsi="Times New Roman" w:eastAsia="宋体" w:cs="Times New Roman"/>
          <w:b w:val="0"/>
          <w:bCs w:val="0"/>
          <w:sz w:val="28"/>
          <w:szCs w:val="28"/>
          <w:lang w:val="en-US" w:eastAsia="zh-CN"/>
        </w:rPr>
        <w:t>及水冶镇首创污水处理厂进水水质相关要求。</w:t>
      </w:r>
    </w:p>
    <w:p w14:paraId="243E9663">
      <w:pPr>
        <w:pStyle w:val="11"/>
        <w:keepNext w:val="0"/>
        <w:keepLines w:val="0"/>
        <w:pageBreakBefore w:val="0"/>
        <w:widowControl w:val="0"/>
        <w:kinsoku/>
        <w:wordWrap/>
        <w:overflowPunct/>
        <w:topLinePunct w:val="0"/>
        <w:autoSpaceDE/>
        <w:autoSpaceDN/>
        <w:bidi w:val="0"/>
        <w:adjustRightInd/>
        <w:snapToGrid w:val="0"/>
        <w:spacing w:after="0" w:line="400" w:lineRule="atLeast"/>
        <w:ind w:left="0" w:leftChars="0" w:firstLine="56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五、噪声：严格落实噪声污染防治措施。采取消声器+基础减振、加强管理、厂房隔声等措施降低噪声，厂界噪声排放满足《工业企业厂界环境噪声排放标准》（GB12348-2008）中3类限值：昼间≤65dB(A)，夜间≤55dB(A)。</w:t>
      </w:r>
    </w:p>
    <w:p w14:paraId="68444024">
      <w:pPr>
        <w:pStyle w:val="11"/>
        <w:keepNext w:val="0"/>
        <w:keepLines w:val="0"/>
        <w:pageBreakBefore w:val="0"/>
        <w:widowControl w:val="0"/>
        <w:kinsoku/>
        <w:wordWrap/>
        <w:overflowPunct/>
        <w:topLinePunct w:val="0"/>
        <w:autoSpaceDE/>
        <w:autoSpaceDN/>
        <w:bidi w:val="0"/>
        <w:adjustRightInd/>
        <w:snapToGrid w:val="0"/>
        <w:spacing w:after="0" w:line="400" w:lineRule="atLeast"/>
        <w:ind w:left="0" w:leftChars="0" w:firstLine="56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eastAsia="zh-CN"/>
        </w:rPr>
        <w:t>六、固废：严格落实固体废物处置措施。项</w:t>
      </w:r>
      <w:r>
        <w:rPr>
          <w:rFonts w:hint="eastAsia" w:ascii="Times New Roman" w:hAnsi="Times New Roman" w:eastAsia="宋体" w:cs="Times New Roman"/>
          <w:b w:val="0"/>
          <w:bCs w:val="0"/>
          <w:sz w:val="28"/>
          <w:szCs w:val="28"/>
          <w:lang w:val="en-US" w:eastAsia="zh-CN"/>
        </w:rPr>
        <w:t>目一般固废废</w:t>
      </w:r>
      <w:r>
        <w:rPr>
          <w:rFonts w:hint="eastAsia" w:ascii="Times New Roman" w:hAnsi="Times New Roman" w:eastAsia="宋体" w:cs="Times New Roman"/>
          <w:b w:val="0"/>
          <w:bCs w:val="0"/>
          <w:sz w:val="28"/>
          <w:szCs w:val="28"/>
          <w:lang w:eastAsia="zh-CN"/>
        </w:rPr>
        <w:t>边角料、不合格产品、废弃包装等车间内暂存区域暂存，合理处置；职工生活垃圾由环卫部门定期清运</w:t>
      </w:r>
      <w:r>
        <w:rPr>
          <w:rFonts w:hint="eastAsia" w:ascii="Times New Roman" w:hAnsi="Times New Roman" w:eastAsia="宋体" w:cs="Times New Roman"/>
          <w:b w:val="0"/>
          <w:bCs w:val="0"/>
          <w:sz w:val="28"/>
          <w:szCs w:val="28"/>
          <w:lang w:val="en-US" w:eastAsia="zh-CN"/>
        </w:rPr>
        <w:t>，满足《一般工业固体废物贮存</w:t>
      </w:r>
      <w:r>
        <w:rPr>
          <w:rFonts w:hint="eastAsia" w:ascii="Times New Roman" w:hAnsi="Times New Roman" w:eastAsia="宋体" w:cs="Times New Roman"/>
          <w:b w:val="0"/>
          <w:bCs w:val="0"/>
          <w:sz w:val="28"/>
          <w:szCs w:val="28"/>
          <w:lang w:eastAsia="zh-CN"/>
        </w:rPr>
        <w:t>和填埋污染控制标准》（GB18599-2020）中的相关要求及《中华人民共和国固体废物污染环境防治法》（2020年修订）中工业固体废物管理条款要求执行；废活性炭、废催化剂、</w:t>
      </w:r>
      <w:r>
        <w:rPr>
          <w:rFonts w:hint="eastAsia" w:ascii="Times New Roman" w:hAnsi="Times New Roman" w:eastAsia="宋体" w:cs="Times New Roman"/>
          <w:b w:val="0"/>
          <w:bCs w:val="0"/>
          <w:sz w:val="28"/>
          <w:szCs w:val="28"/>
          <w:lang w:val="en-US" w:eastAsia="zh-CN"/>
        </w:rPr>
        <w:t>废过滤棉、废润滑油及其废油</w:t>
      </w:r>
      <w:bookmarkStart w:id="0" w:name="_GoBack"/>
      <w:bookmarkEnd w:id="0"/>
      <w:r>
        <w:rPr>
          <w:rFonts w:hint="eastAsia" w:ascii="Times New Roman" w:hAnsi="Times New Roman" w:eastAsia="宋体" w:cs="Times New Roman"/>
          <w:b w:val="0"/>
          <w:bCs w:val="0"/>
          <w:sz w:val="28"/>
          <w:szCs w:val="28"/>
          <w:lang w:val="en-US" w:eastAsia="zh-CN"/>
        </w:rPr>
        <w:t>桶等</w:t>
      </w:r>
      <w:r>
        <w:rPr>
          <w:rFonts w:hint="eastAsia" w:ascii="Times New Roman" w:hAnsi="Times New Roman" w:eastAsia="宋体" w:cs="Times New Roman"/>
          <w:b w:val="0"/>
          <w:bCs w:val="0"/>
          <w:sz w:val="28"/>
          <w:szCs w:val="28"/>
          <w:lang w:eastAsia="zh-CN"/>
        </w:rPr>
        <w:t>危废间暂存，定期交有资质单位回收处置，满足</w:t>
      </w:r>
      <w:r>
        <w:rPr>
          <w:rFonts w:hint="eastAsia" w:ascii="Times New Roman" w:hAnsi="Times New Roman" w:eastAsia="宋体" w:cs="Times New Roman"/>
          <w:b w:val="0"/>
          <w:bCs w:val="0"/>
          <w:sz w:val="28"/>
          <w:szCs w:val="28"/>
        </w:rPr>
        <w:t>《危险废物贮存污染控制标准》（GB18597-</w:t>
      </w:r>
      <w:r>
        <w:rPr>
          <w:rFonts w:hint="eastAsia" w:ascii="Times New Roman" w:hAnsi="Times New Roman" w:eastAsia="宋体" w:cs="Times New Roman"/>
          <w:b w:val="0"/>
          <w:bCs w:val="0"/>
          <w:sz w:val="28"/>
          <w:szCs w:val="28"/>
          <w:lang w:val="en-US" w:eastAsia="zh-CN"/>
        </w:rPr>
        <w:t>2023</w:t>
      </w:r>
      <w:r>
        <w:rPr>
          <w:rFonts w:hint="eastAsia" w:ascii="Times New Roman" w:hAnsi="Times New Roman" w:eastAsia="宋体" w:cs="Times New Roman"/>
          <w:b w:val="0"/>
          <w:bCs w:val="0"/>
          <w:sz w:val="28"/>
          <w:szCs w:val="28"/>
        </w:rPr>
        <w:t>）中的有关规定要求</w:t>
      </w:r>
      <w:r>
        <w:rPr>
          <w:rFonts w:hint="eastAsia" w:ascii="Times New Roman" w:hAnsi="Times New Roman" w:eastAsia="宋体" w:cs="Times New Roman"/>
          <w:b w:val="0"/>
          <w:bCs w:val="0"/>
          <w:sz w:val="28"/>
          <w:szCs w:val="28"/>
          <w:lang w:eastAsia="zh-CN"/>
        </w:rPr>
        <w:t>。</w:t>
      </w:r>
      <w:r>
        <w:rPr>
          <w:rFonts w:hint="eastAsia" w:ascii="Times New Roman" w:hAnsi="Times New Roman" w:eastAsia="宋体" w:cs="Times New Roman"/>
          <w:b w:val="0"/>
          <w:bCs w:val="0"/>
          <w:sz w:val="28"/>
          <w:szCs w:val="28"/>
          <w:lang w:val="en-US" w:eastAsia="zh-CN"/>
        </w:rPr>
        <w:t xml:space="preserve">     </w:t>
      </w:r>
    </w:p>
    <w:p w14:paraId="4F07866D">
      <w:pPr>
        <w:pStyle w:val="11"/>
        <w:keepNext w:val="0"/>
        <w:keepLines w:val="0"/>
        <w:pageBreakBefore w:val="0"/>
        <w:widowControl w:val="0"/>
        <w:kinsoku/>
        <w:wordWrap/>
        <w:overflowPunct/>
        <w:topLinePunct w:val="0"/>
        <w:autoSpaceDE/>
        <w:autoSpaceDN/>
        <w:bidi w:val="0"/>
        <w:adjustRightInd/>
        <w:snapToGrid w:val="0"/>
        <w:spacing w:after="0" w:line="400" w:lineRule="atLeast"/>
        <w:ind w:left="0" w:leftChars="0" w:firstLine="56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eastAsia="zh-CN"/>
        </w:rPr>
        <w:t>七</w:t>
      </w:r>
      <w:r>
        <w:rPr>
          <w:rFonts w:hint="eastAsia" w:ascii="Times New Roman" w:hAnsi="Times New Roman" w:eastAsia="宋体" w:cs="Times New Roman"/>
          <w:b w:val="0"/>
          <w:bCs w:val="0"/>
          <w:sz w:val="28"/>
          <w:szCs w:val="28"/>
        </w:rPr>
        <w:t>、</w:t>
      </w:r>
      <w:r>
        <w:rPr>
          <w:rFonts w:hint="eastAsia" w:ascii="Times New Roman" w:hAnsi="Times New Roman" w:eastAsia="宋体" w:cs="Times New Roman"/>
          <w:b w:val="0"/>
          <w:bCs w:val="0"/>
          <w:sz w:val="28"/>
          <w:szCs w:val="28"/>
          <w:lang w:val="en-US" w:eastAsia="zh-CN"/>
        </w:rPr>
        <w:t>该</w:t>
      </w:r>
      <w:r>
        <w:rPr>
          <w:rFonts w:hint="eastAsia" w:ascii="Times New Roman" w:hAnsi="Times New Roman" w:eastAsia="宋体" w:cs="Times New Roman"/>
          <w:b w:val="0"/>
          <w:bCs w:val="0"/>
          <w:sz w:val="28"/>
          <w:szCs w:val="28"/>
        </w:rPr>
        <w:t>项目</w:t>
      </w:r>
      <w:r>
        <w:rPr>
          <w:rFonts w:hint="eastAsia" w:ascii="Times New Roman" w:hAnsi="Times New Roman" w:eastAsia="宋体" w:cs="Times New Roman"/>
          <w:b w:val="0"/>
          <w:bCs w:val="0"/>
          <w:sz w:val="28"/>
          <w:szCs w:val="28"/>
          <w:lang w:eastAsia="zh-CN"/>
        </w:rPr>
        <w:t>建成后，</w:t>
      </w:r>
      <w:r>
        <w:rPr>
          <w:rFonts w:hint="eastAsia" w:ascii="Times New Roman" w:hAnsi="Times New Roman" w:eastAsia="宋体" w:cs="Times New Roman"/>
          <w:b w:val="0"/>
          <w:bCs w:val="0"/>
          <w:sz w:val="28"/>
          <w:szCs w:val="28"/>
          <w:lang w:val="en-US" w:eastAsia="zh-CN"/>
        </w:rPr>
        <w:t>污染物</w:t>
      </w:r>
      <w:r>
        <w:rPr>
          <w:rFonts w:hint="eastAsia" w:ascii="Times New Roman" w:hAnsi="Times New Roman" w:eastAsia="宋体" w:cs="Times New Roman"/>
          <w:b w:val="0"/>
          <w:bCs w:val="0"/>
          <w:sz w:val="28"/>
          <w:szCs w:val="28"/>
        </w:rPr>
        <w:t>总量指标</w:t>
      </w:r>
      <w:r>
        <w:rPr>
          <w:rFonts w:hint="eastAsia" w:ascii="Times New Roman" w:hAnsi="Times New Roman" w:eastAsia="宋体" w:cs="Times New Roman"/>
          <w:b w:val="0"/>
          <w:bCs w:val="0"/>
          <w:sz w:val="28"/>
          <w:szCs w:val="28"/>
          <w:lang w:eastAsia="zh-CN"/>
        </w:rPr>
        <w:t>COD：0.0048t/a；NH3-N：0.0005t/a；非甲烷总烃0.3355t/a。严格按照安阳市生态环境局殷都分局关于《安阳市杨子包装材料有限公司塑料制品生产项目》污染物总量控制指标倍量替代的情况说明执行</w:t>
      </w:r>
      <w:r>
        <w:rPr>
          <w:rFonts w:hint="eastAsia" w:ascii="Times New Roman" w:hAnsi="Times New Roman" w:eastAsia="宋体" w:cs="Times New Roman"/>
          <w:b w:val="0"/>
          <w:bCs w:val="0"/>
          <w:sz w:val="28"/>
          <w:szCs w:val="28"/>
          <w:lang w:val="en-US" w:eastAsia="zh-CN"/>
        </w:rPr>
        <w:t>。</w:t>
      </w:r>
    </w:p>
    <w:p w14:paraId="3D7463F6">
      <w:pPr>
        <w:pStyle w:val="11"/>
        <w:keepNext w:val="0"/>
        <w:keepLines w:val="0"/>
        <w:pageBreakBefore w:val="0"/>
        <w:widowControl w:val="0"/>
        <w:kinsoku/>
        <w:wordWrap/>
        <w:overflowPunct/>
        <w:topLinePunct w:val="0"/>
        <w:autoSpaceDE/>
        <w:autoSpaceDN/>
        <w:bidi w:val="0"/>
        <w:adjustRightInd/>
        <w:snapToGrid w:val="0"/>
        <w:spacing w:after="0" w:line="400" w:lineRule="atLeast"/>
        <w:ind w:left="0" w:leftChars="0" w:firstLine="560"/>
        <w:textAlignment w:val="auto"/>
        <w:rPr>
          <w:rFonts w:hint="eastAsia" w:ascii="Times New Roman" w:hAnsi="Times New Roman" w:eastAsia="宋体" w:cs="Times New Roman"/>
          <w:b w:val="0"/>
          <w:bCs w:val="0"/>
          <w:sz w:val="28"/>
          <w:szCs w:val="28"/>
          <w:lang w:eastAsia="zh-CN"/>
        </w:rPr>
      </w:pPr>
      <w:r>
        <w:rPr>
          <w:rFonts w:hint="eastAsia" w:ascii="Times New Roman" w:hAnsi="Times New Roman" w:eastAsia="宋体" w:cs="Times New Roman"/>
          <w:b w:val="0"/>
          <w:bCs w:val="0"/>
          <w:sz w:val="28"/>
          <w:szCs w:val="28"/>
          <w:lang w:eastAsia="zh-CN"/>
        </w:rPr>
        <w:t>八</w:t>
      </w:r>
      <w:r>
        <w:rPr>
          <w:rFonts w:hint="eastAsia" w:ascii="Times New Roman" w:hAnsi="Times New Roman" w:eastAsia="宋体" w:cs="Times New Roman"/>
          <w:b w:val="0"/>
          <w:bCs w:val="0"/>
          <w:sz w:val="28"/>
          <w:szCs w:val="28"/>
        </w:rPr>
        <w:t>、</w:t>
      </w:r>
      <w:r>
        <w:rPr>
          <w:rFonts w:hint="eastAsia" w:ascii="Times New Roman" w:hAnsi="Times New Roman" w:eastAsia="宋体" w:cs="Times New Roman"/>
          <w:b w:val="0"/>
          <w:bCs w:val="0"/>
          <w:sz w:val="28"/>
          <w:szCs w:val="28"/>
          <w:lang w:val="en-US" w:eastAsia="zh-CN"/>
        </w:rPr>
        <w:t>该</w:t>
      </w:r>
      <w:r>
        <w:rPr>
          <w:rFonts w:hint="eastAsia" w:ascii="Times New Roman" w:hAnsi="Times New Roman" w:eastAsia="宋体" w:cs="Times New Roman"/>
          <w:b w:val="0"/>
          <w:bCs w:val="0"/>
          <w:sz w:val="28"/>
          <w:szCs w:val="28"/>
        </w:rPr>
        <w:t>项目投产前，建设单位须按照规定程序和要求办理排污许可，并按照规定及时进行竣工环境保护验收，验收合格后方可正式投入运营</w:t>
      </w:r>
      <w:r>
        <w:rPr>
          <w:rFonts w:hint="eastAsia" w:ascii="Times New Roman" w:hAnsi="Times New Roman" w:eastAsia="宋体" w:cs="Times New Roman"/>
          <w:b w:val="0"/>
          <w:bCs w:val="0"/>
          <w:sz w:val="28"/>
          <w:szCs w:val="28"/>
          <w:lang w:eastAsia="zh-CN"/>
        </w:rPr>
        <w:t>。</w:t>
      </w:r>
    </w:p>
    <w:p w14:paraId="750B6F83">
      <w:pPr>
        <w:pStyle w:val="11"/>
        <w:keepNext w:val="0"/>
        <w:keepLines w:val="0"/>
        <w:pageBreakBefore w:val="0"/>
        <w:widowControl w:val="0"/>
        <w:kinsoku/>
        <w:wordWrap/>
        <w:overflowPunct/>
        <w:topLinePunct w:val="0"/>
        <w:autoSpaceDE/>
        <w:autoSpaceDN/>
        <w:bidi w:val="0"/>
        <w:adjustRightInd/>
        <w:snapToGrid w:val="0"/>
        <w:spacing w:after="0" w:line="400" w:lineRule="atLeast"/>
        <w:ind w:left="0" w:leftChars="0" w:firstLine="56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eastAsia="zh-CN"/>
        </w:rPr>
        <w:t>九</w:t>
      </w:r>
      <w:r>
        <w:rPr>
          <w:rFonts w:hint="eastAsia" w:ascii="Times New Roman" w:hAnsi="Times New Roman" w:eastAsia="宋体" w:cs="Times New Roman"/>
          <w:b w:val="0"/>
          <w:bCs w:val="0"/>
          <w:sz w:val="28"/>
          <w:szCs w:val="28"/>
        </w:rPr>
        <w:t>、</w:t>
      </w:r>
      <w:r>
        <w:rPr>
          <w:rFonts w:hint="eastAsia" w:ascii="Times New Roman" w:hAnsi="Times New Roman" w:eastAsia="宋体" w:cs="Times New Roman"/>
          <w:b w:val="0"/>
          <w:bCs w:val="0"/>
          <w:sz w:val="28"/>
          <w:szCs w:val="28"/>
          <w:lang w:eastAsia="zh-CN"/>
        </w:rPr>
        <w:t>该项目环境影响报告表自批准之日起满</w:t>
      </w:r>
      <w:r>
        <w:rPr>
          <w:rFonts w:hint="eastAsia" w:ascii="Times New Roman" w:hAnsi="Times New Roman" w:eastAsia="宋体" w:cs="Times New Roman"/>
          <w:b w:val="0"/>
          <w:bCs w:val="0"/>
          <w:sz w:val="28"/>
          <w:szCs w:val="28"/>
          <w:lang w:val="en-US" w:eastAsia="zh-CN"/>
        </w:rPr>
        <w:t>5年，项目方开工建设的，</w:t>
      </w:r>
      <w:r>
        <w:rPr>
          <w:rFonts w:hint="eastAsia" w:ascii="Times New Roman" w:hAnsi="Times New Roman" w:eastAsia="宋体" w:cs="Times New Roman"/>
          <w:b w:val="0"/>
          <w:bCs w:val="0"/>
          <w:sz w:val="28"/>
          <w:szCs w:val="28"/>
          <w:lang w:eastAsia="zh-CN"/>
        </w:rPr>
        <w:t>环境影响报告表应报我局重新审核。如该项目的性质、规模、地点、采用的生产工艺或者防治污染、防治生态破坏的措施发生重大变动，须重新报批环境影响评价文件。</w:t>
      </w:r>
    </w:p>
    <w:p w14:paraId="06BF2211">
      <w:pPr>
        <w:pStyle w:val="11"/>
        <w:keepNext w:val="0"/>
        <w:keepLines w:val="0"/>
        <w:pageBreakBefore w:val="0"/>
        <w:widowControl w:val="0"/>
        <w:kinsoku/>
        <w:wordWrap/>
        <w:overflowPunct/>
        <w:topLinePunct w:val="0"/>
        <w:autoSpaceDE/>
        <w:autoSpaceDN/>
        <w:bidi w:val="0"/>
        <w:adjustRightInd/>
        <w:snapToGrid w:val="0"/>
        <w:spacing w:after="0" w:line="400" w:lineRule="atLeast"/>
        <w:ind w:left="0" w:leftChars="0" w:firstLine="560"/>
        <w:textAlignment w:val="auto"/>
        <w:rPr>
          <w:rFonts w:hint="eastAsia" w:ascii="Times New Roman" w:hAnsi="Times New Roman" w:eastAsia="宋体" w:cs="Times New Roman"/>
          <w:b w:val="0"/>
          <w:bCs w:val="0"/>
          <w:sz w:val="28"/>
          <w:szCs w:val="28"/>
          <w:lang w:val="en-US" w:eastAsia="zh-CN"/>
        </w:rPr>
      </w:pPr>
    </w:p>
    <w:p w14:paraId="71C65ADD">
      <w:pPr>
        <w:pStyle w:val="11"/>
        <w:keepNext w:val="0"/>
        <w:keepLines w:val="0"/>
        <w:pageBreakBefore w:val="0"/>
        <w:widowControl w:val="0"/>
        <w:kinsoku/>
        <w:wordWrap/>
        <w:overflowPunct/>
        <w:topLinePunct w:val="0"/>
        <w:autoSpaceDE/>
        <w:autoSpaceDN/>
        <w:bidi w:val="0"/>
        <w:adjustRightInd/>
        <w:snapToGrid w:val="0"/>
        <w:spacing w:after="0" w:line="400" w:lineRule="atLeast"/>
        <w:ind w:left="0" w:leftChars="0" w:firstLine="5600" w:firstLineChars="2000"/>
        <w:textAlignment w:val="auto"/>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2025年4月18日</w:t>
      </w:r>
    </w:p>
    <w:sectPr>
      <w:footerReference r:id="rId5" w:type="default"/>
      <w:pgSz w:w="11906" w:h="16838"/>
      <w:pgMar w:top="1160" w:right="1426" w:bottom="1894" w:left="1520" w:header="851" w:footer="907"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7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7AF1F">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A0AB0A">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AA0AB0A">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NDk5OWI1NGZlMzBkZWRhYTM4NjFiMTU3NDZjOTQifQ=="/>
  </w:docVars>
  <w:rsids>
    <w:rsidRoot w:val="00A62CBE"/>
    <w:rsid w:val="000B74D1"/>
    <w:rsid w:val="001929D4"/>
    <w:rsid w:val="00315BD8"/>
    <w:rsid w:val="003254AA"/>
    <w:rsid w:val="004E2611"/>
    <w:rsid w:val="005A1B3A"/>
    <w:rsid w:val="007A51B4"/>
    <w:rsid w:val="008122B5"/>
    <w:rsid w:val="00867FFD"/>
    <w:rsid w:val="00A62CBE"/>
    <w:rsid w:val="00C8114B"/>
    <w:rsid w:val="00FC41A5"/>
    <w:rsid w:val="01B71F37"/>
    <w:rsid w:val="02B90964"/>
    <w:rsid w:val="02EF47D3"/>
    <w:rsid w:val="056B77C2"/>
    <w:rsid w:val="05797932"/>
    <w:rsid w:val="060E0879"/>
    <w:rsid w:val="065E7345"/>
    <w:rsid w:val="06714667"/>
    <w:rsid w:val="06A4405C"/>
    <w:rsid w:val="06E47F98"/>
    <w:rsid w:val="07031E86"/>
    <w:rsid w:val="071240CE"/>
    <w:rsid w:val="075229E7"/>
    <w:rsid w:val="078D65B7"/>
    <w:rsid w:val="081B4232"/>
    <w:rsid w:val="08F63846"/>
    <w:rsid w:val="092D525E"/>
    <w:rsid w:val="0A6A1C12"/>
    <w:rsid w:val="0A8F13E6"/>
    <w:rsid w:val="0AB539B9"/>
    <w:rsid w:val="0ABD5454"/>
    <w:rsid w:val="0ACF6947"/>
    <w:rsid w:val="0B0A1F5B"/>
    <w:rsid w:val="0CA3106B"/>
    <w:rsid w:val="0D0803A0"/>
    <w:rsid w:val="0DAD7421"/>
    <w:rsid w:val="0DAE2941"/>
    <w:rsid w:val="0E1C78AB"/>
    <w:rsid w:val="0EB511B5"/>
    <w:rsid w:val="0EDE7F6C"/>
    <w:rsid w:val="0F9152E4"/>
    <w:rsid w:val="10207B26"/>
    <w:rsid w:val="103A04BC"/>
    <w:rsid w:val="104A13A0"/>
    <w:rsid w:val="10C971F3"/>
    <w:rsid w:val="11D02E86"/>
    <w:rsid w:val="12062D4C"/>
    <w:rsid w:val="12D37038"/>
    <w:rsid w:val="136917E4"/>
    <w:rsid w:val="13F56BD4"/>
    <w:rsid w:val="146855F8"/>
    <w:rsid w:val="14FB46BE"/>
    <w:rsid w:val="1573694A"/>
    <w:rsid w:val="159643E7"/>
    <w:rsid w:val="1598015F"/>
    <w:rsid w:val="162561E4"/>
    <w:rsid w:val="16846ACB"/>
    <w:rsid w:val="16C34C92"/>
    <w:rsid w:val="16E21E1B"/>
    <w:rsid w:val="1703785A"/>
    <w:rsid w:val="1706205E"/>
    <w:rsid w:val="17137F4A"/>
    <w:rsid w:val="17577696"/>
    <w:rsid w:val="176F3141"/>
    <w:rsid w:val="17AC2437"/>
    <w:rsid w:val="17CA0378"/>
    <w:rsid w:val="17E94CA2"/>
    <w:rsid w:val="182A321C"/>
    <w:rsid w:val="18FA6A3B"/>
    <w:rsid w:val="19A7345A"/>
    <w:rsid w:val="19D92AF4"/>
    <w:rsid w:val="19EC6CCB"/>
    <w:rsid w:val="19F8741E"/>
    <w:rsid w:val="1A0A52F8"/>
    <w:rsid w:val="1A1F0E4F"/>
    <w:rsid w:val="1A8F286E"/>
    <w:rsid w:val="1AD94070"/>
    <w:rsid w:val="1B1E72B7"/>
    <w:rsid w:val="1B6F67F2"/>
    <w:rsid w:val="1CD557F5"/>
    <w:rsid w:val="1CFC7225"/>
    <w:rsid w:val="1D6A3933"/>
    <w:rsid w:val="1DFE5FEC"/>
    <w:rsid w:val="1E120BD7"/>
    <w:rsid w:val="1E796A23"/>
    <w:rsid w:val="1E955484"/>
    <w:rsid w:val="1EDD3086"/>
    <w:rsid w:val="1EFA29C9"/>
    <w:rsid w:val="1FAF51F7"/>
    <w:rsid w:val="1FEE1AC6"/>
    <w:rsid w:val="1FEF212D"/>
    <w:rsid w:val="20815FEC"/>
    <w:rsid w:val="212A5A09"/>
    <w:rsid w:val="214F2409"/>
    <w:rsid w:val="215D233E"/>
    <w:rsid w:val="219E4D4F"/>
    <w:rsid w:val="230A28A2"/>
    <w:rsid w:val="238A41F2"/>
    <w:rsid w:val="23EF1892"/>
    <w:rsid w:val="245C7B35"/>
    <w:rsid w:val="24746A72"/>
    <w:rsid w:val="25DD571A"/>
    <w:rsid w:val="264123C4"/>
    <w:rsid w:val="26867B60"/>
    <w:rsid w:val="26E44A40"/>
    <w:rsid w:val="26F66D89"/>
    <w:rsid w:val="270F7B55"/>
    <w:rsid w:val="274A6DDF"/>
    <w:rsid w:val="276F6846"/>
    <w:rsid w:val="27B0758A"/>
    <w:rsid w:val="27BA5D13"/>
    <w:rsid w:val="28ED683F"/>
    <w:rsid w:val="29A75B4F"/>
    <w:rsid w:val="29C54E43"/>
    <w:rsid w:val="2A005C7C"/>
    <w:rsid w:val="2ACE3B76"/>
    <w:rsid w:val="2B6568DD"/>
    <w:rsid w:val="2B6C37C8"/>
    <w:rsid w:val="2B8C54E2"/>
    <w:rsid w:val="2D177764"/>
    <w:rsid w:val="2D361B50"/>
    <w:rsid w:val="2D4B4598"/>
    <w:rsid w:val="2D986AF6"/>
    <w:rsid w:val="2E6B420B"/>
    <w:rsid w:val="2E782484"/>
    <w:rsid w:val="2EAA5231"/>
    <w:rsid w:val="2EDE582C"/>
    <w:rsid w:val="2EEC33A2"/>
    <w:rsid w:val="2F146650"/>
    <w:rsid w:val="2F77098D"/>
    <w:rsid w:val="2FBB53B0"/>
    <w:rsid w:val="2FF63532"/>
    <w:rsid w:val="307355F9"/>
    <w:rsid w:val="31254919"/>
    <w:rsid w:val="31A40345"/>
    <w:rsid w:val="31D74ED9"/>
    <w:rsid w:val="325F576F"/>
    <w:rsid w:val="3265147C"/>
    <w:rsid w:val="334058F2"/>
    <w:rsid w:val="33875CBB"/>
    <w:rsid w:val="33E74334"/>
    <w:rsid w:val="34351BE5"/>
    <w:rsid w:val="34A669E6"/>
    <w:rsid w:val="351078BA"/>
    <w:rsid w:val="355F7EFA"/>
    <w:rsid w:val="35B137B2"/>
    <w:rsid w:val="35B1794D"/>
    <w:rsid w:val="35B475B6"/>
    <w:rsid w:val="35C6441D"/>
    <w:rsid w:val="35D20C0D"/>
    <w:rsid w:val="35D42CDF"/>
    <w:rsid w:val="35FF7BF0"/>
    <w:rsid w:val="361C7BB8"/>
    <w:rsid w:val="36947038"/>
    <w:rsid w:val="36D726AF"/>
    <w:rsid w:val="37227431"/>
    <w:rsid w:val="3755127E"/>
    <w:rsid w:val="37A02C53"/>
    <w:rsid w:val="37B97173"/>
    <w:rsid w:val="38DF0E2B"/>
    <w:rsid w:val="391B4A7F"/>
    <w:rsid w:val="39A20CFD"/>
    <w:rsid w:val="39BB5F1B"/>
    <w:rsid w:val="39E3559D"/>
    <w:rsid w:val="3A8D3E1B"/>
    <w:rsid w:val="3ABB02C8"/>
    <w:rsid w:val="3AF23251"/>
    <w:rsid w:val="3B975E41"/>
    <w:rsid w:val="3C505BDD"/>
    <w:rsid w:val="3CA07775"/>
    <w:rsid w:val="3CD33C30"/>
    <w:rsid w:val="3D474095"/>
    <w:rsid w:val="3D8952F0"/>
    <w:rsid w:val="3E1675C3"/>
    <w:rsid w:val="3EBE2135"/>
    <w:rsid w:val="3EEF1848"/>
    <w:rsid w:val="3F9C3D42"/>
    <w:rsid w:val="408D6263"/>
    <w:rsid w:val="41986C6D"/>
    <w:rsid w:val="428A2331"/>
    <w:rsid w:val="42BE3A1E"/>
    <w:rsid w:val="43016A94"/>
    <w:rsid w:val="43686540"/>
    <w:rsid w:val="43915656"/>
    <w:rsid w:val="43F81C45"/>
    <w:rsid w:val="445C3E94"/>
    <w:rsid w:val="448B0D0B"/>
    <w:rsid w:val="44D72F3C"/>
    <w:rsid w:val="45772895"/>
    <w:rsid w:val="457E6A12"/>
    <w:rsid w:val="45AE472D"/>
    <w:rsid w:val="45D064B6"/>
    <w:rsid w:val="45D500AC"/>
    <w:rsid w:val="46AC6D17"/>
    <w:rsid w:val="487D096B"/>
    <w:rsid w:val="48FD2162"/>
    <w:rsid w:val="4A4F4E63"/>
    <w:rsid w:val="4AFF5FAF"/>
    <w:rsid w:val="4B4B64CB"/>
    <w:rsid w:val="4B6B16E8"/>
    <w:rsid w:val="4B6E5682"/>
    <w:rsid w:val="4BA076F7"/>
    <w:rsid w:val="4BD747B1"/>
    <w:rsid w:val="4C8A6EEA"/>
    <w:rsid w:val="4D2252AB"/>
    <w:rsid w:val="4D6B792C"/>
    <w:rsid w:val="4DA63EC5"/>
    <w:rsid w:val="4E27538C"/>
    <w:rsid w:val="4E4E5747"/>
    <w:rsid w:val="4E7E543D"/>
    <w:rsid w:val="4EB55604"/>
    <w:rsid w:val="4F0272AC"/>
    <w:rsid w:val="4F6F2701"/>
    <w:rsid w:val="50320FDF"/>
    <w:rsid w:val="504E34A7"/>
    <w:rsid w:val="5057308C"/>
    <w:rsid w:val="506A3ECB"/>
    <w:rsid w:val="51156A77"/>
    <w:rsid w:val="51DB1D2A"/>
    <w:rsid w:val="52144F3B"/>
    <w:rsid w:val="52D10231"/>
    <w:rsid w:val="52D361D6"/>
    <w:rsid w:val="52E24BD4"/>
    <w:rsid w:val="530B3641"/>
    <w:rsid w:val="536D782E"/>
    <w:rsid w:val="5488491F"/>
    <w:rsid w:val="54CF07A0"/>
    <w:rsid w:val="551674C9"/>
    <w:rsid w:val="551E5284"/>
    <w:rsid w:val="55E60EFE"/>
    <w:rsid w:val="55F33D67"/>
    <w:rsid w:val="56D65514"/>
    <w:rsid w:val="574B1BD7"/>
    <w:rsid w:val="58E94D61"/>
    <w:rsid w:val="59234FE7"/>
    <w:rsid w:val="59964C22"/>
    <w:rsid w:val="59B215D8"/>
    <w:rsid w:val="59EA607C"/>
    <w:rsid w:val="59EF74D6"/>
    <w:rsid w:val="5A407C41"/>
    <w:rsid w:val="5A543593"/>
    <w:rsid w:val="5ADD40C8"/>
    <w:rsid w:val="5B286E5C"/>
    <w:rsid w:val="5B4E5F37"/>
    <w:rsid w:val="5B593F64"/>
    <w:rsid w:val="5B5D2357"/>
    <w:rsid w:val="5B6E5A90"/>
    <w:rsid w:val="5BF376AC"/>
    <w:rsid w:val="5D5C75C8"/>
    <w:rsid w:val="5DAF6BC2"/>
    <w:rsid w:val="5DBE13B2"/>
    <w:rsid w:val="5DE855D7"/>
    <w:rsid w:val="5DF931DF"/>
    <w:rsid w:val="5E0F62DC"/>
    <w:rsid w:val="5E342CD6"/>
    <w:rsid w:val="5E44389A"/>
    <w:rsid w:val="5EBA1FF1"/>
    <w:rsid w:val="5EDD1D0C"/>
    <w:rsid w:val="5F560743"/>
    <w:rsid w:val="6002154B"/>
    <w:rsid w:val="603A5C3B"/>
    <w:rsid w:val="6082740D"/>
    <w:rsid w:val="61400BC8"/>
    <w:rsid w:val="61EE3DA4"/>
    <w:rsid w:val="62015D11"/>
    <w:rsid w:val="621C2B4B"/>
    <w:rsid w:val="623560E4"/>
    <w:rsid w:val="62E418BB"/>
    <w:rsid w:val="641461CF"/>
    <w:rsid w:val="6434005B"/>
    <w:rsid w:val="6458741F"/>
    <w:rsid w:val="652E583F"/>
    <w:rsid w:val="65F0057B"/>
    <w:rsid w:val="660A72E3"/>
    <w:rsid w:val="665C20B0"/>
    <w:rsid w:val="666C1B19"/>
    <w:rsid w:val="67362901"/>
    <w:rsid w:val="6788225A"/>
    <w:rsid w:val="67CA2E97"/>
    <w:rsid w:val="67FE19B1"/>
    <w:rsid w:val="68336CC5"/>
    <w:rsid w:val="68F62A33"/>
    <w:rsid w:val="692A4CF7"/>
    <w:rsid w:val="699115A6"/>
    <w:rsid w:val="6B7853B7"/>
    <w:rsid w:val="6B797322"/>
    <w:rsid w:val="6B961BC0"/>
    <w:rsid w:val="6B973AB5"/>
    <w:rsid w:val="6BD4771A"/>
    <w:rsid w:val="6CE74392"/>
    <w:rsid w:val="6CED35E4"/>
    <w:rsid w:val="6D301F5C"/>
    <w:rsid w:val="6DB04752"/>
    <w:rsid w:val="6DC26C9C"/>
    <w:rsid w:val="6DC9627D"/>
    <w:rsid w:val="6F40256E"/>
    <w:rsid w:val="6F622893"/>
    <w:rsid w:val="6F9B72C4"/>
    <w:rsid w:val="704020FA"/>
    <w:rsid w:val="70486C5A"/>
    <w:rsid w:val="70973F97"/>
    <w:rsid w:val="70DF1913"/>
    <w:rsid w:val="70E14858"/>
    <w:rsid w:val="71374F99"/>
    <w:rsid w:val="714A4493"/>
    <w:rsid w:val="717333CA"/>
    <w:rsid w:val="72227D09"/>
    <w:rsid w:val="722D59F6"/>
    <w:rsid w:val="72345C8F"/>
    <w:rsid w:val="74773F21"/>
    <w:rsid w:val="74A145AF"/>
    <w:rsid w:val="74F44316"/>
    <w:rsid w:val="752A1599"/>
    <w:rsid w:val="75C630A2"/>
    <w:rsid w:val="75D650C4"/>
    <w:rsid w:val="76084703"/>
    <w:rsid w:val="761E43D4"/>
    <w:rsid w:val="76236746"/>
    <w:rsid w:val="763E0F7C"/>
    <w:rsid w:val="76967B0F"/>
    <w:rsid w:val="77025143"/>
    <w:rsid w:val="77057BFA"/>
    <w:rsid w:val="7730111A"/>
    <w:rsid w:val="77525B63"/>
    <w:rsid w:val="77F4289F"/>
    <w:rsid w:val="77F660C7"/>
    <w:rsid w:val="786D3064"/>
    <w:rsid w:val="78B43685"/>
    <w:rsid w:val="7A2860D9"/>
    <w:rsid w:val="7B2F5472"/>
    <w:rsid w:val="7B354F51"/>
    <w:rsid w:val="7BCB1412"/>
    <w:rsid w:val="7C09604B"/>
    <w:rsid w:val="7C254A7E"/>
    <w:rsid w:val="7C42094A"/>
    <w:rsid w:val="7CA24BF2"/>
    <w:rsid w:val="7CAA6FD2"/>
    <w:rsid w:val="7D2E03D4"/>
    <w:rsid w:val="7D3B45C9"/>
    <w:rsid w:val="7DB71E82"/>
    <w:rsid w:val="7E8A4DB6"/>
    <w:rsid w:val="7EEF5417"/>
    <w:rsid w:val="7F0B5F91"/>
    <w:rsid w:val="7F3D0AB3"/>
    <w:rsid w:val="7F623E3B"/>
    <w:rsid w:val="7FBD43EC"/>
    <w:rsid w:val="7FDF1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仿宋" w:cs="Times New Roman"/>
      <w:kern w:val="2"/>
      <w:sz w:val="28"/>
      <w:szCs w:val="24"/>
      <w:lang w:val="en-US" w:eastAsia="zh-CN" w:bidi="ar-SA"/>
    </w:rPr>
  </w:style>
  <w:style w:type="paragraph" w:styleId="2">
    <w:name w:val="heading 1"/>
    <w:basedOn w:val="1"/>
    <w:next w:val="1"/>
    <w:link w:val="16"/>
    <w:qFormat/>
    <w:uiPriority w:val="0"/>
    <w:pPr>
      <w:keepNext/>
      <w:keepLines/>
      <w:spacing w:before="50" w:after="50"/>
      <w:outlineLvl w:val="0"/>
    </w:pPr>
    <w:rPr>
      <w:rFonts w:ascii="Times New Roman" w:hAnsi="Times New Roman"/>
      <w:b/>
      <w:bCs/>
      <w:kern w:val="44"/>
      <w:szCs w:val="44"/>
    </w:rPr>
  </w:style>
  <w:style w:type="paragraph" w:styleId="3">
    <w:name w:val="heading 2"/>
    <w:basedOn w:val="1"/>
    <w:next w:val="1"/>
    <w:semiHidden/>
    <w:unhideWhenUsed/>
    <w:qFormat/>
    <w:uiPriority w:val="0"/>
    <w:pPr>
      <w:keepNext/>
      <w:keepLines/>
      <w:spacing w:before="260" w:after="260" w:line="240" w:lineRule="auto"/>
      <w:outlineLvl w:val="1"/>
    </w:pPr>
    <w:rPr>
      <w:rFonts w:ascii="Arial" w:hAnsi="Arial"/>
      <w:b/>
    </w:rPr>
  </w:style>
  <w:style w:type="character" w:default="1" w:styleId="13">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4">
    <w:name w:val="Body Text Indent"/>
    <w:basedOn w:val="1"/>
    <w:qFormat/>
    <w:uiPriority w:val="0"/>
    <w:pPr>
      <w:spacing w:after="120"/>
      <w:ind w:left="420" w:leftChars="200"/>
    </w:pPr>
  </w:style>
  <w:style w:type="paragraph" w:styleId="5">
    <w:name w:val="Block Text"/>
    <w:basedOn w:val="1"/>
    <w:next w:val="1"/>
    <w:qFormat/>
    <w:uiPriority w:val="0"/>
    <w:pPr>
      <w:spacing w:line="240" w:lineRule="auto"/>
      <w:ind w:left="200" w:leftChars="200" w:right="-1772" w:rightChars="-844"/>
    </w:pPr>
    <w:rPr>
      <w:rFonts w:asciiTheme="minorHAnsi" w:hAnsiTheme="minorHAnsi"/>
    </w:rPr>
  </w:style>
  <w:style w:type="paragraph" w:styleId="6">
    <w:name w:val="toc 3"/>
    <w:basedOn w:val="1"/>
    <w:next w:val="1"/>
    <w:qFormat/>
    <w:uiPriority w:val="0"/>
    <w:pPr>
      <w:ind w:left="840" w:leftChars="400"/>
    </w:pPr>
    <w:rPr>
      <w:rFonts w:eastAsia="宋体" w:asciiTheme="minorHAnsi" w:hAnsiTheme="minorHAnsi"/>
      <w:sz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9">
    <w:name w:val="toc 1"/>
    <w:basedOn w:val="1"/>
    <w:next w:val="1"/>
    <w:qFormat/>
    <w:uiPriority w:val="0"/>
    <w:rPr>
      <w:rFonts w:eastAsia="宋体" w:asciiTheme="minorHAnsi" w:hAnsiTheme="minorHAnsi"/>
      <w:b/>
    </w:rPr>
  </w:style>
  <w:style w:type="paragraph" w:styleId="10">
    <w:name w:val="toc 2"/>
    <w:basedOn w:val="1"/>
    <w:next w:val="1"/>
    <w:qFormat/>
    <w:uiPriority w:val="0"/>
    <w:pPr>
      <w:ind w:left="420" w:leftChars="200"/>
    </w:pPr>
    <w:rPr>
      <w:rFonts w:eastAsia="宋体" w:asciiTheme="minorHAnsi" w:hAnsiTheme="minorHAnsi"/>
      <w:sz w:val="24"/>
    </w:rPr>
  </w:style>
  <w:style w:type="paragraph" w:styleId="11">
    <w:name w:val="Body Text First Indent 2"/>
    <w:basedOn w:val="4"/>
    <w:qFormat/>
    <w:uiPriority w:val="0"/>
    <w:pPr>
      <w:ind w:firstLine="420" w:firstLineChars="200"/>
    </w:pPr>
  </w:style>
  <w:style w:type="paragraph" w:customStyle="1" w:styleId="14">
    <w:name w:val="应急预案目录"/>
    <w:basedOn w:val="2"/>
    <w:qFormat/>
    <w:uiPriority w:val="0"/>
    <w:rPr>
      <w:rFonts w:asciiTheme="minorHAnsi" w:hAnsiTheme="minorHAnsi" w:cstheme="minorBidi"/>
      <w:sz w:val="21"/>
    </w:rPr>
  </w:style>
  <w:style w:type="paragraph" w:customStyle="1" w:styleId="15">
    <w:name w:val="应急预案"/>
    <w:basedOn w:val="2"/>
    <w:next w:val="1"/>
    <w:qFormat/>
    <w:uiPriority w:val="0"/>
    <w:rPr>
      <w:rFonts w:hint="eastAsia" w:ascii="仿宋" w:hAnsi="仿宋" w:cs="仿宋"/>
      <w:b w:val="0"/>
      <w:bCs w:val="0"/>
      <w:szCs w:val="24"/>
    </w:rPr>
  </w:style>
  <w:style w:type="character" w:customStyle="1" w:styleId="16">
    <w:name w:val="标题 1 字符"/>
    <w:link w:val="2"/>
    <w:qFormat/>
    <w:uiPriority w:val="0"/>
    <w:rPr>
      <w:rFonts w:ascii="Times New Roman" w:hAnsi="Times New Roman" w:eastAsia="仿宋" w:cs="Times New Roman"/>
      <w:b/>
      <w:bCs/>
      <w:kern w:val="44"/>
      <w:sz w:val="28"/>
      <w:szCs w:val="44"/>
      <w:lang w:val="en-US" w:eastAsia="zh-CN" w:bidi="ar-SA"/>
    </w:rPr>
  </w:style>
  <w:style w:type="paragraph" w:customStyle="1" w:styleId="17">
    <w:name w:val="_Style 47"/>
    <w:basedOn w:val="1"/>
    <w:qFormat/>
    <w:uiPriority w:val="0"/>
    <w:pPr>
      <w:spacing w:line="240" w:lineRule="auto"/>
    </w:pPr>
    <w:rPr>
      <w:rFonts w:ascii="Times New Roman" w:hAnsi="Times New Roman" w:eastAsia="宋体"/>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1474</Words>
  <Characters>1673</Characters>
  <Lines>6</Lines>
  <Paragraphs>1</Paragraphs>
  <TotalTime>1</TotalTime>
  <ScaleCrop>false</ScaleCrop>
  <LinksUpToDate>false</LinksUpToDate>
  <CharactersWithSpaces>1678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2022-03-08T05:52:00Z</dcterms:created>
  <dc:creator>fykj</dc:creator>
  <cp:lastModifiedBy>未定义</cp:lastModifiedBy>
  <cp:lastPrinted>2025-04-18T07:07:00Z</cp:lastPrinted>
  <dcterms:modified xsi:type="dcterms:W3CDTF">2025-04-18T09:25:41Z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3D50F8BE07AB4C408C618DB08BDA5060_13</vt:lpwstr>
  </property>
  <property fmtid="{D5CDD505-2E9C-101B-9397-08002B2CF9AE}" pid="4" name="KSOTemplateDocerSaveRecord">
    <vt:lpwstr>eyJoZGlkIjoiMTk4NDk5OWI1NGZlMzBkZWRhYTM4NjFiMTU3NDZjOTQifQ==</vt:lpwstr>
  </property>
</Properties>
</file>