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61F47">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附件7</w:t>
      </w:r>
    </w:p>
    <w:p w14:paraId="482DB808">
      <w:pPr>
        <w:spacing w:after="156" w:afterLines="50" w:line="400" w:lineRule="exact"/>
        <w:jc w:val="center"/>
        <w:rPr>
          <w:rFonts w:hint="eastAsia" w:ascii="黑体" w:hAnsi="黑体" w:eastAsia="宋体" w:cs="宋体"/>
          <w:bCs/>
          <w:color w:val="000000"/>
          <w:sz w:val="36"/>
          <w:szCs w:val="36"/>
        </w:rPr>
      </w:pPr>
      <w:r>
        <w:rPr>
          <w:rFonts w:hint="eastAsia" w:ascii="方正小标宋简体" w:hAnsi="宋体" w:eastAsia="方正小标宋简体" w:cs="宋体"/>
          <w:color w:val="000000"/>
          <w:sz w:val="32"/>
          <w:szCs w:val="32"/>
          <w:lang w:eastAsia="zh-CN"/>
        </w:rPr>
        <w:t>安阳市</w:t>
      </w:r>
      <w:r>
        <w:rPr>
          <w:rFonts w:hint="eastAsia" w:ascii="方正小标宋简体" w:hAnsi="宋体" w:eastAsia="方正小标宋简体" w:cs="宋体"/>
          <w:color w:val="000000"/>
          <w:sz w:val="32"/>
          <w:szCs w:val="32"/>
        </w:rPr>
        <w:t>危险化学品无仓储经营企业安全生产标准化建设定级评分表</w:t>
      </w:r>
      <w:r>
        <w:rPr>
          <w:rFonts w:hint="eastAsia" w:ascii="宋体" w:hAnsi="宋体" w:eastAsia="宋体" w:cs="宋体"/>
          <w:b/>
          <w:color w:val="000000"/>
          <w:sz w:val="32"/>
          <w:szCs w:val="32"/>
        </w:rPr>
        <w:t>（试行）</w:t>
      </w:r>
    </w:p>
    <w:tbl>
      <w:tblPr>
        <w:tblStyle w:val="6"/>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09"/>
        <w:gridCol w:w="815"/>
        <w:gridCol w:w="4642"/>
        <w:gridCol w:w="3764"/>
        <w:gridCol w:w="1050"/>
        <w:gridCol w:w="735"/>
        <w:gridCol w:w="735"/>
        <w:gridCol w:w="735"/>
        <w:gridCol w:w="735"/>
      </w:tblGrid>
      <w:tr w14:paraId="7642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923" w:type="dxa"/>
            <w:vMerge w:val="restart"/>
            <w:noWrap w:val="0"/>
            <w:vAlign w:val="center"/>
          </w:tcPr>
          <w:p w14:paraId="4DD82C73">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A级</w:t>
            </w:r>
          </w:p>
          <w:p w14:paraId="4B060DF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809" w:type="dxa"/>
            <w:vMerge w:val="restart"/>
            <w:noWrap w:val="0"/>
            <w:vAlign w:val="center"/>
          </w:tcPr>
          <w:p w14:paraId="2D18CEF3">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B级</w:t>
            </w:r>
          </w:p>
          <w:p w14:paraId="3F8D54F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815" w:type="dxa"/>
            <w:vMerge w:val="restart"/>
            <w:noWrap w:val="0"/>
            <w:vAlign w:val="center"/>
          </w:tcPr>
          <w:p w14:paraId="165864F0">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C级</w:t>
            </w:r>
          </w:p>
          <w:p w14:paraId="179F80F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要素</w:t>
            </w:r>
          </w:p>
        </w:tc>
        <w:tc>
          <w:tcPr>
            <w:tcW w:w="4642" w:type="dxa"/>
            <w:vMerge w:val="restart"/>
            <w:noWrap w:val="0"/>
            <w:vAlign w:val="center"/>
          </w:tcPr>
          <w:p w14:paraId="06D8DDB8">
            <w:pPr>
              <w:spacing w:line="320" w:lineRule="exact"/>
              <w:jc w:val="center"/>
              <w:rPr>
                <w:rFonts w:ascii="宋体" w:hAnsi="宋体" w:eastAsia="宋体" w:cs="宋体"/>
                <w:b/>
                <w:bCs/>
                <w:color w:val="000000"/>
                <w:szCs w:val="21"/>
              </w:rPr>
            </w:pPr>
            <w:r>
              <w:rPr>
                <w:rFonts w:hint="eastAsia" w:ascii="宋体" w:hAnsi="宋体" w:eastAsia="宋体" w:cs="宋体"/>
                <w:b/>
                <w:bCs/>
                <w:color w:val="000000"/>
                <w:szCs w:val="21"/>
              </w:rPr>
              <w:t>评定标准</w:t>
            </w:r>
          </w:p>
        </w:tc>
        <w:tc>
          <w:tcPr>
            <w:tcW w:w="3764" w:type="dxa"/>
            <w:vMerge w:val="restart"/>
            <w:noWrap w:val="0"/>
            <w:vAlign w:val="center"/>
          </w:tcPr>
          <w:p w14:paraId="7106096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评定办法</w:t>
            </w:r>
          </w:p>
        </w:tc>
        <w:tc>
          <w:tcPr>
            <w:tcW w:w="3990" w:type="dxa"/>
            <w:gridSpan w:val="5"/>
            <w:noWrap w:val="0"/>
            <w:vAlign w:val="top"/>
          </w:tcPr>
          <w:p w14:paraId="3A4D521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自评/评审情况</w:t>
            </w:r>
          </w:p>
        </w:tc>
      </w:tr>
      <w:tr w14:paraId="481E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923" w:type="dxa"/>
            <w:vMerge w:val="continue"/>
            <w:noWrap w:val="0"/>
            <w:vAlign w:val="top"/>
          </w:tcPr>
          <w:p w14:paraId="07D8D0D0">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6F0E85A1">
            <w:pPr>
              <w:spacing w:line="320" w:lineRule="exact"/>
              <w:jc w:val="center"/>
              <w:rPr>
                <w:rFonts w:hint="eastAsia" w:ascii="宋体" w:hAnsi="宋体" w:eastAsia="宋体" w:cs="宋体"/>
                <w:b/>
                <w:bCs/>
                <w:color w:val="000000"/>
                <w:szCs w:val="21"/>
              </w:rPr>
            </w:pPr>
          </w:p>
        </w:tc>
        <w:tc>
          <w:tcPr>
            <w:tcW w:w="815" w:type="dxa"/>
            <w:vMerge w:val="continue"/>
            <w:noWrap w:val="0"/>
            <w:vAlign w:val="top"/>
          </w:tcPr>
          <w:p w14:paraId="17AD1286">
            <w:pPr>
              <w:spacing w:line="320" w:lineRule="exact"/>
              <w:jc w:val="center"/>
              <w:rPr>
                <w:rFonts w:hint="eastAsia" w:ascii="宋体" w:hAnsi="宋体" w:eastAsia="宋体" w:cs="宋体"/>
                <w:b/>
                <w:bCs/>
                <w:color w:val="000000"/>
                <w:szCs w:val="21"/>
              </w:rPr>
            </w:pPr>
          </w:p>
        </w:tc>
        <w:tc>
          <w:tcPr>
            <w:tcW w:w="4642" w:type="dxa"/>
            <w:vMerge w:val="continue"/>
            <w:noWrap w:val="0"/>
            <w:vAlign w:val="top"/>
          </w:tcPr>
          <w:p w14:paraId="591E97BB">
            <w:pPr>
              <w:spacing w:line="320" w:lineRule="exact"/>
              <w:jc w:val="center"/>
              <w:rPr>
                <w:rFonts w:hint="eastAsia" w:ascii="宋体" w:hAnsi="宋体" w:eastAsia="宋体" w:cs="宋体"/>
                <w:b/>
                <w:bCs/>
                <w:color w:val="000000"/>
                <w:szCs w:val="21"/>
              </w:rPr>
            </w:pPr>
          </w:p>
        </w:tc>
        <w:tc>
          <w:tcPr>
            <w:tcW w:w="3764" w:type="dxa"/>
            <w:vMerge w:val="continue"/>
            <w:noWrap w:val="0"/>
            <w:vAlign w:val="top"/>
          </w:tcPr>
          <w:p w14:paraId="1E43D5F3">
            <w:pPr>
              <w:spacing w:line="320" w:lineRule="exact"/>
              <w:jc w:val="center"/>
              <w:rPr>
                <w:rFonts w:hint="eastAsia" w:ascii="宋体" w:hAnsi="宋体" w:eastAsia="宋体" w:cs="宋体"/>
                <w:b/>
                <w:bCs/>
                <w:color w:val="000000"/>
                <w:szCs w:val="21"/>
              </w:rPr>
            </w:pPr>
          </w:p>
        </w:tc>
        <w:tc>
          <w:tcPr>
            <w:tcW w:w="1050" w:type="dxa"/>
            <w:noWrap w:val="0"/>
            <w:vAlign w:val="top"/>
          </w:tcPr>
          <w:p w14:paraId="10E1D740">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自评/评审描述</w:t>
            </w:r>
          </w:p>
        </w:tc>
        <w:tc>
          <w:tcPr>
            <w:tcW w:w="735" w:type="dxa"/>
            <w:noWrap w:val="0"/>
            <w:vAlign w:val="top"/>
          </w:tcPr>
          <w:p w14:paraId="4DD30407">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否决项目</w:t>
            </w:r>
          </w:p>
        </w:tc>
        <w:tc>
          <w:tcPr>
            <w:tcW w:w="735" w:type="dxa"/>
            <w:noWrap w:val="0"/>
            <w:vAlign w:val="top"/>
          </w:tcPr>
          <w:p w14:paraId="7D624A11">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w:t>
            </w:r>
          </w:p>
          <w:p w14:paraId="6CA2C85B">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项目</w:t>
            </w:r>
          </w:p>
        </w:tc>
        <w:tc>
          <w:tcPr>
            <w:tcW w:w="735" w:type="dxa"/>
            <w:noWrap w:val="0"/>
            <w:vAlign w:val="top"/>
          </w:tcPr>
          <w:p w14:paraId="15A8587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不涉</w:t>
            </w:r>
          </w:p>
          <w:p w14:paraId="4F39499A">
            <w:pPr>
              <w:spacing w:line="320" w:lineRule="exact"/>
              <w:jc w:val="center"/>
              <w:rPr>
                <w:rFonts w:ascii="宋体" w:hAnsi="宋体" w:eastAsia="宋体" w:cs="宋体"/>
                <w:b/>
                <w:bCs/>
                <w:color w:val="000000"/>
                <w:szCs w:val="21"/>
              </w:rPr>
            </w:pPr>
            <w:r>
              <w:rPr>
                <w:rFonts w:hint="eastAsia" w:ascii="宋体" w:hAnsi="宋体" w:eastAsia="宋体" w:cs="宋体"/>
                <w:b/>
                <w:bCs/>
                <w:color w:val="000000"/>
                <w:szCs w:val="21"/>
              </w:rPr>
              <w:t>及项</w:t>
            </w:r>
          </w:p>
        </w:tc>
        <w:tc>
          <w:tcPr>
            <w:tcW w:w="735" w:type="dxa"/>
            <w:noWrap w:val="0"/>
            <w:vAlign w:val="top"/>
          </w:tcPr>
          <w:p w14:paraId="5B333F42">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实际</w:t>
            </w:r>
          </w:p>
          <w:p w14:paraId="22E40B18">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得分</w:t>
            </w:r>
          </w:p>
        </w:tc>
      </w:tr>
      <w:tr w14:paraId="537C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923" w:type="dxa"/>
            <w:vMerge w:val="restart"/>
            <w:noWrap w:val="0"/>
            <w:vAlign w:val="top"/>
          </w:tcPr>
          <w:p w14:paraId="04B3947E">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1</w:t>
            </w:r>
          </w:p>
          <w:p w14:paraId="332FD867">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机构和职责（160分）</w:t>
            </w:r>
          </w:p>
          <w:p w14:paraId="04E07876">
            <w:pPr>
              <w:widowControl w:val="0"/>
              <w:spacing w:line="320" w:lineRule="exact"/>
              <w:ind w:left="480" w:firstLine="0" w:firstLineChars="0"/>
              <w:jc w:val="center"/>
              <w:rPr>
                <w:rFonts w:hint="eastAsia" w:ascii="Times New Roman" w:hAnsi="Times New Roman" w:eastAsia="宋体" w:cs="Times New Roman"/>
                <w:b/>
                <w:bCs/>
                <w:color w:val="000000"/>
                <w:kern w:val="2"/>
                <w:sz w:val="24"/>
                <w:szCs w:val="24"/>
                <w:lang w:val="en-US" w:eastAsia="zh-CN" w:bidi="ar-SA"/>
              </w:rPr>
            </w:pPr>
          </w:p>
        </w:tc>
        <w:tc>
          <w:tcPr>
            <w:tcW w:w="809" w:type="dxa"/>
            <w:vMerge w:val="restart"/>
            <w:noWrap w:val="0"/>
            <w:vAlign w:val="top"/>
          </w:tcPr>
          <w:p w14:paraId="486434F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1.1</w:t>
            </w:r>
          </w:p>
          <w:p w14:paraId="2900C88B">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安全生产目标</w:t>
            </w:r>
            <w:r>
              <w:rPr>
                <w:rFonts w:hint="eastAsia" w:ascii="宋体" w:hAnsi="宋体" w:cs="宋体"/>
                <w:b/>
                <w:bCs/>
                <w:color w:val="000000"/>
                <w:szCs w:val="21"/>
                <w:lang w:eastAsia="zh-CN"/>
              </w:rPr>
              <w:t>（</w:t>
            </w:r>
            <w:r>
              <w:rPr>
                <w:rFonts w:hint="eastAsia" w:ascii="宋体" w:hAnsi="宋体" w:eastAsia="宋体" w:cs="宋体"/>
                <w:b/>
                <w:bCs/>
                <w:color w:val="000000"/>
                <w:szCs w:val="21"/>
              </w:rPr>
              <w:t>20分</w:t>
            </w:r>
            <w:r>
              <w:rPr>
                <w:rFonts w:hint="eastAsia" w:ascii="宋体" w:hAnsi="宋体" w:cs="宋体"/>
                <w:b/>
                <w:bCs/>
                <w:color w:val="000000"/>
                <w:szCs w:val="21"/>
                <w:lang w:eastAsia="zh-CN"/>
              </w:rPr>
              <w:t>）</w:t>
            </w:r>
          </w:p>
        </w:tc>
        <w:tc>
          <w:tcPr>
            <w:tcW w:w="815" w:type="dxa"/>
            <w:noWrap w:val="0"/>
            <w:vAlign w:val="top"/>
          </w:tcPr>
          <w:p w14:paraId="44234C8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1.1.1目标</w:t>
            </w:r>
          </w:p>
          <w:p w14:paraId="7641A796">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制定</w:t>
            </w:r>
          </w:p>
          <w:p w14:paraId="7A80F6B9">
            <w:pPr>
              <w:spacing w:line="320" w:lineRule="exact"/>
              <w:jc w:val="center"/>
              <w:rPr>
                <w:rFonts w:hint="eastAsia" w:ascii="宋体" w:hAnsi="宋体" w:eastAsia="宋体" w:cs="宋体"/>
                <w:b/>
                <w:color w:val="000000"/>
                <w:szCs w:val="21"/>
              </w:rPr>
            </w:pPr>
            <w:r>
              <w:rPr>
                <w:rFonts w:hint="eastAsia" w:ascii="宋体" w:hAnsi="宋体" w:cs="宋体"/>
                <w:b/>
                <w:bCs/>
                <w:color w:val="000000"/>
                <w:szCs w:val="21"/>
                <w:lang w:eastAsia="zh-CN"/>
              </w:rPr>
              <w:t>（</w:t>
            </w:r>
            <w:r>
              <w:rPr>
                <w:rFonts w:hint="eastAsia" w:ascii="宋体" w:hAnsi="宋体" w:eastAsia="宋体" w:cs="宋体"/>
                <w:b/>
                <w:bCs/>
                <w:color w:val="000000"/>
                <w:szCs w:val="21"/>
              </w:rPr>
              <w:t>10分</w:t>
            </w:r>
            <w:r>
              <w:rPr>
                <w:rFonts w:hint="eastAsia" w:ascii="宋体" w:hAnsi="宋体" w:cs="宋体"/>
                <w:b/>
                <w:bCs/>
                <w:color w:val="000000"/>
                <w:szCs w:val="21"/>
                <w:lang w:eastAsia="zh-CN"/>
              </w:rPr>
              <w:t>）</w:t>
            </w:r>
          </w:p>
        </w:tc>
        <w:tc>
          <w:tcPr>
            <w:tcW w:w="4642" w:type="dxa"/>
            <w:noWrap w:val="0"/>
            <w:vAlign w:val="top"/>
          </w:tcPr>
          <w:p w14:paraId="3B952B5C">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1.企业应根据自身安全生产实际，制定文件化的总体和年度安全生产目标。</w:t>
            </w:r>
          </w:p>
          <w:p w14:paraId="295A5BBC">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2.企业安全生产目标应满足：</w:t>
            </w:r>
          </w:p>
          <w:p w14:paraId="7ADB99F9">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（1）形成文件，并得到从业人员的贯彻和实施；</w:t>
            </w:r>
          </w:p>
          <w:p w14:paraId="5C6C1798">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（2）符合或严于相关法律法规的要求；</w:t>
            </w:r>
          </w:p>
          <w:p w14:paraId="311D050C">
            <w:pPr>
              <w:spacing w:line="320" w:lineRule="exact"/>
              <w:rPr>
                <w:rFonts w:hint="eastAsia" w:ascii="Times New Roman" w:hAnsi="Times New Roman" w:eastAsia="宋体"/>
                <w:color w:val="000000"/>
              </w:rPr>
            </w:pPr>
            <w:r>
              <w:rPr>
                <w:rFonts w:hint="eastAsia" w:ascii="宋体" w:hAnsi="宋体" w:eastAsia="宋体" w:cs="宋体"/>
                <w:bCs/>
                <w:color w:val="000000"/>
                <w:szCs w:val="21"/>
              </w:rPr>
              <w:t>（3）应以从业人员熟知安全生产目标。</w:t>
            </w:r>
          </w:p>
        </w:tc>
        <w:tc>
          <w:tcPr>
            <w:tcW w:w="3764" w:type="dxa"/>
            <w:noWrap w:val="0"/>
            <w:vAlign w:val="top"/>
          </w:tcPr>
          <w:p w14:paraId="276AB5CB">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1.企业缺少总体和年度安全生产目标的，一项扣2分。</w:t>
            </w:r>
          </w:p>
          <w:p w14:paraId="306071CE">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2.发布安全生产目标的方式从业人员不易获得的，扣2分。</w:t>
            </w:r>
          </w:p>
          <w:p w14:paraId="453E698A">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3.现场询问有关人员不了解本组织的安全生产目标的，1人次扣2分。</w:t>
            </w:r>
          </w:p>
        </w:tc>
        <w:tc>
          <w:tcPr>
            <w:tcW w:w="1050" w:type="dxa"/>
            <w:noWrap w:val="0"/>
            <w:vAlign w:val="top"/>
          </w:tcPr>
          <w:p w14:paraId="26A45B8F">
            <w:pPr>
              <w:spacing w:line="320" w:lineRule="exact"/>
              <w:rPr>
                <w:rFonts w:hint="eastAsia" w:ascii="宋体" w:hAnsi="宋体" w:eastAsia="宋体" w:cs="宋体"/>
                <w:bCs/>
                <w:color w:val="000000"/>
                <w:szCs w:val="21"/>
              </w:rPr>
            </w:pPr>
          </w:p>
        </w:tc>
        <w:tc>
          <w:tcPr>
            <w:tcW w:w="735" w:type="dxa"/>
            <w:tcBorders>
              <w:bottom w:val="single" w:color="auto" w:sz="4" w:space="0"/>
            </w:tcBorders>
            <w:noWrap w:val="0"/>
            <w:vAlign w:val="top"/>
          </w:tcPr>
          <w:p w14:paraId="38233174">
            <w:pPr>
              <w:spacing w:line="320" w:lineRule="exact"/>
              <w:rPr>
                <w:rFonts w:hint="eastAsia" w:ascii="宋体" w:hAnsi="宋体" w:eastAsia="宋体" w:cs="宋体"/>
                <w:b/>
                <w:color w:val="000000"/>
                <w:szCs w:val="21"/>
              </w:rPr>
            </w:pPr>
          </w:p>
        </w:tc>
        <w:tc>
          <w:tcPr>
            <w:tcW w:w="735" w:type="dxa"/>
            <w:noWrap w:val="0"/>
            <w:vAlign w:val="top"/>
          </w:tcPr>
          <w:p w14:paraId="20249BDE">
            <w:pPr>
              <w:spacing w:line="320" w:lineRule="exact"/>
              <w:rPr>
                <w:rFonts w:hint="eastAsia" w:ascii="宋体" w:hAnsi="宋体" w:eastAsia="宋体" w:cs="宋体"/>
                <w:bCs/>
                <w:color w:val="000000"/>
                <w:szCs w:val="21"/>
              </w:rPr>
            </w:pPr>
          </w:p>
        </w:tc>
        <w:tc>
          <w:tcPr>
            <w:tcW w:w="735" w:type="dxa"/>
            <w:noWrap w:val="0"/>
            <w:vAlign w:val="top"/>
          </w:tcPr>
          <w:p w14:paraId="6C4E261B">
            <w:pPr>
              <w:spacing w:line="320" w:lineRule="exact"/>
              <w:rPr>
                <w:rFonts w:hint="eastAsia" w:ascii="宋体" w:hAnsi="宋体" w:eastAsia="宋体" w:cs="宋体"/>
                <w:bCs/>
                <w:color w:val="000000"/>
                <w:szCs w:val="21"/>
              </w:rPr>
            </w:pPr>
          </w:p>
        </w:tc>
        <w:tc>
          <w:tcPr>
            <w:tcW w:w="735" w:type="dxa"/>
            <w:noWrap w:val="0"/>
            <w:vAlign w:val="top"/>
          </w:tcPr>
          <w:p w14:paraId="12E89B40">
            <w:pPr>
              <w:spacing w:line="320" w:lineRule="exact"/>
              <w:rPr>
                <w:rFonts w:hint="eastAsia" w:ascii="宋体" w:hAnsi="宋体" w:eastAsia="宋体" w:cs="宋体"/>
                <w:bCs/>
                <w:color w:val="000000"/>
                <w:szCs w:val="21"/>
              </w:rPr>
            </w:pPr>
          </w:p>
        </w:tc>
      </w:tr>
      <w:tr w14:paraId="683B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23" w:type="dxa"/>
            <w:vMerge w:val="continue"/>
            <w:noWrap w:val="0"/>
            <w:vAlign w:val="top"/>
          </w:tcPr>
          <w:p w14:paraId="755D6B6A">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4D2354AD">
            <w:pPr>
              <w:spacing w:line="320" w:lineRule="exact"/>
              <w:jc w:val="center"/>
              <w:rPr>
                <w:rFonts w:hint="eastAsia" w:ascii="宋体" w:hAnsi="宋体" w:eastAsia="宋体" w:cs="宋体"/>
                <w:b/>
                <w:bCs/>
                <w:color w:val="000000"/>
                <w:szCs w:val="21"/>
              </w:rPr>
            </w:pPr>
          </w:p>
        </w:tc>
        <w:tc>
          <w:tcPr>
            <w:tcW w:w="815" w:type="dxa"/>
            <w:noWrap w:val="0"/>
            <w:vAlign w:val="top"/>
          </w:tcPr>
          <w:p w14:paraId="6523FDF3">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1.1.2目标</w:t>
            </w:r>
          </w:p>
          <w:p w14:paraId="1B6A517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分解和考核</w:t>
            </w:r>
            <w:r>
              <w:rPr>
                <w:rFonts w:hint="eastAsia" w:ascii="宋体" w:hAnsi="宋体" w:cs="宋体"/>
                <w:b/>
                <w:color w:val="000000"/>
                <w:szCs w:val="21"/>
                <w:lang w:eastAsia="zh-CN"/>
              </w:rPr>
              <w:t>（</w:t>
            </w:r>
            <w:r>
              <w:rPr>
                <w:rFonts w:hint="eastAsia" w:ascii="宋体" w:hAnsi="宋体" w:eastAsia="宋体" w:cs="宋体"/>
                <w:b/>
                <w:bCs/>
                <w:color w:val="000000"/>
                <w:szCs w:val="21"/>
              </w:rPr>
              <w:t>10分</w:t>
            </w:r>
            <w:r>
              <w:rPr>
                <w:rFonts w:hint="eastAsia" w:ascii="宋体" w:hAnsi="宋体" w:cs="宋体"/>
                <w:b/>
                <w:bCs/>
                <w:color w:val="000000"/>
                <w:szCs w:val="21"/>
                <w:lang w:eastAsia="zh-CN"/>
              </w:rPr>
              <w:t>）</w:t>
            </w:r>
          </w:p>
        </w:tc>
        <w:tc>
          <w:tcPr>
            <w:tcW w:w="4642" w:type="dxa"/>
            <w:noWrap w:val="0"/>
            <w:vAlign w:val="top"/>
          </w:tcPr>
          <w:p w14:paraId="29D23B1E">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1.企业应逐级签订安全生产目标责任书，确定量化的年度安全生产工作目标。</w:t>
            </w:r>
          </w:p>
          <w:p w14:paraId="3565D8E1">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2.企业应定期对安全生产目标、年度安全生产工作计划完成情况进行考核。</w:t>
            </w:r>
          </w:p>
          <w:p w14:paraId="4BDB1C9F">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3.考核应保存相应记录，确定安全生产工作目标的落实。</w:t>
            </w:r>
          </w:p>
        </w:tc>
        <w:tc>
          <w:tcPr>
            <w:tcW w:w="3764" w:type="dxa"/>
            <w:noWrap w:val="0"/>
            <w:vAlign w:val="top"/>
          </w:tcPr>
          <w:p w14:paraId="5199C265">
            <w:pPr>
              <w:spacing w:line="320" w:lineRule="exact"/>
              <w:rPr>
                <w:rFonts w:hint="eastAsia" w:ascii="Times New Roman" w:hAnsi="Times New Roman" w:eastAsia="宋体"/>
                <w:color w:val="000000"/>
              </w:rPr>
            </w:pPr>
            <w:r>
              <w:rPr>
                <w:rFonts w:hint="eastAsia" w:ascii="Times New Roman" w:hAnsi="Times New Roman" w:eastAsia="宋体"/>
                <w:color w:val="000000"/>
              </w:rPr>
              <w:t>1.每缺一个组织的安全生产目标责任书，扣2分。</w:t>
            </w:r>
          </w:p>
          <w:p w14:paraId="42743934">
            <w:pPr>
              <w:spacing w:line="320" w:lineRule="exact"/>
              <w:rPr>
                <w:rFonts w:hint="eastAsia" w:ascii="Times New Roman" w:hAnsi="Times New Roman" w:eastAsia="宋体"/>
                <w:color w:val="000000"/>
              </w:rPr>
            </w:pPr>
            <w:r>
              <w:rPr>
                <w:rFonts w:hint="eastAsia" w:ascii="Times New Roman" w:hAnsi="Times New Roman" w:eastAsia="宋体"/>
                <w:color w:val="000000"/>
              </w:rPr>
              <w:t>2.企业未制定年度安全生产工作计划，扣2分。</w:t>
            </w:r>
          </w:p>
          <w:p w14:paraId="14D258AE">
            <w:pPr>
              <w:widowControl w:val="0"/>
              <w:spacing w:line="320" w:lineRule="exact"/>
              <w:jc w:val="both"/>
              <w:rPr>
                <w:rFonts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3.未对安全生产目标、年度安全生产工作计划完成情况进行考核的，扣3分。</w:t>
            </w:r>
          </w:p>
        </w:tc>
        <w:tc>
          <w:tcPr>
            <w:tcW w:w="1050" w:type="dxa"/>
            <w:noWrap w:val="0"/>
            <w:vAlign w:val="top"/>
          </w:tcPr>
          <w:p w14:paraId="35285FFE">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3D262CF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7157D131">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19AAAB1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34EE7D5F">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29DE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923" w:type="dxa"/>
            <w:vMerge w:val="continue"/>
            <w:noWrap w:val="0"/>
            <w:vAlign w:val="top"/>
          </w:tcPr>
          <w:p w14:paraId="44023D26">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restart"/>
            <w:noWrap w:val="0"/>
            <w:vAlign w:val="top"/>
          </w:tcPr>
          <w:p w14:paraId="0129E925">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1.2</w:t>
            </w:r>
          </w:p>
          <w:p w14:paraId="757E5FAF">
            <w:pPr>
              <w:spacing w:line="320" w:lineRule="exact"/>
              <w:jc w:val="center"/>
              <w:rPr>
                <w:rFonts w:ascii="Times New Roman" w:hAnsi="Times New Roman" w:eastAsia="宋体"/>
                <w:b/>
                <w:color w:val="000000"/>
              </w:rPr>
            </w:pPr>
            <w:r>
              <w:rPr>
                <w:rFonts w:hint="eastAsia" w:ascii="宋体" w:hAnsi="宋体" w:eastAsia="宋体" w:cs="宋体"/>
                <w:b/>
                <w:color w:val="000000"/>
                <w:szCs w:val="21"/>
              </w:rPr>
              <w:t>安全生产管理机构（30分）</w:t>
            </w:r>
          </w:p>
        </w:tc>
        <w:tc>
          <w:tcPr>
            <w:tcW w:w="815" w:type="dxa"/>
            <w:noWrap w:val="0"/>
            <w:vAlign w:val="top"/>
          </w:tcPr>
          <w:p w14:paraId="76BADD41">
            <w:pPr>
              <w:widowControl w:val="0"/>
              <w:spacing w:line="320" w:lineRule="exac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1.2.1机构设置</w:t>
            </w:r>
            <w:r>
              <w:rPr>
                <w:rFonts w:hint="eastAsia" w:ascii="宋体" w:hAnsi="宋体" w:cs="宋体"/>
                <w:b/>
                <w:bCs/>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15分</w:t>
            </w:r>
            <w:r>
              <w:rPr>
                <w:rFonts w:hint="eastAsia" w:ascii="宋体" w:hAnsi="宋体" w:cs="宋体"/>
                <w:b/>
                <w:bCs/>
                <w:color w:val="000000"/>
                <w:kern w:val="2"/>
                <w:sz w:val="21"/>
                <w:szCs w:val="21"/>
                <w:lang w:val="en-US" w:eastAsia="zh-CN" w:bidi="ar-SA"/>
              </w:rPr>
              <w:t>）</w:t>
            </w:r>
          </w:p>
        </w:tc>
        <w:tc>
          <w:tcPr>
            <w:tcW w:w="4642" w:type="dxa"/>
            <w:noWrap w:val="0"/>
            <w:vAlign w:val="top"/>
          </w:tcPr>
          <w:p w14:paraId="156B5C46">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1.企业应至少配置一名安全生产管理人员。</w:t>
            </w:r>
          </w:p>
          <w:p w14:paraId="6B4120BD">
            <w:pPr>
              <w:widowControl w:val="0"/>
              <w:spacing w:line="320" w:lineRule="exact"/>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2.企业应结合实际指定专人负责行使日常工作，传达、安排、落实会议决定，考核安全生产工作。</w:t>
            </w:r>
          </w:p>
        </w:tc>
        <w:tc>
          <w:tcPr>
            <w:tcW w:w="3764" w:type="dxa"/>
            <w:noWrap w:val="0"/>
            <w:vAlign w:val="top"/>
          </w:tcPr>
          <w:p w14:paraId="016D1274">
            <w:pPr>
              <w:widowControl w:val="0"/>
              <w:numPr>
                <w:ilvl w:val="0"/>
                <w:numId w:val="1"/>
              </w:numPr>
              <w:spacing w:line="320" w:lineRule="exact"/>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未按规定配置安全生产管理人员的，扣2分。</w:t>
            </w:r>
          </w:p>
          <w:p w14:paraId="550B873A">
            <w:pPr>
              <w:widowControl w:val="0"/>
              <w:numPr>
                <w:ilvl w:val="0"/>
                <w:numId w:val="1"/>
              </w:numPr>
              <w:spacing w:line="320" w:lineRule="exact"/>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未</w:t>
            </w:r>
            <w:r>
              <w:rPr>
                <w:rFonts w:hint="eastAsia" w:ascii="宋体" w:hAnsi="宋体" w:eastAsia="宋体" w:cs="宋体"/>
                <w:bCs/>
                <w:color w:val="000000"/>
                <w:kern w:val="2"/>
                <w:sz w:val="21"/>
                <w:szCs w:val="21"/>
                <w:lang w:val="en-US" w:eastAsia="zh-CN" w:bidi="ar-SA"/>
              </w:rPr>
              <w:t>指定专人负责日常安全工作的，扣2分。</w:t>
            </w:r>
          </w:p>
        </w:tc>
        <w:tc>
          <w:tcPr>
            <w:tcW w:w="1050" w:type="dxa"/>
            <w:noWrap w:val="0"/>
            <w:vAlign w:val="top"/>
          </w:tcPr>
          <w:p w14:paraId="069A2C6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4732D01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31A2D84">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0F29531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51C41A87">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3F21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923" w:type="dxa"/>
            <w:vMerge w:val="continue"/>
            <w:noWrap w:val="0"/>
            <w:vAlign w:val="top"/>
          </w:tcPr>
          <w:p w14:paraId="592090C3">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14:paraId="6B9C5AD7">
            <w:pPr>
              <w:spacing w:line="320" w:lineRule="exact"/>
              <w:jc w:val="center"/>
              <w:rPr>
                <w:rFonts w:hint="eastAsia" w:ascii="宋体" w:hAnsi="宋体" w:eastAsia="宋体" w:cs="宋体"/>
                <w:b/>
                <w:color w:val="000000"/>
                <w:szCs w:val="21"/>
              </w:rPr>
            </w:pPr>
          </w:p>
        </w:tc>
        <w:tc>
          <w:tcPr>
            <w:tcW w:w="815" w:type="dxa"/>
            <w:noWrap w:val="0"/>
            <w:vAlign w:val="top"/>
          </w:tcPr>
          <w:p w14:paraId="207B84D3">
            <w:pPr>
              <w:widowControl w:val="0"/>
              <w:spacing w:line="320" w:lineRule="exact"/>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1.2.2主要负责人（15分）</w:t>
            </w:r>
          </w:p>
        </w:tc>
        <w:tc>
          <w:tcPr>
            <w:tcW w:w="4642" w:type="dxa"/>
            <w:noWrap w:val="0"/>
            <w:vAlign w:val="top"/>
          </w:tcPr>
          <w:p w14:paraId="5C6CD925">
            <w:pPr>
              <w:spacing w:line="320" w:lineRule="exact"/>
              <w:rPr>
                <w:rFonts w:hint="eastAsia" w:ascii="Times New Roman" w:hAnsi="Times New Roman" w:eastAsia="宋体"/>
                <w:color w:val="000000"/>
              </w:rPr>
            </w:pPr>
            <w:r>
              <w:rPr>
                <w:rFonts w:hint="eastAsia" w:ascii="Times New Roman" w:hAnsi="Times New Roman" w:eastAsia="宋体"/>
                <w:color w:val="000000"/>
              </w:rPr>
              <w:t>1.企业主要负责人是本单位安全生产第一责任人，对本单位的安全生产工作全面负责。</w:t>
            </w:r>
          </w:p>
          <w:p w14:paraId="16170E3D">
            <w:pPr>
              <w:spacing w:line="320" w:lineRule="exact"/>
              <w:rPr>
                <w:rFonts w:hint="eastAsia" w:ascii="Times New Roman" w:hAnsi="Times New Roman" w:eastAsia="宋体"/>
                <w:color w:val="000000"/>
              </w:rPr>
            </w:pPr>
            <w:r>
              <w:rPr>
                <w:rFonts w:hint="eastAsia" w:ascii="Times New Roman" w:hAnsi="Times New Roman" w:eastAsia="宋体"/>
                <w:color w:val="000000"/>
              </w:rPr>
              <w:t>2.企业主要负责人</w:t>
            </w:r>
            <w:r>
              <w:rPr>
                <w:rFonts w:hint="eastAsia" w:ascii="宋体" w:hAnsi="宋体" w:eastAsia="宋体" w:cs="宋体"/>
                <w:bCs/>
                <w:color w:val="000000"/>
                <w:szCs w:val="21"/>
              </w:rPr>
              <w:t>（实际控制人）</w:t>
            </w:r>
            <w:r>
              <w:rPr>
                <w:rFonts w:hint="eastAsia" w:ascii="Times New Roman" w:hAnsi="Times New Roman" w:eastAsia="宋体"/>
                <w:color w:val="000000"/>
              </w:rPr>
              <w:t xml:space="preserve">对本单位安全生产工作应至少负有《安全生产法》第二十一条规定的七项法定职责。 </w:t>
            </w:r>
          </w:p>
        </w:tc>
        <w:tc>
          <w:tcPr>
            <w:tcW w:w="3764" w:type="dxa"/>
            <w:noWrap w:val="0"/>
            <w:vAlign w:val="top"/>
          </w:tcPr>
          <w:p w14:paraId="752CF772">
            <w:pPr>
              <w:widowControl w:val="0"/>
              <w:spacing w:line="320" w:lineRule="exact"/>
              <w:ind w:firstLine="0" w:firstLineChars="0"/>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1.企业主要负责人（实际控制人）未履行安全生产职责的，一项扣5分。</w:t>
            </w:r>
          </w:p>
          <w:p w14:paraId="7D270974">
            <w:pPr>
              <w:spacing w:line="320" w:lineRule="exact"/>
              <w:rPr>
                <w:rFonts w:hint="eastAsia" w:ascii="宋体" w:hAnsi="宋体" w:eastAsia="宋体" w:cs="宋体"/>
                <w:bCs/>
                <w:color w:val="000000"/>
                <w:szCs w:val="21"/>
              </w:rPr>
            </w:pPr>
            <w:r>
              <w:rPr>
                <w:rFonts w:hint="eastAsia" w:ascii="Times New Roman" w:hAnsi="Times New Roman" w:eastAsia="宋体"/>
                <w:color w:val="000000"/>
              </w:rPr>
              <w:t>2.询问</w:t>
            </w:r>
            <w:r>
              <w:rPr>
                <w:rFonts w:hint="eastAsia" w:ascii="宋体" w:hAnsi="宋体" w:eastAsia="宋体" w:cs="宋体"/>
                <w:bCs/>
                <w:color w:val="000000"/>
                <w:szCs w:val="21"/>
              </w:rPr>
              <w:t>企业主要负责人职责不清楚，法定职责少回答一项扣2分。</w:t>
            </w:r>
          </w:p>
          <w:p w14:paraId="1A9921A0">
            <w:pPr>
              <w:widowControl w:val="0"/>
              <w:spacing w:line="320" w:lineRule="exact"/>
              <w:jc w:val="both"/>
              <w:rPr>
                <w:rFonts w:hint="eastAsia" w:ascii="宋体" w:hAnsi="宋体" w:eastAsia="宋体" w:cs="宋体"/>
                <w:bCs/>
                <w:color w:val="000000"/>
                <w:kern w:val="2"/>
                <w:sz w:val="21"/>
                <w:szCs w:val="21"/>
                <w:lang w:val="en-US" w:eastAsia="zh-CN" w:bidi="ar-SA"/>
              </w:rPr>
            </w:pPr>
          </w:p>
        </w:tc>
        <w:tc>
          <w:tcPr>
            <w:tcW w:w="1050" w:type="dxa"/>
            <w:noWrap w:val="0"/>
            <w:vAlign w:val="top"/>
          </w:tcPr>
          <w:p w14:paraId="142E76F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254C476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308880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360DF991">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0B34CF87">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234A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continue"/>
            <w:noWrap w:val="0"/>
            <w:vAlign w:val="top"/>
          </w:tcPr>
          <w:p w14:paraId="27780DCF">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restart"/>
            <w:noWrap w:val="0"/>
            <w:vAlign w:val="top"/>
          </w:tcPr>
          <w:p w14:paraId="77A3621D">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1.3</w:t>
            </w:r>
          </w:p>
          <w:p w14:paraId="10A76C19">
            <w:pPr>
              <w:spacing w:line="320" w:lineRule="exact"/>
              <w:jc w:val="center"/>
              <w:rPr>
                <w:rFonts w:ascii="宋体" w:hAnsi="宋体" w:eastAsia="宋体" w:cs="宋体"/>
                <w:b/>
                <w:color w:val="000000"/>
                <w:szCs w:val="21"/>
              </w:rPr>
            </w:pPr>
            <w:r>
              <w:rPr>
                <w:rFonts w:hint="eastAsia" w:ascii="宋体" w:hAnsi="宋体" w:eastAsia="宋体" w:cs="宋体"/>
                <w:b/>
                <w:color w:val="000000"/>
                <w:szCs w:val="21"/>
              </w:rPr>
              <w:t>安全生产责任制（80分）</w:t>
            </w:r>
          </w:p>
        </w:tc>
        <w:tc>
          <w:tcPr>
            <w:tcW w:w="815" w:type="dxa"/>
            <w:noWrap w:val="0"/>
            <w:vAlign w:val="top"/>
          </w:tcPr>
          <w:p w14:paraId="38C3F511">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1.3.1责任制建立健全（50分）</w:t>
            </w:r>
          </w:p>
        </w:tc>
        <w:tc>
          <w:tcPr>
            <w:tcW w:w="4642" w:type="dxa"/>
            <w:noWrap w:val="0"/>
            <w:vAlign w:val="top"/>
          </w:tcPr>
          <w:p w14:paraId="00C0217D">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1.企业应建立健全并落实本单位全员安全生产责任制，全员安全生产责任制应明确各岗位的责任人员、责任范围和考核标准等内容。</w:t>
            </w:r>
          </w:p>
          <w:p w14:paraId="5190CE8A">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2.企业安全生产责任制应及时更新，符合法律法规要求和本企业实际。</w:t>
            </w:r>
          </w:p>
          <w:p w14:paraId="36EDB758">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3.企业安全生产管理人员应至少负有</w:t>
            </w:r>
            <w:r>
              <w:rPr>
                <w:rFonts w:hint="eastAsia" w:ascii="Times New Roman" w:hAnsi="Times New Roman" w:eastAsia="宋体"/>
                <w:color w:val="000000"/>
              </w:rPr>
              <w:t>《安全生产法》第二十五条规定的七项法定职责。</w:t>
            </w:r>
          </w:p>
        </w:tc>
        <w:tc>
          <w:tcPr>
            <w:tcW w:w="3764" w:type="dxa"/>
            <w:noWrap w:val="0"/>
            <w:vAlign w:val="top"/>
          </w:tcPr>
          <w:p w14:paraId="2149FB95">
            <w:pPr>
              <w:widowControl w:val="0"/>
              <w:spacing w:line="320" w:lineRule="exact"/>
              <w:ind w:firstLine="0" w:firstLineChars="0"/>
              <w:jc w:val="both"/>
              <w:rPr>
                <w:rFonts w:hint="eastAsia" w:ascii="宋体" w:hAnsi="宋体" w:eastAsia="宋体" w:cs="宋体"/>
                <w:bCs/>
                <w:color w:val="000000"/>
                <w:kern w:val="2"/>
                <w:sz w:val="24"/>
                <w:szCs w:val="21"/>
                <w:lang w:val="en-US" w:eastAsia="zh-CN" w:bidi="ar-SA"/>
              </w:rPr>
            </w:pPr>
            <w:r>
              <w:rPr>
                <w:rFonts w:hint="eastAsia" w:ascii="宋体" w:hAnsi="宋体" w:eastAsia="宋体" w:cs="宋体"/>
                <w:bCs/>
                <w:color w:val="000000"/>
                <w:kern w:val="2"/>
                <w:sz w:val="24"/>
                <w:szCs w:val="21"/>
                <w:lang w:val="en-US" w:eastAsia="zh-CN" w:bidi="ar-SA"/>
              </w:rPr>
              <w:t>1</w:t>
            </w:r>
            <w:r>
              <w:rPr>
                <w:rFonts w:hint="eastAsia" w:ascii="宋体" w:hAnsi="宋体" w:eastAsia="宋体" w:cs="宋体"/>
                <w:bCs/>
                <w:color w:val="000000"/>
                <w:kern w:val="2"/>
                <w:sz w:val="21"/>
                <w:szCs w:val="21"/>
                <w:lang w:val="en-US" w:eastAsia="zh-CN" w:bidi="ar-SA"/>
              </w:rPr>
              <w:t>.企业未建立全员安全生产责任制，缺少一类（个）扣3分</w:t>
            </w:r>
            <w:r>
              <w:rPr>
                <w:rFonts w:hint="eastAsia" w:ascii="宋体" w:hAnsi="宋体" w:eastAsia="宋体" w:cs="宋体"/>
                <w:bCs/>
                <w:color w:val="000000"/>
                <w:kern w:val="2"/>
                <w:sz w:val="24"/>
                <w:szCs w:val="21"/>
                <w:lang w:val="en-US" w:eastAsia="zh-CN" w:bidi="ar-SA"/>
              </w:rPr>
              <w:t>。</w:t>
            </w:r>
          </w:p>
          <w:p w14:paraId="26113D14">
            <w:pPr>
              <w:widowControl w:val="0"/>
              <w:spacing w:line="320" w:lineRule="exact"/>
              <w:ind w:firstLine="0" w:firstLineChars="0"/>
              <w:jc w:val="both"/>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2.企业相关人员未履行安全生产职责的，每人次扣2分。</w:t>
            </w:r>
          </w:p>
          <w:p w14:paraId="75CED2CC">
            <w:pPr>
              <w:widowControl w:val="0"/>
              <w:spacing w:line="320" w:lineRule="exact"/>
              <w:jc w:val="both"/>
              <w:rPr>
                <w:rFonts w:hint="eastAsia" w:ascii="宋体" w:hAnsi="宋体" w:eastAsia="宋体" w:cs="宋体"/>
                <w:b/>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3.安全生产责任制未及时更新，不符合法律法规要求和企业实际的，扣2分。</w:t>
            </w:r>
          </w:p>
          <w:p w14:paraId="1D61302A">
            <w:pPr>
              <w:widowControl w:val="0"/>
              <w:spacing w:line="320" w:lineRule="exact"/>
              <w:jc w:val="both"/>
              <w:rPr>
                <w:rFonts w:hint="eastAsia" w:ascii="宋体" w:hAnsi="宋体" w:eastAsia="宋体" w:cs="宋体"/>
                <w:b/>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否决项：</w:t>
            </w:r>
          </w:p>
          <w:p w14:paraId="5AD1F103">
            <w:pPr>
              <w:widowControl w:val="0"/>
              <w:spacing w:line="320" w:lineRule="exact"/>
              <w:jc w:val="both"/>
              <w:rPr>
                <w:rFonts w:ascii="宋体" w:hAnsi="宋体" w:eastAsia="宋体" w:cs="宋体"/>
                <w:bCs/>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1.企业未建立</w:t>
            </w:r>
            <w:r>
              <w:rPr>
                <w:rFonts w:hint="eastAsia" w:ascii="宋体" w:hAnsi="宋体" w:eastAsia="宋体" w:cs="宋体"/>
                <w:b/>
                <w:color w:val="000000"/>
                <w:kern w:val="2"/>
                <w:sz w:val="21"/>
                <w:szCs w:val="21"/>
                <w:lang w:val="en-US" w:eastAsia="zh-CN" w:bidi="ar-SA"/>
              </w:rPr>
              <w:t>安全生产责任</w:t>
            </w:r>
            <w:r>
              <w:rPr>
                <w:rFonts w:hint="eastAsia" w:ascii="宋体" w:hAnsi="宋体" w:eastAsia="宋体" w:cs="宋体"/>
                <w:b/>
                <w:color w:val="000000"/>
                <w:kern w:val="0"/>
                <w:sz w:val="21"/>
                <w:szCs w:val="21"/>
                <w:lang w:val="en-US" w:eastAsia="zh-CN" w:bidi="ar-SA"/>
              </w:rPr>
              <w:t>制，扣160分。（A级要素否决项）</w:t>
            </w:r>
          </w:p>
        </w:tc>
        <w:tc>
          <w:tcPr>
            <w:tcW w:w="1050" w:type="dxa"/>
            <w:noWrap w:val="0"/>
            <w:vAlign w:val="top"/>
          </w:tcPr>
          <w:p w14:paraId="16529C85">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3A6AAC0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40E444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3FE77DE">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3374B5C">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2607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923" w:type="dxa"/>
            <w:vMerge w:val="continue"/>
            <w:noWrap w:val="0"/>
            <w:vAlign w:val="top"/>
          </w:tcPr>
          <w:p w14:paraId="692AF60B">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14:paraId="439D26E3">
            <w:pPr>
              <w:spacing w:line="320" w:lineRule="exact"/>
              <w:jc w:val="center"/>
              <w:rPr>
                <w:rFonts w:hint="eastAsia" w:ascii="宋体" w:hAnsi="宋体" w:eastAsia="宋体" w:cs="宋体"/>
                <w:b/>
                <w:bCs/>
                <w:color w:val="000000"/>
                <w:szCs w:val="21"/>
              </w:rPr>
            </w:pPr>
          </w:p>
        </w:tc>
        <w:tc>
          <w:tcPr>
            <w:tcW w:w="815" w:type="dxa"/>
            <w:noWrap w:val="0"/>
            <w:vAlign w:val="top"/>
          </w:tcPr>
          <w:p w14:paraId="0354AA21">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1.3.2责任制运行考核</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noWrap w:val="0"/>
            <w:vAlign w:val="top"/>
          </w:tcPr>
          <w:p w14:paraId="795C7F8D">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1.企业应建立安全生产责任制考核机制，加强对全员安全生产责任制落实情况的监督考核，保证全员安全生产责任制落实。</w:t>
            </w:r>
          </w:p>
          <w:p w14:paraId="76CB3D0D">
            <w:pPr>
              <w:spacing w:line="320" w:lineRule="exact"/>
              <w:ind w:left="1"/>
              <w:rPr>
                <w:rFonts w:hint="eastAsia" w:ascii="Times New Roman" w:hAnsi="Times New Roman" w:eastAsia="宋体"/>
                <w:color w:val="000000"/>
              </w:rPr>
            </w:pPr>
            <w:r>
              <w:rPr>
                <w:rFonts w:hint="eastAsia" w:ascii="宋体" w:hAnsi="宋体" w:eastAsia="宋体" w:cs="宋体"/>
                <w:bCs/>
                <w:color w:val="000000"/>
                <w:szCs w:val="21"/>
              </w:rPr>
              <w:t>2.企业应</w:t>
            </w:r>
            <w:r>
              <w:rPr>
                <w:rFonts w:hint="eastAsia" w:ascii="Times New Roman" w:hAnsi="Times New Roman" w:eastAsia="宋体"/>
                <w:color w:val="000000"/>
              </w:rPr>
              <w:t>至少每半年进行一次安全生产责任制落实情况考核，至少每年进行一次安全生产目标落实情况考核。</w:t>
            </w:r>
          </w:p>
        </w:tc>
        <w:tc>
          <w:tcPr>
            <w:tcW w:w="3764" w:type="dxa"/>
            <w:noWrap w:val="0"/>
            <w:vAlign w:val="top"/>
          </w:tcPr>
          <w:p w14:paraId="2EF05EEB">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1.企业未建立安全生产责任制考核机制，扣5分。</w:t>
            </w:r>
          </w:p>
          <w:p w14:paraId="4EFD5AD4">
            <w:pPr>
              <w:spacing w:line="320" w:lineRule="exact"/>
              <w:rPr>
                <w:rFonts w:hint="eastAsia" w:ascii="Times New Roman" w:hAnsi="Times New Roman" w:eastAsia="宋体"/>
                <w:color w:val="000000"/>
              </w:rPr>
            </w:pPr>
            <w:r>
              <w:rPr>
                <w:rFonts w:hint="eastAsia" w:ascii="Times New Roman" w:hAnsi="Times New Roman" w:eastAsia="宋体"/>
                <w:color w:val="000000"/>
              </w:rPr>
              <w:t>3.企业未进行责任制考核，扣3分；每少一个人扣2分。</w:t>
            </w:r>
          </w:p>
          <w:p w14:paraId="308E8240">
            <w:pPr>
              <w:widowControl w:val="0"/>
              <w:spacing w:line="320" w:lineRule="exact"/>
              <w:jc w:val="both"/>
              <w:rPr>
                <w:rFonts w:ascii="Times New Roman" w:hAnsi="Times New Roman" w:eastAsia="宋体" w:cs="Times New Roman"/>
                <w:color w:val="000000"/>
                <w:kern w:val="2"/>
                <w:sz w:val="21"/>
                <w:szCs w:val="24"/>
                <w:lang w:val="en-US" w:eastAsia="zh-CN" w:bidi="ar-SA"/>
              </w:rPr>
            </w:pPr>
          </w:p>
        </w:tc>
        <w:tc>
          <w:tcPr>
            <w:tcW w:w="1050" w:type="dxa"/>
            <w:noWrap w:val="0"/>
            <w:vAlign w:val="top"/>
          </w:tcPr>
          <w:p w14:paraId="0D50654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3D5F6A8C">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4AEE24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5CA17BA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022B2757">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2D7F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3" w:type="dxa"/>
            <w:vMerge w:val="continue"/>
            <w:noWrap w:val="0"/>
            <w:vAlign w:val="top"/>
          </w:tcPr>
          <w:p w14:paraId="461FDE45">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noWrap w:val="0"/>
            <w:vAlign w:val="top"/>
          </w:tcPr>
          <w:p w14:paraId="63F9B779">
            <w:pPr>
              <w:spacing w:line="320" w:lineRule="exact"/>
              <w:jc w:val="left"/>
              <w:rPr>
                <w:rFonts w:hint="eastAsia" w:ascii="宋体" w:hAnsi="宋体" w:eastAsia="宋体" w:cs="宋体"/>
                <w:b/>
                <w:color w:val="000000"/>
                <w:szCs w:val="21"/>
              </w:rPr>
            </w:pPr>
            <w:r>
              <w:rPr>
                <w:rFonts w:hint="eastAsia" w:ascii="宋体" w:hAnsi="宋体" w:eastAsia="宋体" w:cs="宋体"/>
                <w:b/>
                <w:color w:val="000000"/>
                <w:szCs w:val="21"/>
              </w:rPr>
              <w:t>1.4</w:t>
            </w:r>
          </w:p>
          <w:p w14:paraId="0F870505">
            <w:pPr>
              <w:spacing w:line="320" w:lineRule="exact"/>
              <w:jc w:val="left"/>
              <w:rPr>
                <w:rFonts w:hint="eastAsia" w:ascii="宋体" w:hAnsi="宋体" w:eastAsia="宋体" w:cs="宋体"/>
                <w:b/>
                <w:bCs/>
                <w:color w:val="000000"/>
                <w:szCs w:val="21"/>
              </w:rPr>
            </w:pPr>
            <w:r>
              <w:rPr>
                <w:rFonts w:hint="eastAsia" w:ascii="宋体" w:hAnsi="宋体" w:eastAsia="宋体" w:cs="宋体"/>
                <w:b/>
                <w:color w:val="000000"/>
                <w:szCs w:val="21"/>
              </w:rPr>
              <w:t>安全费用投入</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p w14:paraId="25048840">
            <w:pPr>
              <w:spacing w:line="320" w:lineRule="exact"/>
              <w:jc w:val="center"/>
              <w:rPr>
                <w:rFonts w:hint="eastAsia" w:ascii="宋体" w:hAnsi="宋体" w:eastAsia="宋体" w:cs="宋体"/>
                <w:b/>
                <w:color w:val="000000"/>
                <w:szCs w:val="21"/>
              </w:rPr>
            </w:pPr>
          </w:p>
        </w:tc>
        <w:tc>
          <w:tcPr>
            <w:tcW w:w="815" w:type="dxa"/>
            <w:noWrap w:val="0"/>
            <w:vAlign w:val="top"/>
          </w:tcPr>
          <w:p w14:paraId="72D4B98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1.4.1安全费用提取和使用</w:t>
            </w:r>
          </w:p>
          <w:p w14:paraId="5AAE06CE">
            <w:pPr>
              <w:spacing w:line="320" w:lineRule="exact"/>
              <w:jc w:val="center"/>
              <w:rPr>
                <w:rFonts w:hint="eastAsia" w:ascii="宋体" w:hAnsi="宋体" w:eastAsia="宋体"/>
                <w:b/>
                <w:color w:val="000000"/>
              </w:rPr>
            </w:pP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noWrap w:val="0"/>
            <w:vAlign w:val="top"/>
          </w:tcPr>
          <w:p w14:paraId="5B6DE608">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1.企业应建立安全生产投入保障制度，参照《企业安全生产费用提取和使用管理办法》（财资〔2022〕136号）自行提取安全费用，专项用于安全投入使用。</w:t>
            </w:r>
          </w:p>
          <w:p w14:paraId="6BDE7692">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2.企业应按照规定的安全生产费用使用范围，合理使用安全生产费用，建立安全生产费用管理台账，记录安全费用的提取和使用情况。</w:t>
            </w:r>
          </w:p>
          <w:p w14:paraId="4D9502F5">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3.企业应按照《工伤保险条例》规定为从业人员购买工伤保险。</w:t>
            </w:r>
          </w:p>
          <w:p w14:paraId="7E51CAE3">
            <w:pPr>
              <w:spacing w:line="320" w:lineRule="exact"/>
              <w:ind w:left="1"/>
              <w:rPr>
                <w:rFonts w:hint="eastAsia" w:ascii="Times New Roman" w:hAnsi="Times New Roman" w:eastAsia="宋体"/>
                <w:color w:val="000000"/>
              </w:rPr>
            </w:pPr>
            <w:r>
              <w:rPr>
                <w:rFonts w:hint="eastAsia" w:ascii="Times New Roman" w:hAnsi="Times New Roman" w:eastAsia="宋体"/>
                <w:color w:val="000000"/>
              </w:rPr>
              <w:t>4.企业应按照《安全生产法》和《安全生产责任保险实施办法》的要求，按期足额投保安全生产责任保险。</w:t>
            </w:r>
          </w:p>
        </w:tc>
        <w:tc>
          <w:tcPr>
            <w:tcW w:w="3764" w:type="dxa"/>
            <w:noWrap w:val="0"/>
            <w:vAlign w:val="top"/>
          </w:tcPr>
          <w:p w14:paraId="6FA3645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1.企业未建立安全生产费用</w:t>
            </w:r>
            <w:r>
              <w:rPr>
                <w:rFonts w:hint="eastAsia" w:ascii="Times New Roman" w:hAnsi="Times New Roman" w:eastAsia="宋体"/>
                <w:color w:val="000000"/>
                <w:szCs w:val="21"/>
              </w:rPr>
              <w:t>投入保障相关</w:t>
            </w:r>
            <w:r>
              <w:rPr>
                <w:rFonts w:hint="eastAsia" w:ascii="宋体" w:hAnsi="宋体" w:eastAsia="宋体" w:cs="宋体"/>
                <w:color w:val="000000"/>
                <w:szCs w:val="21"/>
              </w:rPr>
              <w:t>制度的，扣5分。</w:t>
            </w:r>
          </w:p>
          <w:p w14:paraId="70A84A87">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2.企业未建立安全生产费用管理台账的，扣2分；内容记录不完整、不清楚的，一处扣2分。</w:t>
            </w:r>
          </w:p>
          <w:p w14:paraId="51971B7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3.企业未按规定为从业人员购买工伤保险的，1人次扣2分。</w:t>
            </w:r>
          </w:p>
          <w:p w14:paraId="402533AF">
            <w:pPr>
              <w:spacing w:line="320" w:lineRule="exact"/>
              <w:rPr>
                <w:rFonts w:hint="eastAsia" w:ascii="Times New Roman" w:hAnsi="Times New Roman" w:eastAsia="宋体"/>
                <w:color w:val="000000"/>
              </w:rPr>
            </w:pPr>
            <w:r>
              <w:rPr>
                <w:rFonts w:hint="eastAsia" w:ascii="Times New Roman" w:hAnsi="Times New Roman" w:eastAsia="宋体"/>
                <w:color w:val="000000"/>
              </w:rPr>
              <w:t>4.企业未按规定按期投保安全生产责任险，扣2分。</w:t>
            </w:r>
          </w:p>
          <w:p w14:paraId="0D4F08C1">
            <w:pPr>
              <w:spacing w:line="320" w:lineRule="exact"/>
              <w:rPr>
                <w:rFonts w:hint="eastAsia" w:ascii="Times New Roman" w:hAnsi="Times New Roman" w:eastAsia="宋体"/>
                <w:color w:val="000000"/>
              </w:rPr>
            </w:pPr>
          </w:p>
        </w:tc>
        <w:tc>
          <w:tcPr>
            <w:tcW w:w="1050" w:type="dxa"/>
            <w:noWrap w:val="0"/>
            <w:vAlign w:val="top"/>
          </w:tcPr>
          <w:p w14:paraId="55FA035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65FBF6C3">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BAEE19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E586833">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1EE12BE9">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7647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3" w:type="dxa"/>
            <w:vMerge w:val="restart"/>
            <w:noWrap w:val="0"/>
            <w:vAlign w:val="top"/>
          </w:tcPr>
          <w:p w14:paraId="7A160719">
            <w:pPr>
              <w:widowControl w:val="0"/>
              <w:spacing w:line="320" w:lineRule="exact"/>
              <w:jc w:val="center"/>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2</w:t>
            </w:r>
          </w:p>
          <w:p w14:paraId="5E4D74CA">
            <w:pPr>
              <w:widowControl w:val="0"/>
              <w:spacing w:line="320" w:lineRule="exact"/>
              <w:jc w:val="center"/>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管理</w:t>
            </w:r>
          </w:p>
          <w:p w14:paraId="13CA8188">
            <w:pPr>
              <w:widowControl w:val="0"/>
              <w:spacing w:line="320" w:lineRule="exact"/>
              <w:jc w:val="center"/>
              <w:rPr>
                <w:rFonts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制度（140分）</w:t>
            </w:r>
          </w:p>
        </w:tc>
        <w:tc>
          <w:tcPr>
            <w:tcW w:w="809" w:type="dxa"/>
            <w:vMerge w:val="restart"/>
            <w:noWrap w:val="0"/>
            <w:vAlign w:val="top"/>
          </w:tcPr>
          <w:p w14:paraId="6407EE9A">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w:t>
            </w:r>
          </w:p>
          <w:p w14:paraId="2B3F2A8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法律法规和</w:t>
            </w:r>
          </w:p>
          <w:p w14:paraId="4EA3326C">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标准规范（60分）</w:t>
            </w:r>
          </w:p>
        </w:tc>
        <w:tc>
          <w:tcPr>
            <w:tcW w:w="815" w:type="dxa"/>
            <w:noWrap w:val="0"/>
            <w:vAlign w:val="top"/>
          </w:tcPr>
          <w:p w14:paraId="0FC65DB1">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2.1.1法律法规和标准规范的获取</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noWrap w:val="0"/>
            <w:vAlign w:val="top"/>
          </w:tcPr>
          <w:p w14:paraId="7FB4D03D">
            <w:pPr>
              <w:numPr>
                <w:ilvl w:val="0"/>
                <w:numId w:val="2"/>
              </w:numPr>
              <w:spacing w:line="320" w:lineRule="exact"/>
              <w:rPr>
                <w:rFonts w:hint="eastAsia" w:ascii="Times New Roman" w:hAnsi="Times New Roman" w:eastAsia="宋体"/>
                <w:color w:val="000000"/>
              </w:rPr>
            </w:pPr>
            <w:r>
              <w:rPr>
                <w:rFonts w:hint="eastAsia" w:ascii="Times New Roman" w:hAnsi="Times New Roman" w:eastAsia="宋体"/>
                <w:color w:val="000000"/>
              </w:rPr>
              <w:t>企业应建立识别和获取适用的安全生产法律法规、标准规范和相关规定的管理制度，明确责任部门，确定获取渠道、方式和时机，及时识别和获取。</w:t>
            </w:r>
          </w:p>
          <w:p w14:paraId="75DDA09C">
            <w:pPr>
              <w:numPr>
                <w:ilvl w:val="0"/>
                <w:numId w:val="2"/>
              </w:numPr>
              <w:spacing w:line="320" w:lineRule="exact"/>
              <w:rPr>
                <w:rFonts w:hint="eastAsia" w:ascii="Times New Roman" w:hAnsi="Times New Roman" w:eastAsia="宋体"/>
                <w:color w:val="000000"/>
              </w:rPr>
            </w:pPr>
            <w:r>
              <w:rPr>
                <w:rFonts w:hint="eastAsia" w:ascii="Times New Roman" w:hAnsi="Times New Roman" w:eastAsia="宋体"/>
                <w:color w:val="000000"/>
              </w:rPr>
              <w:t>企业应当建立安全生产相关法律法规、标准规范清单和文本数据库，并定期更新。</w:t>
            </w:r>
          </w:p>
          <w:p w14:paraId="68DE51A7">
            <w:pPr>
              <w:spacing w:line="320" w:lineRule="exact"/>
              <w:rPr>
                <w:rFonts w:hint="eastAsia" w:ascii="Times New Roman" w:hAnsi="Times New Roman" w:eastAsia="宋体"/>
                <w:color w:val="000000"/>
              </w:rPr>
            </w:pPr>
            <w:r>
              <w:rPr>
                <w:rFonts w:hint="eastAsia" w:ascii="Times New Roman" w:hAnsi="Times New Roman" w:eastAsia="宋体"/>
                <w:color w:val="000000"/>
              </w:rPr>
              <w:t>3.企业应将适用的安全生产法律法规和标准规范的相关要求转化为本单位的管理制度，并及时传达给相关从业人员，确保相关要求落实到位。</w:t>
            </w:r>
          </w:p>
        </w:tc>
        <w:tc>
          <w:tcPr>
            <w:tcW w:w="3764" w:type="dxa"/>
            <w:noWrap w:val="0"/>
            <w:vAlign w:val="top"/>
          </w:tcPr>
          <w:p w14:paraId="0705A920">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1.企业未建立识别和获取适用的安全生产法律法规、标准规范和相关规定的管理制度，扣5分。</w:t>
            </w:r>
          </w:p>
          <w:p w14:paraId="22898523">
            <w:pPr>
              <w:spacing w:line="320" w:lineRule="exact"/>
              <w:rPr>
                <w:rFonts w:hint="eastAsia" w:ascii="Times New Roman" w:hAnsi="Times New Roman" w:eastAsia="宋体"/>
                <w:color w:val="000000"/>
              </w:rPr>
            </w:pPr>
            <w:r>
              <w:rPr>
                <w:rFonts w:hint="eastAsia" w:ascii="Times New Roman" w:hAnsi="Times New Roman" w:eastAsia="宋体"/>
                <w:color w:val="000000"/>
              </w:rPr>
              <w:t>2.制度内容不健全的，缺一项扣2分。</w:t>
            </w:r>
          </w:p>
          <w:p w14:paraId="616EBC25">
            <w:pPr>
              <w:spacing w:line="320" w:lineRule="exact"/>
              <w:rPr>
                <w:rFonts w:hint="eastAsia" w:ascii="Times New Roman" w:hAnsi="Times New Roman" w:eastAsia="宋体"/>
                <w:color w:val="000000"/>
              </w:rPr>
            </w:pPr>
            <w:r>
              <w:rPr>
                <w:rFonts w:hint="eastAsia" w:ascii="Times New Roman" w:hAnsi="Times New Roman" w:eastAsia="宋体"/>
                <w:color w:val="000000"/>
              </w:rPr>
              <w:t>3.企业未建立安全生产相关法律法规、标准规范清单和文本数据库并定期更新的，缺一项扣2分。</w:t>
            </w:r>
          </w:p>
          <w:p w14:paraId="36DB3A08">
            <w:pPr>
              <w:spacing w:line="320" w:lineRule="exact"/>
              <w:rPr>
                <w:rFonts w:hint="eastAsia" w:ascii="Times New Roman" w:hAnsi="Times New Roman" w:eastAsia="宋体"/>
                <w:color w:val="000000"/>
              </w:rPr>
            </w:pPr>
          </w:p>
        </w:tc>
        <w:tc>
          <w:tcPr>
            <w:tcW w:w="1050" w:type="dxa"/>
            <w:noWrap w:val="0"/>
            <w:vAlign w:val="top"/>
          </w:tcPr>
          <w:p w14:paraId="2D30811E">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2A23600C">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33BA9E43">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12B55D6">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749CB3A">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1A0E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923" w:type="dxa"/>
            <w:vMerge w:val="continue"/>
            <w:noWrap w:val="0"/>
            <w:vAlign w:val="top"/>
          </w:tcPr>
          <w:p w14:paraId="779C46EA">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809" w:type="dxa"/>
            <w:vMerge w:val="continue"/>
            <w:noWrap w:val="0"/>
            <w:vAlign w:val="top"/>
          </w:tcPr>
          <w:p w14:paraId="10DFEFCA">
            <w:pPr>
              <w:spacing w:line="320" w:lineRule="exact"/>
              <w:jc w:val="center"/>
              <w:rPr>
                <w:rFonts w:hint="eastAsia" w:ascii="宋体" w:hAnsi="宋体" w:eastAsia="宋体" w:cs="宋体"/>
                <w:b/>
                <w:color w:val="000000"/>
                <w:szCs w:val="21"/>
              </w:rPr>
            </w:pPr>
          </w:p>
        </w:tc>
        <w:tc>
          <w:tcPr>
            <w:tcW w:w="815" w:type="dxa"/>
            <w:noWrap w:val="0"/>
            <w:vAlign w:val="top"/>
          </w:tcPr>
          <w:p w14:paraId="75A78B0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2.1.2法律法规和标准规范合规性评审（30分）</w:t>
            </w:r>
          </w:p>
        </w:tc>
        <w:tc>
          <w:tcPr>
            <w:tcW w:w="4642" w:type="dxa"/>
            <w:noWrap w:val="0"/>
            <w:vAlign w:val="top"/>
          </w:tcPr>
          <w:p w14:paraId="4E87C1F2">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企业应</w:t>
            </w:r>
            <w:r>
              <w:rPr>
                <w:rFonts w:hint="eastAsia" w:ascii="Times New Roman" w:hAnsi="Times New Roman" w:eastAsia="宋体"/>
                <w:color w:val="000000"/>
              </w:rPr>
              <w:t>每年至少一次对安全生产相关法律法规和标准规范的适用性、全面性以及其他要求进行符合性评审，并形成合规性评审报告，及时消除违法违规现象和行为。</w:t>
            </w:r>
          </w:p>
          <w:p w14:paraId="47549B63">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当企业发生事故、重大安全事件以及法律法规等发生重大调整时</w:t>
            </w:r>
            <w:r>
              <w:rPr>
                <w:rFonts w:hint="eastAsia" w:ascii="Times New Roman" w:hAnsi="Times New Roman" w:eastAsia="宋体"/>
                <w:color w:val="000000"/>
              </w:rPr>
              <w:t>，</w:t>
            </w:r>
            <w:r>
              <w:rPr>
                <w:rFonts w:ascii="Times New Roman" w:hAnsi="Times New Roman" w:eastAsia="宋体"/>
                <w:color w:val="000000"/>
              </w:rPr>
              <w:t>应及时对相关内容开展合规性审核</w:t>
            </w:r>
            <w:r>
              <w:rPr>
                <w:rFonts w:hint="eastAsia" w:ascii="Times New Roman" w:hAnsi="Times New Roman" w:eastAsia="宋体"/>
                <w:color w:val="000000"/>
              </w:rPr>
              <w:t>；</w:t>
            </w:r>
            <w:r>
              <w:rPr>
                <w:rFonts w:ascii="Times New Roman" w:hAnsi="Times New Roman" w:eastAsia="宋体"/>
                <w:color w:val="000000"/>
              </w:rPr>
              <w:t>对审核中提出的不符合项</w:t>
            </w:r>
            <w:r>
              <w:rPr>
                <w:rFonts w:hint="eastAsia" w:ascii="Times New Roman" w:hAnsi="Times New Roman" w:eastAsia="宋体"/>
                <w:color w:val="000000"/>
              </w:rPr>
              <w:t>，应制定整改措施，</w:t>
            </w:r>
            <w:r>
              <w:rPr>
                <w:rFonts w:ascii="Times New Roman" w:hAnsi="Times New Roman" w:eastAsia="宋体"/>
                <w:color w:val="000000"/>
              </w:rPr>
              <w:t>及时进行整改</w:t>
            </w:r>
            <w:r>
              <w:rPr>
                <w:rFonts w:hint="eastAsia" w:ascii="Times New Roman" w:hAnsi="Times New Roman" w:eastAsia="宋体"/>
                <w:color w:val="000000"/>
              </w:rPr>
              <w:t>，</w:t>
            </w:r>
            <w:r>
              <w:rPr>
                <w:rFonts w:ascii="Times New Roman" w:hAnsi="Times New Roman" w:eastAsia="宋体"/>
                <w:color w:val="000000"/>
              </w:rPr>
              <w:t>并跟踪整改</w:t>
            </w:r>
            <w:r>
              <w:rPr>
                <w:rFonts w:hint="eastAsia" w:ascii="Times New Roman" w:hAnsi="Times New Roman" w:eastAsia="宋体"/>
                <w:color w:val="000000"/>
              </w:rPr>
              <w:t>落实</w:t>
            </w:r>
            <w:r>
              <w:rPr>
                <w:rFonts w:ascii="Times New Roman" w:hAnsi="Times New Roman" w:eastAsia="宋体"/>
                <w:color w:val="000000"/>
              </w:rPr>
              <w:t>情况</w:t>
            </w:r>
            <w:r>
              <w:rPr>
                <w:rFonts w:hint="eastAsia" w:ascii="Times New Roman" w:hAnsi="Times New Roman" w:eastAsia="宋体"/>
                <w:color w:val="000000"/>
              </w:rPr>
              <w:t>。</w:t>
            </w:r>
          </w:p>
        </w:tc>
        <w:tc>
          <w:tcPr>
            <w:tcW w:w="3764" w:type="dxa"/>
            <w:noWrap w:val="0"/>
            <w:vAlign w:val="top"/>
          </w:tcPr>
          <w:p w14:paraId="7804C641">
            <w:pPr>
              <w:spacing w:line="320" w:lineRule="exact"/>
              <w:rPr>
                <w:rFonts w:hint="eastAsia" w:ascii="Times New Roman" w:hAnsi="Times New Roman" w:eastAsia="宋体"/>
                <w:color w:val="000000"/>
              </w:rPr>
            </w:pPr>
            <w:r>
              <w:rPr>
                <w:rFonts w:hint="eastAsia" w:ascii="Times New Roman" w:hAnsi="Times New Roman" w:eastAsia="宋体"/>
                <w:color w:val="000000"/>
              </w:rPr>
              <w:t>1.企业未组织对安全生产相关法律法规和标准规范进行合规性评审、未形成合规性评审报告的，一项扣3分。</w:t>
            </w:r>
          </w:p>
          <w:p w14:paraId="06D11B83">
            <w:pPr>
              <w:spacing w:line="320" w:lineRule="exact"/>
              <w:rPr>
                <w:rFonts w:hint="eastAsia" w:ascii="宋体" w:hAnsi="宋体" w:eastAsia="宋体" w:cs="宋体"/>
                <w:b/>
                <w:color w:val="000000"/>
                <w:szCs w:val="21"/>
              </w:rPr>
            </w:pPr>
            <w:r>
              <w:rPr>
                <w:rFonts w:hint="eastAsia" w:ascii="Times New Roman" w:hAnsi="Times New Roman" w:eastAsia="宋体"/>
                <w:color w:val="000000"/>
              </w:rPr>
              <w:t>2.企业未对审核出的不符合项制定整改措施、</w:t>
            </w:r>
            <w:r>
              <w:rPr>
                <w:rFonts w:ascii="Times New Roman" w:hAnsi="Times New Roman" w:eastAsia="宋体"/>
                <w:color w:val="000000"/>
              </w:rPr>
              <w:t>及时进行整改</w:t>
            </w:r>
            <w:r>
              <w:rPr>
                <w:rFonts w:hint="eastAsia" w:ascii="Times New Roman" w:hAnsi="Times New Roman" w:eastAsia="宋体"/>
                <w:color w:val="000000"/>
              </w:rPr>
              <w:t>的，一项扣2分。</w:t>
            </w:r>
          </w:p>
        </w:tc>
        <w:tc>
          <w:tcPr>
            <w:tcW w:w="1050" w:type="dxa"/>
            <w:noWrap w:val="0"/>
            <w:vAlign w:val="top"/>
          </w:tcPr>
          <w:p w14:paraId="23DB6F28">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tcBorders>
              <w:bottom w:val="single" w:color="auto" w:sz="4" w:space="0"/>
            </w:tcBorders>
            <w:noWrap w:val="0"/>
            <w:vAlign w:val="top"/>
          </w:tcPr>
          <w:p w14:paraId="74714914">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04F9F8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98E578D">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14BFE2C">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72FC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3" w:type="dxa"/>
            <w:vMerge w:val="continue"/>
            <w:noWrap w:val="0"/>
            <w:vAlign w:val="top"/>
          </w:tcPr>
          <w:p w14:paraId="156D210B">
            <w:pPr>
              <w:spacing w:line="320" w:lineRule="exact"/>
              <w:jc w:val="center"/>
              <w:rPr>
                <w:rFonts w:hint="eastAsia" w:ascii="宋体" w:hAnsi="宋体" w:eastAsia="宋体" w:cs="宋体"/>
                <w:b/>
                <w:bCs/>
                <w:color w:val="000000"/>
                <w:szCs w:val="21"/>
              </w:rPr>
            </w:pPr>
          </w:p>
        </w:tc>
        <w:tc>
          <w:tcPr>
            <w:tcW w:w="809" w:type="dxa"/>
            <w:vMerge w:val="restart"/>
            <w:noWrap w:val="0"/>
            <w:vAlign w:val="top"/>
          </w:tcPr>
          <w:p w14:paraId="6617E63C">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w:t>
            </w:r>
          </w:p>
          <w:p w14:paraId="2F882A53">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规章制度80分</w:t>
            </w:r>
            <w:r>
              <w:rPr>
                <w:rFonts w:hint="eastAsia" w:ascii="宋体" w:hAnsi="宋体" w:cs="宋体"/>
                <w:b/>
                <w:color w:val="000000"/>
                <w:szCs w:val="21"/>
                <w:lang w:eastAsia="zh-CN"/>
              </w:rPr>
              <w:t>）</w:t>
            </w:r>
          </w:p>
        </w:tc>
        <w:tc>
          <w:tcPr>
            <w:tcW w:w="815" w:type="dxa"/>
            <w:noWrap w:val="0"/>
            <w:vAlign w:val="top"/>
          </w:tcPr>
          <w:p w14:paraId="5D47C865">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2.2.1规章</w:t>
            </w:r>
          </w:p>
          <w:p w14:paraId="23302161">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制度</w:t>
            </w:r>
            <w:r>
              <w:rPr>
                <w:rFonts w:hint="eastAsia" w:ascii="宋体" w:hAnsi="宋体" w:cs="宋体"/>
                <w:b/>
                <w:color w:val="000000"/>
                <w:szCs w:val="21"/>
                <w:lang w:eastAsia="zh-CN"/>
              </w:rPr>
              <w:t>（</w:t>
            </w:r>
            <w:r>
              <w:rPr>
                <w:rFonts w:hint="eastAsia" w:ascii="宋体" w:hAnsi="宋体" w:eastAsia="宋体" w:cs="宋体"/>
                <w:b/>
                <w:color w:val="000000"/>
                <w:szCs w:val="21"/>
              </w:rPr>
              <w:t>50分</w:t>
            </w:r>
            <w:r>
              <w:rPr>
                <w:rFonts w:hint="eastAsia" w:ascii="宋体" w:hAnsi="宋体" w:cs="宋体"/>
                <w:b/>
                <w:color w:val="000000"/>
                <w:szCs w:val="21"/>
                <w:lang w:eastAsia="zh-CN"/>
              </w:rPr>
              <w:t>）</w:t>
            </w:r>
          </w:p>
        </w:tc>
        <w:tc>
          <w:tcPr>
            <w:tcW w:w="4642" w:type="dxa"/>
            <w:noWrap w:val="0"/>
            <w:vAlign w:val="top"/>
          </w:tcPr>
          <w:p w14:paraId="57276157">
            <w:pPr>
              <w:spacing w:line="320" w:lineRule="exact"/>
              <w:rPr>
                <w:rFonts w:hint="eastAsia" w:ascii="Times New Roman" w:hAnsi="Times New Roman" w:eastAsia="宋体"/>
                <w:color w:val="000000"/>
              </w:rPr>
            </w:pPr>
            <w:r>
              <w:rPr>
                <w:rFonts w:hint="eastAsia" w:ascii="Times New Roman" w:hAnsi="Times New Roman" w:eastAsia="宋体"/>
                <w:color w:val="000000"/>
              </w:rPr>
              <w:t>1.企业应</w:t>
            </w:r>
            <w:r>
              <w:rPr>
                <w:rFonts w:ascii="Times New Roman" w:hAnsi="Times New Roman" w:eastAsia="宋体"/>
                <w:color w:val="000000"/>
              </w:rPr>
              <w:t>将</w:t>
            </w:r>
            <w:r>
              <w:rPr>
                <w:rFonts w:hint="eastAsia" w:ascii="Times New Roman" w:hAnsi="Times New Roman" w:eastAsia="宋体"/>
                <w:color w:val="000000"/>
              </w:rPr>
              <w:t>新的适用的法律法规、标准规范及政策要求</w:t>
            </w:r>
            <w:r>
              <w:rPr>
                <w:rFonts w:ascii="Times New Roman" w:hAnsi="Times New Roman" w:eastAsia="宋体"/>
                <w:color w:val="000000"/>
              </w:rPr>
              <w:t>及时转化为</w:t>
            </w:r>
            <w:r>
              <w:rPr>
                <w:rFonts w:hint="eastAsia" w:ascii="Times New Roman" w:hAnsi="Times New Roman" w:eastAsia="宋体"/>
                <w:color w:val="000000"/>
              </w:rPr>
              <w:t>企业的安全生产规章制度和操作规程。</w:t>
            </w:r>
          </w:p>
          <w:p w14:paraId="0CA177A7">
            <w:pPr>
              <w:widowControl w:val="0"/>
              <w:spacing w:line="320" w:lineRule="exact"/>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2.企业</w:t>
            </w:r>
            <w:r>
              <w:rPr>
                <w:rFonts w:ascii="Times New Roman" w:hAnsi="Times New Roman" w:eastAsia="宋体" w:cs="Times New Roman"/>
                <w:color w:val="000000"/>
                <w:kern w:val="2"/>
                <w:sz w:val="21"/>
                <w:szCs w:val="24"/>
                <w:lang w:val="en-US" w:eastAsia="zh-CN" w:bidi="ar-SA"/>
              </w:rPr>
              <w:t>每年</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对</w:t>
            </w:r>
            <w:r>
              <w:rPr>
                <w:rFonts w:hint="eastAsia" w:ascii="Times New Roman" w:hAnsi="Times New Roman" w:eastAsia="宋体" w:cs="Times New Roman"/>
                <w:color w:val="000000"/>
                <w:kern w:val="2"/>
                <w:sz w:val="21"/>
                <w:szCs w:val="24"/>
                <w:lang w:val="en-US" w:eastAsia="zh-CN" w:bidi="ar-SA"/>
              </w:rPr>
              <w:t>安全生产规章制度</w:t>
            </w:r>
            <w:r>
              <w:rPr>
                <w:rFonts w:ascii="Times New Roman" w:hAnsi="Times New Roman" w:eastAsia="宋体" w:cs="Times New Roman"/>
                <w:color w:val="000000"/>
                <w:kern w:val="2"/>
                <w:sz w:val="21"/>
                <w:szCs w:val="24"/>
                <w:lang w:val="en-US" w:eastAsia="zh-CN" w:bidi="ar-SA"/>
              </w:rPr>
              <w:t>的适应性</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有效性</w:t>
            </w:r>
            <w:r>
              <w:rPr>
                <w:rFonts w:hint="eastAsia" w:ascii="Times New Roman" w:hAnsi="Times New Roman" w:eastAsia="宋体" w:cs="Times New Roman"/>
                <w:color w:val="000000"/>
                <w:kern w:val="2"/>
                <w:sz w:val="21"/>
                <w:szCs w:val="24"/>
                <w:lang w:val="en-US" w:eastAsia="zh-CN" w:bidi="ar-SA"/>
              </w:rPr>
              <w:t>和执行情况</w:t>
            </w:r>
            <w:r>
              <w:rPr>
                <w:rFonts w:ascii="Times New Roman" w:hAnsi="Times New Roman" w:eastAsia="宋体" w:cs="Times New Roman"/>
                <w:color w:val="000000"/>
                <w:kern w:val="2"/>
                <w:sz w:val="21"/>
                <w:szCs w:val="24"/>
                <w:lang w:val="en-US" w:eastAsia="zh-CN" w:bidi="ar-SA"/>
              </w:rPr>
              <w:t>进行</w:t>
            </w:r>
            <w:r>
              <w:rPr>
                <w:rFonts w:hint="eastAsia" w:ascii="Times New Roman" w:hAnsi="Times New Roman" w:eastAsia="宋体" w:cs="Times New Roman"/>
                <w:color w:val="000000"/>
                <w:kern w:val="2"/>
                <w:sz w:val="21"/>
                <w:szCs w:val="24"/>
                <w:lang w:val="en-US" w:eastAsia="zh-CN" w:bidi="ar-SA"/>
              </w:rPr>
              <w:t>审核</w:t>
            </w:r>
            <w:r>
              <w:rPr>
                <w:rFonts w:ascii="Times New Roman" w:hAnsi="Times New Roman" w:eastAsia="宋体" w:cs="Times New Roman"/>
                <w:color w:val="000000"/>
                <w:kern w:val="2"/>
                <w:sz w:val="21"/>
                <w:szCs w:val="24"/>
                <w:lang w:val="en-US" w:eastAsia="zh-CN" w:bidi="ar-SA"/>
              </w:rPr>
              <w:t>确认</w:t>
            </w:r>
            <w:r>
              <w:rPr>
                <w:rFonts w:hint="eastAsia" w:ascii="Times New Roman" w:hAnsi="Times New Roman" w:eastAsia="宋体" w:cs="Times New Roman"/>
                <w:color w:val="000000"/>
                <w:kern w:val="2"/>
                <w:sz w:val="21"/>
                <w:szCs w:val="24"/>
                <w:lang w:val="en-US" w:eastAsia="zh-CN" w:bidi="ar-SA"/>
              </w:rPr>
              <w:t>，</w:t>
            </w:r>
            <w:r>
              <w:rPr>
                <w:rFonts w:ascii="Times New Roman" w:hAnsi="Times New Roman" w:eastAsia="宋体" w:cs="Times New Roman"/>
                <w:color w:val="000000"/>
                <w:kern w:val="2"/>
                <w:sz w:val="21"/>
                <w:szCs w:val="24"/>
                <w:lang w:val="en-US" w:eastAsia="zh-CN" w:bidi="ar-SA"/>
              </w:rPr>
              <w:t>每三年</w:t>
            </w:r>
            <w:r>
              <w:rPr>
                <w:rFonts w:hint="eastAsia" w:ascii="Times New Roman" w:hAnsi="Times New Roman" w:eastAsia="宋体" w:cs="Times New Roman"/>
                <w:color w:val="000000"/>
                <w:kern w:val="2"/>
                <w:sz w:val="21"/>
                <w:szCs w:val="24"/>
                <w:lang w:val="en-US" w:eastAsia="zh-CN" w:bidi="ar-SA"/>
              </w:rPr>
              <w:t>应</w:t>
            </w:r>
            <w:r>
              <w:rPr>
                <w:rFonts w:ascii="Times New Roman" w:hAnsi="Times New Roman" w:eastAsia="宋体" w:cs="Times New Roman"/>
                <w:color w:val="000000"/>
                <w:kern w:val="2"/>
                <w:sz w:val="21"/>
                <w:szCs w:val="24"/>
                <w:lang w:val="en-US" w:eastAsia="zh-CN" w:bidi="ar-SA"/>
              </w:rPr>
              <w:t>对</w:t>
            </w:r>
            <w:r>
              <w:rPr>
                <w:rFonts w:hint="eastAsia" w:ascii="Times New Roman" w:hAnsi="Times New Roman" w:eastAsia="宋体" w:cs="Times New Roman"/>
                <w:color w:val="000000"/>
                <w:kern w:val="2"/>
                <w:sz w:val="21"/>
                <w:szCs w:val="24"/>
                <w:lang w:val="en-US" w:eastAsia="zh-CN" w:bidi="ar-SA"/>
              </w:rPr>
              <w:t>安全生产规章制度</w:t>
            </w:r>
            <w:r>
              <w:rPr>
                <w:rFonts w:ascii="Times New Roman" w:hAnsi="Times New Roman" w:eastAsia="宋体" w:cs="Times New Roman"/>
                <w:color w:val="000000"/>
                <w:kern w:val="2"/>
                <w:sz w:val="21"/>
                <w:szCs w:val="24"/>
                <w:lang w:val="en-US" w:eastAsia="zh-CN" w:bidi="ar-SA"/>
              </w:rPr>
              <w:t>进行一次审核修订</w:t>
            </w:r>
            <w:r>
              <w:rPr>
                <w:rFonts w:hint="eastAsia" w:ascii="Times New Roman" w:hAnsi="Times New Roman" w:eastAsia="宋体" w:cs="Times New Roman"/>
                <w:color w:val="000000"/>
                <w:kern w:val="2"/>
                <w:sz w:val="21"/>
                <w:szCs w:val="24"/>
                <w:lang w:val="en-US" w:eastAsia="zh-CN" w:bidi="ar-SA"/>
              </w:rPr>
              <w:t>，相关法律法规修订后应及时修订，增强规章制度的有效性、实用性和可操作性。</w:t>
            </w:r>
          </w:p>
          <w:p w14:paraId="618846A3">
            <w:pPr>
              <w:spacing w:line="320" w:lineRule="exact"/>
              <w:rPr>
                <w:rFonts w:hint="eastAsia" w:ascii="Times New Roman" w:hAnsi="Times New Roman" w:eastAsia="宋体"/>
                <w:color w:val="000000"/>
              </w:rPr>
            </w:pPr>
            <w:r>
              <w:rPr>
                <w:rFonts w:hint="eastAsia" w:ascii="宋体" w:hAnsi="宋体" w:eastAsia="宋体" w:cs="宋体"/>
                <w:color w:val="000000"/>
                <w:szCs w:val="21"/>
              </w:rPr>
              <w:t>3.企业安全生产规章制度应经主要负责人审定、签发，以文件形式发布。</w:t>
            </w:r>
          </w:p>
          <w:p w14:paraId="3B16A167">
            <w:pPr>
              <w:spacing w:line="320" w:lineRule="exact"/>
              <w:rPr>
                <w:rFonts w:hint="eastAsia" w:ascii="Times New Roman" w:hAnsi="Times New Roman" w:eastAsia="宋体"/>
                <w:color w:val="000000"/>
              </w:rPr>
            </w:pPr>
            <w:r>
              <w:rPr>
                <w:rFonts w:hint="eastAsia" w:ascii="Times New Roman" w:hAnsi="Times New Roman" w:eastAsia="宋体"/>
                <w:color w:val="000000"/>
              </w:rPr>
              <w:t>4.</w:t>
            </w:r>
            <w:r>
              <w:rPr>
                <w:rFonts w:ascii="Times New Roman" w:hAnsi="Times New Roman" w:eastAsia="宋体"/>
                <w:color w:val="000000"/>
              </w:rPr>
              <w:t>企业应定期开展</w:t>
            </w:r>
            <w:r>
              <w:rPr>
                <w:rFonts w:hint="eastAsia" w:ascii="Times New Roman" w:hAnsi="Times New Roman" w:eastAsia="宋体"/>
                <w:color w:val="000000"/>
              </w:rPr>
              <w:t>安全生产规章制度</w:t>
            </w:r>
            <w:r>
              <w:rPr>
                <w:rFonts w:ascii="Times New Roman" w:hAnsi="Times New Roman" w:eastAsia="宋体"/>
                <w:color w:val="000000"/>
              </w:rPr>
              <w:t>培训</w:t>
            </w:r>
            <w:r>
              <w:rPr>
                <w:rFonts w:hint="eastAsia" w:ascii="Times New Roman" w:hAnsi="Times New Roman" w:eastAsia="宋体"/>
                <w:color w:val="000000"/>
              </w:rPr>
              <w:t>，</w:t>
            </w:r>
            <w:r>
              <w:rPr>
                <w:rFonts w:ascii="Times New Roman" w:hAnsi="Times New Roman" w:eastAsia="宋体"/>
                <w:color w:val="000000"/>
              </w:rPr>
              <w:t>并对</w:t>
            </w:r>
            <w:r>
              <w:rPr>
                <w:rFonts w:hint="eastAsia" w:ascii="Times New Roman" w:hAnsi="Times New Roman" w:eastAsia="宋体"/>
                <w:color w:val="000000"/>
              </w:rPr>
              <w:t>安全生产规章制度</w:t>
            </w:r>
            <w:r>
              <w:rPr>
                <w:rFonts w:ascii="Times New Roman" w:hAnsi="Times New Roman" w:eastAsia="宋体"/>
                <w:color w:val="000000"/>
              </w:rPr>
              <w:t>执行情况进行考核</w:t>
            </w:r>
            <w:r>
              <w:rPr>
                <w:rFonts w:hint="eastAsia" w:ascii="Times New Roman" w:hAnsi="Times New Roman" w:eastAsia="宋体"/>
                <w:color w:val="000000"/>
              </w:rPr>
              <w:t>。</w:t>
            </w:r>
          </w:p>
          <w:p w14:paraId="5A8D160F">
            <w:pPr>
              <w:spacing w:line="320" w:lineRule="exact"/>
              <w:rPr>
                <w:rFonts w:hint="eastAsia" w:ascii="Times New Roman" w:hAnsi="Times New Roman" w:eastAsia="宋体"/>
                <w:b/>
                <w:bCs/>
                <w:color w:val="000000"/>
              </w:rPr>
            </w:pPr>
            <w:r>
              <w:rPr>
                <w:rFonts w:hint="eastAsia" w:ascii="Times New Roman" w:hAnsi="Times New Roman" w:eastAsia="宋体"/>
                <w:color w:val="000000"/>
              </w:rPr>
              <w:t>5.企业应建立健全安全生产规章制度，至少应包含下列</w:t>
            </w:r>
            <w:r>
              <w:rPr>
                <w:rFonts w:hint="eastAsia" w:ascii="Times New Roman" w:hAnsi="Times New Roman" w:eastAsia="宋体"/>
                <w:b/>
                <w:bCs/>
                <w:color w:val="000000"/>
              </w:rPr>
              <w:t>基本安全生产规章制度：</w:t>
            </w:r>
          </w:p>
          <w:p w14:paraId="6D227C34">
            <w:pPr>
              <w:rPr>
                <w:rFonts w:ascii="Times New Roman" w:hAnsi="Times New Roman" w:eastAsia="宋体"/>
                <w:color w:val="000000"/>
              </w:rPr>
            </w:pPr>
            <w:r>
              <w:rPr>
                <w:rFonts w:hint="eastAsia" w:ascii="宋体" w:hAnsi="宋体" w:eastAsia="宋体"/>
                <w:color w:val="000000"/>
              </w:rPr>
              <w:t>（1）安全生产责任制；</w:t>
            </w:r>
          </w:p>
          <w:p w14:paraId="2C178ED6">
            <w:pPr>
              <w:spacing w:line="320" w:lineRule="exact"/>
              <w:rPr>
                <w:rFonts w:hint="eastAsia" w:ascii="Times New Roman" w:hAnsi="Times New Roman" w:eastAsia="宋体"/>
                <w:color w:val="000000"/>
              </w:rPr>
            </w:pPr>
            <w:r>
              <w:rPr>
                <w:rFonts w:hint="eastAsia" w:ascii="宋体" w:hAnsi="宋体" w:eastAsia="宋体" w:cs="宋体"/>
                <w:bCs/>
                <w:color w:val="000000"/>
                <w:szCs w:val="21"/>
              </w:rPr>
              <w:t>（2）</w:t>
            </w:r>
            <w:r>
              <w:rPr>
                <w:rFonts w:hint="eastAsia" w:ascii="Times New Roman" w:hAnsi="Times New Roman" w:eastAsia="宋体"/>
                <w:color w:val="000000"/>
              </w:rPr>
              <w:t>安全生产信息管理；</w:t>
            </w:r>
          </w:p>
          <w:p w14:paraId="2FBF4E91">
            <w:pPr>
              <w:spacing w:line="320" w:lineRule="exact"/>
              <w:rPr>
                <w:rFonts w:hint="eastAsia" w:ascii="Times New Roman" w:hAnsi="Times New Roman" w:eastAsia="宋体"/>
                <w:color w:val="000000"/>
              </w:rPr>
            </w:pPr>
            <w:r>
              <w:rPr>
                <w:rFonts w:hint="eastAsia" w:ascii="宋体" w:hAnsi="宋体" w:eastAsia="宋体" w:cs="宋体"/>
                <w:bCs/>
                <w:color w:val="000000"/>
                <w:szCs w:val="21"/>
              </w:rPr>
              <w:t>（3）</w:t>
            </w:r>
            <w:r>
              <w:rPr>
                <w:rFonts w:hint="eastAsia" w:ascii="Times New Roman" w:hAnsi="Times New Roman" w:eastAsia="宋体"/>
                <w:color w:val="000000"/>
              </w:rPr>
              <w:t>文件、记录和档案管理（包括评审、修订管理等）；</w:t>
            </w:r>
          </w:p>
          <w:p w14:paraId="52D330B2">
            <w:pPr>
              <w:spacing w:line="320" w:lineRule="exact"/>
              <w:rPr>
                <w:rFonts w:hint="eastAsia" w:ascii="Times New Roman" w:hAnsi="Times New Roman" w:eastAsia="宋体"/>
                <w:color w:val="000000"/>
              </w:rPr>
            </w:pPr>
            <w:r>
              <w:rPr>
                <w:rFonts w:hint="eastAsia" w:ascii="宋体" w:hAnsi="宋体" w:eastAsia="宋体" w:cs="宋体"/>
                <w:bCs/>
                <w:color w:val="000000"/>
                <w:szCs w:val="21"/>
              </w:rPr>
              <w:t>（4）</w:t>
            </w:r>
            <w:r>
              <w:rPr>
                <w:rFonts w:hint="eastAsia" w:ascii="Times New Roman" w:hAnsi="Times New Roman" w:eastAsia="宋体"/>
                <w:color w:val="000000"/>
              </w:rPr>
              <w:t>安全生产费用管理；</w:t>
            </w:r>
          </w:p>
          <w:p w14:paraId="33A8928F">
            <w:pPr>
              <w:spacing w:line="320" w:lineRule="exact"/>
              <w:rPr>
                <w:rFonts w:hint="eastAsia" w:ascii="Times New Roman" w:hAnsi="Times New Roman" w:eastAsia="宋体"/>
                <w:color w:val="000000"/>
              </w:rPr>
            </w:pPr>
            <w:r>
              <w:rPr>
                <w:rFonts w:hint="eastAsia" w:ascii="宋体" w:hAnsi="宋体" w:eastAsia="宋体" w:cs="宋体"/>
                <w:bCs/>
                <w:color w:val="000000"/>
                <w:szCs w:val="21"/>
              </w:rPr>
              <w:t>（5）</w:t>
            </w:r>
            <w:r>
              <w:rPr>
                <w:rFonts w:hint="eastAsia" w:ascii="Times New Roman" w:hAnsi="Times New Roman" w:eastAsia="宋体"/>
                <w:color w:val="000000"/>
              </w:rPr>
              <w:t>安全风险分级管控；</w:t>
            </w:r>
          </w:p>
          <w:p w14:paraId="1595F061">
            <w:pPr>
              <w:spacing w:line="320" w:lineRule="exact"/>
              <w:rPr>
                <w:rFonts w:hint="eastAsia" w:ascii="Times New Roman" w:hAnsi="Times New Roman" w:eastAsia="宋体"/>
                <w:color w:val="000000"/>
              </w:rPr>
            </w:pPr>
            <w:r>
              <w:rPr>
                <w:rFonts w:hint="eastAsia" w:ascii="宋体" w:hAnsi="宋体" w:eastAsia="宋体" w:cs="宋体"/>
                <w:bCs/>
                <w:color w:val="000000"/>
                <w:szCs w:val="21"/>
              </w:rPr>
              <w:t>（6）事故</w:t>
            </w:r>
            <w:r>
              <w:rPr>
                <w:rFonts w:hint="eastAsia" w:ascii="宋体" w:hAnsi="宋体" w:cs="宋体"/>
                <w:bCs/>
                <w:color w:val="000000"/>
                <w:szCs w:val="21"/>
                <w:lang w:eastAsia="zh-CN"/>
              </w:rPr>
              <w:t>隐患排查</w:t>
            </w:r>
            <w:r>
              <w:rPr>
                <w:rFonts w:hint="eastAsia" w:ascii="Times New Roman" w:hAnsi="Times New Roman" w:eastAsia="宋体"/>
                <w:color w:val="000000"/>
              </w:rPr>
              <w:t>治理；</w:t>
            </w:r>
          </w:p>
          <w:p w14:paraId="29DF424A">
            <w:pPr>
              <w:spacing w:line="320" w:lineRule="exact"/>
              <w:rPr>
                <w:rFonts w:hint="eastAsia" w:ascii="Times New Roman" w:hAnsi="Times New Roman" w:eastAsia="宋体"/>
                <w:color w:val="000000"/>
              </w:rPr>
            </w:pPr>
            <w:r>
              <w:rPr>
                <w:rFonts w:hint="eastAsia" w:ascii="宋体" w:hAnsi="宋体" w:eastAsia="宋体" w:cs="宋体"/>
                <w:bCs/>
                <w:color w:val="000000"/>
                <w:szCs w:val="21"/>
              </w:rPr>
              <w:t>（7）</w:t>
            </w:r>
            <w:r>
              <w:rPr>
                <w:rFonts w:hint="eastAsia" w:ascii="Times New Roman" w:hAnsi="Times New Roman" w:eastAsia="宋体"/>
                <w:color w:val="000000"/>
              </w:rPr>
              <w:t>安全生产教育和培训管理；</w:t>
            </w:r>
          </w:p>
          <w:p w14:paraId="3A38E348">
            <w:pPr>
              <w:spacing w:line="320" w:lineRule="exact"/>
              <w:rPr>
                <w:rFonts w:hint="eastAsia" w:ascii="Times New Roman" w:hAnsi="Times New Roman" w:eastAsia="宋体"/>
                <w:color w:val="000000"/>
              </w:rPr>
            </w:pPr>
            <w:r>
              <w:rPr>
                <w:rFonts w:hint="eastAsia" w:ascii="Times New Roman" w:hAnsi="Times New Roman" w:eastAsia="宋体"/>
                <w:color w:val="000000"/>
              </w:rPr>
              <w:t>（8）危险化学品购销管理制度；</w:t>
            </w:r>
          </w:p>
          <w:p w14:paraId="4F990341">
            <w:pPr>
              <w:spacing w:line="320" w:lineRule="exact"/>
              <w:rPr>
                <w:rFonts w:hint="eastAsia" w:ascii="Times New Roman" w:hAnsi="Times New Roman" w:eastAsia="宋体"/>
                <w:color w:val="000000"/>
              </w:rPr>
            </w:pPr>
            <w:r>
              <w:rPr>
                <w:rFonts w:hint="eastAsia" w:ascii="Times New Roman" w:hAnsi="Times New Roman" w:eastAsia="宋体"/>
                <w:color w:val="000000"/>
              </w:rPr>
              <w:t>（9）危险化学品安全管理制度；</w:t>
            </w:r>
          </w:p>
          <w:p w14:paraId="296A057E">
            <w:pPr>
              <w:spacing w:line="320" w:lineRule="exact"/>
              <w:rPr>
                <w:rFonts w:hint="eastAsia" w:ascii="Times New Roman" w:hAnsi="Times New Roman" w:eastAsia="宋体"/>
                <w:color w:val="000000"/>
              </w:rPr>
            </w:pPr>
            <w:r>
              <w:rPr>
                <w:rFonts w:hint="eastAsia" w:ascii="宋体" w:hAnsi="宋体" w:eastAsia="宋体" w:cs="宋体"/>
                <w:bCs/>
                <w:color w:val="000000"/>
                <w:szCs w:val="21"/>
              </w:rPr>
              <w:t>（10）</w:t>
            </w:r>
            <w:r>
              <w:rPr>
                <w:rFonts w:hint="eastAsia" w:ascii="Times New Roman" w:hAnsi="Times New Roman" w:eastAsia="宋体"/>
                <w:color w:val="000000"/>
              </w:rPr>
              <w:t>消防管理；</w:t>
            </w:r>
          </w:p>
          <w:p w14:paraId="631BBA55">
            <w:pPr>
              <w:spacing w:line="320" w:lineRule="exact"/>
              <w:rPr>
                <w:rFonts w:hint="eastAsia" w:ascii="Times New Roman" w:hAnsi="Times New Roman" w:eastAsia="宋体"/>
                <w:color w:val="000000"/>
              </w:rPr>
            </w:pPr>
            <w:r>
              <w:rPr>
                <w:rFonts w:hint="eastAsia" w:ascii="Times New Roman" w:hAnsi="Times New Roman" w:eastAsia="宋体"/>
                <w:color w:val="000000"/>
              </w:rPr>
              <w:t>（11）安全警示标志管理；</w:t>
            </w:r>
          </w:p>
          <w:p w14:paraId="10A17AF6">
            <w:pPr>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（12）应急管理；</w:t>
            </w:r>
          </w:p>
          <w:p w14:paraId="5AB55962">
            <w:pPr>
              <w:spacing w:line="320" w:lineRule="exact"/>
              <w:rPr>
                <w:rFonts w:hint="eastAsia" w:ascii="Times New Roman" w:hAnsi="Times New Roman" w:eastAsia="宋体"/>
                <w:color w:val="000000"/>
              </w:rPr>
            </w:pPr>
            <w:r>
              <w:rPr>
                <w:rFonts w:hint="eastAsia" w:ascii="宋体" w:hAnsi="宋体" w:eastAsia="宋体" w:cs="宋体"/>
                <w:bCs/>
                <w:color w:val="000000"/>
                <w:szCs w:val="21"/>
              </w:rPr>
              <w:t>（13）</w:t>
            </w:r>
            <w:r>
              <w:rPr>
                <w:rFonts w:hint="eastAsia" w:ascii="Times New Roman" w:hAnsi="Times New Roman" w:eastAsia="宋体"/>
                <w:color w:val="000000"/>
              </w:rPr>
              <w:t>事故事件管理；</w:t>
            </w:r>
          </w:p>
          <w:p w14:paraId="30AC9CD6">
            <w:pPr>
              <w:spacing w:line="320" w:lineRule="exact"/>
              <w:rPr>
                <w:rFonts w:hint="eastAsia" w:ascii="Times New Roman" w:hAnsi="Times New Roman" w:eastAsia="宋体"/>
                <w:color w:val="000000"/>
              </w:rPr>
            </w:pPr>
            <w:r>
              <w:rPr>
                <w:rFonts w:hint="eastAsia" w:ascii="宋体" w:hAnsi="宋体" w:eastAsia="宋体" w:cs="宋体"/>
                <w:bCs/>
                <w:color w:val="000000"/>
                <w:szCs w:val="21"/>
              </w:rPr>
              <w:t>（14）</w:t>
            </w:r>
            <w:r>
              <w:rPr>
                <w:rFonts w:hint="eastAsia" w:ascii="Times New Roman" w:hAnsi="Times New Roman" w:eastAsia="宋体"/>
                <w:color w:val="000000"/>
              </w:rPr>
              <w:t>安全生产会议管理；</w:t>
            </w:r>
          </w:p>
          <w:p w14:paraId="3586770C">
            <w:pPr>
              <w:spacing w:line="320" w:lineRule="exact"/>
              <w:rPr>
                <w:rFonts w:hint="eastAsia" w:ascii="Times New Roman" w:hAnsi="Times New Roman" w:eastAsia="宋体"/>
                <w:color w:val="000000"/>
              </w:rPr>
            </w:pPr>
            <w:r>
              <w:rPr>
                <w:rFonts w:hint="eastAsia" w:ascii="Times New Roman" w:hAnsi="Times New Roman" w:eastAsia="宋体"/>
                <w:color w:val="000000"/>
              </w:rPr>
              <w:t>（15）安全生产考核与奖惩管理。</w:t>
            </w:r>
          </w:p>
        </w:tc>
        <w:tc>
          <w:tcPr>
            <w:tcW w:w="3764" w:type="dxa"/>
            <w:noWrap w:val="0"/>
            <w:vAlign w:val="top"/>
          </w:tcPr>
          <w:p w14:paraId="5C75135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1.企业未将</w:t>
            </w:r>
            <w:r>
              <w:rPr>
                <w:rFonts w:hint="eastAsia" w:ascii="Times New Roman" w:hAnsi="Times New Roman" w:eastAsia="宋体"/>
                <w:color w:val="000000"/>
              </w:rPr>
              <w:t>新的</w:t>
            </w:r>
            <w:r>
              <w:rPr>
                <w:rFonts w:hint="eastAsia" w:ascii="宋体" w:hAnsi="宋体" w:eastAsia="宋体" w:cs="宋体"/>
                <w:color w:val="000000"/>
                <w:szCs w:val="21"/>
              </w:rPr>
              <w:t>适用的法律法规、标准规范及政策要求及时转化为本单位安全生产规章制度的，一项扣2分。</w:t>
            </w:r>
          </w:p>
          <w:p w14:paraId="6DDB9B64">
            <w:pPr>
              <w:spacing w:line="320" w:lineRule="exact"/>
              <w:rPr>
                <w:rFonts w:ascii="宋体" w:hAnsi="宋体" w:eastAsia="宋体" w:cs="宋体"/>
                <w:color w:val="000000"/>
                <w:szCs w:val="21"/>
              </w:rPr>
            </w:pPr>
            <w:r>
              <w:rPr>
                <w:rFonts w:hint="eastAsia" w:ascii="宋体" w:hAnsi="宋体" w:eastAsia="宋体" w:cs="宋体"/>
                <w:color w:val="000000"/>
                <w:szCs w:val="21"/>
              </w:rPr>
              <w:t>2.未</w:t>
            </w:r>
            <w:r>
              <w:rPr>
                <w:rFonts w:ascii="Times New Roman" w:hAnsi="Times New Roman" w:eastAsia="宋体"/>
                <w:color w:val="000000"/>
              </w:rPr>
              <w:t>对</w:t>
            </w:r>
            <w:r>
              <w:rPr>
                <w:rFonts w:hint="eastAsia" w:ascii="Times New Roman" w:hAnsi="Times New Roman" w:eastAsia="宋体"/>
                <w:color w:val="000000"/>
              </w:rPr>
              <w:t>安全生产规章制度</w:t>
            </w:r>
            <w:r>
              <w:rPr>
                <w:rFonts w:ascii="Times New Roman" w:hAnsi="Times New Roman" w:eastAsia="宋体"/>
                <w:color w:val="000000"/>
              </w:rPr>
              <w:t>的适应性</w:t>
            </w:r>
            <w:r>
              <w:rPr>
                <w:rFonts w:hint="eastAsia" w:ascii="Times New Roman" w:hAnsi="Times New Roman" w:eastAsia="宋体"/>
                <w:color w:val="000000"/>
              </w:rPr>
              <w:t>、</w:t>
            </w:r>
            <w:r>
              <w:rPr>
                <w:rFonts w:ascii="Times New Roman" w:hAnsi="Times New Roman" w:eastAsia="宋体"/>
                <w:color w:val="000000"/>
              </w:rPr>
              <w:t>有效性</w:t>
            </w:r>
            <w:r>
              <w:rPr>
                <w:rFonts w:hint="eastAsia" w:ascii="Times New Roman" w:hAnsi="Times New Roman" w:eastAsia="宋体"/>
                <w:color w:val="000000"/>
              </w:rPr>
              <w:t>和执行情况</w:t>
            </w:r>
            <w:r>
              <w:rPr>
                <w:rFonts w:ascii="Times New Roman" w:hAnsi="Times New Roman" w:eastAsia="宋体"/>
                <w:color w:val="000000"/>
              </w:rPr>
              <w:t>进行</w:t>
            </w:r>
            <w:r>
              <w:rPr>
                <w:rFonts w:hint="eastAsia" w:ascii="Times New Roman" w:hAnsi="Times New Roman" w:eastAsia="宋体"/>
                <w:color w:val="000000"/>
              </w:rPr>
              <w:t>年度审核</w:t>
            </w:r>
            <w:r>
              <w:rPr>
                <w:rFonts w:ascii="Times New Roman" w:hAnsi="Times New Roman" w:eastAsia="宋体"/>
                <w:color w:val="000000"/>
              </w:rPr>
              <w:t>确认</w:t>
            </w:r>
            <w:r>
              <w:rPr>
                <w:rFonts w:hint="eastAsia" w:ascii="Times New Roman" w:hAnsi="Times New Roman" w:eastAsia="宋体"/>
                <w:color w:val="000000"/>
              </w:rPr>
              <w:t>，或未及时对安全生产规章制度</w:t>
            </w:r>
            <w:r>
              <w:rPr>
                <w:rFonts w:ascii="Times New Roman" w:hAnsi="Times New Roman" w:eastAsia="宋体"/>
                <w:color w:val="000000"/>
              </w:rPr>
              <w:t>进行修订</w:t>
            </w:r>
            <w:r>
              <w:rPr>
                <w:rFonts w:hint="eastAsia" w:ascii="Times New Roman" w:hAnsi="Times New Roman" w:eastAsia="宋体"/>
                <w:color w:val="000000"/>
              </w:rPr>
              <w:t>的，每项</w:t>
            </w:r>
            <w:r>
              <w:rPr>
                <w:rFonts w:hint="eastAsia" w:ascii="宋体" w:hAnsi="宋体" w:eastAsia="宋体" w:cs="宋体"/>
                <w:color w:val="000000"/>
                <w:szCs w:val="21"/>
              </w:rPr>
              <w:t>扣2分。</w:t>
            </w:r>
          </w:p>
          <w:p w14:paraId="56686FC5">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3.企业安全生产规章制度未经主要负责人审定、签发，或未以文件形式发布的，一项扣2分。</w:t>
            </w:r>
          </w:p>
          <w:p w14:paraId="72DC9FA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4.企业未定期开展培训，扣5分；未进行考核，扣5分。</w:t>
            </w:r>
          </w:p>
          <w:p w14:paraId="53AFFBEB">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5.企业基本安全生产规章制度每缺一个，扣2分。</w:t>
            </w:r>
          </w:p>
          <w:p w14:paraId="4E70C026">
            <w:pPr>
              <w:spacing w:line="320" w:lineRule="exact"/>
              <w:rPr>
                <w:rFonts w:hint="eastAsia" w:ascii="宋体" w:hAnsi="宋体" w:eastAsia="宋体" w:cs="宋体"/>
                <w:color w:val="000000"/>
                <w:szCs w:val="21"/>
              </w:rPr>
            </w:pPr>
            <w:r>
              <w:rPr>
                <w:rFonts w:hint="eastAsia" w:ascii="宋体" w:hAnsi="宋体" w:eastAsia="宋体" w:cs="宋体"/>
                <w:color w:val="000000"/>
                <w:szCs w:val="21"/>
              </w:rPr>
              <w:t>6.企业未建立风险分级管控制度、隐患排查治理制度的，一项扣5分。</w:t>
            </w:r>
          </w:p>
          <w:p w14:paraId="4EDBC3AD">
            <w:pPr>
              <w:spacing w:line="320" w:lineRule="exact"/>
              <w:rPr>
                <w:rFonts w:hint="eastAsia" w:ascii="宋体" w:hAnsi="宋体" w:eastAsia="宋体" w:cs="宋体"/>
                <w:color w:val="000000"/>
                <w:szCs w:val="21"/>
              </w:rPr>
            </w:pPr>
            <w:r>
              <w:rPr>
                <w:rFonts w:hint="eastAsia" w:ascii="宋体" w:hAnsi="宋体" w:eastAsia="宋体" w:cs="宋体"/>
                <w:color w:val="000000"/>
                <w:szCs w:val="21"/>
              </w:rPr>
              <w:t>7.现场抽查从业人员是否掌握相关安全生产规章制度内容，未掌握的，每人次扣2分。</w:t>
            </w:r>
          </w:p>
          <w:p w14:paraId="1E15F586">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否决项：</w:t>
            </w:r>
          </w:p>
          <w:p w14:paraId="78831AE1">
            <w:pPr>
              <w:spacing w:line="320" w:lineRule="exact"/>
              <w:rPr>
                <w:rFonts w:hint="eastAsia" w:ascii="Times New Roman" w:hAnsi="Times New Roman" w:eastAsia="宋体"/>
                <w:color w:val="000000"/>
              </w:rPr>
            </w:pPr>
            <w:r>
              <w:rPr>
                <w:rFonts w:hint="eastAsia" w:ascii="宋体" w:hAnsi="宋体" w:eastAsia="宋体" w:cs="宋体"/>
                <w:b/>
                <w:color w:val="000000"/>
                <w:szCs w:val="21"/>
              </w:rPr>
              <w:t>1.企业未建立安全生产规章制度的，扣140分。（A级要素否决项）</w:t>
            </w:r>
          </w:p>
        </w:tc>
        <w:tc>
          <w:tcPr>
            <w:tcW w:w="1050" w:type="dxa"/>
            <w:noWrap w:val="0"/>
            <w:vAlign w:val="top"/>
          </w:tcPr>
          <w:p w14:paraId="36FC5ADC">
            <w:pPr>
              <w:spacing w:line="320" w:lineRule="exact"/>
              <w:rPr>
                <w:rFonts w:hint="eastAsia" w:ascii="宋体" w:hAnsi="宋体" w:eastAsia="宋体" w:cs="宋体"/>
                <w:bCs/>
                <w:color w:val="000000"/>
                <w:szCs w:val="21"/>
              </w:rPr>
            </w:pPr>
          </w:p>
        </w:tc>
        <w:tc>
          <w:tcPr>
            <w:tcW w:w="735" w:type="dxa"/>
            <w:noWrap w:val="0"/>
            <w:vAlign w:val="top"/>
          </w:tcPr>
          <w:p w14:paraId="62726C10">
            <w:pPr>
              <w:spacing w:line="320" w:lineRule="exact"/>
              <w:ind w:left="-5" w:right="-67" w:rightChars="-32"/>
              <w:rPr>
                <w:rFonts w:hint="eastAsia" w:ascii="宋体" w:hAnsi="宋体" w:eastAsia="宋体" w:cs="宋体"/>
                <w:b/>
                <w:color w:val="000000"/>
                <w:kern w:val="0"/>
                <w:szCs w:val="21"/>
              </w:rPr>
            </w:pPr>
          </w:p>
        </w:tc>
        <w:tc>
          <w:tcPr>
            <w:tcW w:w="735" w:type="dxa"/>
            <w:noWrap w:val="0"/>
            <w:vAlign w:val="top"/>
          </w:tcPr>
          <w:p w14:paraId="725E06E8">
            <w:pPr>
              <w:spacing w:line="320" w:lineRule="exact"/>
              <w:rPr>
                <w:rFonts w:hint="eastAsia" w:ascii="宋体" w:hAnsi="宋体" w:eastAsia="宋体" w:cs="宋体"/>
                <w:bCs/>
                <w:color w:val="000000"/>
                <w:szCs w:val="21"/>
              </w:rPr>
            </w:pPr>
          </w:p>
        </w:tc>
        <w:tc>
          <w:tcPr>
            <w:tcW w:w="735" w:type="dxa"/>
            <w:noWrap w:val="0"/>
            <w:vAlign w:val="top"/>
          </w:tcPr>
          <w:p w14:paraId="3FE0EB84">
            <w:pPr>
              <w:spacing w:line="320" w:lineRule="exact"/>
              <w:rPr>
                <w:rFonts w:hint="eastAsia" w:ascii="宋体" w:hAnsi="宋体" w:eastAsia="宋体" w:cs="宋体"/>
                <w:bCs/>
                <w:color w:val="000000"/>
                <w:szCs w:val="21"/>
              </w:rPr>
            </w:pPr>
          </w:p>
        </w:tc>
        <w:tc>
          <w:tcPr>
            <w:tcW w:w="735" w:type="dxa"/>
            <w:noWrap w:val="0"/>
            <w:vAlign w:val="top"/>
          </w:tcPr>
          <w:p w14:paraId="71F931C8">
            <w:pPr>
              <w:spacing w:line="320" w:lineRule="exact"/>
              <w:rPr>
                <w:rFonts w:hint="eastAsia" w:ascii="宋体" w:hAnsi="宋体" w:eastAsia="宋体" w:cs="宋体"/>
                <w:bCs/>
                <w:color w:val="000000"/>
                <w:szCs w:val="21"/>
              </w:rPr>
            </w:pPr>
          </w:p>
        </w:tc>
      </w:tr>
      <w:tr w14:paraId="13F3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3" w:type="dxa"/>
            <w:vMerge w:val="continue"/>
            <w:noWrap w:val="0"/>
            <w:vAlign w:val="top"/>
          </w:tcPr>
          <w:p w14:paraId="201DF874">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371B6CBD">
            <w:pPr>
              <w:spacing w:line="320" w:lineRule="exact"/>
              <w:jc w:val="center"/>
              <w:rPr>
                <w:rFonts w:hint="eastAsia" w:ascii="宋体" w:hAnsi="宋体" w:eastAsia="宋体" w:cs="宋体"/>
                <w:b/>
                <w:bCs/>
                <w:color w:val="000000"/>
                <w:szCs w:val="21"/>
              </w:rPr>
            </w:pPr>
          </w:p>
        </w:tc>
        <w:tc>
          <w:tcPr>
            <w:tcW w:w="815" w:type="dxa"/>
            <w:noWrap w:val="0"/>
            <w:vAlign w:val="top"/>
          </w:tcPr>
          <w:p w14:paraId="4851A274">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2.2.2文档</w:t>
            </w:r>
          </w:p>
          <w:p w14:paraId="000BB38B">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管理</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noWrap w:val="0"/>
            <w:vAlign w:val="top"/>
          </w:tcPr>
          <w:p w14:paraId="0F3CCE17">
            <w:pPr>
              <w:spacing w:line="320" w:lineRule="exact"/>
              <w:rPr>
                <w:rFonts w:hint="eastAsia" w:ascii="Times New Roman" w:hAnsi="Times New Roman" w:eastAsia="宋体"/>
                <w:color w:val="000000"/>
              </w:rPr>
            </w:pPr>
            <w:r>
              <w:rPr>
                <w:rFonts w:hint="eastAsia" w:ascii="Times New Roman" w:hAnsi="Times New Roman" w:eastAsia="宋体"/>
                <w:color w:val="000000"/>
              </w:rPr>
              <w:t>1.企业文件、记录和档案管理制度应明确文件、记录和档案的管理职责、管理程序等要求。</w:t>
            </w:r>
          </w:p>
          <w:p w14:paraId="7FF47582">
            <w:pPr>
              <w:widowControl w:val="0"/>
              <w:spacing w:line="320" w:lineRule="exact"/>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2.企业应建立记录档案，至少但不限于对下列主要安全生产资料进行记录和管理：</w:t>
            </w:r>
          </w:p>
          <w:p w14:paraId="3E25D58B">
            <w:pPr>
              <w:widowControl w:val="0"/>
              <w:spacing w:line="320" w:lineRule="exact"/>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4"/>
                <w:lang w:val="en-US" w:eastAsia="zh-CN" w:bidi="ar-SA"/>
              </w:rPr>
              <w:t>（1）安全生</w:t>
            </w:r>
            <w:r>
              <w:rPr>
                <w:rFonts w:ascii="Times New Roman" w:hAnsi="Times New Roman" w:eastAsia="宋体" w:cs="Times New Roman"/>
                <w:color w:val="000000"/>
                <w:kern w:val="2"/>
                <w:sz w:val="21"/>
                <w:szCs w:val="21"/>
                <w:lang w:val="en-US" w:eastAsia="zh-CN" w:bidi="ar-SA"/>
              </w:rPr>
              <w:t>产会议记录（含纪要）、安全费用提取使用记录、员工安全生产教育和培训记录</w:t>
            </w:r>
            <w:r>
              <w:rPr>
                <w:rFonts w:hint="eastAsia" w:ascii="Times New Roman" w:hAnsi="Times New Roman" w:eastAsia="宋体" w:cs="Times New Roman"/>
                <w:color w:val="000000"/>
                <w:kern w:val="2"/>
                <w:sz w:val="21"/>
                <w:szCs w:val="21"/>
                <w:lang w:val="en-US" w:eastAsia="zh-CN" w:bidi="ar-SA"/>
              </w:rPr>
              <w:t>等。</w:t>
            </w:r>
          </w:p>
          <w:p w14:paraId="3A392AAB">
            <w:pPr>
              <w:widowControl w:val="0"/>
              <w:spacing w:line="320" w:lineRule="exact"/>
              <w:ind w:firstLine="0" w:firstLineChars="0"/>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事故调查处理报告、风险</w:t>
            </w:r>
            <w:r>
              <w:rPr>
                <w:rFonts w:hint="eastAsia" w:ascii="Times New Roman" w:hAnsi="Times New Roman" w:eastAsia="宋体" w:cs="Times New Roman"/>
                <w:color w:val="000000"/>
                <w:kern w:val="2"/>
                <w:sz w:val="21"/>
                <w:szCs w:val="21"/>
                <w:lang w:val="en-US" w:eastAsia="zh-CN" w:bidi="ar-SA"/>
              </w:rPr>
              <w:t>辨识评估资料</w:t>
            </w:r>
            <w:r>
              <w:rPr>
                <w:rFonts w:ascii="Times New Roman" w:hAnsi="Times New Roman" w:eastAsia="宋体" w:cs="Times New Roman"/>
                <w:color w:val="000000"/>
                <w:kern w:val="2"/>
                <w:sz w:val="21"/>
                <w:szCs w:val="21"/>
                <w:lang w:val="en-US" w:eastAsia="zh-CN" w:bidi="ar-SA"/>
              </w:rPr>
              <w:t>、应急</w:t>
            </w:r>
            <w:r>
              <w:rPr>
                <w:rFonts w:hint="eastAsia" w:ascii="Times New Roman" w:hAnsi="Times New Roman" w:eastAsia="宋体" w:cs="Times New Roman"/>
                <w:color w:val="000000"/>
                <w:kern w:val="2"/>
                <w:sz w:val="21"/>
                <w:szCs w:val="21"/>
                <w:lang w:val="en-US" w:eastAsia="zh-CN" w:bidi="ar-SA"/>
              </w:rPr>
              <w:t>培训演练资料</w:t>
            </w:r>
            <w:r>
              <w:rPr>
                <w:rFonts w:ascii="Times New Roman" w:hAnsi="Times New Roman" w:eastAsia="宋体" w:cs="Times New Roman"/>
                <w:color w:val="000000"/>
                <w:kern w:val="2"/>
                <w:sz w:val="21"/>
                <w:szCs w:val="21"/>
                <w:lang w:val="en-US" w:eastAsia="zh-CN" w:bidi="ar-SA"/>
              </w:rPr>
              <w:t>等。</w:t>
            </w:r>
          </w:p>
          <w:p w14:paraId="6538B0B2">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1"/>
                <w:szCs w:val="21"/>
                <w:lang w:val="en-US" w:eastAsia="zh-CN" w:bidi="ar-SA"/>
              </w:rPr>
              <w:t>3.企业应</w:t>
            </w:r>
            <w:r>
              <w:rPr>
                <w:rFonts w:ascii="Times New Roman" w:hAnsi="Times New Roman" w:eastAsia="宋体" w:cs="Times New Roman"/>
                <w:color w:val="000000"/>
                <w:kern w:val="2"/>
                <w:sz w:val="21"/>
                <w:szCs w:val="21"/>
                <w:lang w:val="en-US" w:eastAsia="zh-CN" w:bidi="ar-SA"/>
              </w:rPr>
              <w:t>建立和保存</w:t>
            </w:r>
            <w:r>
              <w:rPr>
                <w:rFonts w:hint="eastAsia" w:ascii="Times New Roman" w:hAnsi="Times New Roman" w:eastAsia="宋体" w:cs="Times New Roman"/>
                <w:color w:val="000000"/>
                <w:kern w:val="2"/>
                <w:sz w:val="21"/>
                <w:szCs w:val="21"/>
                <w:lang w:val="en-US" w:eastAsia="zh-CN" w:bidi="ar-SA"/>
              </w:rPr>
              <w:t>相关文件、</w:t>
            </w:r>
            <w:r>
              <w:rPr>
                <w:rFonts w:ascii="Times New Roman" w:hAnsi="Times New Roman" w:eastAsia="宋体" w:cs="Times New Roman"/>
                <w:color w:val="000000"/>
                <w:kern w:val="2"/>
                <w:sz w:val="21"/>
                <w:szCs w:val="21"/>
                <w:lang w:val="en-US" w:eastAsia="zh-CN" w:bidi="ar-SA"/>
              </w:rPr>
              <w:t>记录的电子档案，并支持查询和检索。</w:t>
            </w:r>
          </w:p>
        </w:tc>
        <w:tc>
          <w:tcPr>
            <w:tcW w:w="3764" w:type="dxa"/>
            <w:noWrap w:val="0"/>
            <w:vAlign w:val="top"/>
          </w:tcPr>
          <w:p w14:paraId="0C63D913">
            <w:pPr>
              <w:spacing w:line="320" w:lineRule="exact"/>
              <w:rPr>
                <w:rFonts w:hint="eastAsia" w:ascii="Times New Roman" w:hAnsi="Times New Roman" w:eastAsia="宋体"/>
                <w:color w:val="000000"/>
              </w:rPr>
            </w:pPr>
            <w:r>
              <w:rPr>
                <w:rFonts w:hint="eastAsia" w:ascii="Times New Roman" w:hAnsi="Times New Roman" w:eastAsia="宋体"/>
                <w:color w:val="000000"/>
              </w:rPr>
              <w:t>1.企业文件、记录和档案管理制度未明确文件、记录和档案的管理职责、管理程序等要求的，缺一项扣2分。</w:t>
            </w:r>
          </w:p>
          <w:p w14:paraId="4009B3AA">
            <w:pPr>
              <w:spacing w:line="320" w:lineRule="exact"/>
              <w:rPr>
                <w:rFonts w:hint="eastAsia" w:ascii="Times New Roman" w:hAnsi="Times New Roman" w:eastAsia="宋体"/>
                <w:color w:val="000000"/>
              </w:rPr>
            </w:pPr>
            <w:r>
              <w:rPr>
                <w:rFonts w:hint="eastAsia" w:ascii="Times New Roman" w:hAnsi="Times New Roman" w:eastAsia="宋体"/>
                <w:color w:val="000000"/>
              </w:rPr>
              <w:t>2.未建立相关文件、记录和档案相关资料的，缺一项扣2分。</w:t>
            </w:r>
          </w:p>
          <w:p w14:paraId="7119A180">
            <w:pPr>
              <w:spacing w:line="320" w:lineRule="exact"/>
              <w:rPr>
                <w:rFonts w:hint="eastAsia" w:ascii="宋体" w:hAnsi="宋体" w:eastAsia="宋体" w:cs="宋体"/>
                <w:bCs/>
                <w:color w:val="000000"/>
                <w:szCs w:val="21"/>
              </w:rPr>
            </w:pPr>
            <w:r>
              <w:rPr>
                <w:rFonts w:hint="eastAsia" w:ascii="Times New Roman" w:hAnsi="Times New Roman" w:eastAsia="宋体"/>
                <w:color w:val="000000"/>
              </w:rPr>
              <w:t>3.文件、记录和档案不完整、不便于查询和检索的，缺一项扣2分。</w:t>
            </w:r>
          </w:p>
        </w:tc>
        <w:tc>
          <w:tcPr>
            <w:tcW w:w="1050" w:type="dxa"/>
            <w:noWrap w:val="0"/>
            <w:vAlign w:val="top"/>
          </w:tcPr>
          <w:p w14:paraId="5ED16D86">
            <w:pPr>
              <w:spacing w:line="320" w:lineRule="exact"/>
              <w:rPr>
                <w:rFonts w:hint="eastAsia" w:ascii="宋体" w:hAnsi="宋体" w:eastAsia="宋体" w:cs="宋体"/>
                <w:bCs/>
                <w:color w:val="000000"/>
                <w:szCs w:val="21"/>
              </w:rPr>
            </w:pPr>
          </w:p>
        </w:tc>
        <w:tc>
          <w:tcPr>
            <w:tcW w:w="735" w:type="dxa"/>
            <w:noWrap w:val="0"/>
            <w:vAlign w:val="top"/>
          </w:tcPr>
          <w:p w14:paraId="24361D62">
            <w:pPr>
              <w:spacing w:line="320" w:lineRule="exact"/>
              <w:rPr>
                <w:rFonts w:hint="eastAsia" w:ascii="宋体" w:hAnsi="宋体" w:eastAsia="宋体" w:cs="宋体"/>
                <w:bCs/>
                <w:color w:val="000000"/>
                <w:kern w:val="0"/>
                <w:szCs w:val="21"/>
              </w:rPr>
            </w:pPr>
          </w:p>
        </w:tc>
        <w:tc>
          <w:tcPr>
            <w:tcW w:w="735" w:type="dxa"/>
            <w:noWrap w:val="0"/>
            <w:vAlign w:val="top"/>
          </w:tcPr>
          <w:p w14:paraId="3743747D">
            <w:pPr>
              <w:spacing w:line="320" w:lineRule="exact"/>
              <w:rPr>
                <w:rFonts w:hint="eastAsia" w:ascii="宋体" w:hAnsi="宋体" w:eastAsia="宋体" w:cs="宋体"/>
                <w:bCs/>
                <w:color w:val="000000"/>
                <w:szCs w:val="21"/>
              </w:rPr>
            </w:pPr>
          </w:p>
        </w:tc>
        <w:tc>
          <w:tcPr>
            <w:tcW w:w="735" w:type="dxa"/>
            <w:noWrap w:val="0"/>
            <w:vAlign w:val="top"/>
          </w:tcPr>
          <w:p w14:paraId="3A0C3567">
            <w:pPr>
              <w:spacing w:line="320" w:lineRule="exact"/>
              <w:rPr>
                <w:rFonts w:hint="eastAsia" w:ascii="宋体" w:hAnsi="宋体" w:eastAsia="宋体" w:cs="宋体"/>
                <w:bCs/>
                <w:color w:val="000000"/>
                <w:szCs w:val="21"/>
              </w:rPr>
            </w:pPr>
          </w:p>
        </w:tc>
        <w:tc>
          <w:tcPr>
            <w:tcW w:w="735" w:type="dxa"/>
            <w:noWrap w:val="0"/>
            <w:vAlign w:val="top"/>
          </w:tcPr>
          <w:p w14:paraId="0E3A0752">
            <w:pPr>
              <w:spacing w:line="320" w:lineRule="exact"/>
              <w:rPr>
                <w:rFonts w:hint="eastAsia" w:ascii="宋体" w:hAnsi="宋体" w:eastAsia="宋体" w:cs="宋体"/>
                <w:bCs/>
                <w:color w:val="000000"/>
                <w:szCs w:val="21"/>
              </w:rPr>
            </w:pPr>
          </w:p>
        </w:tc>
      </w:tr>
      <w:tr w14:paraId="5D40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23" w:type="dxa"/>
            <w:vMerge w:val="restart"/>
            <w:noWrap w:val="0"/>
            <w:vAlign w:val="top"/>
          </w:tcPr>
          <w:p w14:paraId="4F7A8FC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w:t>
            </w:r>
          </w:p>
          <w:p w14:paraId="55E091D1">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w:t>
            </w:r>
          </w:p>
          <w:p w14:paraId="5C6BDBFD">
            <w:pPr>
              <w:spacing w:line="320" w:lineRule="exact"/>
              <w:jc w:val="center"/>
              <w:rPr>
                <w:rFonts w:hint="eastAsia" w:ascii="宋体" w:hAnsi="宋体" w:eastAsia="宋体" w:cs="宋体"/>
                <w:b/>
                <w:bCs/>
                <w:color w:val="000000"/>
                <w:szCs w:val="21"/>
              </w:rPr>
            </w:pPr>
            <w:r>
              <w:rPr>
                <w:rFonts w:hint="eastAsia" w:ascii="宋体" w:hAnsi="宋体" w:eastAsia="宋体" w:cs="宋体"/>
                <w:b/>
                <w:color w:val="000000"/>
                <w:szCs w:val="21"/>
              </w:rPr>
              <w:t>培训</w:t>
            </w:r>
            <w:r>
              <w:rPr>
                <w:rFonts w:hint="eastAsia" w:ascii="宋体" w:hAnsi="宋体" w:cs="宋体"/>
                <w:b/>
                <w:color w:val="000000"/>
                <w:szCs w:val="21"/>
                <w:lang w:eastAsia="zh-CN"/>
              </w:rPr>
              <w:t>（</w:t>
            </w:r>
            <w:r>
              <w:rPr>
                <w:rFonts w:ascii="宋体" w:hAnsi="宋体" w:eastAsia="宋体" w:cs="宋体"/>
                <w:b/>
                <w:color w:val="000000"/>
                <w:szCs w:val="21"/>
                <w:lang w:val="en"/>
              </w:rPr>
              <w:t>150</w:t>
            </w:r>
            <w:r>
              <w:rPr>
                <w:rFonts w:hint="eastAsia" w:ascii="宋体" w:hAnsi="宋体" w:eastAsia="宋体" w:cs="宋体"/>
                <w:b/>
                <w:color w:val="000000"/>
                <w:szCs w:val="21"/>
              </w:rPr>
              <w:t>分</w:t>
            </w:r>
            <w:r>
              <w:rPr>
                <w:rFonts w:hint="eastAsia" w:ascii="宋体" w:hAnsi="宋体" w:cs="宋体"/>
                <w:b/>
                <w:color w:val="000000"/>
                <w:szCs w:val="21"/>
                <w:lang w:eastAsia="zh-CN"/>
              </w:rPr>
              <w:t>）</w:t>
            </w:r>
          </w:p>
        </w:tc>
        <w:tc>
          <w:tcPr>
            <w:tcW w:w="809" w:type="dxa"/>
            <w:vMerge w:val="restart"/>
            <w:noWrap w:val="0"/>
            <w:vAlign w:val="top"/>
          </w:tcPr>
          <w:p w14:paraId="4E39855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3.1</w:t>
            </w:r>
          </w:p>
          <w:p w14:paraId="68B5232E">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教育培训要求</w:t>
            </w:r>
            <w:r>
              <w:rPr>
                <w:rFonts w:hint="eastAsia" w:ascii="宋体" w:hAnsi="宋体" w:cs="宋体"/>
                <w:b/>
                <w:color w:val="000000"/>
                <w:szCs w:val="21"/>
                <w:lang w:eastAsia="zh-CN"/>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815" w:type="dxa"/>
            <w:noWrap w:val="0"/>
            <w:vAlign w:val="top"/>
          </w:tcPr>
          <w:p w14:paraId="39C445C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3.1.1教育</w:t>
            </w:r>
          </w:p>
          <w:p w14:paraId="08CEB202">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培训</w:t>
            </w:r>
          </w:p>
          <w:p w14:paraId="58AF899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管理</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noWrap w:val="0"/>
            <w:vAlign w:val="top"/>
          </w:tcPr>
          <w:p w14:paraId="0382D76E">
            <w:pPr>
              <w:spacing w:line="320" w:lineRule="exact"/>
              <w:rPr>
                <w:rFonts w:hint="eastAsia" w:ascii="宋体" w:hAnsi="宋体" w:eastAsia="宋体" w:cs="宋体"/>
                <w:color w:val="000000"/>
                <w:szCs w:val="21"/>
              </w:rPr>
            </w:pPr>
            <w:r>
              <w:rPr>
                <w:rFonts w:hint="eastAsia" w:ascii="Times New Roman" w:hAnsi="Times New Roman" w:eastAsia="宋体"/>
                <w:color w:val="000000"/>
              </w:rPr>
              <w:t>1.企业应对从业人员进行安全生产教育和培训，确保其具备正确履行岗位安全生产职责的知识与能力；</w:t>
            </w:r>
            <w:r>
              <w:rPr>
                <w:rFonts w:hint="eastAsia" w:ascii="宋体" w:hAnsi="宋体" w:eastAsia="宋体" w:cs="宋体"/>
                <w:color w:val="000000"/>
                <w:szCs w:val="21"/>
              </w:rPr>
              <w:t>未经安全生产教育和培训合格的从业人员，不得上岗作业。</w:t>
            </w:r>
          </w:p>
          <w:p w14:paraId="17CE180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Times New Roman" w:hAnsi="Times New Roman" w:eastAsia="宋体"/>
                <w:color w:val="000000"/>
              </w:rPr>
              <w:t>企</w:t>
            </w:r>
            <w:r>
              <w:rPr>
                <w:rFonts w:hint="eastAsia" w:ascii="宋体" w:hAnsi="宋体" w:eastAsia="宋体" w:cs="宋体"/>
                <w:color w:val="000000"/>
                <w:szCs w:val="21"/>
              </w:rPr>
              <w:t>业应结合实际编制安全生产教育和培训计划。</w:t>
            </w:r>
          </w:p>
          <w:p w14:paraId="762F5AE7">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3.企业每年应对安全生产教育和培训效果进行一次评估，并将评估结果作为改进和优化的依据。</w:t>
            </w:r>
          </w:p>
          <w:p w14:paraId="0459D5A8">
            <w:pPr>
              <w:spacing w:line="320" w:lineRule="exact"/>
              <w:ind w:left="1"/>
              <w:rPr>
                <w:rFonts w:hint="eastAsia" w:ascii="宋体" w:hAnsi="宋体" w:eastAsia="宋体" w:cs="宋体"/>
                <w:bCs/>
                <w:color w:val="000000"/>
                <w:kern w:val="0"/>
                <w:szCs w:val="21"/>
              </w:rPr>
            </w:pPr>
            <w:r>
              <w:rPr>
                <w:rFonts w:hint="eastAsia" w:ascii="宋体" w:hAnsi="宋体" w:eastAsia="宋体" w:cs="宋体"/>
                <w:color w:val="000000"/>
                <w:szCs w:val="21"/>
              </w:rPr>
              <w:t>4.</w:t>
            </w:r>
            <w:r>
              <w:rPr>
                <w:rFonts w:hint="eastAsia" w:ascii="Times New Roman" w:hAnsi="Times New Roman" w:eastAsia="宋体"/>
                <w:color w:val="000000"/>
              </w:rPr>
              <w:t>企业</w:t>
            </w:r>
            <w:r>
              <w:rPr>
                <w:rFonts w:hint="eastAsia" w:ascii="宋体" w:hAnsi="宋体" w:eastAsia="宋体" w:cs="宋体"/>
                <w:color w:val="000000"/>
                <w:szCs w:val="21"/>
              </w:rPr>
              <w:t>可参照《关于印发河南省生产经营单位安全教育和培训档案样式的通知》（豫应急办〔2023〕44号）的相关要求，建立和完善安全生产教育和培训档案，如实记录安全生产教育和培训的时间、内容、参加人员以及考核结果等情况。</w:t>
            </w:r>
          </w:p>
        </w:tc>
        <w:tc>
          <w:tcPr>
            <w:tcW w:w="3764" w:type="dxa"/>
            <w:noWrap w:val="0"/>
            <w:vAlign w:val="top"/>
          </w:tcPr>
          <w:p w14:paraId="3A514A37">
            <w:pPr>
              <w:spacing w:line="320" w:lineRule="exact"/>
              <w:rPr>
                <w:rFonts w:ascii="Times New Roman" w:hAnsi="Times New Roman" w:eastAsia="宋体"/>
                <w:color w:val="000000"/>
              </w:rPr>
            </w:pPr>
            <w:r>
              <w:rPr>
                <w:rFonts w:hint="eastAsia" w:ascii="Times New Roman" w:hAnsi="Times New Roman" w:eastAsia="宋体"/>
                <w:color w:val="000000"/>
              </w:rPr>
              <w:t>1.</w:t>
            </w:r>
            <w:r>
              <w:rPr>
                <w:rFonts w:hint="eastAsia" w:ascii="宋体" w:hAnsi="宋体" w:eastAsia="宋体" w:cs="宋体"/>
                <w:color w:val="000000"/>
                <w:szCs w:val="21"/>
              </w:rPr>
              <w:t>企业未编制安全生产教育和培训计划的，或安全生产教育和培训计划有严重缺陷的，扣3分。</w:t>
            </w:r>
          </w:p>
          <w:p w14:paraId="2ED358AB">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2.企业未按照安全生产教育和培训计划实施安全生产教育和培训的，一处扣2分。</w:t>
            </w:r>
          </w:p>
          <w:p w14:paraId="3A198899">
            <w:pPr>
              <w:spacing w:line="320" w:lineRule="exact"/>
              <w:rPr>
                <w:rFonts w:hint="eastAsia" w:ascii="Times New Roman" w:hAnsi="Times New Roman" w:eastAsia="宋体"/>
                <w:color w:val="000000"/>
              </w:rPr>
            </w:pPr>
            <w:r>
              <w:rPr>
                <w:rFonts w:hint="eastAsia" w:ascii="Times New Roman" w:hAnsi="Times New Roman" w:eastAsia="宋体"/>
                <w:color w:val="000000"/>
              </w:rPr>
              <w:t>3.企业未对安全生产教育和培训效果进行年度评估和改进的，扣2分。</w:t>
            </w:r>
          </w:p>
          <w:p w14:paraId="6E4D9636">
            <w:pPr>
              <w:spacing w:line="320" w:lineRule="exact"/>
              <w:rPr>
                <w:rFonts w:ascii="宋体" w:hAnsi="宋体" w:eastAsia="宋体" w:cs="宋体"/>
                <w:color w:val="000000"/>
                <w:szCs w:val="21"/>
              </w:rPr>
            </w:pPr>
            <w:r>
              <w:rPr>
                <w:rFonts w:hint="eastAsia" w:ascii="宋体" w:hAnsi="宋体" w:eastAsia="宋体" w:cs="宋体"/>
                <w:color w:val="000000"/>
                <w:szCs w:val="21"/>
              </w:rPr>
              <w:t>4.企业未参照《关于印发河南省生产经营单位安全教育和培训档案样式的通知》有关要求规范建立安全生产教育和培训档案的，扣2分。</w:t>
            </w:r>
          </w:p>
          <w:p w14:paraId="325CF095">
            <w:pPr>
              <w:spacing w:line="320" w:lineRule="exact"/>
              <w:rPr>
                <w:rFonts w:hint="eastAsia" w:ascii="宋体" w:hAnsi="宋体" w:eastAsia="宋体" w:cs="宋体"/>
                <w:bCs/>
                <w:color w:val="000000"/>
                <w:szCs w:val="21"/>
              </w:rPr>
            </w:pPr>
            <w:r>
              <w:rPr>
                <w:rFonts w:hint="eastAsia" w:ascii="宋体" w:hAnsi="宋体" w:eastAsia="宋体" w:cs="宋体"/>
                <w:color w:val="000000"/>
                <w:szCs w:val="21"/>
              </w:rPr>
              <w:t>5.企业安全生产教育和培训记录、档案不</w:t>
            </w:r>
            <w:r>
              <w:rPr>
                <w:rFonts w:hint="eastAsia" w:ascii="宋体" w:hAnsi="宋体" w:cs="宋体"/>
                <w:color w:val="000000"/>
                <w:szCs w:val="21"/>
                <w:lang w:eastAsia="zh-CN"/>
              </w:rPr>
              <w:t>翔实</w:t>
            </w:r>
            <w:r>
              <w:rPr>
                <w:rFonts w:hint="eastAsia" w:ascii="宋体" w:hAnsi="宋体" w:eastAsia="宋体" w:cs="宋体"/>
                <w:color w:val="000000"/>
                <w:szCs w:val="21"/>
              </w:rPr>
              <w:t>，无签到表，无培训教材或课件等的，一项扣2分。</w:t>
            </w:r>
          </w:p>
        </w:tc>
        <w:tc>
          <w:tcPr>
            <w:tcW w:w="1050" w:type="dxa"/>
            <w:noWrap w:val="0"/>
            <w:vAlign w:val="top"/>
          </w:tcPr>
          <w:p w14:paraId="1396DA73">
            <w:pPr>
              <w:spacing w:line="320" w:lineRule="exact"/>
              <w:rPr>
                <w:rFonts w:hint="eastAsia" w:ascii="宋体" w:hAnsi="宋体" w:eastAsia="宋体" w:cs="宋体"/>
                <w:bCs/>
                <w:color w:val="000000"/>
                <w:szCs w:val="21"/>
              </w:rPr>
            </w:pPr>
          </w:p>
        </w:tc>
        <w:tc>
          <w:tcPr>
            <w:tcW w:w="735" w:type="dxa"/>
            <w:noWrap w:val="0"/>
            <w:vAlign w:val="top"/>
          </w:tcPr>
          <w:p w14:paraId="7C002DA8">
            <w:pPr>
              <w:spacing w:line="320" w:lineRule="exact"/>
              <w:rPr>
                <w:rFonts w:hint="eastAsia" w:ascii="宋体" w:hAnsi="宋体" w:eastAsia="宋体" w:cs="宋体"/>
                <w:bCs/>
                <w:color w:val="000000"/>
                <w:kern w:val="0"/>
                <w:szCs w:val="21"/>
              </w:rPr>
            </w:pPr>
          </w:p>
        </w:tc>
        <w:tc>
          <w:tcPr>
            <w:tcW w:w="735" w:type="dxa"/>
            <w:noWrap w:val="0"/>
            <w:vAlign w:val="top"/>
          </w:tcPr>
          <w:p w14:paraId="30395014">
            <w:pPr>
              <w:spacing w:line="320" w:lineRule="exact"/>
              <w:rPr>
                <w:rFonts w:hint="eastAsia" w:ascii="宋体" w:hAnsi="宋体" w:eastAsia="宋体" w:cs="宋体"/>
                <w:bCs/>
                <w:color w:val="000000"/>
                <w:szCs w:val="21"/>
              </w:rPr>
            </w:pPr>
          </w:p>
        </w:tc>
        <w:tc>
          <w:tcPr>
            <w:tcW w:w="735" w:type="dxa"/>
            <w:noWrap w:val="0"/>
            <w:vAlign w:val="top"/>
          </w:tcPr>
          <w:p w14:paraId="79DFC7E6">
            <w:pPr>
              <w:spacing w:line="320" w:lineRule="exact"/>
              <w:rPr>
                <w:rFonts w:hint="eastAsia" w:ascii="宋体" w:hAnsi="宋体" w:eastAsia="宋体" w:cs="宋体"/>
                <w:bCs/>
                <w:color w:val="000000"/>
                <w:szCs w:val="21"/>
              </w:rPr>
            </w:pPr>
          </w:p>
        </w:tc>
        <w:tc>
          <w:tcPr>
            <w:tcW w:w="735" w:type="dxa"/>
            <w:noWrap w:val="0"/>
            <w:vAlign w:val="top"/>
          </w:tcPr>
          <w:p w14:paraId="2B112161">
            <w:pPr>
              <w:spacing w:line="320" w:lineRule="exact"/>
              <w:rPr>
                <w:rFonts w:hint="eastAsia" w:ascii="Times New Roman" w:hAnsi="Times New Roman" w:eastAsia="宋体"/>
                <w:color w:val="000000"/>
              </w:rPr>
            </w:pPr>
          </w:p>
          <w:p w14:paraId="6F940C02">
            <w:pPr>
              <w:widowControl w:val="0"/>
              <w:spacing w:line="320" w:lineRule="exact"/>
              <w:ind w:firstLine="480" w:firstLineChars="200"/>
              <w:jc w:val="both"/>
              <w:rPr>
                <w:rFonts w:hint="eastAsia" w:ascii="Times New Roman" w:hAnsi="Times New Roman" w:eastAsia="宋体" w:cs="Times New Roman"/>
                <w:color w:val="000000"/>
                <w:kern w:val="2"/>
                <w:sz w:val="24"/>
                <w:szCs w:val="24"/>
                <w:lang w:val="en-US" w:eastAsia="zh-CN" w:bidi="ar-SA"/>
              </w:rPr>
            </w:pPr>
          </w:p>
          <w:p w14:paraId="5397D34D">
            <w:pPr>
              <w:spacing w:line="320" w:lineRule="exact"/>
              <w:rPr>
                <w:rFonts w:hint="eastAsia" w:ascii="Times New Roman" w:hAnsi="Times New Roman" w:eastAsia="宋体"/>
                <w:color w:val="000000"/>
              </w:rPr>
            </w:pPr>
          </w:p>
        </w:tc>
      </w:tr>
      <w:tr w14:paraId="6899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23" w:type="dxa"/>
            <w:vMerge w:val="continue"/>
            <w:noWrap w:val="0"/>
            <w:vAlign w:val="top"/>
          </w:tcPr>
          <w:p w14:paraId="64363E4E">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14:paraId="55C8B149">
            <w:pPr>
              <w:spacing w:line="320" w:lineRule="exact"/>
              <w:jc w:val="center"/>
              <w:rPr>
                <w:rFonts w:hint="eastAsia" w:ascii="宋体" w:hAnsi="宋体" w:eastAsia="宋体" w:cs="宋体"/>
                <w:b/>
                <w:bCs/>
                <w:color w:val="000000"/>
                <w:szCs w:val="21"/>
              </w:rPr>
            </w:pPr>
          </w:p>
        </w:tc>
        <w:tc>
          <w:tcPr>
            <w:tcW w:w="815" w:type="dxa"/>
            <w:noWrap w:val="0"/>
            <w:vAlign w:val="top"/>
          </w:tcPr>
          <w:p w14:paraId="77315C46">
            <w:pPr>
              <w:spacing w:line="320" w:lineRule="exact"/>
              <w:jc w:val="center"/>
              <w:rPr>
                <w:rFonts w:ascii="宋体" w:hAnsi="宋体" w:eastAsia="宋体" w:cs="宋体"/>
                <w:b/>
                <w:color w:val="000000"/>
                <w:szCs w:val="21"/>
              </w:rPr>
            </w:pPr>
            <w:r>
              <w:rPr>
                <w:rFonts w:hint="eastAsia" w:ascii="宋体" w:hAnsi="宋体" w:eastAsia="宋体" w:cs="宋体"/>
                <w:b/>
                <w:color w:val="000000"/>
                <w:szCs w:val="21"/>
              </w:rPr>
              <w:t>3.1.2岗位能力要求</w:t>
            </w:r>
          </w:p>
          <w:p w14:paraId="28E64639">
            <w:pPr>
              <w:spacing w:line="320" w:lineRule="exact"/>
              <w:jc w:val="center"/>
              <w:rPr>
                <w:rFonts w:hint="eastAsia" w:ascii="宋体" w:hAnsi="宋体" w:eastAsia="宋体"/>
                <w:b/>
                <w:bCs/>
                <w:color w:val="000000"/>
                <w:sz w:val="24"/>
              </w:rPr>
            </w:pPr>
            <w:r>
              <w:rPr>
                <w:rFonts w:hint="eastAsia" w:ascii="宋体" w:hAnsi="宋体" w:cs="宋体"/>
                <w:b/>
                <w:color w:val="000000"/>
                <w:szCs w:val="21"/>
                <w:lang w:eastAsia="zh-CN"/>
              </w:rPr>
              <w:t>（</w:t>
            </w:r>
            <w:r>
              <w:rPr>
                <w:rFonts w:hint="eastAsia" w:ascii="宋体" w:hAnsi="宋体" w:eastAsia="宋体" w:cs="宋体"/>
                <w:b/>
                <w:color w:val="000000"/>
                <w:szCs w:val="21"/>
              </w:rPr>
              <w:t>20分）</w:t>
            </w:r>
          </w:p>
        </w:tc>
        <w:tc>
          <w:tcPr>
            <w:tcW w:w="4642" w:type="dxa"/>
            <w:noWrap w:val="0"/>
            <w:vAlign w:val="top"/>
          </w:tcPr>
          <w:p w14:paraId="3C20D7E1">
            <w:pPr>
              <w:spacing w:line="320" w:lineRule="exact"/>
              <w:rPr>
                <w:rFonts w:hint="eastAsia" w:ascii="Times New Roman" w:hAnsi="Times New Roman" w:eastAsia="宋体"/>
                <w:color w:val="000000"/>
              </w:rPr>
            </w:pPr>
            <w:r>
              <w:rPr>
                <w:rFonts w:hint="eastAsia" w:ascii="Times New Roman" w:hAnsi="Times New Roman" w:eastAsia="宋体"/>
                <w:color w:val="000000"/>
              </w:rPr>
              <w:t>1.企业主要负责人和安全生产管理人员必须具备与本单位所从事的生产经营活动相应的安全生产知识和管理能力。</w:t>
            </w:r>
          </w:p>
        </w:tc>
        <w:tc>
          <w:tcPr>
            <w:tcW w:w="3764" w:type="dxa"/>
            <w:noWrap w:val="0"/>
            <w:vAlign w:val="top"/>
          </w:tcPr>
          <w:p w14:paraId="1D5D37FB">
            <w:pPr>
              <w:spacing w:line="320" w:lineRule="exact"/>
              <w:rPr>
                <w:rFonts w:hint="eastAsia" w:ascii="Times New Roman" w:hAnsi="Times New Roman" w:eastAsia="宋体"/>
                <w:color w:val="000000"/>
              </w:rPr>
            </w:pPr>
            <w:r>
              <w:rPr>
                <w:rFonts w:hint="eastAsia" w:ascii="Times New Roman" w:hAnsi="Times New Roman" w:eastAsia="宋体"/>
                <w:color w:val="000000"/>
              </w:rPr>
              <w:t>1.企业未明确从业人员岗位能力要求的，扣5分。</w:t>
            </w:r>
          </w:p>
          <w:p w14:paraId="5B71FF9F">
            <w:pPr>
              <w:spacing w:line="320" w:lineRule="exact"/>
              <w:rPr>
                <w:rFonts w:hint="eastAsia" w:ascii="Times New Roman" w:hAnsi="Times New Roman" w:eastAsia="宋体"/>
                <w:color w:val="000000"/>
              </w:rPr>
            </w:pPr>
          </w:p>
        </w:tc>
        <w:tc>
          <w:tcPr>
            <w:tcW w:w="1050" w:type="dxa"/>
            <w:noWrap w:val="0"/>
            <w:vAlign w:val="top"/>
          </w:tcPr>
          <w:p w14:paraId="57439F79">
            <w:pPr>
              <w:spacing w:line="320" w:lineRule="exact"/>
              <w:rPr>
                <w:rFonts w:hint="eastAsia" w:ascii="宋体" w:hAnsi="宋体" w:eastAsia="宋体" w:cs="宋体"/>
                <w:bCs/>
                <w:color w:val="000000"/>
                <w:szCs w:val="21"/>
              </w:rPr>
            </w:pPr>
          </w:p>
        </w:tc>
        <w:tc>
          <w:tcPr>
            <w:tcW w:w="735" w:type="dxa"/>
            <w:noWrap w:val="0"/>
            <w:vAlign w:val="top"/>
          </w:tcPr>
          <w:p w14:paraId="153D5405">
            <w:pPr>
              <w:spacing w:line="320" w:lineRule="exact"/>
              <w:rPr>
                <w:rFonts w:hint="eastAsia" w:ascii="宋体" w:hAnsi="宋体" w:eastAsia="宋体" w:cs="宋体"/>
                <w:bCs/>
                <w:color w:val="000000"/>
                <w:kern w:val="0"/>
                <w:szCs w:val="21"/>
              </w:rPr>
            </w:pPr>
          </w:p>
        </w:tc>
        <w:tc>
          <w:tcPr>
            <w:tcW w:w="735" w:type="dxa"/>
            <w:noWrap w:val="0"/>
            <w:vAlign w:val="top"/>
          </w:tcPr>
          <w:p w14:paraId="220A94F7">
            <w:pPr>
              <w:spacing w:line="320" w:lineRule="exact"/>
              <w:rPr>
                <w:rFonts w:hint="eastAsia" w:ascii="宋体" w:hAnsi="宋体" w:eastAsia="宋体" w:cs="宋体"/>
                <w:bCs/>
                <w:color w:val="000000"/>
                <w:szCs w:val="21"/>
              </w:rPr>
            </w:pPr>
          </w:p>
        </w:tc>
        <w:tc>
          <w:tcPr>
            <w:tcW w:w="735" w:type="dxa"/>
            <w:noWrap w:val="0"/>
            <w:vAlign w:val="top"/>
          </w:tcPr>
          <w:p w14:paraId="5676E38F">
            <w:pPr>
              <w:spacing w:line="320" w:lineRule="exact"/>
              <w:rPr>
                <w:rFonts w:hint="eastAsia" w:ascii="宋体" w:hAnsi="宋体" w:eastAsia="宋体" w:cs="宋体"/>
                <w:bCs/>
                <w:color w:val="000000"/>
                <w:szCs w:val="21"/>
              </w:rPr>
            </w:pPr>
          </w:p>
        </w:tc>
        <w:tc>
          <w:tcPr>
            <w:tcW w:w="735" w:type="dxa"/>
            <w:noWrap w:val="0"/>
            <w:vAlign w:val="top"/>
          </w:tcPr>
          <w:p w14:paraId="64740CED">
            <w:pPr>
              <w:spacing w:line="320" w:lineRule="exact"/>
              <w:rPr>
                <w:rFonts w:hint="eastAsia" w:ascii="宋体" w:hAnsi="宋体" w:eastAsia="宋体" w:cs="宋体"/>
                <w:bCs/>
                <w:color w:val="000000"/>
                <w:szCs w:val="21"/>
              </w:rPr>
            </w:pPr>
          </w:p>
        </w:tc>
      </w:tr>
      <w:tr w14:paraId="45E8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jc w:val="center"/>
        </w:trPr>
        <w:tc>
          <w:tcPr>
            <w:tcW w:w="923" w:type="dxa"/>
            <w:vMerge w:val="continue"/>
            <w:noWrap w:val="0"/>
            <w:vAlign w:val="top"/>
          </w:tcPr>
          <w:p w14:paraId="52652D18">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809" w:type="dxa"/>
            <w:vMerge w:val="restart"/>
            <w:noWrap w:val="0"/>
            <w:vAlign w:val="top"/>
          </w:tcPr>
          <w:p w14:paraId="2E67392B">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3.2</w:t>
            </w:r>
          </w:p>
          <w:p w14:paraId="27F00957">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人员教育培训</w:t>
            </w:r>
            <w:r>
              <w:rPr>
                <w:rFonts w:hint="eastAsia" w:ascii="宋体" w:hAnsi="宋体" w:cs="宋体"/>
                <w:b/>
                <w:bCs/>
                <w:color w:val="000000"/>
                <w:szCs w:val="21"/>
                <w:lang w:eastAsia="zh-CN"/>
              </w:rPr>
              <w:t>（</w:t>
            </w:r>
            <w:r>
              <w:rPr>
                <w:rFonts w:hint="eastAsia" w:ascii="宋体" w:hAnsi="宋体" w:eastAsia="宋体" w:cs="宋体"/>
                <w:b/>
                <w:color w:val="000000"/>
                <w:szCs w:val="21"/>
              </w:rPr>
              <w:t>1</w:t>
            </w:r>
            <w:r>
              <w:rPr>
                <w:rFonts w:ascii="宋体" w:hAnsi="宋体" w:eastAsia="宋体" w:cs="宋体"/>
                <w:b/>
                <w:color w:val="000000"/>
                <w:szCs w:val="21"/>
                <w:lang w:val="en"/>
              </w:rPr>
              <w:t>1</w:t>
            </w:r>
            <w:r>
              <w:rPr>
                <w:rFonts w:hint="eastAsia" w:ascii="宋体" w:hAnsi="宋体" w:eastAsia="宋体" w:cs="宋体"/>
                <w:b/>
                <w:color w:val="000000"/>
                <w:szCs w:val="21"/>
              </w:rPr>
              <w:t>0分</w:t>
            </w:r>
            <w:r>
              <w:rPr>
                <w:rFonts w:hint="eastAsia" w:ascii="宋体" w:hAnsi="宋体" w:cs="宋体"/>
                <w:b/>
                <w:color w:val="000000"/>
                <w:szCs w:val="21"/>
                <w:lang w:eastAsia="zh-CN"/>
              </w:rPr>
              <w:t>）</w:t>
            </w:r>
          </w:p>
        </w:tc>
        <w:tc>
          <w:tcPr>
            <w:tcW w:w="815" w:type="dxa"/>
            <w:noWrap w:val="0"/>
            <w:vAlign w:val="top"/>
          </w:tcPr>
          <w:p w14:paraId="5B4881EA">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3.2.1管理人员</w:t>
            </w:r>
          </w:p>
          <w:p w14:paraId="0845F94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教育培训</w:t>
            </w:r>
          </w:p>
          <w:p w14:paraId="4728325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w:t>
            </w:r>
            <w:r>
              <w:rPr>
                <w:rFonts w:ascii="宋体" w:hAnsi="宋体" w:eastAsia="宋体" w:cs="宋体"/>
                <w:b/>
                <w:color w:val="000000"/>
                <w:szCs w:val="21"/>
                <w:lang w:val="en"/>
              </w:rPr>
              <w:t>5</w:t>
            </w:r>
            <w:r>
              <w:rPr>
                <w:rFonts w:hint="eastAsia" w:ascii="宋体" w:hAnsi="宋体" w:eastAsia="宋体" w:cs="宋体"/>
                <w:b/>
                <w:color w:val="000000"/>
                <w:szCs w:val="21"/>
              </w:rPr>
              <w:t>0分）</w:t>
            </w:r>
          </w:p>
        </w:tc>
        <w:tc>
          <w:tcPr>
            <w:tcW w:w="4642" w:type="dxa"/>
            <w:noWrap w:val="0"/>
            <w:vAlign w:val="top"/>
          </w:tcPr>
          <w:p w14:paraId="5680ACF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1.企业主要负责人和</w:t>
            </w:r>
            <w:r>
              <w:rPr>
                <w:rFonts w:hint="eastAsia" w:ascii="Times New Roman" w:hAnsi="Times New Roman" w:eastAsia="宋体"/>
                <w:color w:val="000000"/>
              </w:rPr>
              <w:t>安全生产管理人员</w:t>
            </w:r>
            <w:r>
              <w:rPr>
                <w:rFonts w:hint="eastAsia" w:ascii="宋体" w:hAnsi="宋体" w:eastAsia="宋体" w:cs="宋体"/>
                <w:color w:val="000000"/>
                <w:szCs w:val="21"/>
              </w:rPr>
              <w:t>应按照有关规定和要求经专门的安全培训依法由应急管理部门对其安全生产知识和管理能力考核合格，方可上岗作业，并按要求定期复审。</w:t>
            </w:r>
          </w:p>
          <w:p w14:paraId="35B6FF54">
            <w:pPr>
              <w:widowControl w:val="0"/>
              <w:spacing w:line="320" w:lineRule="exact"/>
              <w:ind w:firstLine="0" w:firstLineChars="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宋体"/>
                <w:color w:val="000000"/>
                <w:kern w:val="2"/>
                <w:sz w:val="21"/>
                <w:szCs w:val="21"/>
                <w:lang w:val="en-US" w:eastAsia="zh-CN" w:bidi="ar-SA"/>
              </w:rPr>
              <w:t>2.企业其他管理人员的培训由企业自行组织，经考核合格后方可任职，并按规定参加每年再培训。</w:t>
            </w:r>
          </w:p>
        </w:tc>
        <w:tc>
          <w:tcPr>
            <w:tcW w:w="3764" w:type="dxa"/>
            <w:noWrap w:val="0"/>
            <w:vAlign w:val="top"/>
          </w:tcPr>
          <w:p w14:paraId="28E23E5C">
            <w:pPr>
              <w:widowControl w:val="0"/>
              <w:spacing w:line="320" w:lineRule="exact"/>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1.企业主要负责人、安全生产管理人员未按规定每年复审的，1人扣5分。</w:t>
            </w:r>
          </w:p>
          <w:p w14:paraId="4DFF9517">
            <w:pPr>
              <w:widowControl w:val="0"/>
              <w:spacing w:line="320" w:lineRule="exact"/>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2.企业其他管理人员未经考核合格上岗或未按规定参加每年再培训的，1人扣5分。</w:t>
            </w:r>
          </w:p>
          <w:p w14:paraId="4518BCDB">
            <w:pPr>
              <w:widowControl w:val="0"/>
              <w:spacing w:line="320" w:lineRule="exact"/>
              <w:ind w:firstLine="0" w:firstLineChars="0"/>
              <w:jc w:val="both"/>
              <w:rPr>
                <w:rFonts w:hint="eastAsia" w:ascii="Times New Roman" w:hAnsi="Times New Roman" w:eastAsia="宋体" w:cs="Times New Roman"/>
                <w:b/>
                <w:bCs/>
                <w:color w:val="000000"/>
                <w:kern w:val="2"/>
                <w:sz w:val="21"/>
                <w:szCs w:val="24"/>
                <w:lang w:val="en-US" w:eastAsia="zh-CN" w:bidi="ar-SA"/>
              </w:rPr>
            </w:pPr>
            <w:r>
              <w:rPr>
                <w:rFonts w:hint="eastAsia" w:ascii="Times New Roman" w:hAnsi="Times New Roman" w:eastAsia="宋体" w:cs="Times New Roman"/>
                <w:b/>
                <w:bCs/>
                <w:color w:val="000000"/>
                <w:kern w:val="2"/>
                <w:sz w:val="21"/>
                <w:szCs w:val="24"/>
                <w:lang w:val="en-US" w:eastAsia="zh-CN" w:bidi="ar-SA"/>
              </w:rPr>
              <w:t>否决项：</w:t>
            </w:r>
          </w:p>
          <w:p w14:paraId="6A2FAAA0">
            <w:pPr>
              <w:widowControl w:val="0"/>
              <w:spacing w:line="320" w:lineRule="exact"/>
              <w:ind w:firstLine="0" w:firstLineChars="0"/>
              <w:jc w:val="both"/>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b/>
                <w:bCs/>
                <w:color w:val="000000"/>
                <w:kern w:val="2"/>
                <w:sz w:val="21"/>
                <w:szCs w:val="24"/>
                <w:lang w:val="en-US" w:eastAsia="zh-CN" w:bidi="ar-SA"/>
              </w:rPr>
              <w:t>1.企业主要负责人、安全生产管理人员有未取得相应资格上岗作业的，扣</w:t>
            </w:r>
            <w:r>
              <w:rPr>
                <w:rFonts w:ascii="Times New Roman" w:hAnsi="Times New Roman" w:eastAsia="宋体" w:cs="Times New Roman"/>
                <w:b/>
                <w:bCs/>
                <w:color w:val="000000"/>
                <w:kern w:val="2"/>
                <w:sz w:val="21"/>
                <w:szCs w:val="24"/>
                <w:lang w:val="en" w:eastAsia="zh-CN" w:bidi="ar-SA"/>
              </w:rPr>
              <w:t>5</w:t>
            </w:r>
            <w:r>
              <w:rPr>
                <w:rFonts w:hint="eastAsia" w:ascii="Times New Roman" w:hAnsi="Times New Roman" w:eastAsia="宋体" w:cs="Times New Roman"/>
                <w:b/>
                <w:bCs/>
                <w:color w:val="000000"/>
                <w:kern w:val="2"/>
                <w:sz w:val="21"/>
                <w:szCs w:val="24"/>
                <w:lang w:val="en-US" w:eastAsia="zh-CN" w:bidi="ar-SA"/>
              </w:rPr>
              <w:t>0分。（C级要素否决项）</w:t>
            </w:r>
          </w:p>
        </w:tc>
        <w:tc>
          <w:tcPr>
            <w:tcW w:w="1050" w:type="dxa"/>
            <w:noWrap w:val="0"/>
            <w:vAlign w:val="top"/>
          </w:tcPr>
          <w:p w14:paraId="6706CDD1">
            <w:pPr>
              <w:spacing w:line="320" w:lineRule="exact"/>
              <w:rPr>
                <w:rFonts w:hint="eastAsia" w:ascii="宋体" w:hAnsi="宋体" w:eastAsia="宋体" w:cs="宋体"/>
                <w:bCs/>
                <w:color w:val="000000"/>
                <w:szCs w:val="21"/>
              </w:rPr>
            </w:pPr>
          </w:p>
        </w:tc>
        <w:tc>
          <w:tcPr>
            <w:tcW w:w="735" w:type="dxa"/>
            <w:noWrap w:val="0"/>
            <w:vAlign w:val="top"/>
          </w:tcPr>
          <w:p w14:paraId="2B76DBD4">
            <w:pPr>
              <w:spacing w:line="320" w:lineRule="exact"/>
              <w:rPr>
                <w:rFonts w:hint="eastAsia" w:ascii="宋体" w:hAnsi="宋体" w:eastAsia="宋体" w:cs="宋体"/>
                <w:bCs/>
                <w:color w:val="000000"/>
                <w:kern w:val="0"/>
                <w:szCs w:val="21"/>
              </w:rPr>
            </w:pPr>
          </w:p>
        </w:tc>
        <w:tc>
          <w:tcPr>
            <w:tcW w:w="735" w:type="dxa"/>
            <w:noWrap w:val="0"/>
            <w:vAlign w:val="top"/>
          </w:tcPr>
          <w:p w14:paraId="3492EBF2">
            <w:pPr>
              <w:spacing w:line="320" w:lineRule="exact"/>
              <w:rPr>
                <w:rFonts w:hint="eastAsia" w:ascii="宋体" w:hAnsi="宋体" w:eastAsia="宋体" w:cs="宋体"/>
                <w:bCs/>
                <w:color w:val="000000"/>
                <w:szCs w:val="21"/>
              </w:rPr>
            </w:pPr>
          </w:p>
        </w:tc>
        <w:tc>
          <w:tcPr>
            <w:tcW w:w="735" w:type="dxa"/>
            <w:noWrap w:val="0"/>
            <w:vAlign w:val="top"/>
          </w:tcPr>
          <w:p w14:paraId="1E0EB926">
            <w:pPr>
              <w:spacing w:line="320" w:lineRule="exact"/>
              <w:rPr>
                <w:rFonts w:hint="eastAsia" w:ascii="宋体" w:hAnsi="宋体" w:eastAsia="宋体" w:cs="宋体"/>
                <w:bCs/>
                <w:color w:val="000000"/>
                <w:szCs w:val="21"/>
              </w:rPr>
            </w:pPr>
          </w:p>
        </w:tc>
        <w:tc>
          <w:tcPr>
            <w:tcW w:w="735" w:type="dxa"/>
            <w:noWrap w:val="0"/>
            <w:vAlign w:val="top"/>
          </w:tcPr>
          <w:p w14:paraId="24D6926E">
            <w:pPr>
              <w:spacing w:line="320" w:lineRule="exact"/>
              <w:rPr>
                <w:rFonts w:hint="eastAsia" w:ascii="宋体" w:hAnsi="宋体" w:eastAsia="宋体" w:cs="宋体"/>
                <w:bCs/>
                <w:color w:val="000000"/>
                <w:szCs w:val="21"/>
              </w:rPr>
            </w:pPr>
          </w:p>
        </w:tc>
      </w:tr>
      <w:tr w14:paraId="389C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923" w:type="dxa"/>
            <w:vMerge w:val="continue"/>
            <w:noWrap w:val="0"/>
            <w:vAlign w:val="top"/>
          </w:tcPr>
          <w:p w14:paraId="1087F099">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809" w:type="dxa"/>
            <w:vMerge w:val="continue"/>
            <w:noWrap w:val="0"/>
            <w:vAlign w:val="top"/>
          </w:tcPr>
          <w:p w14:paraId="510513A5">
            <w:pPr>
              <w:spacing w:line="320" w:lineRule="exact"/>
              <w:jc w:val="center"/>
              <w:rPr>
                <w:rFonts w:hint="eastAsia" w:ascii="宋体" w:hAnsi="宋体" w:eastAsia="宋体" w:cs="宋体"/>
                <w:b/>
                <w:bCs/>
                <w:color w:val="000000"/>
                <w:szCs w:val="21"/>
              </w:rPr>
            </w:pPr>
          </w:p>
        </w:tc>
        <w:tc>
          <w:tcPr>
            <w:tcW w:w="815" w:type="dxa"/>
            <w:noWrap w:val="0"/>
            <w:vAlign w:val="top"/>
          </w:tcPr>
          <w:p w14:paraId="1722FF48">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3.2.2从业人员教育培训</w:t>
            </w:r>
          </w:p>
          <w:p w14:paraId="1D99B709">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w:t>
            </w:r>
            <w:r>
              <w:rPr>
                <w:rFonts w:ascii="宋体" w:hAnsi="宋体" w:eastAsia="宋体" w:cs="宋体"/>
                <w:b/>
                <w:color w:val="000000"/>
                <w:szCs w:val="21"/>
                <w:lang w:val="en"/>
              </w:rPr>
              <w:t>6</w:t>
            </w:r>
            <w:r>
              <w:rPr>
                <w:rFonts w:hint="eastAsia" w:ascii="宋体" w:hAnsi="宋体" w:eastAsia="宋体" w:cs="宋体"/>
                <w:b/>
                <w:color w:val="000000"/>
                <w:szCs w:val="21"/>
              </w:rPr>
              <w:t>0分）</w:t>
            </w:r>
          </w:p>
        </w:tc>
        <w:tc>
          <w:tcPr>
            <w:tcW w:w="4642" w:type="dxa"/>
            <w:noWrap w:val="0"/>
            <w:vAlign w:val="top"/>
          </w:tcPr>
          <w:p w14:paraId="21653D14">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1.企业应对新入职员工开展入厂安全生产教育和培训，并根据岗位技能要求开展岗前培训，经考核合格后方可上岗。</w:t>
            </w:r>
          </w:p>
          <w:p w14:paraId="18E38209">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2.若调整工作岗位或离岗一年以上重新上岗,应重新接受相应的安全培训。</w:t>
            </w:r>
          </w:p>
          <w:p w14:paraId="42DE67EE">
            <w:pPr>
              <w:spacing w:line="320" w:lineRule="exact"/>
              <w:rPr>
                <w:rFonts w:hint="eastAsia" w:ascii="Times New Roman" w:hAnsi="Times New Roman" w:eastAsia="宋体"/>
                <w:color w:val="000000"/>
              </w:rPr>
            </w:pPr>
            <w:r>
              <w:rPr>
                <w:rFonts w:hint="eastAsia" w:ascii="宋体" w:hAnsi="宋体" w:eastAsia="宋体" w:cs="宋体"/>
                <w:color w:val="000000"/>
                <w:szCs w:val="21"/>
              </w:rPr>
              <w:t>3.</w:t>
            </w:r>
            <w:r>
              <w:rPr>
                <w:rFonts w:hint="eastAsia" w:ascii="Times New Roman" w:hAnsi="Times New Roman" w:eastAsia="宋体"/>
                <w:color w:val="000000"/>
              </w:rPr>
              <w:t>企业应对新上岗人员进行强制性安全培训，保证其具备本岗位自救互救以及应急处置所需的知识和技能后，方能安排上岗作业。</w:t>
            </w:r>
          </w:p>
          <w:p w14:paraId="1C083195">
            <w:pPr>
              <w:spacing w:line="320" w:lineRule="exact"/>
              <w:rPr>
                <w:rFonts w:hint="eastAsia" w:ascii="宋体" w:hAnsi="宋体" w:eastAsia="宋体" w:cs="宋体"/>
                <w:color w:val="000000"/>
                <w:szCs w:val="21"/>
              </w:rPr>
            </w:pPr>
            <w:r>
              <w:rPr>
                <w:rFonts w:hint="eastAsia" w:ascii="Times New Roman" w:hAnsi="Times New Roman" w:eastAsia="宋体"/>
                <w:color w:val="000000"/>
              </w:rPr>
              <w:t>4.</w:t>
            </w:r>
            <w:r>
              <w:rPr>
                <w:rFonts w:hint="eastAsia" w:ascii="宋体" w:hAnsi="宋体" w:eastAsia="宋体" w:cs="宋体"/>
                <w:color w:val="000000"/>
                <w:szCs w:val="21"/>
              </w:rPr>
              <w:t>企业从业人员每年应接受再培训，再培训的内容和时间应符合有关规定和要求。</w:t>
            </w:r>
          </w:p>
          <w:p w14:paraId="483F831C">
            <w:pPr>
              <w:spacing w:line="320" w:lineRule="exact"/>
              <w:rPr>
                <w:rFonts w:hint="eastAsia" w:ascii="宋体" w:hAnsi="宋体" w:eastAsia="宋体" w:cs="宋体"/>
                <w:color w:val="000000"/>
                <w:szCs w:val="21"/>
              </w:rPr>
            </w:pPr>
          </w:p>
        </w:tc>
        <w:tc>
          <w:tcPr>
            <w:tcW w:w="3764" w:type="dxa"/>
            <w:noWrap w:val="0"/>
            <w:vAlign w:val="top"/>
          </w:tcPr>
          <w:p w14:paraId="10393515">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hint="eastAsia" w:ascii="宋体" w:hAnsi="宋体" w:eastAsia="宋体" w:cs="宋体"/>
                <w:color w:val="000000"/>
                <w:szCs w:val="21"/>
              </w:rPr>
              <w:t>新入职员工</w:t>
            </w:r>
            <w:r>
              <w:rPr>
                <w:rFonts w:hint="eastAsia" w:ascii="Times New Roman" w:hAnsi="Times New Roman" w:eastAsia="宋体"/>
                <w:color w:val="000000"/>
              </w:rPr>
              <w:t>未进行安全生产教育和培训合格上岗作业的，1人次扣5分。</w:t>
            </w:r>
          </w:p>
          <w:p w14:paraId="76E9759D">
            <w:pPr>
              <w:spacing w:line="320" w:lineRule="exact"/>
              <w:rPr>
                <w:rFonts w:hint="eastAsia" w:ascii="Times New Roman" w:hAnsi="Times New Roman" w:eastAsia="宋体"/>
                <w:color w:val="000000"/>
              </w:rPr>
            </w:pPr>
            <w:r>
              <w:rPr>
                <w:rFonts w:hint="eastAsia" w:ascii="Times New Roman" w:hAnsi="Times New Roman" w:eastAsia="宋体"/>
                <w:color w:val="000000"/>
              </w:rPr>
              <w:t>2.复工或转岗人员未按规定培训的，1人次扣5分。</w:t>
            </w:r>
          </w:p>
          <w:p w14:paraId="7969D758">
            <w:pPr>
              <w:widowControl w:val="0"/>
              <w:spacing w:line="320" w:lineRule="exact"/>
              <w:ind w:firstLine="0" w:firstLineChars="0"/>
              <w:jc w:val="both"/>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w:t>
            </w:r>
            <w:r>
              <w:rPr>
                <w:rFonts w:hint="eastAsia" w:ascii="Times New Roman" w:hAnsi="Times New Roman" w:eastAsia="宋体" w:cs="Times New Roman"/>
                <w:color w:val="000000"/>
                <w:kern w:val="2"/>
                <w:sz w:val="21"/>
                <w:szCs w:val="24"/>
                <w:lang w:val="en-US" w:eastAsia="zh-CN" w:bidi="ar-SA"/>
              </w:rPr>
              <w:t>.企业未组织每年再培训的，1人次扣5分。</w:t>
            </w:r>
          </w:p>
          <w:p w14:paraId="291DD0C0">
            <w:pPr>
              <w:spacing w:line="320" w:lineRule="exact"/>
              <w:rPr>
                <w:rFonts w:hint="eastAsia" w:ascii="Times New Roman" w:hAnsi="Times New Roman" w:eastAsia="宋体"/>
                <w:color w:val="000000"/>
              </w:rPr>
            </w:pPr>
            <w:r>
              <w:rPr>
                <w:rFonts w:hint="eastAsia" w:ascii="Times New Roman" w:hAnsi="Times New Roman" w:eastAsia="宋体"/>
                <w:color w:val="000000"/>
              </w:rPr>
              <w:t>4.抽查现场岗位从业人员，对本单位的安全生产规章制度，以及存在的安全风险、防范措施和应急处置措施等不了解的，1人次扣3分。</w:t>
            </w:r>
          </w:p>
          <w:p w14:paraId="0EDC5CCB">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335A01D6">
            <w:pPr>
              <w:spacing w:line="320" w:lineRule="exact"/>
              <w:rPr>
                <w:rFonts w:hint="eastAsia" w:ascii="Times New Roman" w:hAnsi="Times New Roman" w:eastAsia="宋体"/>
                <w:color w:val="000000"/>
              </w:rPr>
            </w:pPr>
            <w:r>
              <w:rPr>
                <w:rFonts w:hint="eastAsia" w:ascii="宋体" w:hAnsi="宋体" w:eastAsia="宋体" w:cs="宋体"/>
                <w:b/>
                <w:color w:val="000000"/>
                <w:szCs w:val="21"/>
              </w:rPr>
              <w:t>一般从业人员有未经培训合格上岗作业的，扣</w:t>
            </w:r>
            <w:r>
              <w:rPr>
                <w:rFonts w:ascii="宋体" w:hAnsi="宋体" w:eastAsia="宋体" w:cs="宋体"/>
                <w:b/>
                <w:color w:val="000000"/>
                <w:szCs w:val="21"/>
                <w:lang w:val="en"/>
              </w:rPr>
              <w:t>6</w:t>
            </w:r>
            <w:r>
              <w:rPr>
                <w:rFonts w:hint="eastAsia" w:ascii="宋体" w:hAnsi="宋体" w:eastAsia="宋体" w:cs="宋体"/>
                <w:b/>
                <w:color w:val="000000"/>
                <w:szCs w:val="21"/>
              </w:rPr>
              <w:t>0分。（C级要素否决项）</w:t>
            </w:r>
          </w:p>
        </w:tc>
        <w:tc>
          <w:tcPr>
            <w:tcW w:w="1050" w:type="dxa"/>
            <w:noWrap w:val="0"/>
            <w:vAlign w:val="top"/>
          </w:tcPr>
          <w:p w14:paraId="63F78BA8">
            <w:pPr>
              <w:spacing w:line="320" w:lineRule="exact"/>
              <w:rPr>
                <w:rFonts w:hint="eastAsia" w:ascii="宋体" w:hAnsi="宋体" w:eastAsia="宋体" w:cs="宋体"/>
                <w:bCs/>
                <w:color w:val="000000"/>
                <w:szCs w:val="21"/>
              </w:rPr>
            </w:pPr>
          </w:p>
        </w:tc>
        <w:tc>
          <w:tcPr>
            <w:tcW w:w="735" w:type="dxa"/>
            <w:noWrap w:val="0"/>
            <w:vAlign w:val="top"/>
          </w:tcPr>
          <w:p w14:paraId="5EE0E9FA">
            <w:pPr>
              <w:spacing w:line="320" w:lineRule="exact"/>
              <w:rPr>
                <w:rFonts w:hint="eastAsia" w:ascii="宋体" w:hAnsi="宋体" w:eastAsia="宋体" w:cs="宋体"/>
                <w:bCs/>
                <w:color w:val="000000"/>
                <w:kern w:val="0"/>
                <w:szCs w:val="21"/>
              </w:rPr>
            </w:pPr>
          </w:p>
        </w:tc>
        <w:tc>
          <w:tcPr>
            <w:tcW w:w="735" w:type="dxa"/>
            <w:noWrap w:val="0"/>
            <w:vAlign w:val="top"/>
          </w:tcPr>
          <w:p w14:paraId="093E006B">
            <w:pPr>
              <w:spacing w:line="320" w:lineRule="exact"/>
              <w:rPr>
                <w:rFonts w:hint="eastAsia" w:ascii="宋体" w:hAnsi="宋体" w:eastAsia="宋体" w:cs="宋体"/>
                <w:bCs/>
                <w:color w:val="000000"/>
                <w:szCs w:val="21"/>
              </w:rPr>
            </w:pPr>
          </w:p>
        </w:tc>
        <w:tc>
          <w:tcPr>
            <w:tcW w:w="735" w:type="dxa"/>
            <w:noWrap w:val="0"/>
            <w:vAlign w:val="top"/>
          </w:tcPr>
          <w:p w14:paraId="50F0C6E8">
            <w:pPr>
              <w:spacing w:line="320" w:lineRule="exact"/>
              <w:rPr>
                <w:rFonts w:hint="eastAsia" w:ascii="宋体" w:hAnsi="宋体" w:eastAsia="宋体" w:cs="宋体"/>
                <w:bCs/>
                <w:color w:val="000000"/>
                <w:szCs w:val="21"/>
              </w:rPr>
            </w:pPr>
          </w:p>
        </w:tc>
        <w:tc>
          <w:tcPr>
            <w:tcW w:w="735" w:type="dxa"/>
            <w:noWrap w:val="0"/>
            <w:vAlign w:val="top"/>
          </w:tcPr>
          <w:p w14:paraId="0D7CD53E">
            <w:pPr>
              <w:spacing w:line="320" w:lineRule="exact"/>
              <w:rPr>
                <w:rFonts w:hint="eastAsia" w:ascii="宋体" w:hAnsi="宋体" w:eastAsia="宋体" w:cs="宋体"/>
                <w:bCs/>
                <w:color w:val="000000"/>
                <w:szCs w:val="21"/>
              </w:rPr>
            </w:pPr>
          </w:p>
        </w:tc>
      </w:tr>
      <w:tr w14:paraId="5ED7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23" w:type="dxa"/>
            <w:vMerge w:val="restart"/>
            <w:tcBorders>
              <w:top w:val="single" w:color="auto" w:sz="4" w:space="0"/>
            </w:tcBorders>
            <w:noWrap w:val="0"/>
            <w:vAlign w:val="top"/>
          </w:tcPr>
          <w:p w14:paraId="3EAAAF2F">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p>
          <w:p w14:paraId="66D75F76">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双重预防机制</w:t>
            </w:r>
            <w:r>
              <w:rPr>
                <w:rFonts w:hint="eastAsia" w:ascii="宋体" w:hAnsi="宋体"/>
                <w:b/>
                <w:bCs/>
                <w:color w:val="000000"/>
                <w:szCs w:val="21"/>
                <w:lang w:eastAsia="zh-CN"/>
              </w:rPr>
              <w:t>（</w:t>
            </w:r>
            <w:r>
              <w:rPr>
                <w:rFonts w:hint="eastAsia" w:ascii="宋体" w:hAnsi="宋体" w:eastAsia="宋体"/>
                <w:b/>
                <w:bCs/>
                <w:color w:val="000000"/>
                <w:szCs w:val="21"/>
              </w:rPr>
              <w:t>280分</w:t>
            </w:r>
            <w:r>
              <w:rPr>
                <w:rFonts w:hint="eastAsia" w:ascii="宋体" w:hAnsi="宋体"/>
                <w:b/>
                <w:bCs/>
                <w:color w:val="000000"/>
                <w:szCs w:val="21"/>
                <w:lang w:eastAsia="zh-CN"/>
              </w:rPr>
              <w:t>）</w:t>
            </w:r>
          </w:p>
          <w:p w14:paraId="2190A628">
            <w:pPr>
              <w:spacing w:line="320" w:lineRule="exact"/>
              <w:jc w:val="center"/>
              <w:rPr>
                <w:rFonts w:hint="eastAsia" w:ascii="宋体" w:hAnsi="宋体" w:eastAsia="宋体"/>
                <w:b/>
                <w:color w:val="000000"/>
              </w:rPr>
            </w:pPr>
          </w:p>
        </w:tc>
        <w:tc>
          <w:tcPr>
            <w:tcW w:w="809" w:type="dxa"/>
            <w:vMerge w:val="restart"/>
            <w:tcBorders>
              <w:top w:val="single" w:color="auto" w:sz="4" w:space="0"/>
            </w:tcBorders>
            <w:noWrap w:val="0"/>
            <w:vAlign w:val="top"/>
          </w:tcPr>
          <w:p w14:paraId="4610512F">
            <w:pPr>
              <w:spacing w:line="320" w:lineRule="exact"/>
              <w:jc w:val="center"/>
              <w:rPr>
                <w:rFonts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w:t>
            </w:r>
          </w:p>
          <w:p w14:paraId="4E9EFDD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风险分级  管控</w:t>
            </w:r>
          </w:p>
          <w:p w14:paraId="1F124F84">
            <w:pPr>
              <w:spacing w:line="320" w:lineRule="exact"/>
              <w:jc w:val="center"/>
              <w:rPr>
                <w:rFonts w:hint="eastAsia" w:ascii="宋体" w:hAnsi="宋体" w:eastAsia="宋体"/>
                <w:b/>
                <w:bCs/>
                <w:color w:val="000000"/>
                <w:szCs w:val="21"/>
              </w:rPr>
            </w:pPr>
            <w:r>
              <w:rPr>
                <w:rFonts w:hint="eastAsia" w:ascii="宋体" w:hAnsi="宋体"/>
                <w:b/>
                <w:bCs/>
                <w:color w:val="000000"/>
                <w:szCs w:val="21"/>
                <w:lang w:eastAsia="zh-CN"/>
              </w:rPr>
              <w:t>（</w:t>
            </w:r>
            <w:r>
              <w:rPr>
                <w:rFonts w:hint="eastAsia" w:ascii="宋体" w:hAnsi="宋体" w:eastAsia="宋体"/>
                <w:b/>
                <w:bCs/>
                <w:color w:val="000000"/>
                <w:szCs w:val="21"/>
              </w:rPr>
              <w:t>80分</w:t>
            </w:r>
            <w:r>
              <w:rPr>
                <w:rFonts w:hint="eastAsia" w:ascii="宋体" w:hAnsi="宋体"/>
                <w:b/>
                <w:bCs/>
                <w:color w:val="000000"/>
                <w:szCs w:val="21"/>
                <w:lang w:eastAsia="zh-CN"/>
              </w:rPr>
              <w:t>）</w:t>
            </w:r>
          </w:p>
        </w:tc>
        <w:tc>
          <w:tcPr>
            <w:tcW w:w="815" w:type="dxa"/>
            <w:noWrap w:val="0"/>
            <w:vAlign w:val="top"/>
          </w:tcPr>
          <w:p w14:paraId="278B46C6">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w:t>
            </w:r>
            <w:r>
              <w:rPr>
                <w:rFonts w:hint="eastAsia" w:ascii="宋体" w:hAnsi="宋体" w:eastAsia="宋体"/>
                <w:b/>
                <w:bCs/>
                <w:color w:val="000000"/>
                <w:szCs w:val="21"/>
              </w:rPr>
              <w:t>1.1</w:t>
            </w:r>
          </w:p>
          <w:p w14:paraId="6A5CE8D7">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危险源排查</w:t>
            </w:r>
          </w:p>
          <w:p w14:paraId="27FE0577">
            <w:pPr>
              <w:spacing w:line="320" w:lineRule="exact"/>
              <w:jc w:val="center"/>
              <w:rPr>
                <w:rFonts w:hint="eastAsia" w:ascii="宋体" w:hAnsi="宋体" w:eastAsia="宋体" w:cs="宋体"/>
                <w:b/>
                <w:bCs/>
                <w:color w:val="000000"/>
                <w:szCs w:val="21"/>
              </w:rPr>
            </w:pPr>
            <w:r>
              <w:rPr>
                <w:rFonts w:hint="eastAsia" w:ascii="宋体" w:hAnsi="宋体"/>
                <w:b/>
                <w:bCs/>
                <w:color w:val="000000"/>
                <w:szCs w:val="21"/>
                <w:lang w:eastAsia="zh-CN"/>
              </w:rPr>
              <w:t>（</w:t>
            </w:r>
            <w:r>
              <w:rPr>
                <w:rFonts w:hint="eastAsia" w:ascii="宋体" w:hAnsi="宋体" w:eastAsia="宋体"/>
                <w:b/>
                <w:bCs/>
                <w:color w:val="000000"/>
                <w:szCs w:val="21"/>
              </w:rPr>
              <w:t>20分</w:t>
            </w:r>
            <w:r>
              <w:rPr>
                <w:rFonts w:hint="eastAsia" w:ascii="宋体" w:hAnsi="宋体"/>
                <w:b/>
                <w:bCs/>
                <w:color w:val="000000"/>
                <w:szCs w:val="21"/>
                <w:lang w:eastAsia="zh-CN"/>
              </w:rPr>
              <w:t>）</w:t>
            </w:r>
          </w:p>
        </w:tc>
        <w:tc>
          <w:tcPr>
            <w:tcW w:w="4642" w:type="dxa"/>
            <w:noWrap w:val="0"/>
            <w:vAlign w:val="top"/>
          </w:tcPr>
          <w:p w14:paraId="3FCBCBB5">
            <w:pPr>
              <w:widowControl/>
              <w:adjustRightInd w:val="0"/>
              <w:snapToGrid w:val="0"/>
              <w:spacing w:line="320" w:lineRule="exact"/>
              <w:rPr>
                <w:rFonts w:hint="eastAsia" w:ascii="Times New Roman" w:hAnsi="Times New Roman" w:eastAsia="宋体"/>
                <w:color w:val="000000"/>
              </w:rPr>
            </w:pPr>
            <w:r>
              <w:rPr>
                <w:rFonts w:hint="eastAsia" w:ascii="Times New Roman" w:hAnsi="Times New Roman" w:eastAsia="宋体"/>
                <w:color w:val="000000"/>
              </w:rPr>
              <w:t>1.危险源为可能导致人身伤害和（或）健康损害和（或）财产损失的根源、状态或行为，以及它们的组合。</w:t>
            </w:r>
          </w:p>
          <w:p w14:paraId="11287B8D">
            <w:pPr>
              <w:pStyle w:val="9"/>
              <w:shd w:val="clear" w:color="auto" w:fill="auto"/>
              <w:spacing w:after="0" w:line="320" w:lineRule="exact"/>
              <w:ind w:firstLine="0"/>
              <w:rPr>
                <w:rFonts w:hint="eastAsia"/>
                <w:bCs/>
                <w:color w:val="000000"/>
                <w:sz w:val="21"/>
                <w:szCs w:val="21"/>
                <w:lang w:val="en-US" w:eastAsia="zh-CN" w:bidi="ar-SA"/>
              </w:rPr>
            </w:pPr>
            <w:r>
              <w:rPr>
                <w:rFonts w:hint="eastAsia"/>
                <w:color w:val="000000"/>
              </w:rPr>
              <w:t>2.企业在开展危险源辨识和评估前，应组织全员深入排查所有危险源，并规范编制《危险源清单》。</w:t>
            </w:r>
          </w:p>
        </w:tc>
        <w:tc>
          <w:tcPr>
            <w:tcW w:w="3764" w:type="dxa"/>
            <w:noWrap w:val="0"/>
            <w:vAlign w:val="top"/>
          </w:tcPr>
          <w:p w14:paraId="07832007">
            <w:pPr>
              <w:spacing w:line="320" w:lineRule="exact"/>
              <w:rPr>
                <w:rFonts w:hint="eastAsia" w:ascii="Times New Roman" w:hAnsi="Times New Roman" w:eastAsia="宋体"/>
                <w:bCs/>
                <w:color w:val="000000"/>
              </w:rPr>
            </w:pPr>
            <w:r>
              <w:rPr>
                <w:rFonts w:hint="eastAsia" w:ascii="Times New Roman" w:hAnsi="Times New Roman" w:eastAsia="宋体"/>
                <w:bCs/>
                <w:color w:val="000000"/>
              </w:rPr>
              <w:t>1.危险源应用概念性错误，扣3分；危险源排查有遗漏，少一个扣2分。</w:t>
            </w:r>
          </w:p>
          <w:p w14:paraId="65E73D0B">
            <w:pPr>
              <w:spacing w:line="320" w:lineRule="exact"/>
              <w:rPr>
                <w:rFonts w:hint="eastAsia" w:ascii="Times New Roman" w:hAnsi="Times New Roman" w:eastAsia="宋体"/>
                <w:bCs/>
                <w:color w:val="000000"/>
              </w:rPr>
            </w:pPr>
            <w:r>
              <w:rPr>
                <w:rFonts w:hint="eastAsia" w:ascii="Times New Roman" w:hAnsi="Times New Roman" w:eastAsia="宋体"/>
                <w:bCs/>
                <w:color w:val="000000"/>
              </w:rPr>
              <w:t>2.未</w:t>
            </w:r>
            <w:r>
              <w:rPr>
                <w:rFonts w:hint="eastAsia" w:ascii="Times New Roman" w:hAnsi="Times New Roman" w:eastAsia="宋体"/>
                <w:color w:val="000000"/>
              </w:rPr>
              <w:t>编制《危险源清单》的，扣5分。</w:t>
            </w:r>
          </w:p>
          <w:p w14:paraId="6B173D63">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18B87263">
            <w:pPr>
              <w:spacing w:line="320" w:lineRule="exact"/>
              <w:rPr>
                <w:rFonts w:hint="eastAsia" w:ascii="Times New Roman" w:hAnsi="Times New Roman" w:eastAsia="宋体"/>
                <w:color w:val="000000"/>
              </w:rPr>
            </w:pPr>
            <w:r>
              <w:rPr>
                <w:rFonts w:hint="eastAsia" w:ascii="Times New Roman" w:hAnsi="Times New Roman" w:eastAsia="宋体"/>
                <w:b/>
                <w:color w:val="000000"/>
              </w:rPr>
              <w:t>1.危险源有10%以上遗漏，或有10%以上危险源错误的，扣80分。（B级要素否决项）</w:t>
            </w:r>
          </w:p>
        </w:tc>
        <w:tc>
          <w:tcPr>
            <w:tcW w:w="1050" w:type="dxa"/>
            <w:noWrap w:val="0"/>
            <w:vAlign w:val="top"/>
          </w:tcPr>
          <w:p w14:paraId="609CAFC7">
            <w:pPr>
              <w:spacing w:line="320" w:lineRule="exact"/>
              <w:rPr>
                <w:rFonts w:hint="eastAsia" w:ascii="宋体" w:hAnsi="宋体" w:eastAsia="宋体"/>
                <w:color w:val="000000"/>
                <w:szCs w:val="21"/>
              </w:rPr>
            </w:pPr>
          </w:p>
        </w:tc>
        <w:tc>
          <w:tcPr>
            <w:tcW w:w="735" w:type="dxa"/>
            <w:noWrap w:val="0"/>
            <w:vAlign w:val="top"/>
          </w:tcPr>
          <w:p w14:paraId="0451B84A">
            <w:pPr>
              <w:spacing w:line="320" w:lineRule="exact"/>
              <w:rPr>
                <w:rFonts w:hint="eastAsia" w:ascii="宋体" w:hAnsi="宋体" w:eastAsia="宋体" w:cs="宋体"/>
                <w:b/>
                <w:color w:val="000000"/>
                <w:szCs w:val="21"/>
              </w:rPr>
            </w:pPr>
          </w:p>
        </w:tc>
        <w:tc>
          <w:tcPr>
            <w:tcW w:w="735" w:type="dxa"/>
            <w:noWrap w:val="0"/>
            <w:vAlign w:val="top"/>
          </w:tcPr>
          <w:p w14:paraId="6BF07E6A">
            <w:pPr>
              <w:spacing w:line="320" w:lineRule="exact"/>
              <w:rPr>
                <w:rFonts w:hint="eastAsia" w:ascii="宋体" w:hAnsi="宋体" w:eastAsia="宋体" w:cs="宋体"/>
                <w:b/>
                <w:bCs/>
                <w:color w:val="000000"/>
                <w:szCs w:val="21"/>
              </w:rPr>
            </w:pPr>
          </w:p>
        </w:tc>
        <w:tc>
          <w:tcPr>
            <w:tcW w:w="735" w:type="dxa"/>
            <w:noWrap w:val="0"/>
            <w:vAlign w:val="top"/>
          </w:tcPr>
          <w:p w14:paraId="33F49542">
            <w:pPr>
              <w:spacing w:line="320" w:lineRule="exact"/>
              <w:rPr>
                <w:rFonts w:hint="eastAsia" w:ascii="宋体" w:hAnsi="宋体" w:eastAsia="宋体" w:cs="宋体"/>
                <w:b/>
                <w:bCs/>
                <w:color w:val="000000"/>
                <w:szCs w:val="21"/>
              </w:rPr>
            </w:pPr>
          </w:p>
        </w:tc>
        <w:tc>
          <w:tcPr>
            <w:tcW w:w="735" w:type="dxa"/>
            <w:noWrap w:val="0"/>
            <w:vAlign w:val="top"/>
          </w:tcPr>
          <w:p w14:paraId="53064F6D">
            <w:pPr>
              <w:spacing w:line="320" w:lineRule="exact"/>
              <w:rPr>
                <w:rFonts w:hint="eastAsia" w:ascii="宋体" w:hAnsi="宋体" w:eastAsia="宋体" w:cs="宋体"/>
                <w:b/>
                <w:bCs/>
                <w:color w:val="000000"/>
                <w:szCs w:val="21"/>
              </w:rPr>
            </w:pPr>
          </w:p>
        </w:tc>
      </w:tr>
      <w:tr w14:paraId="5909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23" w:type="dxa"/>
            <w:vMerge w:val="continue"/>
            <w:noWrap w:val="0"/>
            <w:vAlign w:val="top"/>
          </w:tcPr>
          <w:p w14:paraId="7C412B42">
            <w:pPr>
              <w:spacing w:line="320" w:lineRule="exact"/>
              <w:jc w:val="center"/>
              <w:rPr>
                <w:rFonts w:hint="eastAsia" w:ascii="宋体" w:hAnsi="宋体" w:eastAsia="宋体"/>
                <w:b/>
                <w:bCs/>
                <w:color w:val="000000"/>
                <w:szCs w:val="21"/>
              </w:rPr>
            </w:pPr>
          </w:p>
        </w:tc>
        <w:tc>
          <w:tcPr>
            <w:tcW w:w="809" w:type="dxa"/>
            <w:vMerge w:val="continue"/>
            <w:tcBorders>
              <w:top w:val="nil"/>
            </w:tcBorders>
            <w:noWrap w:val="0"/>
            <w:vAlign w:val="top"/>
          </w:tcPr>
          <w:p w14:paraId="4C7B4268">
            <w:pPr>
              <w:spacing w:line="320" w:lineRule="exact"/>
              <w:jc w:val="center"/>
              <w:rPr>
                <w:rFonts w:hint="eastAsia" w:ascii="宋体" w:hAnsi="宋体" w:eastAsia="宋体"/>
                <w:b/>
                <w:bCs/>
                <w:color w:val="000000"/>
                <w:szCs w:val="21"/>
              </w:rPr>
            </w:pPr>
          </w:p>
        </w:tc>
        <w:tc>
          <w:tcPr>
            <w:tcW w:w="815" w:type="dxa"/>
            <w:noWrap w:val="0"/>
            <w:vAlign w:val="top"/>
          </w:tcPr>
          <w:p w14:paraId="3DFB539B">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4.1.2</w:t>
            </w:r>
          </w:p>
          <w:p w14:paraId="5DDD5C2E">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风险辨识</w:t>
            </w:r>
          </w:p>
          <w:p w14:paraId="7ED8BD0C">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评估</w:t>
            </w:r>
            <w:r>
              <w:rPr>
                <w:rFonts w:hint="eastAsia" w:ascii="宋体" w:hAnsi="宋体"/>
                <w:b/>
                <w:bCs/>
                <w:color w:val="000000"/>
                <w:szCs w:val="21"/>
                <w:lang w:eastAsia="zh-CN"/>
              </w:rPr>
              <w:t>（</w:t>
            </w:r>
            <w:r>
              <w:rPr>
                <w:rFonts w:hint="eastAsia" w:ascii="宋体" w:hAnsi="宋体" w:eastAsia="宋体"/>
                <w:b/>
                <w:bCs/>
                <w:color w:val="000000"/>
                <w:szCs w:val="21"/>
              </w:rPr>
              <w:t>30分</w:t>
            </w:r>
            <w:r>
              <w:rPr>
                <w:rFonts w:hint="eastAsia" w:ascii="宋体" w:hAnsi="宋体"/>
                <w:b/>
                <w:bCs/>
                <w:color w:val="000000"/>
                <w:szCs w:val="21"/>
                <w:lang w:eastAsia="zh-CN"/>
              </w:rPr>
              <w:t>）</w:t>
            </w:r>
          </w:p>
        </w:tc>
        <w:tc>
          <w:tcPr>
            <w:tcW w:w="4642" w:type="dxa"/>
            <w:noWrap w:val="0"/>
            <w:vAlign w:val="top"/>
          </w:tcPr>
          <w:p w14:paraId="5867C323">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1.企业应采用合理的辨识评估方法，对所有危险源进行风险辨识分析。</w:t>
            </w:r>
          </w:p>
          <w:p w14:paraId="36913C5B">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Cs w:val="21"/>
                <w:lang w:eastAsia="zh-CN"/>
              </w:rPr>
              <w:t>2</w:t>
            </w:r>
            <w:r>
              <w:rPr>
                <w:bCs/>
                <w:color w:val="000000"/>
                <w:szCs w:val="21"/>
              </w:rPr>
              <w:t>.</w:t>
            </w:r>
            <w:r>
              <w:rPr>
                <w:rFonts w:hint="eastAsia"/>
                <w:bCs/>
                <w:color w:val="000000"/>
                <w:szCs w:val="21"/>
              </w:rPr>
              <w:t>企业应参照《企业伤亡事故分类》（GB6441）对危险有害因素可能造成的事故类别进行合理分类。</w:t>
            </w:r>
          </w:p>
          <w:p w14:paraId="2BAAEC85">
            <w:pPr>
              <w:spacing w:line="320" w:lineRule="exact"/>
              <w:rPr>
                <w:rFonts w:hint="eastAsia" w:ascii="宋体" w:hAnsi="宋体" w:eastAsia="宋体"/>
                <w:bCs/>
                <w:color w:val="000000"/>
                <w:szCs w:val="21"/>
              </w:rPr>
            </w:pPr>
            <w:r>
              <w:rPr>
                <w:rFonts w:hint="eastAsia" w:ascii="宋体" w:hAnsi="宋体" w:eastAsia="宋体"/>
                <w:bCs/>
                <w:color w:val="000000"/>
                <w:szCs w:val="21"/>
              </w:rPr>
              <w:t>3.企业应组织技术骨干，统一评价企业安全风险，参与风险评价人员应熟知企业风险情况、掌握评价准则和评价方法，科学进行安全评价。</w:t>
            </w:r>
          </w:p>
          <w:p w14:paraId="73D207A9">
            <w:pPr>
              <w:spacing w:line="320" w:lineRule="exact"/>
              <w:rPr>
                <w:rFonts w:hint="eastAsia" w:ascii="宋体" w:hAnsi="宋体" w:eastAsia="宋体"/>
                <w:bCs/>
                <w:color w:val="000000"/>
                <w:szCs w:val="21"/>
              </w:rPr>
            </w:pPr>
            <w:r>
              <w:rPr>
                <w:rFonts w:hint="eastAsia" w:ascii="宋体" w:hAnsi="宋体" w:eastAsia="宋体"/>
                <w:color w:val="000000"/>
                <w:szCs w:val="21"/>
              </w:rPr>
              <w:t>4.企业应依据相关标准、结合实际情况制定符合企业自身的安全风险分级统一标准，根据风险评价结果、结合企业实际情况对安全风险进行科学分级，</w:t>
            </w:r>
            <w:r>
              <w:rPr>
                <w:rFonts w:hint="eastAsia" w:ascii="宋体" w:hAnsi="宋体" w:eastAsia="宋体"/>
                <w:bCs/>
                <w:color w:val="000000"/>
                <w:szCs w:val="21"/>
              </w:rPr>
              <w:t>从高到低依次划分为：重大风险、较大风险、一般风险和低风险4个等级，并分别采用红、橙、黄、蓝四种颜色标示。</w:t>
            </w:r>
          </w:p>
          <w:p w14:paraId="032EE5C2">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5.企业应对每个安全风险都要制定和采取相应的管控措施，并及时更新。</w:t>
            </w:r>
          </w:p>
          <w:p w14:paraId="31730B90">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6.企业应依据危险源辨识结论和风险评价结果，规范编制《风险分级管控清单》。</w:t>
            </w:r>
          </w:p>
        </w:tc>
        <w:tc>
          <w:tcPr>
            <w:tcW w:w="3764" w:type="dxa"/>
            <w:noWrap w:val="0"/>
            <w:vAlign w:val="top"/>
          </w:tcPr>
          <w:p w14:paraId="382EC7AC">
            <w:pPr>
              <w:spacing w:line="320" w:lineRule="exact"/>
              <w:rPr>
                <w:rFonts w:hint="eastAsia"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w:t>
            </w:r>
            <w:r>
              <w:rPr>
                <w:rFonts w:hint="eastAsia" w:ascii="宋体" w:hAnsi="宋体" w:eastAsia="宋体"/>
                <w:color w:val="000000"/>
                <w:szCs w:val="21"/>
              </w:rPr>
              <w:t>安全风险辨识评估方法选择不正确的，扣3分。</w:t>
            </w:r>
          </w:p>
          <w:p w14:paraId="70D084CF">
            <w:pPr>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w:t>
            </w:r>
            <w:r>
              <w:rPr>
                <w:rFonts w:hint="eastAsia" w:ascii="Times New Roman" w:hAnsi="Times New Roman" w:eastAsia="宋体"/>
                <w:color w:val="000000"/>
              </w:rPr>
              <w:t>事故类别不符合</w:t>
            </w:r>
            <w:r>
              <w:rPr>
                <w:rFonts w:hint="eastAsia" w:ascii="宋体" w:hAnsi="宋体" w:eastAsia="宋体"/>
                <w:bCs/>
                <w:color w:val="000000"/>
                <w:szCs w:val="21"/>
              </w:rPr>
              <w:t>GB6441相关规定要求的</w:t>
            </w:r>
            <w:r>
              <w:rPr>
                <w:rFonts w:hint="eastAsia" w:ascii="Times New Roman" w:hAnsi="Times New Roman" w:eastAsia="宋体"/>
                <w:color w:val="000000"/>
              </w:rPr>
              <w:t>，每一项扣2分。</w:t>
            </w:r>
          </w:p>
          <w:p w14:paraId="4EC7971D">
            <w:pPr>
              <w:spacing w:line="320" w:lineRule="exact"/>
              <w:rPr>
                <w:rFonts w:hint="eastAsia" w:ascii="Times New Roman" w:hAnsi="Times New Roman" w:eastAsia="宋体"/>
                <w:color w:val="000000"/>
              </w:rPr>
            </w:pPr>
            <w:r>
              <w:rPr>
                <w:rFonts w:hint="eastAsia" w:ascii="Times New Roman" w:hAnsi="Times New Roman" w:eastAsia="宋体"/>
                <w:color w:val="000000"/>
              </w:rPr>
              <w:t>3</w:t>
            </w:r>
            <w:r>
              <w:rPr>
                <w:rFonts w:ascii="Times New Roman" w:hAnsi="Times New Roman" w:eastAsia="宋体"/>
                <w:color w:val="000000"/>
              </w:rPr>
              <w:t>.</w:t>
            </w:r>
            <w:r>
              <w:rPr>
                <w:rFonts w:hint="eastAsia" w:ascii="Times New Roman" w:hAnsi="Times New Roman" w:eastAsia="宋体"/>
                <w:color w:val="000000"/>
              </w:rPr>
              <w:t>企业未结合实际自定安全风险分级统一标准的，扣5分。</w:t>
            </w:r>
          </w:p>
          <w:p w14:paraId="7F043501">
            <w:pPr>
              <w:spacing w:line="320" w:lineRule="exact"/>
              <w:rPr>
                <w:rFonts w:hint="eastAsia" w:ascii="Times New Roman" w:hAnsi="Times New Roman" w:eastAsia="宋体"/>
                <w:color w:val="000000"/>
              </w:rPr>
            </w:pPr>
            <w:r>
              <w:rPr>
                <w:rFonts w:hint="eastAsia" w:ascii="Times New Roman" w:hAnsi="Times New Roman" w:eastAsia="宋体"/>
                <w:color w:val="000000"/>
              </w:rPr>
              <w:t>4.企业安全风险分级明显不正确的，一处扣2分。</w:t>
            </w:r>
          </w:p>
          <w:p w14:paraId="4B2D1E4D">
            <w:pPr>
              <w:spacing w:line="320" w:lineRule="exact"/>
              <w:rPr>
                <w:rFonts w:hint="eastAsia" w:ascii="Times New Roman" w:hAnsi="Times New Roman" w:eastAsia="宋体"/>
                <w:color w:val="000000"/>
              </w:rPr>
            </w:pPr>
            <w:r>
              <w:rPr>
                <w:rFonts w:hint="eastAsia" w:ascii="Times New Roman" w:hAnsi="Times New Roman" w:eastAsia="宋体"/>
                <w:color w:val="000000"/>
              </w:rPr>
              <w:t>5</w:t>
            </w:r>
            <w:r>
              <w:rPr>
                <w:rFonts w:ascii="Times New Roman" w:hAnsi="Times New Roman" w:eastAsia="宋体"/>
                <w:color w:val="000000"/>
              </w:rPr>
              <w:t>.</w:t>
            </w:r>
            <w:r>
              <w:rPr>
                <w:rFonts w:hint="eastAsia" w:ascii="Times New Roman" w:hAnsi="Times New Roman" w:eastAsia="宋体"/>
                <w:color w:val="000000"/>
              </w:rPr>
              <w:t>企业未全员参与风险管控措施的选择和制定的，扣2分。</w:t>
            </w:r>
          </w:p>
          <w:p w14:paraId="3097C8DF">
            <w:pPr>
              <w:spacing w:line="320" w:lineRule="exact"/>
              <w:rPr>
                <w:rFonts w:hint="eastAsia" w:ascii="Times New Roman" w:hAnsi="Times New Roman" w:eastAsia="宋体"/>
                <w:color w:val="000000"/>
              </w:rPr>
            </w:pPr>
            <w:r>
              <w:rPr>
                <w:rFonts w:hint="eastAsia" w:ascii="Times New Roman" w:hAnsi="Times New Roman" w:eastAsia="宋体"/>
                <w:color w:val="000000"/>
              </w:rPr>
              <w:t>6</w:t>
            </w:r>
            <w:r>
              <w:rPr>
                <w:rFonts w:ascii="Times New Roman" w:hAnsi="Times New Roman" w:eastAsia="宋体"/>
                <w:color w:val="000000"/>
              </w:rPr>
              <w:t>.</w:t>
            </w:r>
            <w:r>
              <w:rPr>
                <w:rFonts w:hint="eastAsia" w:ascii="Times New Roman" w:hAnsi="Times New Roman" w:eastAsia="宋体"/>
                <w:color w:val="000000"/>
              </w:rPr>
              <w:t>风险管控措施不分主次、针对性、实用性和可操作性不强，一处扣2分。</w:t>
            </w:r>
          </w:p>
          <w:p w14:paraId="39EA0A76">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22D7DAA8">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1.企业评定重大风险不正确或重大风险有遗漏，扣30分。（C级要素否决项）</w:t>
            </w:r>
          </w:p>
          <w:p w14:paraId="0105FAE1">
            <w:pPr>
              <w:spacing w:line="320" w:lineRule="exact"/>
              <w:rPr>
                <w:rFonts w:hint="eastAsia" w:ascii="Times New Roman" w:hAnsi="Times New Roman" w:eastAsia="宋体"/>
                <w:color w:val="000000"/>
              </w:rPr>
            </w:pPr>
            <w:r>
              <w:rPr>
                <w:rFonts w:hint="eastAsia" w:ascii="Times New Roman" w:hAnsi="Times New Roman" w:eastAsia="宋体"/>
                <w:b/>
                <w:bCs/>
                <w:color w:val="000000"/>
              </w:rPr>
              <w:t>2.核查风险控制措施，10%及以上控制措施无针对性或与实际不相符、不具有针对性和可操作性的，扣30分。（C级要素否决项）</w:t>
            </w:r>
          </w:p>
        </w:tc>
        <w:tc>
          <w:tcPr>
            <w:tcW w:w="1050" w:type="dxa"/>
            <w:noWrap w:val="0"/>
            <w:vAlign w:val="top"/>
          </w:tcPr>
          <w:p w14:paraId="3A45DE86">
            <w:pPr>
              <w:spacing w:line="320" w:lineRule="exact"/>
              <w:rPr>
                <w:rFonts w:hint="eastAsia" w:ascii="宋体" w:hAnsi="宋体" w:eastAsia="宋体"/>
                <w:color w:val="000000"/>
                <w:szCs w:val="21"/>
              </w:rPr>
            </w:pPr>
          </w:p>
        </w:tc>
        <w:tc>
          <w:tcPr>
            <w:tcW w:w="735" w:type="dxa"/>
            <w:noWrap w:val="0"/>
            <w:vAlign w:val="top"/>
          </w:tcPr>
          <w:p w14:paraId="1CA27F97">
            <w:pPr>
              <w:spacing w:line="320" w:lineRule="exact"/>
              <w:rPr>
                <w:rFonts w:hint="eastAsia" w:ascii="宋体" w:hAnsi="宋体" w:eastAsia="宋体" w:cs="宋体"/>
                <w:b/>
                <w:color w:val="000000"/>
                <w:szCs w:val="21"/>
              </w:rPr>
            </w:pPr>
          </w:p>
        </w:tc>
        <w:tc>
          <w:tcPr>
            <w:tcW w:w="735" w:type="dxa"/>
            <w:noWrap w:val="0"/>
            <w:vAlign w:val="top"/>
          </w:tcPr>
          <w:p w14:paraId="6F790539">
            <w:pPr>
              <w:spacing w:line="320" w:lineRule="exact"/>
              <w:rPr>
                <w:rFonts w:hint="eastAsia" w:ascii="宋体" w:hAnsi="宋体" w:eastAsia="宋体" w:cs="宋体"/>
                <w:b/>
                <w:bCs/>
                <w:color w:val="000000"/>
                <w:szCs w:val="21"/>
              </w:rPr>
            </w:pPr>
          </w:p>
        </w:tc>
        <w:tc>
          <w:tcPr>
            <w:tcW w:w="735" w:type="dxa"/>
            <w:noWrap w:val="0"/>
            <w:vAlign w:val="top"/>
          </w:tcPr>
          <w:p w14:paraId="0E4BFD88">
            <w:pPr>
              <w:spacing w:line="320" w:lineRule="exact"/>
              <w:rPr>
                <w:rFonts w:hint="eastAsia" w:ascii="宋体" w:hAnsi="宋体" w:eastAsia="宋体" w:cs="宋体"/>
                <w:b/>
                <w:bCs/>
                <w:color w:val="000000"/>
                <w:szCs w:val="21"/>
              </w:rPr>
            </w:pPr>
          </w:p>
        </w:tc>
        <w:tc>
          <w:tcPr>
            <w:tcW w:w="735" w:type="dxa"/>
            <w:noWrap w:val="0"/>
            <w:vAlign w:val="top"/>
          </w:tcPr>
          <w:p w14:paraId="73979A81">
            <w:pPr>
              <w:spacing w:line="320" w:lineRule="exact"/>
              <w:rPr>
                <w:rFonts w:hint="eastAsia" w:ascii="宋体" w:hAnsi="宋体" w:eastAsia="宋体" w:cs="宋体"/>
                <w:b/>
                <w:bCs/>
                <w:color w:val="000000"/>
                <w:szCs w:val="21"/>
              </w:rPr>
            </w:pPr>
          </w:p>
        </w:tc>
      </w:tr>
      <w:tr w14:paraId="705C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923" w:type="dxa"/>
            <w:vMerge w:val="continue"/>
            <w:noWrap w:val="0"/>
            <w:vAlign w:val="top"/>
          </w:tcPr>
          <w:p w14:paraId="0B149010">
            <w:pPr>
              <w:spacing w:line="320" w:lineRule="exact"/>
              <w:jc w:val="center"/>
              <w:rPr>
                <w:rFonts w:hint="eastAsia" w:ascii="宋体" w:hAnsi="宋体" w:eastAsia="宋体"/>
                <w:b/>
                <w:bCs/>
                <w:color w:val="000000"/>
                <w:szCs w:val="21"/>
              </w:rPr>
            </w:pPr>
          </w:p>
        </w:tc>
        <w:tc>
          <w:tcPr>
            <w:tcW w:w="809" w:type="dxa"/>
            <w:vMerge w:val="continue"/>
            <w:tcBorders>
              <w:top w:val="nil"/>
              <w:bottom w:val="single" w:color="auto" w:sz="4" w:space="0"/>
            </w:tcBorders>
            <w:noWrap w:val="0"/>
            <w:vAlign w:val="top"/>
          </w:tcPr>
          <w:p w14:paraId="5081FC26">
            <w:pPr>
              <w:spacing w:line="320" w:lineRule="exact"/>
              <w:jc w:val="center"/>
              <w:rPr>
                <w:rFonts w:hint="eastAsia" w:ascii="宋体" w:hAnsi="宋体" w:eastAsia="宋体"/>
                <w:b/>
                <w:bCs/>
                <w:color w:val="000000"/>
                <w:szCs w:val="21"/>
              </w:rPr>
            </w:pPr>
          </w:p>
        </w:tc>
        <w:tc>
          <w:tcPr>
            <w:tcW w:w="815" w:type="dxa"/>
            <w:tcBorders>
              <w:bottom w:val="single" w:color="auto" w:sz="4" w:space="0"/>
            </w:tcBorders>
            <w:noWrap w:val="0"/>
            <w:vAlign w:val="top"/>
          </w:tcPr>
          <w:p w14:paraId="2A41FE59">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w:t>
            </w:r>
            <w:r>
              <w:rPr>
                <w:rFonts w:hint="eastAsia" w:ascii="宋体" w:hAnsi="宋体" w:eastAsia="宋体"/>
                <w:b/>
                <w:bCs/>
                <w:color w:val="000000"/>
                <w:szCs w:val="21"/>
              </w:rPr>
              <w:t>1.3</w:t>
            </w:r>
          </w:p>
          <w:p w14:paraId="64607AE6">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风险分级</w:t>
            </w:r>
          </w:p>
          <w:p w14:paraId="12D0DB94">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管控</w:t>
            </w:r>
            <w:r>
              <w:rPr>
                <w:rFonts w:hint="eastAsia" w:ascii="宋体" w:hAnsi="宋体"/>
                <w:b/>
                <w:bCs/>
                <w:color w:val="000000"/>
                <w:szCs w:val="21"/>
                <w:lang w:eastAsia="zh-CN"/>
              </w:rPr>
              <w:t>（</w:t>
            </w:r>
            <w:r>
              <w:rPr>
                <w:rFonts w:hint="eastAsia" w:ascii="宋体" w:hAnsi="宋体" w:eastAsia="宋体"/>
                <w:b/>
                <w:bCs/>
                <w:color w:val="000000"/>
                <w:szCs w:val="21"/>
              </w:rPr>
              <w:t>30分</w:t>
            </w:r>
            <w:r>
              <w:rPr>
                <w:rFonts w:hint="eastAsia" w:ascii="宋体" w:hAnsi="宋体"/>
                <w:b/>
                <w:bCs/>
                <w:color w:val="000000"/>
                <w:szCs w:val="21"/>
                <w:lang w:eastAsia="zh-CN"/>
              </w:rPr>
              <w:t>）</w:t>
            </w:r>
          </w:p>
        </w:tc>
        <w:tc>
          <w:tcPr>
            <w:tcW w:w="4642" w:type="dxa"/>
            <w:noWrap w:val="0"/>
            <w:vAlign w:val="top"/>
          </w:tcPr>
          <w:p w14:paraId="0697928A">
            <w:pPr>
              <w:pStyle w:val="9"/>
              <w:shd w:val="clear" w:color="auto" w:fill="auto"/>
              <w:spacing w:after="0" w:line="320" w:lineRule="exact"/>
              <w:ind w:firstLine="0"/>
              <w:rPr>
                <w:rFonts w:hint="eastAsia"/>
                <w:bCs/>
                <w:color w:val="000000"/>
                <w:sz w:val="21"/>
                <w:szCs w:val="21"/>
                <w:lang w:val="en-US" w:eastAsia="zh-CN" w:bidi="ar-SA"/>
              </w:rPr>
            </w:pPr>
            <w:r>
              <w:rPr>
                <w:rFonts w:hint="eastAsia"/>
                <w:color w:val="000000"/>
                <w:lang w:eastAsia="zh-CN"/>
              </w:rPr>
              <w:t>1</w:t>
            </w:r>
            <w:r>
              <w:rPr>
                <w:rFonts w:hint="eastAsia"/>
                <w:color w:val="000000"/>
              </w:rPr>
              <w:t>.企业应按照“风险越大、管控级别越高，上级负责管控的风险、下级必须负责管控，并逐级落实管控措施” 的原则，实施风险分级管控</w:t>
            </w:r>
          </w:p>
          <w:p w14:paraId="73795B75">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2.企业应依据相关规定、结合实际情况搞好风险公告警示，为从业人员制作风险告知卡。</w:t>
            </w:r>
          </w:p>
          <w:p w14:paraId="27AE6474">
            <w:pPr>
              <w:pStyle w:val="9"/>
              <w:shd w:val="clear" w:color="auto" w:fill="auto"/>
              <w:spacing w:after="0" w:line="320" w:lineRule="exact"/>
              <w:ind w:firstLine="0"/>
              <w:rPr>
                <w:rFonts w:hint="eastAsia"/>
                <w:bCs/>
                <w:color w:val="000000"/>
                <w:sz w:val="21"/>
                <w:szCs w:val="21"/>
                <w:lang w:val="en-US" w:eastAsia="zh-CN" w:bidi="ar-SA"/>
              </w:rPr>
            </w:pPr>
            <w:r>
              <w:rPr>
                <w:rFonts w:hint="eastAsia"/>
                <w:bCs/>
                <w:color w:val="000000"/>
                <w:sz w:val="21"/>
                <w:szCs w:val="21"/>
                <w:lang w:val="en-US" w:eastAsia="zh-CN" w:bidi="ar-SA"/>
              </w:rPr>
              <w:t>3.企业应每三年进行一次全面的风险辨识评估。</w:t>
            </w:r>
          </w:p>
        </w:tc>
        <w:tc>
          <w:tcPr>
            <w:tcW w:w="3764" w:type="dxa"/>
            <w:noWrap w:val="0"/>
            <w:vAlign w:val="top"/>
          </w:tcPr>
          <w:p w14:paraId="4AA9D0E8">
            <w:pPr>
              <w:spacing w:line="320" w:lineRule="exact"/>
              <w:rPr>
                <w:rFonts w:hint="eastAsia" w:ascii="Times New Roman" w:hAnsi="Times New Roman" w:eastAsia="宋体"/>
                <w:color w:val="000000"/>
              </w:rPr>
            </w:pPr>
            <w:r>
              <w:rPr>
                <w:rFonts w:hint="eastAsia" w:ascii="Times New Roman" w:hAnsi="Times New Roman" w:eastAsia="宋体"/>
                <w:color w:val="000000"/>
              </w:rPr>
              <w:t>1.现场询问从业人员，对安全风险不清楚的，一人次扣3分。</w:t>
            </w:r>
          </w:p>
          <w:p w14:paraId="2E14492C">
            <w:pPr>
              <w:spacing w:line="320" w:lineRule="exact"/>
              <w:rPr>
                <w:rFonts w:hint="eastAsia" w:ascii="Times New Roman" w:hAnsi="Times New Roman" w:eastAsia="宋体"/>
                <w:color w:val="000000"/>
              </w:rPr>
            </w:pPr>
            <w:r>
              <w:rPr>
                <w:rFonts w:hint="eastAsia" w:ascii="Times New Roman" w:hAnsi="Times New Roman" w:eastAsia="宋体"/>
                <w:color w:val="000000"/>
              </w:rPr>
              <w:t>2.企业未建立《风险分级管控清单》的，扣5分，</w:t>
            </w:r>
          </w:p>
          <w:p w14:paraId="2668ED7B">
            <w:pPr>
              <w:spacing w:line="320" w:lineRule="exact"/>
              <w:rPr>
                <w:rFonts w:hint="eastAsia" w:ascii="Times New Roman" w:hAnsi="Times New Roman" w:eastAsia="宋体"/>
                <w:color w:val="000000"/>
              </w:rPr>
            </w:pPr>
            <w:r>
              <w:rPr>
                <w:rFonts w:hint="eastAsia" w:ascii="Times New Roman" w:hAnsi="Times New Roman" w:eastAsia="宋体"/>
                <w:color w:val="000000"/>
              </w:rPr>
              <w:t>3.企业未实施风险公告警示、未为从业人员制作风险告知卡的，一项扣2分。</w:t>
            </w:r>
          </w:p>
          <w:p w14:paraId="7BFF7FD8">
            <w:pPr>
              <w:spacing w:line="320" w:lineRule="exact"/>
              <w:rPr>
                <w:rFonts w:hint="eastAsia" w:ascii="Times New Roman" w:hAnsi="Times New Roman" w:eastAsia="宋体"/>
                <w:color w:val="000000"/>
              </w:rPr>
            </w:pPr>
            <w:r>
              <w:rPr>
                <w:rFonts w:hint="eastAsia" w:ascii="Times New Roman" w:hAnsi="Times New Roman" w:eastAsia="宋体"/>
                <w:color w:val="000000"/>
              </w:rPr>
              <w:t>4.企业未按要求每三年组织一次全面的风险辨识评估的，扣10分。</w:t>
            </w:r>
          </w:p>
          <w:p w14:paraId="119326E9">
            <w:pPr>
              <w:spacing w:line="320" w:lineRule="exact"/>
              <w:rPr>
                <w:rFonts w:hint="eastAsia" w:ascii="Times New Roman" w:hAnsi="Times New Roman" w:eastAsia="宋体"/>
                <w:b/>
                <w:color w:val="000000"/>
              </w:rPr>
            </w:pPr>
            <w:r>
              <w:rPr>
                <w:rFonts w:hint="eastAsia" w:ascii="Times New Roman" w:hAnsi="Times New Roman" w:eastAsia="宋体"/>
                <w:b/>
                <w:color w:val="000000"/>
              </w:rPr>
              <w:t>否决项：</w:t>
            </w:r>
          </w:p>
          <w:p w14:paraId="070EA650">
            <w:pPr>
              <w:rPr>
                <w:rFonts w:hint="eastAsia" w:ascii="Times New Roman" w:hAnsi="Times New Roman" w:eastAsia="宋体"/>
                <w:color w:val="000000"/>
              </w:rPr>
            </w:pPr>
            <w:r>
              <w:rPr>
                <w:rFonts w:hint="eastAsia" w:ascii="Times New Roman" w:hAnsi="Times New Roman" w:eastAsia="宋体"/>
                <w:b/>
                <w:color w:val="000000"/>
              </w:rPr>
              <w:t>1.现场抽查（或考试）从业人员，超过半数对风险分级管控相关内容不熟悉不掌握（或不及格）的，扣80分。（B级要素否决项）</w:t>
            </w:r>
          </w:p>
        </w:tc>
        <w:tc>
          <w:tcPr>
            <w:tcW w:w="1050" w:type="dxa"/>
            <w:noWrap w:val="0"/>
            <w:vAlign w:val="top"/>
          </w:tcPr>
          <w:p w14:paraId="1666DA1E">
            <w:pPr>
              <w:spacing w:line="320" w:lineRule="exact"/>
              <w:rPr>
                <w:rFonts w:hint="eastAsia" w:ascii="宋体" w:hAnsi="宋体" w:eastAsia="宋体"/>
                <w:color w:val="000000"/>
                <w:szCs w:val="21"/>
              </w:rPr>
            </w:pPr>
          </w:p>
        </w:tc>
        <w:tc>
          <w:tcPr>
            <w:tcW w:w="735" w:type="dxa"/>
            <w:noWrap w:val="0"/>
            <w:vAlign w:val="top"/>
          </w:tcPr>
          <w:p w14:paraId="595B0F35">
            <w:pPr>
              <w:spacing w:line="320" w:lineRule="exact"/>
              <w:rPr>
                <w:rFonts w:hint="eastAsia" w:ascii="宋体" w:hAnsi="宋体" w:eastAsia="宋体" w:cs="宋体"/>
                <w:b/>
                <w:color w:val="000000"/>
                <w:szCs w:val="21"/>
              </w:rPr>
            </w:pPr>
          </w:p>
        </w:tc>
        <w:tc>
          <w:tcPr>
            <w:tcW w:w="735" w:type="dxa"/>
            <w:noWrap w:val="0"/>
            <w:vAlign w:val="top"/>
          </w:tcPr>
          <w:p w14:paraId="175D0EDF">
            <w:pPr>
              <w:spacing w:line="320" w:lineRule="exact"/>
              <w:rPr>
                <w:rFonts w:hint="eastAsia" w:ascii="宋体" w:hAnsi="宋体" w:eastAsia="宋体" w:cs="宋体"/>
                <w:b/>
                <w:bCs/>
                <w:color w:val="000000"/>
                <w:szCs w:val="21"/>
              </w:rPr>
            </w:pPr>
          </w:p>
        </w:tc>
        <w:tc>
          <w:tcPr>
            <w:tcW w:w="735" w:type="dxa"/>
            <w:noWrap w:val="0"/>
            <w:vAlign w:val="top"/>
          </w:tcPr>
          <w:p w14:paraId="32357535">
            <w:pPr>
              <w:spacing w:line="320" w:lineRule="exact"/>
              <w:rPr>
                <w:rFonts w:hint="eastAsia" w:ascii="宋体" w:hAnsi="宋体" w:eastAsia="宋体" w:cs="宋体"/>
                <w:b/>
                <w:bCs/>
                <w:color w:val="000000"/>
                <w:szCs w:val="21"/>
              </w:rPr>
            </w:pPr>
          </w:p>
        </w:tc>
        <w:tc>
          <w:tcPr>
            <w:tcW w:w="735" w:type="dxa"/>
            <w:noWrap w:val="0"/>
            <w:vAlign w:val="top"/>
          </w:tcPr>
          <w:p w14:paraId="297515C9">
            <w:pPr>
              <w:spacing w:line="320" w:lineRule="exact"/>
              <w:rPr>
                <w:rFonts w:hint="eastAsia" w:ascii="宋体" w:hAnsi="宋体" w:eastAsia="宋体" w:cs="宋体"/>
                <w:b/>
                <w:bCs/>
                <w:color w:val="000000"/>
                <w:szCs w:val="21"/>
              </w:rPr>
            </w:pPr>
          </w:p>
        </w:tc>
      </w:tr>
      <w:tr w14:paraId="0227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continue"/>
            <w:shd w:val="clear" w:color="auto" w:fill="FFFFFF"/>
            <w:noWrap w:val="0"/>
            <w:vAlign w:val="top"/>
          </w:tcPr>
          <w:p w14:paraId="05F20104">
            <w:pPr>
              <w:spacing w:line="320" w:lineRule="exact"/>
              <w:jc w:val="center"/>
              <w:rPr>
                <w:rFonts w:hint="eastAsia" w:ascii="宋体" w:hAnsi="宋体" w:eastAsia="宋体" w:cs="宋体"/>
                <w:b/>
                <w:bCs/>
                <w:color w:val="000000"/>
                <w:szCs w:val="21"/>
              </w:rPr>
            </w:pPr>
          </w:p>
        </w:tc>
        <w:tc>
          <w:tcPr>
            <w:tcW w:w="809" w:type="dxa"/>
            <w:vMerge w:val="restart"/>
            <w:shd w:val="clear" w:color="auto" w:fill="FFFFFF"/>
            <w:noWrap w:val="0"/>
            <w:vAlign w:val="top"/>
          </w:tcPr>
          <w:p w14:paraId="2F4EEBB7">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4.2</w:t>
            </w:r>
          </w:p>
          <w:p w14:paraId="6786C220">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25103E4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排查治理</w:t>
            </w:r>
          </w:p>
          <w:p w14:paraId="2B0E0016">
            <w:pPr>
              <w:spacing w:line="320" w:lineRule="exact"/>
              <w:jc w:val="center"/>
              <w:rPr>
                <w:rFonts w:hint="eastAsia" w:ascii="宋体" w:hAnsi="宋体" w:eastAsia="宋体" w:cs="宋体"/>
                <w:b/>
                <w:bCs/>
                <w:color w:val="000000"/>
                <w:szCs w:val="21"/>
              </w:rPr>
            </w:pPr>
            <w:r>
              <w:rPr>
                <w:rFonts w:hint="eastAsia" w:ascii="宋体" w:hAnsi="宋体" w:cs="宋体"/>
                <w:b/>
                <w:color w:val="000000"/>
                <w:szCs w:val="21"/>
                <w:lang w:eastAsia="zh-CN"/>
              </w:rPr>
              <w:t>（</w:t>
            </w:r>
            <w:r>
              <w:rPr>
                <w:rFonts w:hint="eastAsia" w:ascii="宋体" w:hAnsi="宋体" w:eastAsia="宋体" w:cs="宋体"/>
                <w:b/>
                <w:color w:val="000000"/>
                <w:szCs w:val="21"/>
              </w:rPr>
              <w:t>120分</w:t>
            </w:r>
            <w:r>
              <w:rPr>
                <w:rFonts w:hint="eastAsia" w:ascii="宋体" w:hAnsi="宋体" w:cs="宋体"/>
                <w:b/>
                <w:color w:val="000000"/>
                <w:szCs w:val="21"/>
                <w:lang w:eastAsia="zh-CN"/>
              </w:rPr>
              <w:t>）</w:t>
            </w:r>
          </w:p>
        </w:tc>
        <w:tc>
          <w:tcPr>
            <w:tcW w:w="815" w:type="dxa"/>
            <w:shd w:val="clear" w:color="auto" w:fill="FFFFFF"/>
            <w:noWrap w:val="0"/>
            <w:vAlign w:val="top"/>
          </w:tcPr>
          <w:p w14:paraId="0BC6134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4.2.1</w:t>
            </w:r>
          </w:p>
          <w:p w14:paraId="49BC4AC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15AB63E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6ACB83DA">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标准清单</w:t>
            </w:r>
            <w:r>
              <w:rPr>
                <w:rFonts w:hint="eastAsia" w:ascii="宋体" w:hAnsi="宋体" w:cs="宋体"/>
                <w:b/>
                <w:bCs/>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426905C2">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1.企业应建立隐患排查治理制度，应明确隐患排查、记录、上报、评估、监控、治理、验收等核心内容，以及隐患排查治理统计分析、通报、报告等相关内容，指导和规范隐患排查治理工作。</w:t>
            </w:r>
          </w:p>
          <w:p w14:paraId="1C8074F6">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2.企业应依据相关法律法规、标准规范、政策规定和《风险分级管控清单》等，结合企业实际编制《隐患排查标准清单》。</w:t>
            </w:r>
          </w:p>
          <w:p w14:paraId="053E833D">
            <w:pPr>
              <w:spacing w:line="320" w:lineRule="exact"/>
              <w:rPr>
                <w:rFonts w:hint="eastAsia" w:ascii="宋体" w:hAnsi="宋体" w:eastAsia="宋体" w:cs="宋体"/>
                <w:color w:val="000000"/>
                <w:szCs w:val="21"/>
              </w:rPr>
            </w:pPr>
            <w:r>
              <w:rPr>
                <w:rFonts w:hint="eastAsia" w:ascii="宋体" w:hAnsi="宋体" w:eastAsia="宋体" w:cs="宋体"/>
                <w:bCs/>
                <w:color w:val="000000"/>
                <w:kern w:val="0"/>
                <w:szCs w:val="21"/>
              </w:rPr>
              <w:t>3</w:t>
            </w:r>
            <w:r>
              <w:rPr>
                <w:rFonts w:hint="eastAsia" w:ascii="宋体" w:hAnsi="宋体" w:eastAsia="宋体" w:cs="宋体"/>
                <w:color w:val="000000"/>
                <w:szCs w:val="21"/>
              </w:rPr>
              <w:t>.《隐患排查标准清单》内容主要应包括：隐患排查内容、排查标准、标准依据、排查方法、排查周期等。</w:t>
            </w:r>
          </w:p>
          <w:p w14:paraId="17253546">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4.《隐患排查标准清单》的内容应具有较强的针对性、实用性和可操作性。</w:t>
            </w:r>
          </w:p>
          <w:p w14:paraId="5D775398">
            <w:pPr>
              <w:rPr>
                <w:rFonts w:hint="eastAsia" w:ascii="Times New Roman" w:hAnsi="Times New Roman" w:eastAsia="宋体"/>
                <w:color w:val="000000"/>
              </w:rPr>
            </w:pPr>
            <w:r>
              <w:rPr>
                <w:rFonts w:hint="eastAsia" w:ascii="宋体" w:hAnsi="宋体" w:eastAsia="宋体" w:cs="宋体"/>
                <w:color w:val="000000"/>
                <w:szCs w:val="21"/>
              </w:rPr>
              <w:t>5.《隐患排查标准清单》应作为企业有效文件，由企业主要负责人签发、发布实施，并在实际应用中不断更新、完善。</w:t>
            </w:r>
          </w:p>
        </w:tc>
        <w:tc>
          <w:tcPr>
            <w:tcW w:w="3764" w:type="dxa"/>
            <w:shd w:val="clear" w:color="auto" w:fill="FFFFFF"/>
            <w:noWrap w:val="0"/>
            <w:vAlign w:val="top"/>
          </w:tcPr>
          <w:p w14:paraId="4AACDE80">
            <w:pPr>
              <w:spacing w:line="320" w:lineRule="exact"/>
              <w:rPr>
                <w:rFonts w:hint="eastAsia" w:ascii="Times New Roman" w:hAnsi="Times New Roman" w:eastAsia="宋体"/>
                <w:color w:val="000000"/>
              </w:rPr>
            </w:pPr>
            <w:r>
              <w:rPr>
                <w:rFonts w:hint="eastAsia" w:ascii="Times New Roman" w:hAnsi="Times New Roman" w:eastAsia="宋体"/>
                <w:color w:val="000000"/>
              </w:rPr>
              <w:t>1.企业隐患排查治理制度未</w:t>
            </w:r>
            <w:r>
              <w:rPr>
                <w:rFonts w:hint="eastAsia" w:ascii="宋体" w:hAnsi="宋体" w:eastAsia="宋体" w:cs="宋体"/>
                <w:color w:val="000000"/>
                <w:kern w:val="0"/>
                <w:szCs w:val="21"/>
              </w:rPr>
              <w:t>明确隐患排查、记录、上报、评估、监控、治理、验收等核心内容，未明确隐患排查治理情况统计分析、通报、报告等相关内容的，缺一项扣2分。</w:t>
            </w:r>
          </w:p>
          <w:p w14:paraId="4E7F1E98">
            <w:pPr>
              <w:spacing w:line="320" w:lineRule="exact"/>
              <w:rPr>
                <w:rFonts w:hint="eastAsia" w:ascii="Times New Roman" w:hAnsi="Times New Roman" w:eastAsia="宋体"/>
                <w:color w:val="000000"/>
              </w:rPr>
            </w:pPr>
            <w:r>
              <w:rPr>
                <w:rFonts w:hint="eastAsia" w:ascii="Times New Roman" w:hAnsi="Times New Roman" w:eastAsia="宋体"/>
                <w:color w:val="000000"/>
              </w:rPr>
              <w:t>2.《隐患排查标准清单》内容</w:t>
            </w:r>
            <w:r>
              <w:rPr>
                <w:rFonts w:hint="eastAsia" w:ascii="宋体" w:hAnsi="宋体" w:eastAsia="宋体" w:cs="宋体"/>
                <w:color w:val="000000"/>
                <w:kern w:val="0"/>
                <w:szCs w:val="21"/>
              </w:rPr>
              <w:t>针对性、实用性和可操作性不强</w:t>
            </w:r>
            <w:r>
              <w:rPr>
                <w:rFonts w:hint="eastAsia" w:ascii="Times New Roman" w:hAnsi="Times New Roman" w:eastAsia="宋体"/>
                <w:color w:val="000000"/>
              </w:rPr>
              <w:t>，一处扣2分。</w:t>
            </w:r>
          </w:p>
          <w:p w14:paraId="2B1F1D03">
            <w:pPr>
              <w:spacing w:line="320" w:lineRule="exact"/>
              <w:rPr>
                <w:rFonts w:hint="eastAsia" w:ascii="Times New Roman" w:hAnsi="Times New Roman" w:eastAsia="宋体"/>
                <w:color w:val="000000"/>
              </w:rPr>
            </w:pPr>
            <w:r>
              <w:rPr>
                <w:rFonts w:hint="eastAsia" w:ascii="Times New Roman" w:hAnsi="Times New Roman" w:eastAsia="宋体"/>
                <w:color w:val="000000"/>
              </w:rPr>
              <w:t>4.《隐患排查标准清单》未作为企业有效文件</w:t>
            </w:r>
            <w:r>
              <w:rPr>
                <w:rFonts w:hint="eastAsia" w:ascii="宋体" w:hAnsi="宋体" w:eastAsia="宋体" w:cs="宋体"/>
                <w:color w:val="000000"/>
                <w:szCs w:val="21"/>
              </w:rPr>
              <w:t>由企业主要负责人签发、</w:t>
            </w:r>
            <w:r>
              <w:rPr>
                <w:rFonts w:hint="eastAsia" w:ascii="Times New Roman" w:hAnsi="Times New Roman" w:eastAsia="宋体"/>
                <w:color w:val="000000"/>
              </w:rPr>
              <w:t>发布实施，或未及时更新、完善的，一项扣2分。</w:t>
            </w:r>
          </w:p>
          <w:p w14:paraId="60008EEE">
            <w:pPr>
              <w:spacing w:line="320" w:lineRule="exact"/>
              <w:rPr>
                <w:rFonts w:hint="eastAsia" w:ascii="Times New Roman" w:hAnsi="Times New Roman" w:eastAsia="宋体"/>
                <w:b/>
                <w:bCs/>
                <w:color w:val="000000"/>
              </w:rPr>
            </w:pPr>
            <w:r>
              <w:rPr>
                <w:rFonts w:hint="eastAsia" w:ascii="Times New Roman" w:hAnsi="Times New Roman" w:eastAsia="宋体"/>
                <w:b/>
                <w:bCs/>
                <w:color w:val="000000"/>
              </w:rPr>
              <w:t>否决项：</w:t>
            </w:r>
          </w:p>
          <w:p w14:paraId="650B864B">
            <w:pPr>
              <w:spacing w:line="320" w:lineRule="exact"/>
              <w:rPr>
                <w:rFonts w:hint="eastAsia" w:ascii="Times New Roman" w:hAnsi="Times New Roman" w:eastAsia="宋体"/>
                <w:color w:val="000000"/>
              </w:rPr>
            </w:pPr>
            <w:r>
              <w:rPr>
                <w:rFonts w:hint="eastAsia" w:ascii="Times New Roman" w:hAnsi="Times New Roman" w:eastAsia="宋体"/>
                <w:b/>
                <w:bCs/>
                <w:color w:val="000000"/>
              </w:rPr>
              <w:t>1.企业未编制《隐患排查标准清单》的，扣20分。（C级要素否决项）</w:t>
            </w:r>
          </w:p>
        </w:tc>
        <w:tc>
          <w:tcPr>
            <w:tcW w:w="1050" w:type="dxa"/>
            <w:shd w:val="clear" w:color="auto" w:fill="FFFFFF"/>
            <w:noWrap w:val="0"/>
            <w:vAlign w:val="top"/>
          </w:tcPr>
          <w:p w14:paraId="0EA5D4B9">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DE88B7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D3675A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C93C498">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D32764E">
            <w:pPr>
              <w:spacing w:line="320" w:lineRule="exact"/>
              <w:rPr>
                <w:rFonts w:hint="eastAsia" w:ascii="宋体" w:hAnsi="宋体" w:eastAsia="宋体" w:cs="宋体"/>
                <w:b/>
                <w:bCs/>
                <w:color w:val="000000"/>
                <w:szCs w:val="21"/>
              </w:rPr>
            </w:pPr>
          </w:p>
        </w:tc>
      </w:tr>
      <w:tr w14:paraId="4925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continue"/>
            <w:shd w:val="clear" w:color="auto" w:fill="FFFFFF"/>
            <w:noWrap w:val="0"/>
            <w:vAlign w:val="top"/>
          </w:tcPr>
          <w:p w14:paraId="20BADE28">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68098A69">
            <w:pPr>
              <w:spacing w:line="320" w:lineRule="exact"/>
              <w:jc w:val="center"/>
              <w:rPr>
                <w:rFonts w:hint="eastAsia" w:ascii="宋体" w:hAnsi="宋体" w:eastAsia="宋体" w:cs="宋体"/>
                <w:b/>
                <w:bCs/>
                <w:color w:val="000000"/>
                <w:szCs w:val="21"/>
              </w:rPr>
            </w:pPr>
          </w:p>
        </w:tc>
        <w:tc>
          <w:tcPr>
            <w:tcW w:w="815" w:type="dxa"/>
            <w:shd w:val="clear" w:color="auto" w:fill="FFFFFF"/>
            <w:noWrap w:val="0"/>
            <w:vAlign w:val="top"/>
          </w:tcPr>
          <w:p w14:paraId="6E4E729C">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4.2.2</w:t>
            </w:r>
          </w:p>
          <w:p w14:paraId="1114AACD">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66EDFBD0">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w:t>
            </w:r>
          </w:p>
          <w:p w14:paraId="4B968D1D">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shd w:val="clear" w:color="auto" w:fill="FFFFFF"/>
            <w:noWrap w:val="0"/>
            <w:vAlign w:val="top"/>
          </w:tcPr>
          <w:p w14:paraId="4469B1CB">
            <w:pPr>
              <w:autoSpaceDE/>
              <w:autoSpaceDN w:val="0"/>
              <w:spacing w:line="320" w:lineRule="exact"/>
              <w:ind w:firstLine="0" w:firstLineChars="0"/>
              <w:jc w:val="both"/>
              <w:rPr>
                <w:rFonts w:hint="eastAsia" w:ascii="宋体" w:hAnsi="Times New Roman" w:eastAsia="宋体" w:cs="Times New Roman"/>
                <w:color w:val="000000"/>
                <w:sz w:val="21"/>
                <w:szCs w:val="21"/>
                <w:lang w:val="en-US" w:eastAsia="zh-CN" w:bidi="ar-SA"/>
              </w:rPr>
            </w:pPr>
            <w:r>
              <w:rPr>
                <w:rFonts w:hint="eastAsia" w:ascii="宋体" w:hAnsi="Times New Roman" w:eastAsia="宋体" w:cs="Times New Roman"/>
                <w:color w:val="000000"/>
                <w:sz w:val="21"/>
                <w:szCs w:val="21"/>
                <w:lang w:val="en-US" w:eastAsia="zh-CN" w:bidi="ar-SA"/>
              </w:rPr>
              <w:t>1.企业应根据生产运行特点，制定年度隐患排查计划。</w:t>
            </w:r>
          </w:p>
          <w:p w14:paraId="0958E33E">
            <w:pPr>
              <w:spacing w:line="320" w:lineRule="exact"/>
              <w:rPr>
                <w:rFonts w:hint="eastAsia" w:ascii="Times New Roman" w:hAnsi="Times New Roman" w:eastAsia="宋体"/>
                <w:color w:val="000000"/>
                <w:szCs w:val="21"/>
              </w:rPr>
            </w:pPr>
            <w:r>
              <w:rPr>
                <w:rFonts w:hint="eastAsia" w:ascii="Times New Roman" w:hAnsi="Times New Roman" w:eastAsia="宋体"/>
                <w:color w:val="000000"/>
                <w:szCs w:val="21"/>
              </w:rPr>
              <w:t>2.企业隐患排查计划应明确各类型隐患排查的排查时间、排查目的、排查要求、排查范围、组织级别以及排查人员等。</w:t>
            </w:r>
          </w:p>
          <w:p w14:paraId="24E92A13">
            <w:pPr>
              <w:rPr>
                <w:rFonts w:hint="eastAsia" w:ascii="Times New Roman" w:hAnsi="Times New Roman" w:eastAsia="宋体"/>
                <w:color w:val="000000"/>
              </w:rPr>
            </w:pPr>
            <w:r>
              <w:rPr>
                <w:rFonts w:hint="eastAsia" w:ascii="宋体" w:hAnsi="宋体" w:eastAsia="宋体" w:cs="宋体"/>
                <w:color w:val="000000"/>
                <w:szCs w:val="21"/>
              </w:rPr>
              <w:t>3.企业要依据《隐患排查标准清单》，定期对物的危险状态、人的不安全行为和管理上的缺陷等进行深入、细致排查。</w:t>
            </w:r>
          </w:p>
        </w:tc>
        <w:tc>
          <w:tcPr>
            <w:tcW w:w="3764" w:type="dxa"/>
            <w:shd w:val="clear" w:color="auto" w:fill="FFFFFF"/>
            <w:noWrap w:val="0"/>
            <w:vAlign w:val="top"/>
          </w:tcPr>
          <w:p w14:paraId="4C166A4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1.企业未结合实际情况编制年度隐患排查计划的，扣5分</w:t>
            </w:r>
            <w:r>
              <w:rPr>
                <w:rFonts w:hint="eastAsia" w:ascii="宋体" w:hAnsi="宋体" w:cs="宋体"/>
                <w:color w:val="000000"/>
                <w:szCs w:val="21"/>
                <w:lang w:eastAsia="zh-CN"/>
              </w:rPr>
              <w:t>；</w:t>
            </w:r>
          </w:p>
          <w:p w14:paraId="0F1B9A10">
            <w:pPr>
              <w:spacing w:line="320" w:lineRule="exact"/>
              <w:rPr>
                <w:rFonts w:hint="eastAsia" w:ascii="Times New Roman" w:hAnsi="Times New Roman" w:eastAsia="宋体"/>
                <w:color w:val="000000"/>
                <w:szCs w:val="21"/>
              </w:rPr>
            </w:pPr>
            <w:r>
              <w:rPr>
                <w:rFonts w:hint="eastAsia" w:ascii="Times New Roman" w:hAnsi="Times New Roman" w:eastAsia="宋体"/>
                <w:color w:val="000000"/>
                <w:szCs w:val="21"/>
              </w:rPr>
              <w:t>2.隐患排查计划内容不全，或实用性、操作性不强的，一项扣2分。</w:t>
            </w:r>
          </w:p>
          <w:p w14:paraId="052B33E0">
            <w:pPr>
              <w:spacing w:line="320" w:lineRule="exact"/>
              <w:rPr>
                <w:rFonts w:hint="eastAsia" w:ascii="Times New Roman" w:hAnsi="Times New Roman" w:eastAsia="宋体"/>
                <w:color w:val="000000"/>
              </w:rPr>
            </w:pPr>
            <w:r>
              <w:rPr>
                <w:rFonts w:hint="eastAsia" w:ascii="Times New Roman" w:hAnsi="Times New Roman" w:eastAsia="宋体"/>
                <w:color w:val="000000"/>
                <w:szCs w:val="21"/>
              </w:rPr>
              <w:t>3.企业未依据《隐患排查标准清单》，定期组织隐患排查的，一次扣2分。</w:t>
            </w:r>
          </w:p>
        </w:tc>
        <w:tc>
          <w:tcPr>
            <w:tcW w:w="1050" w:type="dxa"/>
            <w:shd w:val="clear" w:color="auto" w:fill="FFFFFF"/>
            <w:noWrap w:val="0"/>
            <w:vAlign w:val="top"/>
          </w:tcPr>
          <w:p w14:paraId="31A3BDD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1E8BAB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924635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0A775E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869736F">
            <w:pPr>
              <w:spacing w:line="320" w:lineRule="exact"/>
              <w:rPr>
                <w:rFonts w:hint="eastAsia" w:ascii="宋体" w:hAnsi="宋体" w:eastAsia="宋体" w:cs="宋体"/>
                <w:b/>
                <w:bCs/>
                <w:color w:val="000000"/>
                <w:szCs w:val="21"/>
              </w:rPr>
            </w:pPr>
          </w:p>
        </w:tc>
      </w:tr>
      <w:tr w14:paraId="748A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continue"/>
            <w:shd w:val="clear" w:color="auto" w:fill="FFFFFF"/>
            <w:noWrap w:val="0"/>
            <w:vAlign w:val="top"/>
          </w:tcPr>
          <w:p w14:paraId="4D40BEEE">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062B809F">
            <w:pPr>
              <w:spacing w:line="320" w:lineRule="exact"/>
              <w:jc w:val="center"/>
              <w:rPr>
                <w:rFonts w:hint="eastAsia" w:ascii="宋体" w:hAnsi="宋体" w:eastAsia="宋体" w:cs="宋体"/>
                <w:b/>
                <w:bCs/>
                <w:color w:val="000000"/>
                <w:szCs w:val="21"/>
              </w:rPr>
            </w:pPr>
          </w:p>
        </w:tc>
        <w:tc>
          <w:tcPr>
            <w:tcW w:w="815" w:type="dxa"/>
            <w:shd w:val="clear" w:color="auto" w:fill="FFFFFF"/>
            <w:noWrap w:val="0"/>
            <w:vAlign w:val="top"/>
          </w:tcPr>
          <w:p w14:paraId="53D86F03">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pacing w:val="8"/>
                <w:szCs w:val="21"/>
              </w:rPr>
              <w:t>4.2.3</w:t>
            </w:r>
          </w:p>
          <w:p w14:paraId="2C300C4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隐患</w:t>
            </w:r>
          </w:p>
          <w:p w14:paraId="768613A8">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治理</w:t>
            </w:r>
          </w:p>
          <w:p w14:paraId="2ECE4B29">
            <w:pPr>
              <w:spacing w:line="320" w:lineRule="exact"/>
              <w:jc w:val="center"/>
              <w:rPr>
                <w:rFonts w:hint="eastAsia" w:ascii="宋体" w:hAnsi="宋体" w:eastAsia="宋体" w:cs="宋体"/>
                <w:b/>
                <w:bCs/>
                <w:color w:val="000000"/>
                <w:spacing w:val="8"/>
                <w:szCs w:val="21"/>
              </w:rPr>
            </w:pP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shd w:val="clear" w:color="auto" w:fill="FFFFFF"/>
            <w:noWrap w:val="0"/>
            <w:vAlign w:val="top"/>
          </w:tcPr>
          <w:p w14:paraId="248B6F15">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1.企业应对排查出的隐患进行分级，对于当场不能立即整改的隐患，应及时组织隐患治理。</w:t>
            </w:r>
          </w:p>
          <w:p w14:paraId="27EDD8D8">
            <w:pPr>
              <w:autoSpaceDE/>
              <w:autoSpaceDN w:val="0"/>
              <w:spacing w:line="320" w:lineRule="exact"/>
              <w:ind w:firstLine="0" w:firstLineChars="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2.在整改治理隐患时，应当对隐患产生的原因进行分析，在整改治理期限内完成整改治理，并组织验收。</w:t>
            </w:r>
          </w:p>
          <w:p w14:paraId="0D455440">
            <w:pPr>
              <w:autoSpaceDE/>
              <w:autoSpaceDN w:val="0"/>
              <w:spacing w:line="320" w:lineRule="exact"/>
              <w:ind w:firstLine="0" w:firstLineChars="0"/>
              <w:jc w:val="both"/>
              <w:rPr>
                <w:rFonts w:hint="eastAsia" w:ascii="宋体" w:hAnsi="Times New Roman" w:eastAsia="宋体" w:cs="Times New Roman"/>
                <w:color w:val="000000"/>
                <w:sz w:val="21"/>
                <w:szCs w:val="21"/>
                <w:lang w:val="en-US" w:eastAsia="zh-CN" w:bidi="ar-SA"/>
              </w:rPr>
            </w:pPr>
            <w:r>
              <w:rPr>
                <w:rFonts w:hint="eastAsia" w:ascii="宋体" w:hAnsi="宋体" w:eastAsia="宋体" w:cs="宋体"/>
                <w:color w:val="000000"/>
                <w:sz w:val="21"/>
                <w:szCs w:val="21"/>
                <w:lang w:val="en-US" w:eastAsia="zh-CN" w:bidi="ar-SA"/>
              </w:rPr>
              <w:t>3.重大事故隐患的应编制事故隐患评估报告，及时报告应急管理等有关部门，并实施挂牌督办。</w:t>
            </w:r>
          </w:p>
        </w:tc>
        <w:tc>
          <w:tcPr>
            <w:tcW w:w="3764" w:type="dxa"/>
            <w:shd w:val="clear" w:color="auto" w:fill="FFFFFF"/>
            <w:noWrap w:val="0"/>
            <w:vAlign w:val="top"/>
          </w:tcPr>
          <w:p w14:paraId="1990F8C7">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1.隐患整改未按期完成的，一项扣2分。</w:t>
            </w:r>
          </w:p>
          <w:p w14:paraId="23C51339">
            <w:pPr>
              <w:widowControl/>
              <w:spacing w:line="320" w:lineRule="exact"/>
              <w:rPr>
                <w:rFonts w:ascii="宋体" w:hAnsi="Times New Roman" w:eastAsia="宋体"/>
                <w:color w:val="000000"/>
                <w:szCs w:val="21"/>
              </w:rPr>
            </w:pPr>
            <w:r>
              <w:rPr>
                <w:rFonts w:hint="eastAsia" w:ascii="宋体" w:hAnsi="宋体" w:eastAsia="宋体" w:cs="宋体"/>
                <w:color w:val="000000"/>
                <w:szCs w:val="21"/>
              </w:rPr>
              <w:t>2.</w:t>
            </w:r>
            <w:r>
              <w:rPr>
                <w:rFonts w:hint="eastAsia" w:ascii="宋体" w:hAnsi="宋体" w:eastAsia="宋体"/>
                <w:color w:val="000000"/>
                <w:szCs w:val="21"/>
              </w:rPr>
              <w:t>隐患整</w:t>
            </w:r>
            <w:r>
              <w:rPr>
                <w:rFonts w:hint="eastAsia" w:ascii="宋体" w:hAnsi="宋体" w:eastAsia="宋体" w:cs="宋体"/>
                <w:color w:val="000000"/>
                <w:szCs w:val="21"/>
              </w:rPr>
              <w:t>改后未对整改情况进行验收的，一项扣2分。</w:t>
            </w:r>
          </w:p>
          <w:p w14:paraId="52BFD98C">
            <w:pPr>
              <w:spacing w:line="320" w:lineRule="exact"/>
              <w:rPr>
                <w:rFonts w:hint="eastAsia" w:ascii="宋体" w:hAnsi="宋体" w:eastAsia="宋体" w:cs="宋体"/>
                <w:color w:val="000000"/>
                <w:szCs w:val="21"/>
              </w:rPr>
            </w:pPr>
            <w:r>
              <w:rPr>
                <w:rFonts w:hint="eastAsia" w:ascii="Times New Roman" w:hAnsi="宋体" w:eastAsia="宋体" w:cs="宋体"/>
                <w:color w:val="000000"/>
                <w:szCs w:val="21"/>
              </w:rPr>
              <w:t>3</w:t>
            </w:r>
            <w:r>
              <w:rPr>
                <w:rFonts w:hint="eastAsia" w:ascii="宋体" w:hAnsi="宋体" w:eastAsia="宋体" w:cs="宋体"/>
                <w:color w:val="000000"/>
                <w:szCs w:val="21"/>
              </w:rPr>
              <w:t>.重大事故隐患未编制事故隐患评估报告、未及时报告应急管理等有关部门、未实施挂牌督办，一处扣5分。</w:t>
            </w:r>
          </w:p>
        </w:tc>
        <w:tc>
          <w:tcPr>
            <w:tcW w:w="1050" w:type="dxa"/>
            <w:shd w:val="clear" w:color="auto" w:fill="FFFFFF"/>
            <w:noWrap w:val="0"/>
            <w:vAlign w:val="top"/>
          </w:tcPr>
          <w:p w14:paraId="10DFAB0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39A9CD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E69C9D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344638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62BA9A8">
            <w:pPr>
              <w:spacing w:line="320" w:lineRule="exact"/>
              <w:rPr>
                <w:rFonts w:hint="eastAsia" w:ascii="宋体" w:hAnsi="宋体" w:eastAsia="宋体" w:cs="宋体"/>
                <w:b/>
                <w:bCs/>
                <w:color w:val="000000"/>
                <w:szCs w:val="21"/>
              </w:rPr>
            </w:pPr>
          </w:p>
        </w:tc>
      </w:tr>
      <w:tr w14:paraId="13BB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14:paraId="05B798E9">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3ADB4952">
            <w:pPr>
              <w:spacing w:line="320" w:lineRule="exact"/>
              <w:jc w:val="center"/>
              <w:rPr>
                <w:rFonts w:hint="eastAsia" w:ascii="宋体" w:hAnsi="宋体" w:eastAsia="宋体" w:cs="宋体"/>
                <w:b/>
                <w:color w:val="000000"/>
                <w:spacing w:val="8"/>
                <w:szCs w:val="21"/>
              </w:rPr>
            </w:pPr>
          </w:p>
        </w:tc>
        <w:tc>
          <w:tcPr>
            <w:tcW w:w="815" w:type="dxa"/>
            <w:shd w:val="clear" w:color="auto" w:fill="FFFFFF"/>
            <w:noWrap w:val="0"/>
            <w:vAlign w:val="top"/>
          </w:tcPr>
          <w:p w14:paraId="6600566A">
            <w:pPr>
              <w:spacing w:line="320" w:lineRule="exact"/>
              <w:jc w:val="center"/>
              <w:rPr>
                <w:rFonts w:hint="eastAsia" w:ascii="宋体" w:hAnsi="宋体" w:eastAsia="宋体" w:cs="宋体"/>
                <w:b/>
                <w:bCs/>
                <w:color w:val="000000"/>
                <w:szCs w:val="21"/>
              </w:rPr>
            </w:pPr>
            <w:r>
              <w:rPr>
                <w:rFonts w:hint="eastAsia" w:ascii="Times New Roman" w:hAnsi="Times New Roman" w:eastAsia="宋体"/>
                <w:b/>
                <w:bCs/>
                <w:color w:val="000000"/>
              </w:rPr>
              <w:t>4.2.4</w:t>
            </w:r>
            <w:r>
              <w:rPr>
                <w:rFonts w:hint="eastAsia" w:ascii="宋体" w:hAnsi="宋体" w:eastAsia="宋体" w:cs="宋体"/>
                <w:b/>
                <w:bCs/>
                <w:color w:val="000000"/>
                <w:szCs w:val="21"/>
              </w:rPr>
              <w:t>隐患</w:t>
            </w:r>
          </w:p>
          <w:p w14:paraId="640B6099">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排查治理</w:t>
            </w:r>
          </w:p>
          <w:p w14:paraId="2AA6E4BA">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情况</w:t>
            </w:r>
          </w:p>
          <w:p w14:paraId="4EEEB340">
            <w:pPr>
              <w:spacing w:line="320" w:lineRule="exact"/>
              <w:jc w:val="center"/>
              <w:rPr>
                <w:rFonts w:hint="eastAsia" w:ascii="宋体" w:hAnsi="宋体" w:eastAsia="宋体" w:cs="宋体"/>
                <w:b/>
                <w:color w:val="000000"/>
                <w:spacing w:val="8"/>
                <w:szCs w:val="21"/>
              </w:rPr>
            </w:pPr>
            <w:r>
              <w:rPr>
                <w:rFonts w:hint="eastAsia" w:ascii="宋体" w:hAnsi="宋体" w:eastAsia="宋体" w:cs="宋体"/>
                <w:b/>
                <w:bCs/>
                <w:color w:val="000000"/>
                <w:szCs w:val="21"/>
              </w:rPr>
              <w:t>记录</w:t>
            </w:r>
            <w:r>
              <w:rPr>
                <w:rFonts w:hint="eastAsia" w:ascii="宋体" w:hAnsi="宋体" w:cs="宋体"/>
                <w:b/>
                <w:bCs/>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6113212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1.企业应根据相关规定要求，指定专人负责，或者通过隐患排查治理信息管理系统，实现隐患排查、登记、上报、评估、监控、治理、验收全过程记录和闭环管理。</w:t>
            </w:r>
          </w:p>
          <w:p w14:paraId="2BECC512">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2.企业应如实记录隐患排查治理情况，并形成隐患排查治理台账，确保记录具有可追溯性。</w:t>
            </w:r>
          </w:p>
          <w:p w14:paraId="0D83D5B1">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3.隐患排查治理台账应包括：隐患发现时间、隐患情况、隐患级别、整改措施、整改责任、整改情况、验收结论和验收时间等内容。</w:t>
            </w:r>
          </w:p>
          <w:p w14:paraId="0E2D459B">
            <w:pPr>
              <w:spacing w:line="320" w:lineRule="exact"/>
              <w:rPr>
                <w:rFonts w:hint="eastAsia" w:ascii="Times New Roman" w:hAnsi="Times New Roman" w:eastAsia="宋体"/>
                <w:color w:val="000000"/>
              </w:rPr>
            </w:pPr>
            <w:r>
              <w:rPr>
                <w:rFonts w:hint="eastAsia" w:ascii="宋体" w:hAnsi="宋体" w:eastAsia="宋体" w:cs="宋体"/>
                <w:color w:val="000000"/>
                <w:szCs w:val="21"/>
              </w:rPr>
              <w:t>4.隐患排查治理信息档案资料应包括：隐患排查标准清单、隐患排查治理台账、隐患排查治理情况通报和报告、隐患排查治理情况统计分析情况、重大事故隐患挂牌督办资料，以及隐患排查、评估分级等原始记录。</w:t>
            </w:r>
          </w:p>
        </w:tc>
        <w:tc>
          <w:tcPr>
            <w:tcW w:w="3764" w:type="dxa"/>
            <w:shd w:val="clear" w:color="auto" w:fill="FFFFFF"/>
            <w:noWrap w:val="0"/>
            <w:vAlign w:val="top"/>
          </w:tcPr>
          <w:p w14:paraId="318DFDE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1.抽查隐患排查记录，缺一项扣2分。</w:t>
            </w:r>
          </w:p>
          <w:p w14:paraId="682579AE">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2.隐患排查治理记录不</w:t>
            </w:r>
            <w:r>
              <w:rPr>
                <w:rFonts w:hint="eastAsia" w:ascii="宋体" w:hAnsi="宋体" w:cs="宋体"/>
                <w:color w:val="000000"/>
                <w:szCs w:val="21"/>
                <w:lang w:eastAsia="zh-CN"/>
              </w:rPr>
              <w:t>翔实的</w:t>
            </w:r>
            <w:r>
              <w:rPr>
                <w:rFonts w:hint="eastAsia" w:ascii="宋体" w:hAnsi="宋体" w:eastAsia="宋体" w:cs="宋体"/>
                <w:color w:val="000000"/>
                <w:szCs w:val="21"/>
              </w:rPr>
              <w:t>，隐患信息填写不准确、不全面的，一项扣2分。</w:t>
            </w:r>
          </w:p>
          <w:p w14:paraId="2FE16D1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3.企业未汇总形成隐患排查治理台帐的，扣5分。</w:t>
            </w:r>
          </w:p>
          <w:p w14:paraId="514AC42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4.隐患排查治理台账内容不完整的，一项扣2分。</w:t>
            </w:r>
          </w:p>
          <w:p w14:paraId="41517678">
            <w:pPr>
              <w:spacing w:line="320" w:lineRule="exact"/>
              <w:rPr>
                <w:rFonts w:hint="eastAsia" w:ascii="宋体" w:hAnsi="宋体" w:eastAsia="宋体" w:cs="宋体"/>
                <w:color w:val="000000"/>
                <w:szCs w:val="21"/>
              </w:rPr>
            </w:pPr>
            <w:r>
              <w:rPr>
                <w:rFonts w:hint="eastAsia" w:ascii="宋体" w:hAnsi="宋体" w:eastAsia="宋体" w:cs="宋体"/>
                <w:color w:val="000000"/>
                <w:szCs w:val="21"/>
              </w:rPr>
              <w:t>5.隐患排查治理情况未如实记录、弄虚作假的，一处扣5分。</w:t>
            </w:r>
          </w:p>
          <w:p w14:paraId="6B6FB34F">
            <w:pPr>
              <w:spacing w:line="320" w:lineRule="exact"/>
              <w:rPr>
                <w:rFonts w:hint="eastAsia" w:ascii="宋体" w:hAnsi="宋体" w:eastAsia="宋体" w:cs="宋体"/>
                <w:color w:val="000000"/>
                <w:szCs w:val="21"/>
              </w:rPr>
            </w:pPr>
            <w:r>
              <w:rPr>
                <w:rFonts w:hint="eastAsia" w:ascii="Times New Roman" w:hAnsi="Times New Roman" w:eastAsia="宋体"/>
                <w:color w:val="000000"/>
              </w:rPr>
              <w:t>6.</w:t>
            </w:r>
            <w:r>
              <w:rPr>
                <w:rFonts w:hint="eastAsia" w:ascii="宋体" w:hAnsi="宋体" w:eastAsia="宋体" w:cs="宋体"/>
                <w:color w:val="000000"/>
                <w:szCs w:val="21"/>
              </w:rPr>
              <w:t>隐患排查治理信息档案资料不完善的，一项扣2分。</w:t>
            </w:r>
          </w:p>
          <w:p w14:paraId="1882055C">
            <w:pPr>
              <w:spacing w:line="320" w:lineRule="exact"/>
              <w:rPr>
                <w:rFonts w:hint="eastAsia" w:ascii="Times New Roman" w:hAnsi="Times New Roman" w:eastAsia="宋体"/>
                <w:color w:val="000000"/>
              </w:rPr>
            </w:pPr>
          </w:p>
        </w:tc>
        <w:tc>
          <w:tcPr>
            <w:tcW w:w="1050" w:type="dxa"/>
            <w:shd w:val="clear" w:color="auto" w:fill="FFFFFF"/>
            <w:noWrap w:val="0"/>
            <w:vAlign w:val="top"/>
          </w:tcPr>
          <w:p w14:paraId="5E9D250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1CCB5A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749D7A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133EC9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6FB5C34">
            <w:pPr>
              <w:spacing w:line="320" w:lineRule="exact"/>
              <w:rPr>
                <w:rFonts w:hint="eastAsia" w:ascii="宋体" w:hAnsi="宋体" w:eastAsia="宋体" w:cs="宋体"/>
                <w:b/>
                <w:bCs/>
                <w:color w:val="000000"/>
                <w:szCs w:val="21"/>
              </w:rPr>
            </w:pPr>
          </w:p>
        </w:tc>
      </w:tr>
      <w:tr w14:paraId="12CE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14:paraId="0AA31E75">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69A419AB">
            <w:pPr>
              <w:spacing w:line="320" w:lineRule="exact"/>
              <w:rPr>
                <w:rFonts w:hint="eastAsia" w:ascii="宋体" w:hAnsi="宋体" w:eastAsia="宋体" w:cs="宋体"/>
                <w:b/>
                <w:color w:val="000000"/>
                <w:spacing w:val="8"/>
                <w:szCs w:val="21"/>
              </w:rPr>
            </w:pPr>
          </w:p>
        </w:tc>
        <w:tc>
          <w:tcPr>
            <w:tcW w:w="815" w:type="dxa"/>
            <w:shd w:val="clear" w:color="auto" w:fill="FFFFFF"/>
            <w:noWrap w:val="0"/>
            <w:vAlign w:val="top"/>
          </w:tcPr>
          <w:p w14:paraId="3EB487F5">
            <w:pPr>
              <w:spacing w:line="320" w:lineRule="exact"/>
              <w:jc w:val="center"/>
              <w:rPr>
                <w:rFonts w:hint="eastAsia" w:ascii="宋体" w:hAnsi="宋体" w:eastAsia="宋体" w:cs="宋体"/>
                <w:b/>
                <w:bCs/>
                <w:color w:val="000000"/>
                <w:szCs w:val="21"/>
              </w:rPr>
            </w:pPr>
            <w:r>
              <w:rPr>
                <w:rFonts w:hint="eastAsia" w:ascii="Times New Roman" w:hAnsi="Times New Roman" w:eastAsia="宋体"/>
                <w:b/>
                <w:bCs/>
                <w:color w:val="000000"/>
              </w:rPr>
              <w:t>4.2.5</w:t>
            </w:r>
            <w:r>
              <w:rPr>
                <w:rFonts w:hint="eastAsia" w:ascii="宋体" w:hAnsi="宋体" w:eastAsia="宋体" w:cs="宋体"/>
                <w:b/>
                <w:bCs/>
                <w:color w:val="000000"/>
                <w:szCs w:val="21"/>
              </w:rPr>
              <w:t>隐患</w:t>
            </w:r>
          </w:p>
          <w:p w14:paraId="1D23B0D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排查治理</w:t>
            </w:r>
          </w:p>
          <w:p w14:paraId="60716533">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情况</w:t>
            </w:r>
          </w:p>
          <w:p w14:paraId="2B46AC55">
            <w:pPr>
              <w:spacing w:line="320" w:lineRule="exact"/>
              <w:jc w:val="center"/>
              <w:rPr>
                <w:rFonts w:hint="eastAsia" w:ascii="宋体" w:hAnsi="宋体" w:eastAsia="宋体" w:cs="宋体"/>
                <w:b/>
                <w:color w:val="000000"/>
                <w:spacing w:val="8"/>
                <w:szCs w:val="21"/>
              </w:rPr>
            </w:pPr>
            <w:r>
              <w:rPr>
                <w:rFonts w:hint="eastAsia" w:ascii="宋体" w:hAnsi="宋体" w:eastAsia="宋体" w:cs="宋体"/>
                <w:b/>
                <w:bCs/>
                <w:color w:val="000000"/>
                <w:szCs w:val="21"/>
              </w:rPr>
              <w:t>通报和报告</w:t>
            </w:r>
            <w:r>
              <w:rPr>
                <w:rFonts w:hint="eastAsia" w:ascii="宋体" w:hAnsi="宋体" w:cs="宋体"/>
                <w:b/>
                <w:bCs/>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3B8D8899">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1.企业应通过会议、信息公示栏等方式向从业人员通报隐患排查治理情况。</w:t>
            </w:r>
          </w:p>
          <w:p w14:paraId="008C7734">
            <w:pPr>
              <w:widowControl/>
              <w:spacing w:line="320" w:lineRule="exac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Times New Roman" w:hAnsi="Times New Roman" w:eastAsia="宋体"/>
                <w:color w:val="000000"/>
              </w:rPr>
              <w:t>企业发现</w:t>
            </w:r>
            <w:r>
              <w:rPr>
                <w:rFonts w:hint="eastAsia" w:ascii="宋体" w:hAnsi="宋体" w:eastAsia="宋体" w:cs="宋体"/>
                <w:color w:val="000000"/>
                <w:szCs w:val="21"/>
              </w:rPr>
              <w:t>重大事故隐患要及时向应急管理等有关部门报告，重大事故隐患排查治理情况应及时向应急管理等有关部门报告。</w:t>
            </w:r>
          </w:p>
          <w:p w14:paraId="0113842D">
            <w:pPr>
              <w:rPr>
                <w:rFonts w:hint="eastAsia" w:ascii="宋体" w:hAnsi="宋体" w:eastAsia="宋体" w:cs="宋体"/>
                <w:color w:val="000000"/>
                <w:szCs w:val="21"/>
              </w:rPr>
            </w:pPr>
            <w:r>
              <w:rPr>
                <w:rFonts w:hint="eastAsia" w:ascii="宋体" w:hAnsi="宋体" w:eastAsia="宋体" w:cs="宋体"/>
                <w:color w:val="000000"/>
                <w:szCs w:val="21"/>
              </w:rPr>
              <w:t>3.企业可通过信息系统对</w:t>
            </w:r>
            <w:r>
              <w:rPr>
                <w:rFonts w:hint="eastAsia" w:ascii="宋体" w:hAnsi="宋体" w:cs="宋体"/>
                <w:color w:val="000000"/>
                <w:szCs w:val="21"/>
                <w:lang w:eastAsia="zh-CN"/>
              </w:rPr>
              <w:t>隐患排查</w:t>
            </w:r>
            <w:r>
              <w:rPr>
                <w:rFonts w:hint="eastAsia" w:ascii="宋体" w:hAnsi="宋体" w:eastAsia="宋体" w:cs="宋体"/>
                <w:color w:val="000000"/>
                <w:szCs w:val="21"/>
              </w:rPr>
              <w:t>、报告、治理、销号等过程进行电子化管理和统计分析，并按照有关规定要求定期向应急管理等有关部门报送。</w:t>
            </w:r>
          </w:p>
          <w:p w14:paraId="441CE59F">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4.企业应建设安全风险分级管控和隐患排查治理双重预防机制信息化系统，实现风险分级管控和隐患排查治理的信息化管理。</w:t>
            </w:r>
          </w:p>
        </w:tc>
        <w:tc>
          <w:tcPr>
            <w:tcW w:w="3764" w:type="dxa"/>
            <w:shd w:val="clear" w:color="auto" w:fill="FFFFFF"/>
            <w:noWrap w:val="0"/>
            <w:vAlign w:val="top"/>
          </w:tcPr>
          <w:p w14:paraId="6DDC5B09">
            <w:pPr>
              <w:spacing w:line="320" w:lineRule="exact"/>
              <w:rPr>
                <w:rFonts w:hint="eastAsia" w:ascii="宋体" w:hAnsi="宋体" w:eastAsia="宋体" w:cs="宋体"/>
                <w:color w:val="000000"/>
                <w:szCs w:val="21"/>
              </w:rPr>
            </w:pPr>
            <w:r>
              <w:rPr>
                <w:rFonts w:hint="eastAsia" w:ascii="宋体" w:hAnsi="宋体" w:eastAsia="宋体" w:cs="宋体"/>
                <w:color w:val="000000"/>
                <w:szCs w:val="21"/>
              </w:rPr>
              <w:t>1.企业未向从业人员通报隐患排查治理情况的，扣5分。</w:t>
            </w:r>
          </w:p>
          <w:p w14:paraId="572D976F">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2.企业重大事故隐患排查治理情况未及时向应急管理等有关部门报告的，扣5分。</w:t>
            </w:r>
          </w:p>
          <w:p w14:paraId="29DA4FEA">
            <w:pPr>
              <w:spacing w:line="320" w:lineRule="exact"/>
              <w:rPr>
                <w:rFonts w:hint="eastAsia" w:ascii="宋体" w:hAnsi="宋体" w:eastAsia="宋体" w:cs="宋体"/>
                <w:color w:val="000000"/>
                <w:szCs w:val="21"/>
              </w:rPr>
            </w:pPr>
            <w:r>
              <w:rPr>
                <w:rFonts w:hint="eastAsia" w:ascii="宋体" w:hAnsi="宋体" w:eastAsia="宋体" w:cs="宋体"/>
                <w:color w:val="000000"/>
                <w:szCs w:val="21"/>
              </w:rPr>
              <w:t>3.企业未定期向应急管理等有关部门报送隐患排查治理统计分析有关情况的，一次扣3分。</w:t>
            </w:r>
          </w:p>
          <w:p w14:paraId="49D0C28F">
            <w:pPr>
              <w:widowControl/>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否决项</w:t>
            </w:r>
          </w:p>
          <w:p w14:paraId="1570FFA4">
            <w:pPr>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1.企业发现重大事故隐患未及时报告的，扣20分。（C级要素否决项）</w:t>
            </w:r>
          </w:p>
          <w:p w14:paraId="7043DCD7">
            <w:pPr>
              <w:spacing w:line="320" w:lineRule="exact"/>
              <w:rPr>
                <w:rFonts w:hint="eastAsia" w:ascii="宋体" w:hAnsi="宋体" w:eastAsia="宋体"/>
                <w:b/>
                <w:color w:val="000000"/>
              </w:rPr>
            </w:pPr>
            <w:r>
              <w:rPr>
                <w:rFonts w:hint="eastAsia" w:ascii="宋体" w:hAnsi="宋体" w:eastAsia="宋体"/>
                <w:b/>
                <w:color w:val="000000"/>
              </w:rPr>
              <w:t>否决项：</w:t>
            </w:r>
          </w:p>
          <w:p w14:paraId="75DE1BE6">
            <w:pPr>
              <w:spacing w:line="320" w:lineRule="exact"/>
              <w:rPr>
                <w:rFonts w:hint="eastAsia" w:ascii="Times New Roman" w:hAnsi="Times New Roman" w:eastAsia="宋体"/>
                <w:color w:val="000000"/>
              </w:rPr>
            </w:pPr>
            <w:r>
              <w:rPr>
                <w:rFonts w:hint="eastAsia" w:ascii="宋体" w:hAnsi="宋体" w:eastAsia="宋体"/>
                <w:b/>
                <w:color w:val="000000"/>
              </w:rPr>
              <w:t>2.</w:t>
            </w:r>
            <w:r>
              <w:rPr>
                <w:rFonts w:hint="eastAsia" w:ascii="宋体" w:hAnsi="宋体" w:eastAsia="宋体"/>
                <w:b/>
                <w:color w:val="000000"/>
                <w:lang w:val="en"/>
              </w:rPr>
              <w:t>企业</w:t>
            </w:r>
            <w:r>
              <w:rPr>
                <w:rFonts w:hint="eastAsia" w:ascii="宋体" w:hAnsi="宋体" w:eastAsia="宋体"/>
                <w:b/>
                <w:color w:val="000000"/>
              </w:rPr>
              <w:t>未建设安全风险分级管控和隐患排查治理双重预防机制信息化系统的，扣20分。</w:t>
            </w:r>
            <w:r>
              <w:rPr>
                <w:rFonts w:hint="eastAsia" w:ascii="宋体" w:hAnsi="宋体"/>
                <w:b/>
                <w:color w:val="000000"/>
                <w:lang w:eastAsia="zh-CN"/>
              </w:rPr>
              <w:t>（</w:t>
            </w:r>
            <w:r>
              <w:rPr>
                <w:rFonts w:hint="eastAsia" w:ascii="宋体" w:hAnsi="宋体" w:eastAsia="宋体"/>
                <w:b/>
                <w:color w:val="000000"/>
              </w:rPr>
              <w:t>C级要素否决项</w:t>
            </w:r>
            <w:r>
              <w:rPr>
                <w:rFonts w:hint="eastAsia" w:ascii="宋体" w:hAnsi="宋体"/>
                <w:b/>
                <w:color w:val="000000"/>
                <w:lang w:eastAsia="zh-CN"/>
              </w:rPr>
              <w:t>）</w:t>
            </w:r>
          </w:p>
        </w:tc>
        <w:tc>
          <w:tcPr>
            <w:tcW w:w="1050" w:type="dxa"/>
            <w:shd w:val="clear" w:color="auto" w:fill="FFFFFF"/>
            <w:noWrap w:val="0"/>
            <w:vAlign w:val="top"/>
          </w:tcPr>
          <w:p w14:paraId="101B518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340C6B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200ABC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00DE09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444163B">
            <w:pPr>
              <w:spacing w:line="320" w:lineRule="exact"/>
              <w:rPr>
                <w:rFonts w:hint="eastAsia" w:ascii="宋体" w:hAnsi="宋体" w:eastAsia="宋体" w:cs="宋体"/>
                <w:b/>
                <w:bCs/>
                <w:color w:val="000000"/>
                <w:szCs w:val="21"/>
              </w:rPr>
            </w:pPr>
          </w:p>
        </w:tc>
      </w:tr>
      <w:tr w14:paraId="1E87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24" w:hRule="atLeast"/>
          <w:jc w:val="center"/>
        </w:trPr>
        <w:tc>
          <w:tcPr>
            <w:tcW w:w="923" w:type="dxa"/>
            <w:vMerge w:val="continue"/>
            <w:shd w:val="clear" w:color="auto" w:fill="FFFFFF"/>
            <w:noWrap w:val="0"/>
            <w:vAlign w:val="top"/>
          </w:tcPr>
          <w:p w14:paraId="7B9CBA7B">
            <w:pPr>
              <w:spacing w:line="320" w:lineRule="exact"/>
              <w:jc w:val="center"/>
              <w:rPr>
                <w:rFonts w:hint="eastAsia" w:ascii="Times New Roman" w:hAnsi="Times New Roman" w:eastAsia="宋体"/>
                <w:color w:val="000000"/>
              </w:rPr>
            </w:pPr>
          </w:p>
        </w:tc>
        <w:tc>
          <w:tcPr>
            <w:tcW w:w="809" w:type="dxa"/>
            <w:vMerge w:val="restart"/>
            <w:shd w:val="clear" w:color="auto" w:fill="FFFFFF"/>
            <w:noWrap w:val="0"/>
            <w:vAlign w:val="top"/>
          </w:tcPr>
          <w:p w14:paraId="5BF2FBAD">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4.3</w:t>
            </w:r>
          </w:p>
          <w:p w14:paraId="137741D6">
            <w:pPr>
              <w:spacing w:line="320" w:lineRule="exact"/>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安全管理 （80分）</w:t>
            </w:r>
          </w:p>
        </w:tc>
        <w:tc>
          <w:tcPr>
            <w:tcW w:w="815" w:type="dxa"/>
            <w:shd w:val="clear" w:color="auto" w:fill="FFFFFF"/>
            <w:noWrap w:val="0"/>
            <w:vAlign w:val="top"/>
          </w:tcPr>
          <w:p w14:paraId="1A48D82E">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4.3.1经营场所管理 （20分）</w:t>
            </w:r>
          </w:p>
        </w:tc>
        <w:tc>
          <w:tcPr>
            <w:tcW w:w="4642" w:type="dxa"/>
            <w:shd w:val="clear" w:color="auto" w:fill="FFFFFF"/>
            <w:noWrap w:val="0"/>
            <w:vAlign w:val="top"/>
          </w:tcPr>
          <w:p w14:paraId="09074E73">
            <w:pPr>
              <w:spacing w:line="320" w:lineRule="exact"/>
              <w:rPr>
                <w:rFonts w:hint="eastAsia" w:ascii="Times New Roman" w:hAnsi="Times New Roman" w:eastAsia="宋体"/>
                <w:color w:val="000000"/>
              </w:rPr>
            </w:pPr>
            <w:r>
              <w:rPr>
                <w:rFonts w:hint="eastAsia" w:ascii="Times New Roman" w:hAnsi="Times New Roman" w:eastAsia="宋体"/>
                <w:color w:val="000000"/>
              </w:rPr>
              <w:t>1.企业实际经营地址应与经营许可注册地址保持一致。</w:t>
            </w:r>
          </w:p>
          <w:p w14:paraId="339AA1B7">
            <w:pPr>
              <w:spacing w:line="320" w:lineRule="exact"/>
              <w:rPr>
                <w:rFonts w:hint="eastAsia" w:ascii="Times New Roman" w:hAnsi="Times New Roman" w:eastAsia="宋体"/>
                <w:color w:val="000000"/>
              </w:rPr>
            </w:pPr>
            <w:r>
              <w:rPr>
                <w:rFonts w:hint="eastAsia" w:ascii="Times New Roman" w:hAnsi="Times New Roman" w:eastAsia="宋体"/>
                <w:color w:val="000000"/>
              </w:rPr>
              <w:t>2.企业应按相关规定要求，设置配备防火设施、设备和器材。</w:t>
            </w:r>
          </w:p>
          <w:p w14:paraId="28E1D3AF">
            <w:pPr>
              <w:spacing w:line="320" w:lineRule="exact"/>
              <w:rPr>
                <w:rFonts w:ascii="Times New Roman" w:hAnsi="Times New Roman" w:eastAsia="宋体"/>
                <w:color w:val="000000"/>
                <w:szCs w:val="21"/>
              </w:rPr>
            </w:pPr>
            <w:r>
              <w:rPr>
                <w:rFonts w:hint="eastAsia" w:ascii="Times New Roman" w:hAnsi="Times New Roman" w:eastAsia="宋体"/>
                <w:color w:val="000000"/>
              </w:rPr>
              <w:t>3.经营场所严禁存放危险化学品实物，严禁存在“商住两用”现象，严禁以无仓储经营为名从事异地非法生产、经营、储存活动等。</w:t>
            </w:r>
          </w:p>
        </w:tc>
        <w:tc>
          <w:tcPr>
            <w:tcW w:w="3764" w:type="dxa"/>
            <w:shd w:val="clear" w:color="auto" w:fill="FFFFFF"/>
            <w:noWrap w:val="0"/>
            <w:vAlign w:val="top"/>
          </w:tcPr>
          <w:p w14:paraId="29145E17">
            <w:pPr>
              <w:spacing w:line="320" w:lineRule="exact"/>
              <w:rPr>
                <w:rFonts w:hint="eastAsia" w:ascii="Times New Roman" w:hAnsi="Times New Roman" w:eastAsia="宋体"/>
                <w:color w:val="000000"/>
              </w:rPr>
            </w:pPr>
            <w:r>
              <w:rPr>
                <w:rFonts w:hint="eastAsia" w:ascii="Times New Roman" w:hAnsi="Times New Roman" w:eastAsia="宋体"/>
                <w:color w:val="000000"/>
              </w:rPr>
              <w:t>1.企业实际经营地址与经营许可注册地址不一致的，扣5分。</w:t>
            </w:r>
          </w:p>
          <w:p w14:paraId="62D86C21">
            <w:pPr>
              <w:spacing w:line="320" w:lineRule="exact"/>
              <w:rPr>
                <w:rFonts w:hint="eastAsia" w:ascii="Times New Roman" w:hAnsi="Times New Roman" w:eastAsia="宋体"/>
                <w:color w:val="000000"/>
              </w:rPr>
            </w:pPr>
            <w:r>
              <w:rPr>
                <w:rFonts w:hint="eastAsia" w:ascii="Times New Roman" w:hAnsi="Times New Roman" w:eastAsia="宋体"/>
                <w:color w:val="000000"/>
              </w:rPr>
              <w:t>2.企业未按相关规定要求设置配备防火设施、设备和器材的，缺少一项扣2分。</w:t>
            </w:r>
          </w:p>
          <w:p w14:paraId="0E25FDB8">
            <w:pPr>
              <w:spacing w:line="320" w:lineRule="exact"/>
              <w:rPr>
                <w:rFonts w:ascii="Times New Roman" w:hAnsi="Times New Roman" w:eastAsia="宋体"/>
                <w:color w:val="000000"/>
              </w:rPr>
            </w:pPr>
            <w:r>
              <w:rPr>
                <w:rFonts w:hint="eastAsia" w:ascii="Times New Roman" w:hAnsi="Times New Roman" w:eastAsia="宋体"/>
                <w:color w:val="000000"/>
              </w:rPr>
              <w:t>3.经营场所存放危险化学品实物、存在“商住两用”现象、存在以无仓储经营为名从事异地非法生产、经营、储存活动的，发现一处扣3分。</w:t>
            </w:r>
          </w:p>
        </w:tc>
        <w:tc>
          <w:tcPr>
            <w:tcW w:w="1050" w:type="dxa"/>
            <w:shd w:val="clear" w:color="auto" w:fill="FFFFFF"/>
            <w:noWrap w:val="0"/>
            <w:vAlign w:val="top"/>
          </w:tcPr>
          <w:p w14:paraId="34307627">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A2324FA">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9B8C6E3">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2F31315B">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75AEDDA">
            <w:pPr>
              <w:spacing w:line="320" w:lineRule="exact"/>
              <w:rPr>
                <w:rFonts w:hint="eastAsia" w:ascii="宋体" w:hAnsi="宋体" w:eastAsia="宋体" w:cs="宋体"/>
                <w:color w:val="000000"/>
                <w:szCs w:val="21"/>
              </w:rPr>
            </w:pPr>
          </w:p>
        </w:tc>
      </w:tr>
      <w:tr w14:paraId="6069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923" w:type="dxa"/>
            <w:vMerge w:val="continue"/>
            <w:shd w:val="clear" w:color="auto" w:fill="FFFFFF"/>
            <w:noWrap w:val="0"/>
            <w:vAlign w:val="top"/>
          </w:tcPr>
          <w:p w14:paraId="56C994FE">
            <w:pPr>
              <w:spacing w:line="320" w:lineRule="exact"/>
              <w:jc w:val="center"/>
              <w:rPr>
                <w:rFonts w:hint="eastAsia" w:ascii="Times New Roman" w:hAnsi="Times New Roman" w:eastAsia="宋体"/>
                <w:color w:val="000000"/>
              </w:rPr>
            </w:pPr>
          </w:p>
        </w:tc>
        <w:tc>
          <w:tcPr>
            <w:tcW w:w="809" w:type="dxa"/>
            <w:vMerge w:val="continue"/>
            <w:shd w:val="clear" w:color="auto" w:fill="FFFFFF"/>
            <w:noWrap w:val="0"/>
            <w:vAlign w:val="top"/>
          </w:tcPr>
          <w:p w14:paraId="235FF941">
            <w:pPr>
              <w:spacing w:line="320" w:lineRule="exact"/>
              <w:jc w:val="center"/>
              <w:rPr>
                <w:rFonts w:hint="eastAsia" w:ascii="宋体" w:hAnsi="宋体" w:eastAsia="宋体" w:cs="宋体"/>
                <w:b/>
                <w:bCs/>
                <w:color w:val="000000"/>
                <w:kern w:val="0"/>
                <w:szCs w:val="21"/>
                <w:lang w:bidi="ar"/>
              </w:rPr>
            </w:pPr>
          </w:p>
        </w:tc>
        <w:tc>
          <w:tcPr>
            <w:tcW w:w="815" w:type="dxa"/>
            <w:shd w:val="clear" w:color="auto" w:fill="FFFFFF"/>
            <w:noWrap w:val="0"/>
            <w:vAlign w:val="top"/>
          </w:tcPr>
          <w:p w14:paraId="41DE616B">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4.3.2经营资质</w:t>
            </w:r>
          </w:p>
          <w:p w14:paraId="4B2BA41E">
            <w:pPr>
              <w:widowControl/>
              <w:spacing w:line="32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b/>
                <w:bCs/>
                <w:color w:val="000000"/>
                <w:szCs w:val="21"/>
              </w:rPr>
              <w:t>管理</w:t>
            </w:r>
            <w:r>
              <w:rPr>
                <w:rFonts w:hint="eastAsia" w:ascii="宋体" w:hAnsi="宋体"/>
                <w:b/>
                <w:bCs/>
                <w:color w:val="000000"/>
                <w:szCs w:val="21"/>
                <w:lang w:eastAsia="zh-CN"/>
              </w:rPr>
              <w:t>（</w:t>
            </w:r>
            <w:r>
              <w:rPr>
                <w:rFonts w:hint="eastAsia" w:ascii="宋体" w:hAnsi="宋体" w:eastAsia="宋体"/>
                <w:b/>
                <w:bCs/>
                <w:color w:val="000000"/>
                <w:szCs w:val="21"/>
              </w:rPr>
              <w:t>30分</w:t>
            </w:r>
            <w:r>
              <w:rPr>
                <w:rFonts w:hint="eastAsia" w:ascii="宋体" w:hAnsi="宋体"/>
                <w:b/>
                <w:bCs/>
                <w:color w:val="000000"/>
                <w:szCs w:val="21"/>
                <w:lang w:eastAsia="zh-CN"/>
              </w:rPr>
              <w:t>）</w:t>
            </w:r>
          </w:p>
        </w:tc>
        <w:tc>
          <w:tcPr>
            <w:tcW w:w="4642" w:type="dxa"/>
            <w:shd w:val="clear" w:color="auto" w:fill="FFFFFF"/>
            <w:noWrap w:val="0"/>
            <w:vAlign w:val="top"/>
          </w:tcPr>
          <w:p w14:paraId="52D298CF">
            <w:pPr>
              <w:spacing w:line="320" w:lineRule="exact"/>
              <w:rPr>
                <w:rFonts w:hint="eastAsia" w:ascii="Times New Roman" w:hAnsi="Times New Roman" w:eastAsia="宋体"/>
                <w:color w:val="000000"/>
              </w:rPr>
            </w:pPr>
            <w:r>
              <w:rPr>
                <w:rFonts w:hint="eastAsia" w:ascii="Times New Roman" w:hAnsi="Times New Roman" w:eastAsia="宋体"/>
                <w:color w:val="000000"/>
              </w:rPr>
              <w:t>1.企业应取得无仓储危险化学品经营许可证，应在许可的有效期内合法经营。</w:t>
            </w:r>
          </w:p>
          <w:p w14:paraId="0CB23C09">
            <w:pPr>
              <w:spacing w:line="320" w:lineRule="exact"/>
              <w:rPr>
                <w:rFonts w:hint="eastAsia" w:ascii="Times New Roman" w:hAnsi="Times New Roman" w:eastAsia="宋体"/>
                <w:color w:val="000000"/>
              </w:rPr>
            </w:pPr>
            <w:r>
              <w:rPr>
                <w:rFonts w:hint="eastAsia" w:ascii="Times New Roman" w:hAnsi="Times New Roman" w:eastAsia="宋体"/>
                <w:color w:val="000000"/>
              </w:rPr>
              <w:t>2.企业经营许可应合法合规，不存在不符合许可条件予以许可、许可权限在市级（如剧毒化学品、易制爆危险化学品）县级予以许可等问题。</w:t>
            </w:r>
          </w:p>
          <w:p w14:paraId="4440C660">
            <w:pPr>
              <w:spacing w:line="320" w:lineRule="exact"/>
              <w:rPr>
                <w:rFonts w:hint="eastAsia" w:ascii="Times New Roman" w:hAnsi="Times New Roman" w:eastAsia="宋体"/>
                <w:color w:val="000000"/>
              </w:rPr>
            </w:pPr>
            <w:r>
              <w:rPr>
                <w:rFonts w:hint="eastAsia" w:ascii="Times New Roman" w:hAnsi="Times New Roman" w:eastAsia="宋体"/>
                <w:color w:val="000000"/>
              </w:rPr>
              <w:t>3.企业无出租、出借、转让危险化学品经营许可证等问题，无“僵尸”企业未及时注销危险化学品经营许可证等现象。</w:t>
            </w:r>
          </w:p>
          <w:p w14:paraId="439E5E76">
            <w:pPr>
              <w:spacing w:line="320" w:lineRule="exact"/>
              <w:rPr>
                <w:rFonts w:hint="eastAsia" w:ascii="Times New Roman" w:hAnsi="Times New Roman" w:eastAsia="宋体"/>
                <w:color w:val="000000"/>
              </w:rPr>
            </w:pPr>
            <w:r>
              <w:rPr>
                <w:rFonts w:hint="eastAsia" w:ascii="Times New Roman" w:hAnsi="Times New Roman" w:eastAsia="宋体"/>
                <w:color w:val="000000"/>
              </w:rPr>
              <w:t>4.企业主要负责人、安全管理人员与申请取得危险化学品经营许可证时应保持一致。</w:t>
            </w:r>
          </w:p>
          <w:p w14:paraId="48A7EC3B">
            <w:pPr>
              <w:spacing w:line="320" w:lineRule="exact"/>
              <w:rPr>
                <w:rFonts w:hint="eastAsia" w:ascii="Times New Roman" w:hAnsi="Times New Roman" w:eastAsia="宋体"/>
                <w:color w:val="000000"/>
              </w:rPr>
            </w:pPr>
            <w:r>
              <w:rPr>
                <w:rFonts w:hint="eastAsia" w:ascii="Times New Roman" w:hAnsi="Times New Roman" w:eastAsia="宋体"/>
                <w:color w:val="000000"/>
              </w:rPr>
              <w:t>5.供货企业、运输企业、购买企业资质应齐全有效；企业应委托有资质的危险化学品运输单位运输危险化学品，并签订安全合作协议。</w:t>
            </w:r>
          </w:p>
          <w:p w14:paraId="3EB47033">
            <w:pPr>
              <w:spacing w:line="320" w:lineRule="exact"/>
              <w:rPr>
                <w:rFonts w:hint="eastAsia" w:ascii="Times New Roman" w:hAnsi="Times New Roman" w:eastAsia="宋体"/>
                <w:color w:val="000000"/>
              </w:rPr>
            </w:pPr>
            <w:r>
              <w:rPr>
                <w:rFonts w:hint="eastAsia" w:ascii="Times New Roman" w:hAnsi="Times New Roman" w:eastAsia="宋体"/>
                <w:color w:val="000000"/>
              </w:rPr>
              <w:t>6.企业应与危险化学品运输单位共享对危险化学品运输车辆的监控系统，并告知运输过程中有关风险。</w:t>
            </w:r>
          </w:p>
        </w:tc>
        <w:tc>
          <w:tcPr>
            <w:tcW w:w="3764" w:type="dxa"/>
            <w:shd w:val="clear" w:color="auto" w:fill="FFFFFF"/>
            <w:noWrap w:val="0"/>
            <w:vAlign w:val="top"/>
          </w:tcPr>
          <w:p w14:paraId="4D4BC5B7">
            <w:pPr>
              <w:spacing w:line="320" w:lineRule="exact"/>
              <w:rPr>
                <w:rFonts w:hint="eastAsia" w:ascii="Times New Roman" w:hAnsi="Times New Roman" w:eastAsia="宋体"/>
                <w:color w:val="000000"/>
              </w:rPr>
            </w:pPr>
            <w:r>
              <w:rPr>
                <w:rFonts w:hint="eastAsia" w:ascii="Times New Roman" w:hAnsi="Times New Roman" w:eastAsia="宋体"/>
                <w:color w:val="000000"/>
              </w:rPr>
              <w:t>1.企业不符合经营许可条件予以许可，或者存在许可权限在市级（如剧毒化学品、易制爆危险化学品）县级予以许可问题的，发现一项扣5分。</w:t>
            </w:r>
          </w:p>
          <w:p w14:paraId="77D4A6DC">
            <w:pPr>
              <w:spacing w:line="320" w:lineRule="exact"/>
              <w:rPr>
                <w:rFonts w:hint="eastAsia" w:ascii="Times New Roman" w:hAnsi="Times New Roman" w:eastAsia="宋体"/>
                <w:color w:val="000000"/>
              </w:rPr>
            </w:pPr>
            <w:r>
              <w:rPr>
                <w:rFonts w:hint="eastAsia" w:ascii="Times New Roman" w:hAnsi="Times New Roman" w:eastAsia="宋体"/>
                <w:color w:val="000000"/>
              </w:rPr>
              <w:t>2.企业有出租、出借、转让危险化学品经营许可证等问题，存在“僵尸”企业未及时注销危险化学品经营许可证等现象的，发现一项扣5分。</w:t>
            </w:r>
          </w:p>
          <w:p w14:paraId="140CA2DF">
            <w:pPr>
              <w:spacing w:line="320" w:lineRule="exact"/>
              <w:rPr>
                <w:rFonts w:hint="eastAsia" w:ascii="Times New Roman" w:hAnsi="Times New Roman" w:eastAsia="宋体"/>
                <w:color w:val="000000"/>
              </w:rPr>
            </w:pPr>
            <w:r>
              <w:rPr>
                <w:rFonts w:hint="eastAsia" w:ascii="Times New Roman" w:hAnsi="Times New Roman" w:eastAsia="宋体"/>
                <w:color w:val="000000"/>
              </w:rPr>
              <w:t>3.供货企业、运输企业、购买企业资质不齐全有效，发现一项扣5分。</w:t>
            </w:r>
          </w:p>
          <w:p w14:paraId="0F7EBD8E">
            <w:pPr>
              <w:spacing w:line="320" w:lineRule="exact"/>
              <w:rPr>
                <w:rFonts w:hint="eastAsia" w:ascii="Times New Roman" w:hAnsi="Times New Roman" w:eastAsia="宋体"/>
                <w:color w:val="000000"/>
              </w:rPr>
            </w:pPr>
            <w:r>
              <w:rPr>
                <w:rFonts w:hint="eastAsia" w:ascii="Times New Roman" w:hAnsi="Times New Roman" w:eastAsia="宋体"/>
                <w:color w:val="000000"/>
              </w:rPr>
              <w:t>4.企业与供货企业、购买企业资质不齐全有效，发现一项扣5分。</w:t>
            </w:r>
          </w:p>
          <w:p w14:paraId="3B11AAC5">
            <w:pPr>
              <w:spacing w:line="320" w:lineRule="exact"/>
              <w:rPr>
                <w:rFonts w:hint="eastAsia" w:ascii="Times New Roman" w:hAnsi="Times New Roman" w:eastAsia="宋体"/>
                <w:color w:val="000000"/>
              </w:rPr>
            </w:pPr>
            <w:r>
              <w:rPr>
                <w:rFonts w:hint="eastAsia" w:ascii="Times New Roman" w:hAnsi="Times New Roman" w:eastAsia="宋体"/>
                <w:color w:val="000000"/>
              </w:rPr>
              <w:t>5.企业委托无危险化学品运输资质的单位进行运输的，或者未签订安全协议的，发现一项扣5分。</w:t>
            </w:r>
          </w:p>
          <w:p w14:paraId="403CBB03">
            <w:pPr>
              <w:rPr>
                <w:rFonts w:hint="eastAsia" w:ascii="Times New Roman" w:hAnsi="Times New Roman" w:eastAsia="宋体"/>
                <w:color w:val="000000"/>
              </w:rPr>
            </w:pPr>
            <w:r>
              <w:rPr>
                <w:rFonts w:hint="eastAsia" w:ascii="Times New Roman" w:hAnsi="Times New Roman" w:eastAsia="宋体"/>
                <w:color w:val="000000"/>
              </w:rPr>
              <w:t>6.企业未与危险化学品运输单位共享对危险化学品运输车辆的监控系统，并告知运输过程中风险，扣5分。</w:t>
            </w:r>
          </w:p>
        </w:tc>
        <w:tc>
          <w:tcPr>
            <w:tcW w:w="1050" w:type="dxa"/>
            <w:shd w:val="clear" w:color="auto" w:fill="FFFFFF"/>
            <w:noWrap w:val="0"/>
            <w:vAlign w:val="top"/>
          </w:tcPr>
          <w:p w14:paraId="4B69695B">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A0FBF2E">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4FE450D">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0E29E672">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A2FFE50">
            <w:pPr>
              <w:spacing w:line="320" w:lineRule="exact"/>
              <w:rPr>
                <w:rFonts w:hint="eastAsia" w:ascii="宋体" w:hAnsi="宋体" w:eastAsia="宋体" w:cs="宋体"/>
                <w:color w:val="000000"/>
                <w:szCs w:val="21"/>
              </w:rPr>
            </w:pPr>
          </w:p>
        </w:tc>
      </w:tr>
      <w:tr w14:paraId="2ECD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continue"/>
            <w:shd w:val="clear" w:color="auto" w:fill="FFFFFF"/>
            <w:noWrap w:val="0"/>
            <w:vAlign w:val="top"/>
          </w:tcPr>
          <w:p w14:paraId="1A9E79ED">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232D83A1">
            <w:pPr>
              <w:widowControl/>
              <w:spacing w:line="320" w:lineRule="exact"/>
              <w:jc w:val="center"/>
              <w:textAlignment w:val="center"/>
              <w:rPr>
                <w:rFonts w:hint="eastAsia" w:ascii="宋体" w:hAnsi="宋体" w:eastAsia="宋体" w:cs="宋体"/>
                <w:b/>
                <w:bCs/>
                <w:color w:val="000000"/>
                <w:szCs w:val="21"/>
              </w:rPr>
            </w:pPr>
          </w:p>
        </w:tc>
        <w:tc>
          <w:tcPr>
            <w:tcW w:w="815" w:type="dxa"/>
            <w:shd w:val="clear" w:color="auto" w:fill="FFFFFF"/>
            <w:noWrap w:val="0"/>
            <w:vAlign w:val="top"/>
          </w:tcPr>
          <w:p w14:paraId="356684E0">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4.3.3经营活动</w:t>
            </w:r>
          </w:p>
          <w:p w14:paraId="59572D14">
            <w:pPr>
              <w:spacing w:line="320" w:lineRule="exact"/>
              <w:jc w:val="center"/>
              <w:rPr>
                <w:rFonts w:hint="eastAsia" w:ascii="宋体" w:hAnsi="宋体" w:eastAsia="宋体"/>
                <w:b/>
                <w:color w:val="000000"/>
                <w:szCs w:val="21"/>
              </w:rPr>
            </w:pPr>
            <w:r>
              <w:rPr>
                <w:rFonts w:hint="eastAsia" w:ascii="宋体" w:hAnsi="宋体" w:eastAsia="宋体"/>
                <w:b/>
                <w:bCs/>
                <w:color w:val="000000"/>
                <w:szCs w:val="21"/>
              </w:rPr>
              <w:t>管理</w:t>
            </w:r>
            <w:r>
              <w:rPr>
                <w:rFonts w:hint="eastAsia" w:ascii="宋体" w:hAnsi="宋体"/>
                <w:b/>
                <w:bCs/>
                <w:color w:val="000000"/>
                <w:szCs w:val="21"/>
                <w:lang w:eastAsia="zh-CN"/>
              </w:rPr>
              <w:t>（</w:t>
            </w:r>
            <w:r>
              <w:rPr>
                <w:rFonts w:hint="eastAsia" w:ascii="宋体" w:hAnsi="宋体" w:eastAsia="宋体"/>
                <w:b/>
                <w:bCs/>
                <w:color w:val="000000"/>
                <w:szCs w:val="21"/>
              </w:rPr>
              <w:t>30分</w:t>
            </w:r>
            <w:r>
              <w:rPr>
                <w:rFonts w:hint="eastAsia" w:ascii="宋体" w:hAnsi="宋体"/>
                <w:b/>
                <w:bCs/>
                <w:color w:val="000000"/>
                <w:szCs w:val="21"/>
                <w:lang w:eastAsia="zh-CN"/>
              </w:rPr>
              <w:t>）</w:t>
            </w:r>
          </w:p>
        </w:tc>
        <w:tc>
          <w:tcPr>
            <w:tcW w:w="4642" w:type="dxa"/>
            <w:shd w:val="clear" w:color="auto" w:fill="FFFFFF"/>
            <w:noWrap w:val="0"/>
            <w:vAlign w:val="top"/>
          </w:tcPr>
          <w:p w14:paraId="63CC0F5A">
            <w:pPr>
              <w:spacing w:line="320" w:lineRule="exact"/>
              <w:rPr>
                <w:rFonts w:hint="eastAsia" w:ascii="宋体" w:hAnsi="宋体" w:eastAsia="宋体"/>
                <w:color w:val="000000"/>
                <w:szCs w:val="21"/>
              </w:rPr>
            </w:pPr>
            <w:r>
              <w:rPr>
                <w:rFonts w:hint="eastAsia" w:ascii="宋体" w:hAnsi="宋体" w:eastAsia="宋体"/>
                <w:color w:val="000000"/>
                <w:szCs w:val="21"/>
              </w:rPr>
              <w:t>1.企业经营过程中与上游供货企业、委托运输方、下游购买企业应签订正规合同，不存在以非正规渠道购销危险化学品（如向未经许可的企业采购、以普通货车运输危险化学品等）问题。</w:t>
            </w:r>
          </w:p>
          <w:p w14:paraId="6877A27D">
            <w:pPr>
              <w:spacing w:line="320" w:lineRule="exact"/>
              <w:rPr>
                <w:rFonts w:hint="eastAsia" w:ascii="宋体" w:hAnsi="宋体" w:eastAsia="宋体"/>
                <w:color w:val="000000"/>
                <w:szCs w:val="21"/>
              </w:rPr>
            </w:pPr>
            <w:r>
              <w:rPr>
                <w:rFonts w:hint="eastAsia" w:ascii="宋体" w:hAnsi="宋体" w:eastAsia="宋体"/>
                <w:color w:val="000000"/>
                <w:szCs w:val="21"/>
              </w:rPr>
              <w:t>2.企业不存在无证经营、非法储存经营、超许可范围经营现象。</w:t>
            </w:r>
          </w:p>
          <w:p w14:paraId="616CC116">
            <w:pPr>
              <w:spacing w:line="320" w:lineRule="exact"/>
              <w:rPr>
                <w:rFonts w:hint="eastAsia" w:ascii="宋体" w:hAnsi="宋体" w:eastAsia="宋体"/>
                <w:color w:val="000000"/>
                <w:szCs w:val="21"/>
              </w:rPr>
            </w:pPr>
            <w:r>
              <w:rPr>
                <w:rFonts w:hint="eastAsia" w:ascii="Times New Roman" w:hAnsi="Times New Roman" w:eastAsia="宋体"/>
                <w:color w:val="000000"/>
              </w:rPr>
              <w:t>3.企业采购危险化学品时，应主动向生产单位索取</w:t>
            </w:r>
            <w:r>
              <w:rPr>
                <w:rFonts w:hint="eastAsia" w:ascii="宋体" w:hAnsi="宋体" w:eastAsia="宋体"/>
                <w:color w:val="000000"/>
                <w:szCs w:val="21"/>
              </w:rPr>
              <w:t>危险化学品</w:t>
            </w:r>
            <w:r>
              <w:rPr>
                <w:rFonts w:hint="eastAsia" w:ascii="Times New Roman" w:hAnsi="Times New Roman" w:eastAsia="宋体"/>
                <w:color w:val="000000"/>
              </w:rPr>
              <w:t>“一书一签”，且</w:t>
            </w:r>
            <w:r>
              <w:rPr>
                <w:rFonts w:hint="eastAsia" w:ascii="宋体" w:hAnsi="宋体" w:eastAsia="宋体"/>
                <w:color w:val="000000"/>
                <w:szCs w:val="21"/>
              </w:rPr>
              <w:t>“一书一签”应规范、齐全。</w:t>
            </w:r>
          </w:p>
          <w:p w14:paraId="3651CD8A">
            <w:pPr>
              <w:spacing w:line="320" w:lineRule="exact"/>
              <w:rPr>
                <w:rFonts w:hint="eastAsia" w:ascii="宋体" w:hAnsi="宋体" w:eastAsia="宋体"/>
                <w:color w:val="000000"/>
                <w:szCs w:val="21"/>
              </w:rPr>
            </w:pPr>
            <w:r>
              <w:rPr>
                <w:rFonts w:hint="eastAsia" w:ascii="宋体" w:hAnsi="宋体" w:eastAsia="宋体"/>
                <w:color w:val="000000"/>
                <w:szCs w:val="21"/>
              </w:rPr>
              <w:t>4.企业所经营危险化学品的出入货票据、记录、</w:t>
            </w:r>
            <w:r>
              <w:rPr>
                <w:rFonts w:hint="eastAsia" w:ascii="宋体" w:hAnsi="宋体"/>
                <w:color w:val="000000"/>
                <w:szCs w:val="21"/>
                <w:lang w:eastAsia="zh-CN"/>
              </w:rPr>
              <w:t>台账</w:t>
            </w:r>
            <w:r>
              <w:rPr>
                <w:rFonts w:hint="eastAsia" w:ascii="宋体" w:hAnsi="宋体" w:eastAsia="宋体"/>
                <w:color w:val="000000"/>
                <w:szCs w:val="21"/>
              </w:rPr>
              <w:t>，如收货凭证、出货发票及发货单、委托运输单以及销售流向登记等，应及时收集、整理、存档。</w:t>
            </w:r>
          </w:p>
          <w:p w14:paraId="655573A7">
            <w:pPr>
              <w:spacing w:line="320" w:lineRule="exact"/>
              <w:rPr>
                <w:rFonts w:hint="eastAsia" w:ascii="Times New Roman" w:hAnsi="Times New Roman" w:eastAsia="宋体"/>
                <w:color w:val="000000"/>
              </w:rPr>
            </w:pPr>
            <w:r>
              <w:rPr>
                <w:rFonts w:hint="eastAsia" w:ascii="宋体" w:hAnsi="宋体" w:eastAsia="宋体"/>
                <w:color w:val="000000"/>
                <w:szCs w:val="21"/>
              </w:rPr>
              <w:t>5.</w:t>
            </w:r>
            <w:r>
              <w:rPr>
                <w:rFonts w:hint="eastAsia" w:ascii="Times New Roman" w:hAnsi="Times New Roman" w:eastAsia="宋体"/>
                <w:color w:val="000000"/>
              </w:rPr>
              <w:t>企业应依据相关规定和要求，结合实际情况，加强变更管理，搞好变更后风险信息更新和对从业人员的培训、告知，并建立变更管理台账。</w:t>
            </w:r>
          </w:p>
          <w:p w14:paraId="387AD7AE">
            <w:pPr>
              <w:spacing w:line="320" w:lineRule="exact"/>
              <w:rPr>
                <w:rFonts w:hint="eastAsia" w:ascii="Times New Roman" w:hAnsi="Times New Roman" w:eastAsia="宋体"/>
                <w:color w:val="000000"/>
              </w:rPr>
            </w:pPr>
            <w:r>
              <w:rPr>
                <w:rFonts w:hint="eastAsia" w:ascii="宋体" w:hAnsi="宋体" w:eastAsia="宋体"/>
                <w:color w:val="000000"/>
                <w:szCs w:val="21"/>
              </w:rPr>
              <w:t>6.企业应建立所经营危险化学品档案，内容包括：名称、危险性分类、危规号、包装类别、登记号、危险化学品安全技术说明书和安全标签等。</w:t>
            </w:r>
          </w:p>
        </w:tc>
        <w:tc>
          <w:tcPr>
            <w:tcW w:w="3764" w:type="dxa"/>
            <w:shd w:val="clear" w:color="auto" w:fill="FFFFFF"/>
            <w:noWrap w:val="0"/>
            <w:vAlign w:val="top"/>
          </w:tcPr>
          <w:p w14:paraId="4F0E6267">
            <w:pPr>
              <w:spacing w:line="320" w:lineRule="exact"/>
              <w:rPr>
                <w:rFonts w:hint="eastAsia" w:ascii="宋体" w:hAnsi="宋体" w:eastAsia="宋体"/>
                <w:color w:val="000000"/>
                <w:szCs w:val="21"/>
              </w:rPr>
            </w:pPr>
            <w:r>
              <w:rPr>
                <w:rFonts w:hint="eastAsia" w:ascii="宋体" w:hAnsi="宋体" w:eastAsia="宋体"/>
                <w:color w:val="000000"/>
                <w:szCs w:val="21"/>
              </w:rPr>
              <w:t>1.企业经营过程中未与上游供货企业、委托运输方、下游购买企业应签订正规合同，甚至存在以非正规渠道购销危险化学品（如向未经许可的企业采购、以普通货车运输危险化学品等）问题的，发现一处扣5分。</w:t>
            </w:r>
          </w:p>
          <w:p w14:paraId="56082875">
            <w:pPr>
              <w:spacing w:line="320" w:lineRule="exact"/>
              <w:rPr>
                <w:rFonts w:hint="eastAsia" w:ascii="Times New Roman" w:hAnsi="Times New Roman" w:eastAsia="宋体"/>
                <w:color w:val="000000"/>
              </w:rPr>
            </w:pPr>
            <w:r>
              <w:rPr>
                <w:rFonts w:hint="eastAsia" w:ascii="宋体" w:hAnsi="宋体" w:eastAsia="宋体"/>
                <w:color w:val="000000"/>
                <w:szCs w:val="21"/>
              </w:rPr>
              <w:t>2.企业存在无证经营、非法储存经营、超许可范围经营的，发现一处扣5分。</w:t>
            </w:r>
          </w:p>
          <w:p w14:paraId="76A9A0A5">
            <w:pPr>
              <w:spacing w:line="320" w:lineRule="exact"/>
              <w:rPr>
                <w:rFonts w:hint="eastAsia" w:ascii="Times New Roman" w:hAnsi="Times New Roman" w:eastAsia="宋体"/>
                <w:color w:val="000000"/>
              </w:rPr>
            </w:pPr>
            <w:r>
              <w:rPr>
                <w:rFonts w:hint="eastAsia" w:ascii="Times New Roman" w:hAnsi="Times New Roman" w:eastAsia="宋体"/>
                <w:color w:val="000000"/>
              </w:rPr>
              <w:t>3.缺少“一书一签”，一种危险化学品扣3分。</w:t>
            </w:r>
          </w:p>
          <w:p w14:paraId="29E4345C">
            <w:pPr>
              <w:spacing w:line="320" w:lineRule="exact"/>
              <w:rPr>
                <w:rFonts w:hint="eastAsia" w:ascii="Times New Roman" w:hAnsi="Times New Roman" w:eastAsia="宋体"/>
                <w:color w:val="000000"/>
              </w:rPr>
            </w:pPr>
            <w:r>
              <w:rPr>
                <w:rFonts w:hint="eastAsia" w:ascii="Times New Roman" w:hAnsi="Times New Roman" w:eastAsia="宋体"/>
                <w:color w:val="000000"/>
              </w:rPr>
              <w:t>4.企业未建立所经营危险化学品档案的，扣3分。</w:t>
            </w:r>
          </w:p>
          <w:p w14:paraId="21C2D66B">
            <w:pPr>
              <w:spacing w:line="320" w:lineRule="exact"/>
              <w:rPr>
                <w:rFonts w:ascii="Times New Roman" w:hAnsi="Times New Roman" w:eastAsia="宋体"/>
                <w:color w:val="000000"/>
              </w:rPr>
            </w:pPr>
            <w:r>
              <w:rPr>
                <w:rFonts w:hint="eastAsia" w:ascii="Times New Roman" w:hAnsi="Times New Roman" w:eastAsia="宋体"/>
                <w:color w:val="000000"/>
              </w:rPr>
              <w:t>5.企业应变更未进行变更管理的，一项扣2分。</w:t>
            </w:r>
          </w:p>
          <w:p w14:paraId="5E0324E2">
            <w:pPr>
              <w:spacing w:line="320" w:lineRule="exact"/>
              <w:rPr>
                <w:rFonts w:hint="eastAsia" w:ascii="Times New Roman" w:hAnsi="Times New Roman" w:eastAsia="宋体"/>
                <w:color w:val="000000"/>
              </w:rPr>
            </w:pPr>
            <w:r>
              <w:rPr>
                <w:rFonts w:hint="eastAsia" w:ascii="Times New Roman" w:hAnsi="Times New Roman" w:eastAsia="宋体"/>
                <w:color w:val="000000"/>
              </w:rPr>
              <w:t>6.企业变更后未对风险信息进行更新或未对从业人员进行培训、告知的，一项扣2分。</w:t>
            </w:r>
          </w:p>
          <w:p w14:paraId="6DE8C75B">
            <w:pPr>
              <w:spacing w:line="320" w:lineRule="exact"/>
              <w:rPr>
                <w:rFonts w:hint="eastAsia" w:ascii="Times New Roman" w:hAnsi="Times New Roman" w:eastAsia="宋体"/>
                <w:color w:val="000000"/>
              </w:rPr>
            </w:pPr>
            <w:r>
              <w:rPr>
                <w:rFonts w:hint="eastAsia" w:ascii="Times New Roman" w:hAnsi="Times New Roman" w:eastAsia="宋体"/>
                <w:color w:val="000000"/>
              </w:rPr>
              <w:t>7</w:t>
            </w:r>
            <w:r>
              <w:rPr>
                <w:rFonts w:ascii="Times New Roman" w:hAnsi="Times New Roman" w:eastAsia="宋体"/>
                <w:color w:val="000000"/>
              </w:rPr>
              <w:t>.</w:t>
            </w:r>
            <w:r>
              <w:rPr>
                <w:rFonts w:hint="eastAsia" w:ascii="Times New Roman" w:hAnsi="Times New Roman" w:eastAsia="宋体"/>
                <w:color w:val="000000"/>
              </w:rPr>
              <w:t>企业没有建立变更管理台账的，扣2分。</w:t>
            </w:r>
          </w:p>
        </w:tc>
        <w:tc>
          <w:tcPr>
            <w:tcW w:w="1050" w:type="dxa"/>
            <w:shd w:val="clear" w:color="auto" w:fill="FFFFFF"/>
            <w:noWrap w:val="0"/>
            <w:vAlign w:val="top"/>
          </w:tcPr>
          <w:p w14:paraId="47C97D1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600FA3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A70B31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D93A0C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204080B">
            <w:pPr>
              <w:spacing w:line="320" w:lineRule="exact"/>
              <w:rPr>
                <w:rFonts w:hint="eastAsia" w:ascii="宋体" w:hAnsi="宋体" w:eastAsia="宋体" w:cs="宋体"/>
                <w:b/>
                <w:bCs/>
                <w:color w:val="000000"/>
                <w:szCs w:val="21"/>
              </w:rPr>
            </w:pPr>
          </w:p>
        </w:tc>
      </w:tr>
      <w:tr w14:paraId="728B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923" w:type="dxa"/>
            <w:vMerge w:val="restart"/>
            <w:shd w:val="clear" w:color="auto" w:fill="FFFFFF"/>
            <w:noWrap w:val="0"/>
            <w:vAlign w:val="top"/>
          </w:tcPr>
          <w:p w14:paraId="306FA1A8">
            <w:pPr>
              <w:spacing w:line="320" w:lineRule="exact"/>
              <w:jc w:val="center"/>
              <w:rPr>
                <w:rFonts w:hint="eastAsia" w:ascii="宋体" w:hAnsi="宋体" w:eastAsia="宋体"/>
                <w:b/>
                <w:color w:val="000000"/>
              </w:rPr>
            </w:pPr>
            <w:r>
              <w:rPr>
                <w:rFonts w:hint="eastAsia" w:ascii="宋体" w:hAnsi="宋体" w:eastAsia="宋体"/>
                <w:b/>
                <w:color w:val="000000"/>
              </w:rPr>
              <w:t>5</w:t>
            </w:r>
          </w:p>
          <w:p w14:paraId="50CBDBAF">
            <w:pPr>
              <w:spacing w:line="320" w:lineRule="exact"/>
              <w:jc w:val="center"/>
              <w:rPr>
                <w:rFonts w:hint="eastAsia" w:ascii="宋体" w:hAnsi="宋体" w:eastAsia="宋体"/>
                <w:b/>
                <w:color w:val="000000"/>
              </w:rPr>
            </w:pPr>
            <w:r>
              <w:rPr>
                <w:rFonts w:hint="eastAsia" w:ascii="宋体" w:hAnsi="宋体" w:eastAsia="宋体"/>
                <w:b/>
                <w:color w:val="000000"/>
              </w:rPr>
              <w:t>应急</w:t>
            </w:r>
          </w:p>
          <w:p w14:paraId="514363DC">
            <w:pPr>
              <w:spacing w:line="320" w:lineRule="exact"/>
              <w:jc w:val="center"/>
              <w:rPr>
                <w:rFonts w:hint="eastAsia" w:ascii="宋体" w:hAnsi="宋体" w:eastAsia="宋体"/>
                <w:b/>
                <w:color w:val="000000"/>
              </w:rPr>
            </w:pPr>
            <w:r>
              <w:rPr>
                <w:rFonts w:hint="eastAsia" w:ascii="宋体" w:hAnsi="宋体" w:eastAsia="宋体"/>
                <w:b/>
                <w:color w:val="000000"/>
              </w:rPr>
              <w:t>与事故</w:t>
            </w:r>
          </w:p>
          <w:p w14:paraId="2F06EBCA">
            <w:pPr>
              <w:spacing w:line="320" w:lineRule="exact"/>
              <w:jc w:val="center"/>
              <w:rPr>
                <w:rFonts w:hint="eastAsia" w:ascii="宋体" w:hAnsi="宋体" w:eastAsia="宋体"/>
                <w:b/>
                <w:color w:val="000000"/>
              </w:rPr>
            </w:pPr>
            <w:r>
              <w:rPr>
                <w:rFonts w:hint="eastAsia" w:ascii="宋体" w:hAnsi="宋体" w:eastAsia="宋体"/>
                <w:b/>
                <w:color w:val="000000"/>
              </w:rPr>
              <w:t>管理（170分）</w:t>
            </w:r>
          </w:p>
        </w:tc>
        <w:tc>
          <w:tcPr>
            <w:tcW w:w="809" w:type="dxa"/>
            <w:vMerge w:val="restart"/>
            <w:shd w:val="clear" w:color="auto" w:fill="FFFFFF"/>
            <w:noWrap w:val="0"/>
            <w:vAlign w:val="top"/>
          </w:tcPr>
          <w:p w14:paraId="43A72FA0">
            <w:pPr>
              <w:spacing w:line="320" w:lineRule="exact"/>
              <w:jc w:val="center"/>
              <w:rPr>
                <w:rFonts w:hint="eastAsia" w:ascii="宋体" w:hAnsi="宋体" w:eastAsia="宋体"/>
                <w:b/>
                <w:color w:val="000000"/>
              </w:rPr>
            </w:pPr>
            <w:r>
              <w:rPr>
                <w:rFonts w:hint="eastAsia" w:ascii="宋体" w:hAnsi="宋体" w:eastAsia="宋体"/>
                <w:b/>
                <w:color w:val="000000"/>
              </w:rPr>
              <w:t>5.1</w:t>
            </w:r>
          </w:p>
          <w:p w14:paraId="17879800">
            <w:pPr>
              <w:spacing w:line="320" w:lineRule="exact"/>
              <w:jc w:val="center"/>
              <w:rPr>
                <w:rFonts w:hint="eastAsia" w:ascii="宋体" w:hAnsi="宋体" w:eastAsia="宋体"/>
                <w:b/>
                <w:color w:val="000000"/>
              </w:rPr>
            </w:pPr>
            <w:r>
              <w:rPr>
                <w:rFonts w:hint="eastAsia" w:ascii="宋体" w:hAnsi="宋体" w:eastAsia="宋体"/>
                <w:b/>
                <w:color w:val="000000"/>
              </w:rPr>
              <w:t>应急管理（100分）</w:t>
            </w:r>
          </w:p>
        </w:tc>
        <w:tc>
          <w:tcPr>
            <w:tcW w:w="815" w:type="dxa"/>
            <w:shd w:val="clear" w:color="auto" w:fill="FFFFFF"/>
            <w:noWrap w:val="0"/>
            <w:vAlign w:val="top"/>
          </w:tcPr>
          <w:p w14:paraId="14C6B178">
            <w:pPr>
              <w:spacing w:line="320" w:lineRule="exact"/>
              <w:jc w:val="center"/>
              <w:rPr>
                <w:rFonts w:ascii="宋体" w:hAnsi="宋体" w:eastAsia="宋体"/>
                <w:b/>
                <w:color w:val="000000"/>
              </w:rPr>
            </w:pPr>
            <w:r>
              <w:rPr>
                <w:rFonts w:hint="eastAsia" w:ascii="宋体" w:hAnsi="宋体" w:eastAsia="宋体"/>
                <w:b/>
                <w:color w:val="000000"/>
              </w:rPr>
              <w:t>5.1.1应急预案管理</w:t>
            </w:r>
            <w:r>
              <w:rPr>
                <w:rFonts w:hint="eastAsia" w:ascii="宋体" w:hAnsi="宋体"/>
                <w:b/>
                <w:color w:val="000000"/>
                <w:lang w:eastAsia="zh-CN"/>
              </w:rPr>
              <w:t>（</w:t>
            </w:r>
            <w:r>
              <w:rPr>
                <w:rFonts w:hint="eastAsia" w:ascii="宋体" w:hAnsi="宋体" w:eastAsia="宋体" w:cs="宋体"/>
                <w:b/>
                <w:color w:val="000000"/>
                <w:szCs w:val="21"/>
              </w:rPr>
              <w:t>50分</w:t>
            </w:r>
            <w:r>
              <w:rPr>
                <w:rFonts w:hint="eastAsia" w:ascii="宋体" w:hAnsi="宋体" w:cs="宋体"/>
                <w:b/>
                <w:color w:val="000000"/>
                <w:szCs w:val="21"/>
                <w:lang w:eastAsia="zh-CN"/>
              </w:rPr>
              <w:t>）</w:t>
            </w:r>
          </w:p>
          <w:p w14:paraId="0B879B71">
            <w:pPr>
              <w:spacing w:line="320" w:lineRule="exact"/>
              <w:jc w:val="center"/>
              <w:rPr>
                <w:rFonts w:hint="eastAsia" w:ascii="宋体" w:hAnsi="宋体" w:eastAsia="宋体"/>
                <w:b/>
                <w:color w:val="000000"/>
              </w:rPr>
            </w:pPr>
          </w:p>
        </w:tc>
        <w:tc>
          <w:tcPr>
            <w:tcW w:w="4642" w:type="dxa"/>
            <w:shd w:val="clear" w:color="auto" w:fill="FFFFFF"/>
            <w:noWrap w:val="0"/>
            <w:vAlign w:val="top"/>
          </w:tcPr>
          <w:p w14:paraId="4FD6BDFA">
            <w:pPr>
              <w:widowControl w:val="0"/>
              <w:spacing w:line="360" w:lineRule="exact"/>
              <w:ind w:firstLine="0" w:firstLineChars="0"/>
              <w:jc w:val="left"/>
              <w:rPr>
                <w:rFonts w:hint="eastAsia" w:ascii="宋体" w:hAnsi="宋体" w:eastAsia="宋体" w:cs="Times New Roman"/>
                <w:color w:val="000000"/>
                <w:kern w:val="2"/>
                <w:sz w:val="21"/>
                <w:szCs w:val="24"/>
                <w:lang w:val="en-US" w:eastAsia="zh-CN" w:bidi="ar-SA"/>
              </w:rPr>
            </w:pPr>
            <w:r>
              <w:rPr>
                <w:rFonts w:ascii="宋体" w:hAnsi="宋体" w:eastAsia="宋体" w:cs="Times New Roman"/>
                <w:color w:val="000000"/>
                <w:kern w:val="2"/>
                <w:sz w:val="24"/>
                <w:szCs w:val="24"/>
                <w:lang w:val="en-US" w:eastAsia="zh-CN" w:bidi="ar-SA"/>
              </w:rPr>
              <w:t>1.</w:t>
            </w:r>
            <w:r>
              <w:rPr>
                <w:rFonts w:hint="eastAsia" w:ascii="宋体" w:hAnsi="宋体" w:eastAsia="宋体" w:cs="Times New Roman"/>
                <w:color w:val="000000"/>
                <w:kern w:val="2"/>
                <w:sz w:val="21"/>
                <w:szCs w:val="24"/>
                <w:lang w:val="en-US" w:eastAsia="zh-CN" w:bidi="ar-SA"/>
              </w:rPr>
              <w:t>企业应规范编制生产安全事故应急预案，应急预案应具有较强的可操作性，并及时向应急管理或相关部门备案。</w:t>
            </w:r>
          </w:p>
          <w:p w14:paraId="71A5D835">
            <w:pPr>
              <w:widowControl w:val="0"/>
              <w:spacing w:line="360" w:lineRule="exact"/>
              <w:ind w:firstLine="0"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2.企业应制定应急预案演练计划，每年至少组织一次综合应急预案演练或者专项应急预案演练，每半年至少组织一次现场处置方案演练。</w:t>
            </w:r>
          </w:p>
          <w:p w14:paraId="12274305">
            <w:pPr>
              <w:widowControl w:val="0"/>
              <w:spacing w:line="360" w:lineRule="exact"/>
              <w:ind w:firstLine="0"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3.企业从业人员应熟知应急预案内容、掌握应急处置流程；应急预案演练应具有针对性，不存在形式主义为演练而演练现象。</w:t>
            </w:r>
          </w:p>
          <w:p w14:paraId="10084EB7">
            <w:pPr>
              <w:widowControl w:val="0"/>
              <w:spacing w:line="360" w:lineRule="exact"/>
              <w:ind w:firstLine="0" w:firstLineChars="0"/>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1"/>
                <w:szCs w:val="24"/>
                <w:lang w:val="en-US" w:eastAsia="zh-CN" w:bidi="ar-SA"/>
              </w:rPr>
              <w:t>4.企业应至少每三年进行一次应急预案评估，发生重大变更或事故后应及时评审修订应急预案。</w:t>
            </w:r>
          </w:p>
        </w:tc>
        <w:tc>
          <w:tcPr>
            <w:tcW w:w="3764" w:type="dxa"/>
            <w:shd w:val="clear" w:color="auto" w:fill="FFFFFF"/>
            <w:noWrap w:val="0"/>
            <w:vAlign w:val="top"/>
          </w:tcPr>
          <w:p w14:paraId="4E653305">
            <w:pPr>
              <w:spacing w:line="320" w:lineRule="exact"/>
              <w:rPr>
                <w:rFonts w:hint="eastAsia" w:ascii="宋体" w:hAnsi="宋体" w:eastAsia="宋体"/>
                <w:color w:val="000000"/>
              </w:rPr>
            </w:pPr>
            <w:r>
              <w:rPr>
                <w:rFonts w:hint="eastAsia" w:ascii="宋体" w:hAnsi="宋体" w:eastAsia="宋体"/>
                <w:color w:val="000000"/>
              </w:rPr>
              <w:t>1.企业应急预案未按规定要求进行备案的，扣5分。</w:t>
            </w:r>
          </w:p>
          <w:p w14:paraId="23B3F4D3">
            <w:pPr>
              <w:spacing w:line="320" w:lineRule="exact"/>
              <w:rPr>
                <w:rFonts w:hint="eastAsia" w:ascii="宋体" w:hAnsi="宋体" w:eastAsia="宋体"/>
                <w:color w:val="000000"/>
              </w:rPr>
            </w:pPr>
            <w:r>
              <w:rPr>
                <w:rFonts w:hint="eastAsia" w:ascii="宋体" w:hAnsi="宋体" w:eastAsia="宋体"/>
                <w:color w:val="000000"/>
              </w:rPr>
              <w:t>2.企业未按规定制定本单位的应急预案演练计划的，扣5分。</w:t>
            </w:r>
          </w:p>
          <w:p w14:paraId="5D6A464E">
            <w:pPr>
              <w:spacing w:line="320" w:lineRule="exact"/>
              <w:rPr>
                <w:rFonts w:hint="eastAsia" w:ascii="宋体" w:hAnsi="宋体" w:eastAsia="宋体"/>
                <w:color w:val="000000"/>
              </w:rPr>
            </w:pPr>
            <w:r>
              <w:rPr>
                <w:rFonts w:hint="eastAsia" w:ascii="宋体" w:hAnsi="宋体" w:eastAsia="宋体"/>
                <w:color w:val="000000"/>
              </w:rPr>
              <w:t>3.企业未按计划开展应急预案演练的，一项扣2分。</w:t>
            </w:r>
          </w:p>
          <w:p w14:paraId="2380BF62">
            <w:pPr>
              <w:spacing w:line="320" w:lineRule="exact"/>
              <w:rPr>
                <w:rFonts w:ascii="宋体" w:hAnsi="宋体" w:eastAsia="宋体"/>
                <w:color w:val="000000"/>
              </w:rPr>
            </w:pPr>
            <w:r>
              <w:rPr>
                <w:rFonts w:hint="eastAsia" w:ascii="宋体" w:hAnsi="宋体" w:eastAsia="宋体"/>
                <w:color w:val="000000"/>
              </w:rPr>
              <w:t>4.企业未定期进行预案评估，扣3分；未依据评估结果及有关规定对预案进行修订，扣2分；发生重大变更或事故后未及时评审修订应急预案的，扣2分。</w:t>
            </w:r>
          </w:p>
          <w:p w14:paraId="6AA63E3E">
            <w:pPr>
              <w:spacing w:line="320" w:lineRule="exact"/>
              <w:rPr>
                <w:rFonts w:hint="eastAsia" w:ascii="宋体" w:hAnsi="宋体" w:eastAsia="宋体"/>
                <w:b/>
                <w:color w:val="000000"/>
              </w:rPr>
            </w:pPr>
            <w:r>
              <w:rPr>
                <w:rFonts w:hint="eastAsia" w:ascii="宋体" w:hAnsi="宋体" w:eastAsia="宋体"/>
                <w:b/>
                <w:color w:val="000000"/>
              </w:rPr>
              <w:t>否决项：</w:t>
            </w:r>
          </w:p>
          <w:p w14:paraId="3E8AA4E7">
            <w:pPr>
              <w:spacing w:line="320" w:lineRule="exact"/>
              <w:rPr>
                <w:rFonts w:hint="eastAsia" w:ascii="宋体" w:hAnsi="宋体" w:eastAsia="宋体"/>
                <w:color w:val="000000"/>
              </w:rPr>
            </w:pPr>
            <w:r>
              <w:rPr>
                <w:rFonts w:hint="eastAsia" w:ascii="宋体" w:hAnsi="宋体" w:eastAsia="宋体"/>
                <w:b/>
                <w:color w:val="000000"/>
              </w:rPr>
              <w:t>1.未编制事故应急救援预案，扣100分。（B级要素否决项）</w:t>
            </w:r>
          </w:p>
        </w:tc>
        <w:tc>
          <w:tcPr>
            <w:tcW w:w="1050" w:type="dxa"/>
            <w:shd w:val="clear" w:color="auto" w:fill="FFFFFF"/>
            <w:noWrap w:val="0"/>
            <w:vAlign w:val="top"/>
          </w:tcPr>
          <w:p w14:paraId="2A2B711E">
            <w:pPr>
              <w:spacing w:line="320" w:lineRule="exact"/>
              <w:rPr>
                <w:rFonts w:hint="eastAsia" w:ascii="宋体" w:hAnsi="宋体" w:eastAsia="宋体" w:cs="宋体"/>
                <w:color w:val="000000"/>
                <w:szCs w:val="21"/>
              </w:rPr>
            </w:pPr>
          </w:p>
          <w:p w14:paraId="0111FABC">
            <w:pPr>
              <w:spacing w:line="320" w:lineRule="exact"/>
              <w:rPr>
                <w:rFonts w:hint="eastAsia" w:ascii="宋体" w:hAnsi="宋体" w:eastAsia="宋体" w:cs="宋体"/>
                <w:color w:val="000000"/>
                <w:szCs w:val="21"/>
              </w:rPr>
            </w:pPr>
          </w:p>
          <w:p w14:paraId="697C148F">
            <w:pPr>
              <w:spacing w:line="320" w:lineRule="exact"/>
              <w:rPr>
                <w:rFonts w:hint="eastAsia" w:ascii="宋体" w:hAnsi="宋体" w:eastAsia="宋体" w:cs="宋体"/>
                <w:color w:val="000000"/>
                <w:szCs w:val="21"/>
              </w:rPr>
            </w:pPr>
          </w:p>
          <w:p w14:paraId="79206DD1">
            <w:pPr>
              <w:spacing w:line="320" w:lineRule="exact"/>
              <w:rPr>
                <w:rFonts w:hint="eastAsia" w:ascii="宋体" w:hAnsi="宋体" w:eastAsia="宋体" w:cs="宋体"/>
                <w:color w:val="000000"/>
                <w:szCs w:val="21"/>
              </w:rPr>
            </w:pPr>
          </w:p>
          <w:p w14:paraId="26A40E55">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5CC3E873">
            <w:pPr>
              <w:spacing w:line="320" w:lineRule="exact"/>
              <w:rPr>
                <w:rFonts w:hint="eastAsia" w:ascii="宋体" w:hAnsi="宋体" w:eastAsia="宋体" w:cs="宋体"/>
                <w:b/>
                <w:bCs/>
                <w:color w:val="000000"/>
                <w:kern w:val="0"/>
                <w:szCs w:val="21"/>
              </w:rPr>
            </w:pPr>
          </w:p>
          <w:p w14:paraId="09044BE7">
            <w:pPr>
              <w:spacing w:line="320" w:lineRule="exact"/>
              <w:rPr>
                <w:rFonts w:hint="eastAsia" w:ascii="宋体" w:hAnsi="宋体" w:eastAsia="宋体" w:cs="宋体"/>
                <w:b/>
                <w:bCs/>
                <w:color w:val="000000"/>
                <w:kern w:val="0"/>
                <w:szCs w:val="21"/>
              </w:rPr>
            </w:pPr>
          </w:p>
          <w:p w14:paraId="6F9663CE">
            <w:pPr>
              <w:spacing w:line="320" w:lineRule="exact"/>
              <w:rPr>
                <w:rFonts w:hint="eastAsia" w:ascii="宋体" w:hAnsi="宋体" w:eastAsia="宋体" w:cs="宋体"/>
                <w:b/>
                <w:bCs/>
                <w:color w:val="000000"/>
                <w:kern w:val="0"/>
                <w:szCs w:val="21"/>
              </w:rPr>
            </w:pPr>
          </w:p>
          <w:p w14:paraId="59C693C4">
            <w:pPr>
              <w:spacing w:line="320" w:lineRule="exact"/>
              <w:rPr>
                <w:rFonts w:hint="eastAsia" w:ascii="宋体" w:hAnsi="宋体" w:eastAsia="宋体" w:cs="宋体"/>
                <w:b/>
                <w:bCs/>
                <w:color w:val="000000"/>
                <w:kern w:val="0"/>
                <w:szCs w:val="21"/>
              </w:rPr>
            </w:pPr>
          </w:p>
          <w:p w14:paraId="5BCCA68C">
            <w:pPr>
              <w:spacing w:line="320" w:lineRule="exact"/>
              <w:rPr>
                <w:rFonts w:hint="eastAsia" w:ascii="宋体" w:hAnsi="宋体" w:eastAsia="宋体" w:cs="宋体"/>
                <w:b/>
                <w:bCs/>
                <w:color w:val="000000"/>
                <w:kern w:val="0"/>
                <w:szCs w:val="21"/>
              </w:rPr>
            </w:pPr>
          </w:p>
          <w:p w14:paraId="11209726">
            <w:pPr>
              <w:spacing w:line="320" w:lineRule="exact"/>
              <w:rPr>
                <w:rFonts w:hint="eastAsia" w:ascii="宋体" w:hAnsi="宋体" w:eastAsia="宋体" w:cs="宋体"/>
                <w:b/>
                <w:bCs/>
                <w:color w:val="000000"/>
                <w:kern w:val="0"/>
                <w:szCs w:val="21"/>
              </w:rPr>
            </w:pPr>
          </w:p>
          <w:p w14:paraId="1AA1DBB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8B34CBB">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4F1E7D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807928A">
            <w:pPr>
              <w:spacing w:line="320" w:lineRule="exact"/>
              <w:rPr>
                <w:rFonts w:hint="eastAsia" w:ascii="宋体" w:hAnsi="宋体" w:eastAsia="宋体" w:cs="宋体"/>
                <w:b/>
                <w:bCs/>
                <w:color w:val="000000"/>
                <w:szCs w:val="21"/>
              </w:rPr>
            </w:pPr>
          </w:p>
        </w:tc>
      </w:tr>
      <w:tr w14:paraId="6A9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7" w:hRule="atLeast"/>
          <w:jc w:val="center"/>
        </w:trPr>
        <w:tc>
          <w:tcPr>
            <w:tcW w:w="923" w:type="dxa"/>
            <w:vMerge w:val="continue"/>
            <w:shd w:val="clear" w:color="auto" w:fill="FFFFFF"/>
            <w:noWrap w:val="0"/>
            <w:vAlign w:val="top"/>
          </w:tcPr>
          <w:p w14:paraId="179C97D4">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30DE6DCE">
            <w:pPr>
              <w:spacing w:line="320" w:lineRule="exact"/>
              <w:jc w:val="center"/>
              <w:rPr>
                <w:rFonts w:hint="eastAsia" w:ascii="宋体" w:hAnsi="宋体" w:eastAsia="宋体" w:cs="宋体"/>
                <w:b/>
                <w:bCs/>
                <w:color w:val="000000"/>
                <w:szCs w:val="21"/>
              </w:rPr>
            </w:pPr>
          </w:p>
        </w:tc>
        <w:tc>
          <w:tcPr>
            <w:tcW w:w="815" w:type="dxa"/>
            <w:shd w:val="clear" w:color="auto" w:fill="FFFFFF"/>
            <w:noWrap w:val="0"/>
            <w:vAlign w:val="top"/>
          </w:tcPr>
          <w:p w14:paraId="5450A9BB">
            <w:pPr>
              <w:spacing w:line="320" w:lineRule="exact"/>
              <w:jc w:val="center"/>
              <w:rPr>
                <w:rFonts w:hint="eastAsia" w:ascii="宋体" w:hAnsi="宋体" w:eastAsia="宋体"/>
                <w:b/>
                <w:color w:val="000000"/>
              </w:rPr>
            </w:pPr>
            <w:r>
              <w:rPr>
                <w:rFonts w:hint="eastAsia" w:ascii="宋体" w:hAnsi="宋体" w:eastAsia="宋体"/>
                <w:b/>
                <w:color w:val="000000"/>
              </w:rPr>
              <w:t>5.1.2应急救援管理</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shd w:val="clear" w:color="auto" w:fill="FFFFFF"/>
            <w:noWrap w:val="0"/>
            <w:vAlign w:val="top"/>
          </w:tcPr>
          <w:p w14:paraId="35B4B2CA">
            <w:pPr>
              <w:spacing w:line="320" w:lineRule="exact"/>
              <w:rPr>
                <w:rFonts w:hint="eastAsia" w:ascii="宋体" w:hAnsi="宋体" w:eastAsia="宋体"/>
                <w:color w:val="000000"/>
              </w:rPr>
            </w:pPr>
            <w:r>
              <w:rPr>
                <w:rFonts w:hint="eastAsia" w:ascii="宋体" w:hAnsi="宋体" w:eastAsia="宋体"/>
                <w:color w:val="000000"/>
              </w:rPr>
              <w:t>1.企业应建立应急准备与响应的组织机构和管理制度，明确相关单位和人员的职责、指挥和运行机制。</w:t>
            </w:r>
          </w:p>
          <w:p w14:paraId="3A07B0C8">
            <w:pPr>
              <w:spacing w:line="320" w:lineRule="exact"/>
              <w:rPr>
                <w:rFonts w:hint="eastAsia" w:ascii="宋体" w:hAnsi="宋体" w:eastAsia="宋体"/>
                <w:color w:val="000000"/>
              </w:rPr>
            </w:pPr>
            <w:r>
              <w:rPr>
                <w:rFonts w:hint="eastAsia" w:ascii="宋体" w:hAnsi="宋体" w:eastAsia="宋体"/>
                <w:color w:val="000000"/>
              </w:rPr>
              <w:t>2.企业应按照相关规定要求设置应急设备设施，配备应急救援器材、物资，并建立管理台账。</w:t>
            </w:r>
          </w:p>
          <w:p w14:paraId="4792D2C8">
            <w:pPr>
              <w:spacing w:line="320" w:lineRule="exact"/>
              <w:rPr>
                <w:rFonts w:hint="eastAsia" w:ascii="宋体" w:hAnsi="宋体" w:eastAsia="宋体"/>
                <w:color w:val="000000"/>
              </w:rPr>
            </w:pPr>
            <w:r>
              <w:rPr>
                <w:rFonts w:hint="eastAsia" w:ascii="宋体" w:hAnsi="宋体" w:eastAsia="宋体"/>
                <w:color w:val="000000"/>
              </w:rPr>
              <w:t>3.企业应对应急救援器材、物资，进行经常性的检查、维护、保养，保证其完好、可靠。</w:t>
            </w:r>
          </w:p>
          <w:p w14:paraId="5600822E">
            <w:pPr>
              <w:spacing w:line="320" w:lineRule="exact"/>
              <w:rPr>
                <w:rFonts w:hint="eastAsia" w:ascii="宋体" w:hAnsi="宋体" w:eastAsia="宋体"/>
                <w:color w:val="000000"/>
              </w:rPr>
            </w:pPr>
            <w:r>
              <w:rPr>
                <w:rFonts w:hint="eastAsia" w:ascii="宋体" w:hAnsi="宋体" w:eastAsia="宋体"/>
                <w:color w:val="000000"/>
              </w:rPr>
              <w:t>4.应急处置结束后,企业应组织人员对现场进行检查确认,及时消除现场存在的不安全因素。</w:t>
            </w:r>
          </w:p>
        </w:tc>
        <w:tc>
          <w:tcPr>
            <w:tcW w:w="3764" w:type="dxa"/>
            <w:shd w:val="clear" w:color="auto" w:fill="FFFFFF"/>
            <w:noWrap w:val="0"/>
            <w:vAlign w:val="top"/>
          </w:tcPr>
          <w:p w14:paraId="72482B1D">
            <w:pPr>
              <w:spacing w:line="320" w:lineRule="exact"/>
              <w:rPr>
                <w:rFonts w:hint="eastAsia" w:ascii="宋体" w:hAnsi="宋体" w:eastAsia="宋体"/>
                <w:color w:val="000000"/>
              </w:rPr>
            </w:pPr>
            <w:r>
              <w:rPr>
                <w:rFonts w:hint="eastAsia" w:ascii="宋体" w:hAnsi="宋体" w:eastAsia="宋体"/>
                <w:color w:val="000000"/>
              </w:rPr>
              <w:t>1.企业未按规定建立应急准备与响应的组织机构和管理制度，一项扣5分。</w:t>
            </w:r>
          </w:p>
          <w:p w14:paraId="778F9132">
            <w:pPr>
              <w:spacing w:line="320" w:lineRule="exact"/>
              <w:rPr>
                <w:rFonts w:hint="eastAsia" w:ascii="宋体" w:hAnsi="宋体" w:eastAsia="宋体"/>
                <w:color w:val="000000"/>
              </w:rPr>
            </w:pPr>
            <w:r>
              <w:rPr>
                <w:rFonts w:hint="eastAsia" w:ascii="宋体" w:hAnsi="宋体" w:eastAsia="宋体"/>
                <w:color w:val="000000"/>
              </w:rPr>
              <w:t xml:space="preserve">2.企业未按规定配备必要的应急救援器材、物资，建立应急设施管理台账，一项扣2分。 </w:t>
            </w:r>
          </w:p>
          <w:p w14:paraId="68515592">
            <w:pPr>
              <w:spacing w:line="320" w:lineRule="exact"/>
              <w:rPr>
                <w:rFonts w:hint="eastAsia" w:ascii="宋体" w:hAnsi="宋体" w:eastAsia="宋体"/>
                <w:color w:val="000000"/>
              </w:rPr>
            </w:pPr>
            <w:r>
              <w:rPr>
                <w:rFonts w:hint="eastAsia" w:ascii="宋体" w:hAnsi="宋体" w:eastAsia="宋体"/>
                <w:color w:val="000000"/>
              </w:rPr>
              <w:t>3.企业应急救援器材、物资未进行经常性维护保养、未保证其完好、可靠的，一项扣2分。</w:t>
            </w:r>
          </w:p>
          <w:p w14:paraId="340BA9AD">
            <w:pPr>
              <w:spacing w:line="320" w:lineRule="exact"/>
              <w:rPr>
                <w:rFonts w:hint="eastAsia" w:ascii="宋体" w:hAnsi="宋体" w:eastAsia="宋体"/>
                <w:color w:val="000000"/>
              </w:rPr>
            </w:pPr>
            <w:r>
              <w:rPr>
                <w:rFonts w:hint="eastAsia" w:ascii="宋体" w:hAnsi="宋体" w:eastAsia="宋体"/>
                <w:color w:val="000000"/>
              </w:rPr>
              <w:t>4.应急结束未及时消除现场不安全因素，一项次扣2分。</w:t>
            </w:r>
          </w:p>
        </w:tc>
        <w:tc>
          <w:tcPr>
            <w:tcW w:w="1050" w:type="dxa"/>
            <w:shd w:val="clear" w:color="auto" w:fill="FFFFFF"/>
            <w:noWrap w:val="0"/>
            <w:vAlign w:val="top"/>
          </w:tcPr>
          <w:p w14:paraId="795DFC78">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97C452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983CFA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46E159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5CADAED">
            <w:pPr>
              <w:spacing w:line="320" w:lineRule="exact"/>
              <w:rPr>
                <w:rFonts w:hint="eastAsia" w:ascii="宋体" w:hAnsi="宋体" w:eastAsia="宋体" w:cs="宋体"/>
                <w:b/>
                <w:bCs/>
                <w:color w:val="000000"/>
                <w:szCs w:val="21"/>
              </w:rPr>
            </w:pPr>
          </w:p>
        </w:tc>
      </w:tr>
      <w:tr w14:paraId="1349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65" w:hRule="atLeast"/>
          <w:jc w:val="center"/>
        </w:trPr>
        <w:tc>
          <w:tcPr>
            <w:tcW w:w="923" w:type="dxa"/>
            <w:vMerge w:val="continue"/>
            <w:shd w:val="clear" w:color="auto" w:fill="FFFFFF"/>
            <w:noWrap w:val="0"/>
            <w:vAlign w:val="top"/>
          </w:tcPr>
          <w:p w14:paraId="435F3874">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639ADA3D">
            <w:pPr>
              <w:spacing w:line="320" w:lineRule="exact"/>
              <w:jc w:val="center"/>
              <w:rPr>
                <w:rFonts w:hint="eastAsia" w:ascii="宋体" w:hAnsi="宋体" w:eastAsia="宋体" w:cs="宋体"/>
                <w:b/>
                <w:bCs/>
                <w:color w:val="000000"/>
                <w:szCs w:val="21"/>
              </w:rPr>
            </w:pPr>
          </w:p>
        </w:tc>
        <w:tc>
          <w:tcPr>
            <w:tcW w:w="815" w:type="dxa"/>
            <w:shd w:val="clear" w:color="auto" w:fill="FFFFFF"/>
            <w:noWrap w:val="0"/>
            <w:vAlign w:val="top"/>
          </w:tcPr>
          <w:p w14:paraId="2DE787E1">
            <w:pPr>
              <w:spacing w:line="320" w:lineRule="exact"/>
              <w:jc w:val="center"/>
              <w:rPr>
                <w:rFonts w:ascii="宋体" w:hAnsi="宋体" w:eastAsia="宋体"/>
                <w:b/>
                <w:color w:val="000000"/>
              </w:rPr>
            </w:pPr>
            <w:r>
              <w:rPr>
                <w:rFonts w:hint="eastAsia" w:ascii="宋体" w:hAnsi="宋体" w:eastAsia="宋体"/>
                <w:b/>
                <w:color w:val="000000"/>
              </w:rPr>
              <w:t>5.1.3应急</w:t>
            </w:r>
          </w:p>
          <w:p w14:paraId="243459EE">
            <w:pPr>
              <w:spacing w:line="320" w:lineRule="exact"/>
              <w:jc w:val="center"/>
              <w:rPr>
                <w:rFonts w:hint="eastAsia" w:ascii="宋体" w:hAnsi="宋体" w:eastAsia="宋体"/>
                <w:b/>
                <w:color w:val="000000"/>
              </w:rPr>
            </w:pPr>
            <w:r>
              <w:rPr>
                <w:rFonts w:hint="eastAsia" w:ascii="宋体" w:hAnsi="宋体" w:eastAsia="宋体"/>
                <w:b/>
                <w:color w:val="000000"/>
              </w:rPr>
              <w:t>评估</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32D4D612">
            <w:pPr>
              <w:spacing w:line="320" w:lineRule="exact"/>
              <w:rPr>
                <w:rFonts w:hint="eastAsia" w:ascii="宋体" w:hAnsi="宋体" w:eastAsia="宋体"/>
                <w:color w:val="000000"/>
              </w:rPr>
            </w:pPr>
            <w:r>
              <w:rPr>
                <w:rFonts w:hint="eastAsia" w:ascii="Times New Roman" w:hAnsi="Times New Roman" w:eastAsia="宋体"/>
                <w:color w:val="000000"/>
              </w:rPr>
              <w:t>1.企业应每年至少对</w:t>
            </w:r>
            <w:r>
              <w:rPr>
                <w:rFonts w:hint="eastAsia" w:ascii="宋体" w:hAnsi="宋体" w:eastAsia="宋体"/>
                <w:color w:val="000000"/>
              </w:rPr>
              <w:t>应急体系（含</w:t>
            </w:r>
            <w:r>
              <w:rPr>
                <w:rFonts w:hint="eastAsia" w:ascii="Times New Roman" w:hAnsi="Times New Roman" w:eastAsia="宋体"/>
                <w:color w:val="000000"/>
              </w:rPr>
              <w:t>应急预案、应急培训、应急演练、应急准备、应急响应等）</w:t>
            </w:r>
            <w:r>
              <w:rPr>
                <w:rFonts w:hint="eastAsia" w:ascii="宋体" w:hAnsi="宋体" w:eastAsia="宋体"/>
                <w:color w:val="000000"/>
              </w:rPr>
              <w:t>进行一次综合评估。</w:t>
            </w:r>
          </w:p>
          <w:p w14:paraId="60EA93B5">
            <w:pPr>
              <w:spacing w:line="320" w:lineRule="exact"/>
              <w:rPr>
                <w:rFonts w:hint="eastAsia" w:ascii="宋体" w:hAnsi="宋体" w:eastAsia="宋体"/>
                <w:color w:val="000000"/>
              </w:rPr>
            </w:pPr>
            <w:r>
              <w:rPr>
                <w:rFonts w:hint="eastAsia" w:ascii="宋体" w:hAnsi="宋体" w:eastAsia="宋体"/>
                <w:color w:val="000000"/>
              </w:rPr>
              <w:t>2.企业完成险情或事故应急处置后，应主动或配合有关组织开展应急处置评估。</w:t>
            </w:r>
          </w:p>
        </w:tc>
        <w:tc>
          <w:tcPr>
            <w:tcW w:w="3764" w:type="dxa"/>
            <w:shd w:val="clear" w:color="auto" w:fill="FFFFFF"/>
            <w:noWrap w:val="0"/>
            <w:vAlign w:val="top"/>
          </w:tcPr>
          <w:p w14:paraId="7D7162A0">
            <w:pPr>
              <w:spacing w:line="320" w:lineRule="exact"/>
              <w:rPr>
                <w:rFonts w:hint="eastAsia" w:ascii="宋体" w:hAnsi="宋体" w:eastAsia="宋体"/>
                <w:color w:val="000000"/>
              </w:rPr>
            </w:pPr>
            <w:r>
              <w:rPr>
                <w:rFonts w:hint="eastAsia" w:ascii="宋体" w:hAnsi="宋体" w:eastAsia="宋体"/>
                <w:color w:val="000000"/>
              </w:rPr>
              <w:t>1.企业未进行年度应急体系综合评估的，扣5分。</w:t>
            </w:r>
          </w:p>
          <w:p w14:paraId="6B5A476E">
            <w:pPr>
              <w:spacing w:line="320" w:lineRule="exact"/>
              <w:rPr>
                <w:rFonts w:hint="eastAsia" w:ascii="宋体" w:hAnsi="宋体" w:eastAsia="宋体" w:cs="宋体"/>
                <w:color w:val="000000"/>
                <w:szCs w:val="21"/>
                <w:shd w:val="clear" w:color="auto" w:fill="FFFF00"/>
              </w:rPr>
            </w:pPr>
            <w:r>
              <w:rPr>
                <w:rFonts w:hint="eastAsia" w:ascii="宋体" w:hAnsi="宋体" w:eastAsia="宋体"/>
                <w:color w:val="000000"/>
              </w:rPr>
              <w:t>2.企业未进行应急处置评估的，扣3分。</w:t>
            </w:r>
          </w:p>
        </w:tc>
        <w:tc>
          <w:tcPr>
            <w:tcW w:w="1050" w:type="dxa"/>
            <w:shd w:val="clear" w:color="auto" w:fill="FFFFFF"/>
            <w:noWrap w:val="0"/>
            <w:vAlign w:val="top"/>
          </w:tcPr>
          <w:p w14:paraId="4CA52BC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74FF53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B88532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BC12D8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FD9A79E">
            <w:pPr>
              <w:spacing w:line="320" w:lineRule="exact"/>
              <w:rPr>
                <w:rFonts w:hint="eastAsia" w:ascii="宋体" w:hAnsi="宋体" w:eastAsia="宋体" w:cs="宋体"/>
                <w:b/>
                <w:bCs/>
                <w:color w:val="000000"/>
                <w:szCs w:val="21"/>
              </w:rPr>
            </w:pPr>
          </w:p>
        </w:tc>
      </w:tr>
      <w:tr w14:paraId="32D3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jc w:val="center"/>
        </w:trPr>
        <w:tc>
          <w:tcPr>
            <w:tcW w:w="923" w:type="dxa"/>
            <w:vMerge w:val="continue"/>
            <w:shd w:val="clear" w:color="auto" w:fill="FFFFFF"/>
            <w:noWrap w:val="0"/>
            <w:vAlign w:val="top"/>
          </w:tcPr>
          <w:p w14:paraId="15631712">
            <w:pPr>
              <w:spacing w:line="320" w:lineRule="exact"/>
              <w:jc w:val="center"/>
              <w:rPr>
                <w:rFonts w:hint="eastAsia" w:ascii="宋体" w:hAnsi="宋体" w:eastAsia="宋体" w:cs="宋体"/>
                <w:b/>
                <w:color w:val="000000"/>
                <w:szCs w:val="21"/>
                <w:shd w:val="clear" w:color="auto" w:fill="FFFF00"/>
              </w:rPr>
            </w:pPr>
          </w:p>
        </w:tc>
        <w:tc>
          <w:tcPr>
            <w:tcW w:w="809" w:type="dxa"/>
            <w:vMerge w:val="restart"/>
            <w:shd w:val="clear" w:color="auto" w:fill="FFFFFF"/>
            <w:noWrap w:val="0"/>
            <w:vAlign w:val="top"/>
          </w:tcPr>
          <w:p w14:paraId="3AFD4B06">
            <w:pPr>
              <w:spacing w:line="320" w:lineRule="exact"/>
              <w:jc w:val="center"/>
              <w:rPr>
                <w:rFonts w:hint="eastAsia" w:ascii="宋体" w:hAnsi="宋体" w:eastAsia="宋体"/>
                <w:b/>
                <w:color w:val="000000"/>
              </w:rPr>
            </w:pPr>
            <w:r>
              <w:rPr>
                <w:rFonts w:hint="eastAsia" w:ascii="宋体" w:hAnsi="宋体" w:eastAsia="宋体"/>
                <w:b/>
                <w:color w:val="000000"/>
              </w:rPr>
              <w:t>5.2</w:t>
            </w:r>
          </w:p>
          <w:p w14:paraId="699335B7">
            <w:pPr>
              <w:spacing w:line="320" w:lineRule="exact"/>
              <w:jc w:val="center"/>
              <w:rPr>
                <w:rFonts w:hint="eastAsia" w:ascii="宋体" w:hAnsi="宋体" w:eastAsia="宋体"/>
                <w:b/>
                <w:color w:val="000000"/>
              </w:rPr>
            </w:pPr>
            <w:r>
              <w:rPr>
                <w:rFonts w:hint="eastAsia" w:ascii="宋体" w:hAnsi="宋体" w:eastAsia="宋体"/>
                <w:b/>
                <w:color w:val="000000"/>
              </w:rPr>
              <w:t>事故</w:t>
            </w:r>
          </w:p>
          <w:p w14:paraId="236A627E">
            <w:pPr>
              <w:spacing w:line="320" w:lineRule="exact"/>
              <w:jc w:val="center"/>
              <w:rPr>
                <w:rFonts w:hint="eastAsia" w:ascii="宋体" w:hAnsi="宋体" w:eastAsia="宋体"/>
                <w:b/>
                <w:color w:val="000000"/>
              </w:rPr>
            </w:pPr>
            <w:r>
              <w:rPr>
                <w:rFonts w:hint="eastAsia" w:ascii="宋体" w:hAnsi="宋体" w:eastAsia="宋体"/>
                <w:b/>
                <w:color w:val="000000"/>
              </w:rPr>
              <w:t>管理（70分）</w:t>
            </w:r>
          </w:p>
        </w:tc>
        <w:tc>
          <w:tcPr>
            <w:tcW w:w="815" w:type="dxa"/>
            <w:shd w:val="clear" w:color="auto" w:fill="FFFFFF"/>
            <w:noWrap w:val="0"/>
            <w:vAlign w:val="top"/>
          </w:tcPr>
          <w:p w14:paraId="5B2E8101">
            <w:pPr>
              <w:spacing w:line="320" w:lineRule="exact"/>
              <w:jc w:val="center"/>
              <w:rPr>
                <w:rFonts w:hint="eastAsia" w:ascii="宋体" w:hAnsi="宋体" w:eastAsia="宋体"/>
                <w:b/>
                <w:color w:val="000000"/>
              </w:rPr>
            </w:pPr>
            <w:r>
              <w:rPr>
                <w:rFonts w:hint="eastAsia" w:ascii="宋体" w:hAnsi="宋体" w:eastAsia="宋体"/>
                <w:b/>
                <w:color w:val="000000"/>
              </w:rPr>
              <w:t>5.2.1事故报告</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4642" w:type="dxa"/>
            <w:shd w:val="clear" w:color="auto" w:fill="FFFFFF"/>
            <w:noWrap w:val="0"/>
            <w:vAlign w:val="top"/>
          </w:tcPr>
          <w:p w14:paraId="6B0C5923">
            <w:pPr>
              <w:spacing w:line="320" w:lineRule="exact"/>
              <w:rPr>
                <w:rFonts w:hint="eastAsia" w:ascii="宋体" w:hAnsi="宋体" w:eastAsia="宋体"/>
                <w:color w:val="000000"/>
              </w:rPr>
            </w:pPr>
            <w:r>
              <w:rPr>
                <w:rFonts w:hint="eastAsia" w:ascii="宋体" w:hAnsi="宋体" w:eastAsia="宋体"/>
                <w:color w:val="000000"/>
              </w:rPr>
              <w:t>1.企业应建立事故报告程序，明确事故内外部报告的责任人、时限、内容等，并教育、指导从业人员严格按照有关规定的程序，及时报告发生的生产安全事故。</w:t>
            </w:r>
          </w:p>
          <w:p w14:paraId="780E0E79">
            <w:pPr>
              <w:spacing w:line="320" w:lineRule="exact"/>
              <w:rPr>
                <w:rFonts w:hint="eastAsia" w:ascii="宋体" w:hAnsi="宋体" w:eastAsia="宋体"/>
                <w:color w:val="000000"/>
              </w:rPr>
            </w:pPr>
            <w:r>
              <w:rPr>
                <w:rFonts w:hint="eastAsia" w:ascii="宋体" w:hAnsi="宋体" w:eastAsia="宋体"/>
                <w:color w:val="000000"/>
              </w:rPr>
              <w:t>2.事故报告后出现新</w:t>
            </w:r>
            <w:r>
              <w:rPr>
                <w:rFonts w:hint="eastAsia" w:ascii="宋体" w:hAnsi="宋体"/>
                <w:color w:val="000000"/>
                <w:lang w:eastAsia="zh-CN"/>
              </w:rPr>
              <w:t>情况</w:t>
            </w:r>
            <w:r>
              <w:rPr>
                <w:rFonts w:hint="eastAsia" w:ascii="宋体" w:hAnsi="宋体" w:eastAsia="宋体"/>
                <w:color w:val="000000"/>
              </w:rPr>
              <w:t>的，应当及时补报。</w:t>
            </w:r>
          </w:p>
        </w:tc>
        <w:tc>
          <w:tcPr>
            <w:tcW w:w="3764" w:type="dxa"/>
            <w:shd w:val="clear" w:color="auto" w:fill="FFFFFF"/>
            <w:noWrap w:val="0"/>
            <w:vAlign w:val="top"/>
          </w:tcPr>
          <w:p w14:paraId="6EC00FFD">
            <w:pPr>
              <w:spacing w:line="320" w:lineRule="exact"/>
              <w:rPr>
                <w:rFonts w:hint="eastAsia" w:ascii="宋体" w:hAnsi="宋体" w:eastAsia="宋体"/>
                <w:color w:val="000000"/>
              </w:rPr>
            </w:pPr>
            <w:r>
              <w:rPr>
                <w:rFonts w:hint="eastAsia" w:ascii="宋体" w:hAnsi="宋体" w:eastAsia="宋体"/>
                <w:color w:val="000000"/>
              </w:rPr>
              <w:t>1.企业未明确事故报告程序、责任人、时限、内容的，一项不符合扣2分。</w:t>
            </w:r>
          </w:p>
          <w:p w14:paraId="1FF7BA21">
            <w:pPr>
              <w:spacing w:line="320" w:lineRule="exact"/>
              <w:rPr>
                <w:rFonts w:hint="eastAsia" w:ascii="宋体" w:hAnsi="宋体" w:eastAsia="宋体"/>
                <w:color w:val="000000"/>
              </w:rPr>
            </w:pPr>
            <w:r>
              <w:rPr>
                <w:rFonts w:hint="eastAsia" w:ascii="宋体" w:hAnsi="宋体" w:eastAsia="宋体"/>
                <w:color w:val="000000"/>
              </w:rPr>
              <w:t>2.事故报告后出现新情况时，企业未按规定及时补报的，扣5分。</w:t>
            </w:r>
          </w:p>
          <w:p w14:paraId="0DFCAD4D">
            <w:pPr>
              <w:spacing w:line="320" w:lineRule="exact"/>
              <w:rPr>
                <w:rFonts w:hint="eastAsia" w:ascii="宋体" w:hAnsi="宋体" w:eastAsia="宋体"/>
                <w:b/>
                <w:color w:val="000000"/>
              </w:rPr>
            </w:pPr>
            <w:r>
              <w:rPr>
                <w:rFonts w:hint="eastAsia" w:ascii="宋体" w:hAnsi="宋体" w:eastAsia="宋体"/>
                <w:b/>
                <w:color w:val="000000"/>
              </w:rPr>
              <w:t>否决项：</w:t>
            </w:r>
          </w:p>
          <w:p w14:paraId="1AED3525">
            <w:pPr>
              <w:spacing w:line="320" w:lineRule="exact"/>
              <w:rPr>
                <w:rFonts w:hint="eastAsia" w:ascii="宋体" w:hAnsi="宋体" w:eastAsia="宋体" w:cs="宋体"/>
                <w:b/>
                <w:color w:val="000000"/>
                <w:szCs w:val="21"/>
                <w:shd w:val="clear" w:color="auto" w:fill="FFFF00"/>
              </w:rPr>
            </w:pPr>
            <w:r>
              <w:rPr>
                <w:rFonts w:hint="eastAsia" w:ascii="宋体" w:hAnsi="宋体" w:eastAsia="宋体"/>
                <w:b/>
                <w:color w:val="000000"/>
              </w:rPr>
              <w:t>1.存在事故瞒报、谎报、拖延不报现象的，扣70分。</w:t>
            </w:r>
            <w:r>
              <w:rPr>
                <w:rFonts w:hint="eastAsia" w:ascii="宋体" w:hAnsi="宋体"/>
                <w:b/>
                <w:color w:val="000000"/>
                <w:lang w:eastAsia="zh-CN"/>
              </w:rPr>
              <w:t>（</w:t>
            </w:r>
            <w:r>
              <w:rPr>
                <w:rFonts w:hint="eastAsia" w:ascii="宋体" w:hAnsi="宋体" w:eastAsia="宋体"/>
                <w:b/>
                <w:color w:val="000000"/>
              </w:rPr>
              <w:t>B级要素否决项</w:t>
            </w:r>
            <w:r>
              <w:rPr>
                <w:rFonts w:hint="eastAsia" w:ascii="宋体" w:hAnsi="宋体"/>
                <w:b/>
                <w:color w:val="000000"/>
                <w:lang w:eastAsia="zh-CN"/>
              </w:rPr>
              <w:t>）</w:t>
            </w:r>
          </w:p>
        </w:tc>
        <w:tc>
          <w:tcPr>
            <w:tcW w:w="1050" w:type="dxa"/>
            <w:shd w:val="clear" w:color="auto" w:fill="FFFFFF"/>
            <w:noWrap w:val="0"/>
            <w:vAlign w:val="top"/>
          </w:tcPr>
          <w:p w14:paraId="4AD6B7C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A106DD6">
            <w:pPr>
              <w:spacing w:line="320" w:lineRule="exact"/>
              <w:rPr>
                <w:rFonts w:hint="eastAsia" w:ascii="宋体" w:hAnsi="宋体" w:eastAsia="宋体" w:cs="宋体"/>
                <w:b/>
                <w:bCs/>
                <w:color w:val="000000"/>
                <w:szCs w:val="21"/>
              </w:rPr>
            </w:pPr>
          </w:p>
          <w:p w14:paraId="191A424C">
            <w:pPr>
              <w:spacing w:line="320" w:lineRule="exact"/>
              <w:rPr>
                <w:rFonts w:hint="eastAsia" w:ascii="宋体" w:hAnsi="宋体" w:eastAsia="宋体" w:cs="宋体"/>
                <w:b/>
                <w:bCs/>
                <w:color w:val="000000"/>
                <w:szCs w:val="21"/>
              </w:rPr>
            </w:pPr>
          </w:p>
          <w:p w14:paraId="3AF6E0AF">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015D7D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509422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F8B2EF0">
            <w:pPr>
              <w:spacing w:line="320" w:lineRule="exact"/>
              <w:rPr>
                <w:rFonts w:hint="eastAsia" w:ascii="宋体" w:hAnsi="宋体" w:eastAsia="宋体" w:cs="宋体"/>
                <w:b/>
                <w:bCs/>
                <w:color w:val="000000"/>
                <w:szCs w:val="21"/>
              </w:rPr>
            </w:pPr>
          </w:p>
        </w:tc>
      </w:tr>
      <w:tr w14:paraId="5D87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9" w:hRule="atLeast"/>
          <w:jc w:val="center"/>
        </w:trPr>
        <w:tc>
          <w:tcPr>
            <w:tcW w:w="923" w:type="dxa"/>
            <w:vMerge w:val="continue"/>
            <w:shd w:val="clear" w:color="auto" w:fill="FFFFFF"/>
            <w:noWrap w:val="0"/>
            <w:vAlign w:val="top"/>
          </w:tcPr>
          <w:p w14:paraId="3A884214">
            <w:pPr>
              <w:spacing w:line="320" w:lineRule="exact"/>
              <w:jc w:val="center"/>
              <w:rPr>
                <w:rFonts w:hint="eastAsia" w:ascii="宋体" w:hAnsi="宋体" w:eastAsia="宋体" w:cs="宋体"/>
                <w:b/>
                <w:bCs/>
                <w:color w:val="000000"/>
                <w:szCs w:val="21"/>
                <w:shd w:val="clear" w:color="auto" w:fill="FFFF00"/>
              </w:rPr>
            </w:pPr>
          </w:p>
        </w:tc>
        <w:tc>
          <w:tcPr>
            <w:tcW w:w="809" w:type="dxa"/>
            <w:vMerge w:val="continue"/>
            <w:shd w:val="clear" w:color="auto" w:fill="FFFFFF"/>
            <w:noWrap w:val="0"/>
            <w:vAlign w:val="top"/>
          </w:tcPr>
          <w:p w14:paraId="4EEFB4FF">
            <w:pPr>
              <w:spacing w:line="320" w:lineRule="exact"/>
              <w:jc w:val="center"/>
              <w:rPr>
                <w:rFonts w:hint="eastAsia" w:ascii="宋体" w:hAnsi="宋体" w:eastAsia="宋体" w:cs="宋体"/>
                <w:b/>
                <w:color w:val="000000"/>
                <w:szCs w:val="21"/>
                <w:shd w:val="clear" w:color="auto" w:fill="FFFF00"/>
              </w:rPr>
            </w:pPr>
          </w:p>
        </w:tc>
        <w:tc>
          <w:tcPr>
            <w:tcW w:w="815" w:type="dxa"/>
            <w:shd w:val="clear" w:color="auto" w:fill="FFFFFF"/>
            <w:noWrap w:val="0"/>
            <w:vAlign w:val="top"/>
          </w:tcPr>
          <w:p w14:paraId="06432C42">
            <w:pPr>
              <w:spacing w:line="320" w:lineRule="exact"/>
              <w:jc w:val="center"/>
              <w:rPr>
                <w:rFonts w:hint="eastAsia" w:ascii="宋体" w:hAnsi="宋体" w:eastAsia="宋体"/>
                <w:b/>
                <w:color w:val="000000"/>
              </w:rPr>
            </w:pPr>
            <w:r>
              <w:rPr>
                <w:rFonts w:hint="eastAsia" w:ascii="宋体" w:hAnsi="宋体" w:eastAsia="宋体"/>
                <w:b/>
                <w:color w:val="000000"/>
              </w:rPr>
              <w:t>5</w:t>
            </w:r>
            <w:r>
              <w:rPr>
                <w:rFonts w:ascii="宋体" w:hAnsi="宋体" w:eastAsia="宋体"/>
                <w:b/>
                <w:color w:val="000000"/>
              </w:rPr>
              <w:t>.2.</w:t>
            </w:r>
            <w:r>
              <w:rPr>
                <w:rFonts w:hint="eastAsia" w:ascii="宋体" w:hAnsi="宋体" w:eastAsia="宋体"/>
                <w:b/>
                <w:color w:val="000000"/>
              </w:rPr>
              <w:t>2事故调查和处理</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77785677">
            <w:pPr>
              <w:spacing w:line="320" w:lineRule="exact"/>
              <w:rPr>
                <w:rFonts w:hint="eastAsia" w:ascii="宋体" w:hAnsi="宋体" w:eastAsia="宋体"/>
                <w:color w:val="000000"/>
              </w:rPr>
            </w:pPr>
            <w:r>
              <w:rPr>
                <w:rFonts w:hint="eastAsia" w:ascii="宋体" w:hAnsi="宋体" w:eastAsia="宋体"/>
                <w:color w:val="000000"/>
              </w:rPr>
              <w:t>1.企业应建立内部事故</w:t>
            </w:r>
            <w:r>
              <w:rPr>
                <w:rFonts w:hint="eastAsia" w:ascii="宋体" w:hAnsi="宋体"/>
                <w:color w:val="000000"/>
                <w:lang w:eastAsia="zh-CN"/>
              </w:rPr>
              <w:t>调查</w:t>
            </w:r>
            <w:r>
              <w:rPr>
                <w:rFonts w:hint="eastAsia" w:ascii="宋体" w:hAnsi="宋体" w:eastAsia="宋体"/>
                <w:color w:val="000000"/>
              </w:rPr>
              <w:t>和处理制度，按照有关规定，将造成人员伤亡</w:t>
            </w:r>
            <w:r>
              <w:rPr>
                <w:rFonts w:hint="eastAsia" w:ascii="宋体" w:hAnsi="宋体"/>
                <w:color w:val="000000"/>
                <w:lang w:eastAsia="zh-CN"/>
              </w:rPr>
              <w:t>（</w:t>
            </w:r>
            <w:r>
              <w:rPr>
                <w:rFonts w:hint="eastAsia" w:ascii="宋体" w:hAnsi="宋体" w:eastAsia="宋体"/>
                <w:color w:val="000000"/>
              </w:rPr>
              <w:t>轻伤、重伤、死亡等人身伤害和急性中毒</w:t>
            </w:r>
            <w:r>
              <w:rPr>
                <w:rFonts w:hint="eastAsia" w:ascii="宋体" w:hAnsi="宋体"/>
                <w:color w:val="000000"/>
                <w:lang w:eastAsia="zh-CN"/>
              </w:rPr>
              <w:t>）</w:t>
            </w:r>
            <w:r>
              <w:rPr>
                <w:rFonts w:hint="eastAsia" w:ascii="宋体" w:hAnsi="宋体" w:eastAsia="宋体"/>
                <w:color w:val="000000"/>
              </w:rPr>
              <w:t>和财产损失的事故纳入事故</w:t>
            </w:r>
            <w:r>
              <w:rPr>
                <w:rFonts w:hint="eastAsia" w:ascii="宋体" w:hAnsi="宋体"/>
                <w:color w:val="000000"/>
                <w:lang w:eastAsia="zh-CN"/>
              </w:rPr>
              <w:t>调查</w:t>
            </w:r>
            <w:r>
              <w:rPr>
                <w:rFonts w:hint="eastAsia" w:ascii="宋体" w:hAnsi="宋体" w:eastAsia="宋体"/>
                <w:color w:val="000000"/>
              </w:rPr>
              <w:t>和处理范畴。</w:t>
            </w:r>
          </w:p>
          <w:p w14:paraId="01331D37">
            <w:pPr>
              <w:spacing w:line="320" w:lineRule="exact"/>
              <w:rPr>
                <w:rFonts w:hint="eastAsia" w:ascii="宋体" w:hAnsi="宋体" w:eastAsia="宋体"/>
                <w:color w:val="000000"/>
              </w:rPr>
            </w:pPr>
            <w:r>
              <w:rPr>
                <w:rFonts w:hint="eastAsia" w:ascii="宋体" w:hAnsi="宋体" w:eastAsia="宋体"/>
                <w:color w:val="000000"/>
              </w:rPr>
              <w:t>2.事故调查组应根据有关证据、资料，分析事故的直接、间接原因和事故责任，提出应吸取的教训、整改措施和处理建议，编制事故调查报告。</w:t>
            </w:r>
          </w:p>
          <w:p w14:paraId="1569F406">
            <w:pPr>
              <w:spacing w:line="320" w:lineRule="exact"/>
              <w:rPr>
                <w:rFonts w:hint="eastAsia" w:ascii="宋体" w:hAnsi="宋体" w:eastAsia="宋体"/>
                <w:color w:val="000000"/>
              </w:rPr>
            </w:pPr>
            <w:r>
              <w:rPr>
                <w:rFonts w:hint="eastAsia" w:ascii="宋体" w:hAnsi="宋体" w:eastAsia="宋体"/>
                <w:color w:val="000000"/>
              </w:rPr>
              <w:t>3.企业应开展事故案例警示教育活动，认真吸取事故教训，落实防范和整改措施，防止类似事故再次发生。</w:t>
            </w:r>
          </w:p>
        </w:tc>
        <w:tc>
          <w:tcPr>
            <w:tcW w:w="3764" w:type="dxa"/>
            <w:shd w:val="clear" w:color="auto" w:fill="FFFFFF"/>
            <w:noWrap w:val="0"/>
            <w:vAlign w:val="top"/>
          </w:tcPr>
          <w:p w14:paraId="502EC1A9">
            <w:pPr>
              <w:spacing w:line="320" w:lineRule="exact"/>
              <w:rPr>
                <w:rFonts w:hint="eastAsia" w:ascii="宋体" w:hAnsi="宋体" w:eastAsia="宋体"/>
                <w:color w:val="000000"/>
              </w:rPr>
            </w:pPr>
            <w:r>
              <w:rPr>
                <w:rFonts w:hint="eastAsia" w:ascii="宋体" w:hAnsi="宋体" w:eastAsia="宋体"/>
                <w:color w:val="000000"/>
              </w:rPr>
              <w:t>1.企业</w:t>
            </w:r>
            <w:r>
              <w:rPr>
                <w:rFonts w:hint="eastAsia" w:ascii="Times New Roman" w:hAnsi="Times New Roman" w:eastAsia="宋体"/>
                <w:color w:val="000000"/>
              </w:rPr>
              <w:t>未</w:t>
            </w:r>
            <w:r>
              <w:rPr>
                <w:rFonts w:hint="eastAsia" w:ascii="宋体" w:hAnsi="宋体" w:eastAsia="宋体"/>
                <w:color w:val="000000"/>
              </w:rPr>
              <w:t>建立内部事故</w:t>
            </w:r>
            <w:r>
              <w:rPr>
                <w:rFonts w:hint="eastAsia" w:ascii="宋体" w:hAnsi="宋体"/>
                <w:color w:val="000000"/>
                <w:lang w:eastAsia="zh-CN"/>
              </w:rPr>
              <w:t>调查</w:t>
            </w:r>
            <w:r>
              <w:rPr>
                <w:rFonts w:hint="eastAsia" w:ascii="宋体" w:hAnsi="宋体" w:eastAsia="宋体"/>
                <w:color w:val="000000"/>
              </w:rPr>
              <w:t>和处理制度的，扣5分。</w:t>
            </w:r>
          </w:p>
          <w:p w14:paraId="276B6464">
            <w:pPr>
              <w:spacing w:line="320" w:lineRule="exact"/>
              <w:rPr>
                <w:rFonts w:hint="eastAsia" w:ascii="宋体" w:hAnsi="宋体" w:eastAsia="宋体"/>
                <w:color w:val="000000"/>
              </w:rPr>
            </w:pPr>
            <w:r>
              <w:rPr>
                <w:rFonts w:hint="eastAsia" w:ascii="宋体" w:hAnsi="宋体" w:eastAsia="宋体"/>
                <w:color w:val="000000"/>
              </w:rPr>
              <w:t>2.企业未按“四不放过”原则进行事故调查处理，未编制事故调查报告的，一项扣2分。</w:t>
            </w:r>
          </w:p>
          <w:p w14:paraId="3BA03E54">
            <w:pPr>
              <w:spacing w:line="320" w:lineRule="exact"/>
              <w:rPr>
                <w:rFonts w:hint="eastAsia" w:ascii="宋体" w:hAnsi="宋体" w:eastAsia="宋体"/>
                <w:color w:val="000000"/>
              </w:rPr>
            </w:pPr>
            <w:r>
              <w:rPr>
                <w:rFonts w:hint="eastAsia" w:ascii="宋体" w:hAnsi="宋体" w:eastAsia="宋体"/>
                <w:color w:val="000000"/>
              </w:rPr>
              <w:t>3.企业未制定或未落实事故整改和预防措施的，一项扣2分。</w:t>
            </w:r>
          </w:p>
          <w:p w14:paraId="2A405D5D">
            <w:pPr>
              <w:spacing w:line="320" w:lineRule="exact"/>
              <w:rPr>
                <w:rFonts w:hint="eastAsia" w:ascii="宋体" w:hAnsi="宋体" w:eastAsia="宋体" w:cs="宋体"/>
                <w:color w:val="000000"/>
                <w:kern w:val="0"/>
                <w:szCs w:val="21"/>
                <w:shd w:val="clear" w:color="auto" w:fill="FFFF00"/>
              </w:rPr>
            </w:pPr>
          </w:p>
        </w:tc>
        <w:tc>
          <w:tcPr>
            <w:tcW w:w="1050" w:type="dxa"/>
            <w:shd w:val="clear" w:color="auto" w:fill="FFFFFF"/>
            <w:noWrap w:val="0"/>
            <w:vAlign w:val="top"/>
          </w:tcPr>
          <w:p w14:paraId="4E7482B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D30F67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2F13E1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F36BA9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3F7CA33">
            <w:pPr>
              <w:spacing w:line="320" w:lineRule="exact"/>
              <w:rPr>
                <w:rFonts w:hint="eastAsia" w:ascii="宋体" w:hAnsi="宋体" w:eastAsia="宋体" w:cs="宋体"/>
                <w:b/>
                <w:bCs/>
                <w:color w:val="000000"/>
                <w:szCs w:val="21"/>
              </w:rPr>
            </w:pPr>
          </w:p>
        </w:tc>
      </w:tr>
      <w:tr w14:paraId="2ADB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7" w:hRule="atLeast"/>
          <w:jc w:val="center"/>
        </w:trPr>
        <w:tc>
          <w:tcPr>
            <w:tcW w:w="923" w:type="dxa"/>
            <w:vMerge w:val="continue"/>
            <w:shd w:val="clear" w:color="auto" w:fill="FFFFFF"/>
            <w:noWrap w:val="0"/>
            <w:vAlign w:val="top"/>
          </w:tcPr>
          <w:p w14:paraId="3C0CFAF2">
            <w:pPr>
              <w:spacing w:line="320" w:lineRule="exact"/>
              <w:jc w:val="center"/>
              <w:rPr>
                <w:rFonts w:hint="eastAsia" w:ascii="宋体" w:hAnsi="宋体" w:eastAsia="宋体" w:cs="宋体"/>
                <w:b/>
                <w:bCs/>
                <w:color w:val="000000"/>
                <w:szCs w:val="21"/>
                <w:shd w:val="clear" w:color="auto" w:fill="FFFF00"/>
              </w:rPr>
            </w:pPr>
          </w:p>
        </w:tc>
        <w:tc>
          <w:tcPr>
            <w:tcW w:w="809" w:type="dxa"/>
            <w:vMerge w:val="continue"/>
            <w:shd w:val="clear" w:color="auto" w:fill="FFFFFF"/>
            <w:noWrap w:val="0"/>
            <w:vAlign w:val="top"/>
          </w:tcPr>
          <w:p w14:paraId="1EA536D4">
            <w:pPr>
              <w:spacing w:line="320" w:lineRule="exact"/>
              <w:jc w:val="center"/>
              <w:rPr>
                <w:rFonts w:hint="eastAsia" w:ascii="宋体" w:hAnsi="宋体" w:eastAsia="宋体" w:cs="宋体"/>
                <w:b/>
                <w:color w:val="000000"/>
                <w:szCs w:val="21"/>
                <w:shd w:val="clear" w:color="auto" w:fill="FFFF00"/>
              </w:rPr>
            </w:pPr>
          </w:p>
        </w:tc>
        <w:tc>
          <w:tcPr>
            <w:tcW w:w="815" w:type="dxa"/>
            <w:shd w:val="clear" w:color="auto" w:fill="FFFFFF"/>
            <w:noWrap w:val="0"/>
            <w:vAlign w:val="top"/>
          </w:tcPr>
          <w:p w14:paraId="0B03A783">
            <w:pPr>
              <w:spacing w:line="320" w:lineRule="exact"/>
              <w:jc w:val="center"/>
              <w:rPr>
                <w:rFonts w:hint="eastAsia" w:ascii="宋体" w:hAnsi="宋体" w:eastAsia="宋体"/>
                <w:b/>
                <w:color w:val="000000"/>
              </w:rPr>
            </w:pPr>
            <w:r>
              <w:rPr>
                <w:rFonts w:hint="eastAsia" w:ascii="宋体" w:hAnsi="宋体" w:eastAsia="宋体"/>
                <w:b/>
                <w:color w:val="000000"/>
              </w:rPr>
              <w:t>5</w:t>
            </w:r>
            <w:r>
              <w:rPr>
                <w:rFonts w:ascii="宋体" w:hAnsi="宋体" w:eastAsia="宋体"/>
                <w:b/>
                <w:color w:val="000000"/>
              </w:rPr>
              <w:t>.2.</w:t>
            </w:r>
            <w:r>
              <w:rPr>
                <w:rFonts w:hint="eastAsia" w:ascii="宋体" w:hAnsi="宋体" w:eastAsia="宋体"/>
                <w:b/>
                <w:color w:val="000000"/>
              </w:rPr>
              <w:t>3事故事件管理</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4E054B8A">
            <w:pPr>
              <w:spacing w:line="320" w:lineRule="exact"/>
              <w:rPr>
                <w:rFonts w:hint="eastAsia" w:ascii="Times New Roman" w:hAnsi="Times New Roman" w:eastAsia="宋体"/>
                <w:color w:val="000000"/>
              </w:rPr>
            </w:pPr>
            <w:r>
              <w:rPr>
                <w:rFonts w:hint="eastAsia" w:ascii="Times New Roman" w:hAnsi="Times New Roman" w:eastAsia="宋体"/>
                <w:color w:val="000000"/>
              </w:rPr>
              <w:t>1</w:t>
            </w:r>
            <w:r>
              <w:rPr>
                <w:rFonts w:ascii="Times New Roman" w:hAnsi="Times New Roman" w:eastAsia="宋体"/>
                <w:color w:val="000000"/>
              </w:rPr>
              <w:t>.企业应保留事故事件调查记录</w:t>
            </w:r>
            <w:r>
              <w:rPr>
                <w:rFonts w:hint="eastAsia" w:ascii="Times New Roman" w:hAnsi="Times New Roman" w:eastAsia="宋体"/>
                <w:color w:val="000000"/>
              </w:rPr>
              <w:t>，</w:t>
            </w:r>
            <w:r>
              <w:rPr>
                <w:rFonts w:ascii="Times New Roman" w:hAnsi="Times New Roman" w:eastAsia="宋体"/>
                <w:color w:val="000000"/>
              </w:rPr>
              <w:t>将事故事件调查结果登记备案并在企业内部公布</w:t>
            </w:r>
            <w:r>
              <w:rPr>
                <w:rFonts w:hint="eastAsia" w:ascii="Times New Roman" w:hAnsi="Times New Roman" w:eastAsia="宋体"/>
                <w:color w:val="000000"/>
              </w:rPr>
              <w:t>，</w:t>
            </w:r>
            <w:r>
              <w:rPr>
                <w:rFonts w:ascii="Times New Roman" w:hAnsi="Times New Roman" w:eastAsia="宋体"/>
                <w:color w:val="000000"/>
              </w:rPr>
              <w:t>事故事件调查报告应至少保存 5年</w:t>
            </w:r>
            <w:r>
              <w:rPr>
                <w:rFonts w:hint="eastAsia" w:ascii="Times New Roman" w:hAnsi="Times New Roman" w:eastAsia="宋体"/>
                <w:color w:val="000000"/>
              </w:rPr>
              <w:t>。</w:t>
            </w:r>
          </w:p>
          <w:p w14:paraId="296DFC87">
            <w:pPr>
              <w:spacing w:line="320" w:lineRule="exact"/>
              <w:rPr>
                <w:rFonts w:hint="eastAsia" w:ascii="Times New Roman" w:hAnsi="Times New Roman" w:eastAsia="宋体"/>
                <w:color w:val="000000"/>
              </w:rPr>
            </w:pPr>
            <w:r>
              <w:rPr>
                <w:rFonts w:hint="eastAsia" w:ascii="Times New Roman" w:hAnsi="Times New Roman" w:eastAsia="宋体"/>
                <w:color w:val="000000"/>
              </w:rPr>
              <w:t>2.企业应建立事故事件档案和管理台账，将供应商在企业内部发生的事故纳入本企业事故管理。</w:t>
            </w:r>
          </w:p>
        </w:tc>
        <w:tc>
          <w:tcPr>
            <w:tcW w:w="3764" w:type="dxa"/>
            <w:shd w:val="clear" w:color="auto" w:fill="FFFFFF"/>
            <w:noWrap w:val="0"/>
            <w:vAlign w:val="top"/>
          </w:tcPr>
          <w:p w14:paraId="6CFDCC4A">
            <w:pPr>
              <w:spacing w:line="320" w:lineRule="exact"/>
              <w:rPr>
                <w:rFonts w:hint="eastAsia" w:ascii="Times New Roman" w:hAnsi="Times New Roman" w:eastAsia="宋体"/>
                <w:color w:val="000000"/>
              </w:rPr>
            </w:pPr>
            <w:r>
              <w:rPr>
                <w:rFonts w:hint="eastAsia" w:ascii="Times New Roman" w:hAnsi="Times New Roman" w:eastAsia="宋体"/>
                <w:color w:val="000000"/>
              </w:rPr>
              <w:t>1.企业未建立事故事件档案和管理台账的，扣2分，未按照要求保留事故事件调查报告的，扣2分。,</w:t>
            </w:r>
          </w:p>
          <w:p w14:paraId="34ADC098">
            <w:pPr>
              <w:spacing w:line="320" w:lineRule="exact"/>
              <w:rPr>
                <w:rFonts w:hint="eastAsia" w:ascii="Times New Roman" w:hAnsi="Times New Roman" w:eastAsia="宋体"/>
                <w:color w:val="000000"/>
              </w:rPr>
            </w:pPr>
            <w:r>
              <w:rPr>
                <w:rFonts w:hint="eastAsia" w:ascii="Times New Roman" w:hAnsi="Times New Roman" w:eastAsia="宋体"/>
                <w:color w:val="000000"/>
              </w:rPr>
              <w:t>2.企业未将供应商在企业内部发生的事故事件纳入本企业事故管理的，一次扣2分。</w:t>
            </w:r>
          </w:p>
        </w:tc>
        <w:tc>
          <w:tcPr>
            <w:tcW w:w="1050" w:type="dxa"/>
            <w:shd w:val="clear" w:color="auto" w:fill="FFFFFF"/>
            <w:noWrap w:val="0"/>
            <w:vAlign w:val="top"/>
          </w:tcPr>
          <w:p w14:paraId="1613F5C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7F641F3">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7D9763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D1B3B29">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ACD0ED3">
            <w:pPr>
              <w:spacing w:line="320" w:lineRule="exact"/>
              <w:rPr>
                <w:rFonts w:hint="eastAsia" w:ascii="宋体" w:hAnsi="宋体" w:eastAsia="宋体" w:cs="宋体"/>
                <w:b/>
                <w:bCs/>
                <w:color w:val="000000"/>
                <w:szCs w:val="21"/>
              </w:rPr>
            </w:pPr>
          </w:p>
        </w:tc>
      </w:tr>
      <w:tr w14:paraId="57D1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7" w:hRule="atLeast"/>
          <w:jc w:val="center"/>
        </w:trPr>
        <w:tc>
          <w:tcPr>
            <w:tcW w:w="923" w:type="dxa"/>
            <w:vMerge w:val="restart"/>
            <w:shd w:val="clear" w:color="auto" w:fill="FFFFFF"/>
            <w:noWrap w:val="0"/>
            <w:vAlign w:val="top"/>
          </w:tcPr>
          <w:p w14:paraId="59DA98FA">
            <w:pPr>
              <w:spacing w:line="320" w:lineRule="exact"/>
              <w:jc w:val="center"/>
              <w:rPr>
                <w:rFonts w:hint="eastAsia" w:ascii="宋体" w:hAnsi="宋体" w:eastAsia="宋体"/>
                <w:b/>
                <w:color w:val="000000"/>
              </w:rPr>
            </w:pPr>
            <w:r>
              <w:rPr>
                <w:rFonts w:hint="eastAsia" w:ascii="宋体" w:hAnsi="宋体" w:eastAsia="宋体"/>
                <w:b/>
                <w:color w:val="000000"/>
              </w:rPr>
              <w:t>6</w:t>
            </w:r>
          </w:p>
          <w:p w14:paraId="7F0D2861">
            <w:pPr>
              <w:spacing w:line="320" w:lineRule="exact"/>
              <w:jc w:val="center"/>
              <w:rPr>
                <w:rFonts w:hint="eastAsia" w:ascii="宋体" w:hAnsi="宋体" w:eastAsia="宋体"/>
                <w:b/>
                <w:color w:val="000000"/>
              </w:rPr>
            </w:pPr>
            <w:r>
              <w:rPr>
                <w:rFonts w:hint="eastAsia" w:ascii="宋体" w:hAnsi="宋体" w:eastAsia="宋体"/>
                <w:b/>
                <w:color w:val="000000"/>
              </w:rPr>
              <w:t>持续</w:t>
            </w:r>
          </w:p>
          <w:p w14:paraId="52705D42">
            <w:pPr>
              <w:spacing w:line="320" w:lineRule="exact"/>
              <w:jc w:val="center"/>
              <w:rPr>
                <w:rFonts w:hint="eastAsia" w:ascii="宋体" w:hAnsi="宋体" w:eastAsia="宋体"/>
                <w:b/>
                <w:color w:val="000000"/>
              </w:rPr>
            </w:pPr>
            <w:r>
              <w:rPr>
                <w:rFonts w:hint="eastAsia" w:ascii="宋体" w:hAnsi="宋体" w:eastAsia="宋体"/>
                <w:b/>
                <w:color w:val="000000"/>
              </w:rPr>
              <w:t>改进</w:t>
            </w:r>
          </w:p>
          <w:p w14:paraId="3E18F3CE">
            <w:pPr>
              <w:spacing w:line="320" w:lineRule="exact"/>
              <w:jc w:val="center"/>
              <w:rPr>
                <w:rFonts w:hint="eastAsia" w:ascii="宋体" w:hAnsi="宋体" w:eastAsia="宋体"/>
                <w:b/>
                <w:color w:val="000000"/>
              </w:rPr>
            </w:pPr>
            <w:r>
              <w:rPr>
                <w:rFonts w:hint="eastAsia" w:ascii="宋体" w:hAnsi="宋体" w:eastAsia="宋体"/>
                <w:b/>
                <w:color w:val="000000"/>
              </w:rPr>
              <w:t>（100分）</w:t>
            </w:r>
          </w:p>
        </w:tc>
        <w:tc>
          <w:tcPr>
            <w:tcW w:w="809" w:type="dxa"/>
            <w:vMerge w:val="restart"/>
            <w:shd w:val="clear" w:color="auto" w:fill="FFFFFF"/>
            <w:noWrap w:val="0"/>
            <w:vAlign w:val="top"/>
          </w:tcPr>
          <w:p w14:paraId="0F4F5BFF">
            <w:pPr>
              <w:spacing w:line="320" w:lineRule="exact"/>
              <w:jc w:val="center"/>
              <w:rPr>
                <w:rFonts w:hint="eastAsia" w:ascii="宋体" w:hAnsi="宋体" w:eastAsia="宋体"/>
                <w:b/>
                <w:color w:val="000000"/>
              </w:rPr>
            </w:pPr>
            <w:r>
              <w:rPr>
                <w:rFonts w:hint="eastAsia" w:ascii="宋体" w:hAnsi="宋体" w:eastAsia="宋体"/>
                <w:b/>
                <w:color w:val="000000"/>
              </w:rPr>
              <w:t>6.1</w:t>
            </w:r>
          </w:p>
          <w:p w14:paraId="6DDB6E45">
            <w:pPr>
              <w:spacing w:line="320" w:lineRule="exact"/>
              <w:jc w:val="center"/>
              <w:rPr>
                <w:rFonts w:hint="eastAsia" w:ascii="宋体" w:hAnsi="宋体" w:eastAsia="宋体"/>
                <w:b/>
                <w:color w:val="000000"/>
              </w:rPr>
            </w:pPr>
            <w:r>
              <w:rPr>
                <w:rFonts w:hint="eastAsia" w:ascii="宋体" w:hAnsi="宋体" w:eastAsia="宋体"/>
                <w:b/>
                <w:color w:val="000000"/>
              </w:rPr>
              <w:t>持续改进与提升（100分）</w:t>
            </w:r>
          </w:p>
        </w:tc>
        <w:tc>
          <w:tcPr>
            <w:tcW w:w="815" w:type="dxa"/>
            <w:shd w:val="clear" w:color="auto" w:fill="FFFFFF"/>
            <w:noWrap w:val="0"/>
            <w:vAlign w:val="top"/>
          </w:tcPr>
          <w:p w14:paraId="3BDFE4F3">
            <w:pPr>
              <w:spacing w:line="320" w:lineRule="exact"/>
              <w:jc w:val="center"/>
              <w:rPr>
                <w:rFonts w:hint="eastAsia" w:ascii="宋体" w:hAnsi="宋体" w:eastAsia="宋体"/>
                <w:b/>
                <w:color w:val="000000"/>
              </w:rPr>
            </w:pPr>
            <w:r>
              <w:rPr>
                <w:rFonts w:hint="eastAsia" w:ascii="宋体" w:hAnsi="宋体" w:eastAsia="宋体"/>
                <w:b/>
                <w:color w:val="000000"/>
              </w:rPr>
              <w:t>6.1.1绩效评定改进与提升</w:t>
            </w:r>
            <w:r>
              <w:rPr>
                <w:rFonts w:hint="eastAsia" w:ascii="宋体" w:hAnsi="宋体"/>
                <w:b/>
                <w:color w:val="000000"/>
                <w:lang w:eastAsia="zh-CN"/>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4642" w:type="dxa"/>
            <w:shd w:val="clear" w:color="auto" w:fill="FFFFFF"/>
            <w:noWrap w:val="0"/>
            <w:vAlign w:val="top"/>
          </w:tcPr>
          <w:p w14:paraId="36237D9D">
            <w:pPr>
              <w:spacing w:line="320" w:lineRule="exact"/>
              <w:rPr>
                <w:rFonts w:hint="eastAsia" w:ascii="宋体" w:hAnsi="宋体" w:eastAsia="宋体"/>
                <w:color w:val="000000"/>
              </w:rPr>
            </w:pPr>
            <w:r>
              <w:rPr>
                <w:rFonts w:hint="eastAsia" w:ascii="宋体" w:hAnsi="宋体" w:eastAsia="宋体"/>
                <w:color w:val="000000"/>
              </w:rPr>
              <w:t>1.企业应成立安全生产标准化建设领导组织，制定安全生产标准化建设实施方案，明确工作目标、任务、实施步骤、进度安排等。</w:t>
            </w:r>
          </w:p>
          <w:p w14:paraId="0441CCB0">
            <w:pPr>
              <w:spacing w:line="320" w:lineRule="exact"/>
              <w:rPr>
                <w:rFonts w:ascii="宋体" w:hAnsi="宋体" w:eastAsia="宋体"/>
                <w:color w:val="000000"/>
              </w:rPr>
            </w:pPr>
            <w:r>
              <w:rPr>
                <w:rFonts w:hint="eastAsia" w:ascii="宋体" w:hAnsi="宋体" w:eastAsia="宋体"/>
                <w:color w:val="000000"/>
              </w:rPr>
              <w:t>2.企业每年至少应对安全生产标准化管理体系的运行情况进行一次综合评审。</w:t>
            </w:r>
          </w:p>
          <w:p w14:paraId="501FB2E0">
            <w:pPr>
              <w:spacing w:line="320" w:lineRule="exact"/>
              <w:rPr>
                <w:rFonts w:hint="eastAsia" w:ascii="宋体" w:hAnsi="宋体" w:eastAsia="宋体"/>
                <w:color w:val="000000"/>
              </w:rPr>
            </w:pPr>
            <w:r>
              <w:rPr>
                <w:rFonts w:hint="eastAsia" w:ascii="宋体" w:hAnsi="宋体" w:eastAsia="宋体"/>
                <w:color w:val="000000"/>
              </w:rPr>
              <w:t>3.企业应根据安全生产标准化管理体系的自评结果，客观分析企业安全生产标准化管理体系的运行质量，及时调整完善相关制度文件和过程管控，持续改进，不断提高安全生产绩效。</w:t>
            </w:r>
          </w:p>
          <w:p w14:paraId="395F5013">
            <w:pPr>
              <w:spacing w:line="320" w:lineRule="exact"/>
              <w:rPr>
                <w:rFonts w:hint="eastAsia" w:ascii="宋体" w:hAnsi="宋体" w:eastAsia="宋体"/>
                <w:color w:val="000000"/>
              </w:rPr>
            </w:pPr>
            <w:r>
              <w:rPr>
                <w:rFonts w:hint="eastAsia" w:ascii="宋体" w:hAnsi="宋体" w:eastAsia="宋体"/>
                <w:color w:val="000000"/>
              </w:rPr>
              <w:t>4.企业应根据以下情况变化，及时开展自评：</w:t>
            </w:r>
          </w:p>
          <w:p w14:paraId="4292990E">
            <w:pPr>
              <w:spacing w:line="320" w:lineRule="exact"/>
              <w:rPr>
                <w:rFonts w:hint="eastAsia" w:ascii="宋体" w:hAnsi="宋体" w:eastAsia="宋体"/>
                <w:color w:val="000000"/>
              </w:rPr>
            </w:pPr>
            <w:r>
              <w:rPr>
                <w:rFonts w:hint="eastAsia" w:ascii="宋体" w:hAnsi="宋体" w:eastAsia="宋体"/>
                <w:color w:val="000000"/>
              </w:rPr>
              <w:t>（1）法律法规及标准规程变化或更新；</w:t>
            </w:r>
          </w:p>
          <w:p w14:paraId="62CD68D0">
            <w:pPr>
              <w:spacing w:line="320" w:lineRule="exact"/>
              <w:rPr>
                <w:rFonts w:hint="eastAsia" w:ascii="宋体" w:hAnsi="宋体" w:eastAsia="宋体"/>
                <w:color w:val="000000"/>
              </w:rPr>
            </w:pPr>
            <w:r>
              <w:rPr>
                <w:rFonts w:hint="eastAsia" w:ascii="宋体" w:hAnsi="宋体" w:eastAsia="宋体"/>
                <w:color w:val="000000"/>
              </w:rPr>
              <w:t>（2）政府规范性文件提出新要求；</w:t>
            </w:r>
          </w:p>
          <w:p w14:paraId="2F46B0E5">
            <w:pPr>
              <w:spacing w:line="320" w:lineRule="exact"/>
              <w:rPr>
                <w:rFonts w:hint="eastAsia" w:ascii="宋体" w:hAnsi="宋体" w:eastAsia="宋体"/>
                <w:color w:val="000000"/>
              </w:rPr>
            </w:pPr>
            <w:r>
              <w:rPr>
                <w:rFonts w:hint="eastAsia" w:ascii="宋体" w:hAnsi="宋体" w:eastAsia="宋体"/>
                <w:color w:val="000000"/>
              </w:rPr>
              <w:t>（3）企业组织机构和安全管理机制发生变化；</w:t>
            </w:r>
          </w:p>
          <w:p w14:paraId="53328808">
            <w:pPr>
              <w:spacing w:line="320" w:lineRule="exact"/>
              <w:rPr>
                <w:rFonts w:hint="eastAsia" w:ascii="宋体" w:hAnsi="宋体" w:eastAsia="宋体"/>
                <w:color w:val="000000"/>
              </w:rPr>
            </w:pPr>
            <w:r>
              <w:rPr>
                <w:rFonts w:hint="eastAsia" w:ascii="宋体" w:hAnsi="宋体" w:eastAsia="宋体"/>
                <w:color w:val="000000"/>
              </w:rPr>
              <w:t>（4）企业自身提出更高的安全管理要求；</w:t>
            </w:r>
          </w:p>
          <w:p w14:paraId="3652DD98">
            <w:pPr>
              <w:spacing w:line="320" w:lineRule="exact"/>
              <w:rPr>
                <w:rFonts w:hint="eastAsia" w:ascii="宋体" w:hAnsi="宋体" w:eastAsia="宋体"/>
                <w:color w:val="000000"/>
              </w:rPr>
            </w:pPr>
            <w:r>
              <w:rPr>
                <w:rFonts w:hint="eastAsia" w:ascii="宋体" w:hAnsi="宋体" w:eastAsia="宋体"/>
                <w:color w:val="000000"/>
              </w:rPr>
              <w:t>（5）事故事件或应急预案演练结果反馈的需求；</w:t>
            </w:r>
          </w:p>
          <w:p w14:paraId="25D9E144">
            <w:pPr>
              <w:spacing w:line="320" w:lineRule="exact"/>
              <w:rPr>
                <w:rFonts w:hint="eastAsia" w:ascii="Times New Roman" w:hAnsi="Times New Roman" w:eastAsia="宋体"/>
                <w:color w:val="000000"/>
              </w:rPr>
            </w:pPr>
            <w:r>
              <w:rPr>
                <w:rFonts w:hint="eastAsia" w:ascii="宋体" w:hAnsi="宋体" w:eastAsia="宋体"/>
                <w:color w:val="000000"/>
              </w:rPr>
              <w:t>（6）其他情形出现应当进行更新的。</w:t>
            </w:r>
          </w:p>
        </w:tc>
        <w:tc>
          <w:tcPr>
            <w:tcW w:w="3764" w:type="dxa"/>
            <w:shd w:val="clear" w:color="auto" w:fill="FFFFFF"/>
            <w:noWrap w:val="0"/>
            <w:vAlign w:val="top"/>
          </w:tcPr>
          <w:p w14:paraId="7860615E">
            <w:pPr>
              <w:spacing w:line="320" w:lineRule="exact"/>
              <w:rPr>
                <w:rFonts w:hint="eastAsia" w:ascii="宋体" w:hAnsi="宋体" w:eastAsia="宋体"/>
                <w:color w:val="000000"/>
              </w:rPr>
            </w:pPr>
            <w:r>
              <w:rPr>
                <w:rFonts w:hint="eastAsia" w:ascii="宋体" w:hAnsi="宋体" w:eastAsia="宋体"/>
                <w:color w:val="000000"/>
              </w:rPr>
              <w:t>1.企业安全生产标准化建设实施方案未明确工作目标、任务、实施步骤、进度安排等，或未做到责任层层分解的，一处扣2分。</w:t>
            </w:r>
          </w:p>
          <w:p w14:paraId="1646B421">
            <w:pPr>
              <w:spacing w:line="320" w:lineRule="exact"/>
              <w:rPr>
                <w:rFonts w:ascii="宋体" w:hAnsi="宋体" w:eastAsia="宋体"/>
                <w:color w:val="000000"/>
              </w:rPr>
            </w:pPr>
            <w:r>
              <w:rPr>
                <w:rFonts w:hint="eastAsia" w:ascii="宋体" w:hAnsi="宋体" w:eastAsia="宋体"/>
                <w:color w:val="000000"/>
              </w:rPr>
              <w:t>2.企业未组织对安全生产标准化管理体系运行情况进行评审的，扣5分。</w:t>
            </w:r>
          </w:p>
          <w:p w14:paraId="4598A3D9">
            <w:pPr>
              <w:spacing w:line="320" w:lineRule="exact"/>
              <w:rPr>
                <w:rFonts w:hint="eastAsia" w:ascii="宋体" w:hAnsi="宋体" w:eastAsia="宋体"/>
                <w:color w:val="000000"/>
              </w:rPr>
            </w:pPr>
            <w:r>
              <w:rPr>
                <w:rFonts w:hint="eastAsia" w:ascii="宋体" w:hAnsi="宋体" w:eastAsia="宋体"/>
                <w:color w:val="000000"/>
              </w:rPr>
              <w:t>3.企业主要负责人未组织评审工作的或未根据评审结果进行提升改进的，每少一项扣2分。</w:t>
            </w:r>
          </w:p>
          <w:p w14:paraId="4C93480F">
            <w:pPr>
              <w:spacing w:line="320" w:lineRule="exact"/>
              <w:rPr>
                <w:rFonts w:hint="eastAsia" w:ascii="宋体" w:hAnsi="宋体" w:eastAsia="宋体"/>
                <w:color w:val="000000"/>
              </w:rPr>
            </w:pPr>
            <w:r>
              <w:rPr>
                <w:rFonts w:hint="eastAsia" w:ascii="宋体" w:hAnsi="宋体" w:eastAsia="宋体"/>
                <w:color w:val="000000"/>
              </w:rPr>
              <w:t>4.企业内外部条件发生变化未及时进行自评的，一次扣3分。</w:t>
            </w:r>
          </w:p>
          <w:p w14:paraId="7F26845F">
            <w:pPr>
              <w:spacing w:line="320" w:lineRule="exact"/>
              <w:rPr>
                <w:rFonts w:hint="eastAsia" w:ascii="宋体" w:hAnsi="宋体" w:eastAsia="宋体"/>
                <w:b/>
                <w:color w:val="000000"/>
              </w:rPr>
            </w:pPr>
            <w:r>
              <w:rPr>
                <w:rFonts w:hint="eastAsia" w:ascii="宋体" w:hAnsi="宋体" w:eastAsia="宋体"/>
                <w:b/>
                <w:color w:val="000000"/>
              </w:rPr>
              <w:t>1.</w:t>
            </w:r>
            <w:r>
              <w:rPr>
                <w:rFonts w:hint="eastAsia" w:ascii="宋体" w:hAnsi="宋体" w:eastAsia="宋体"/>
                <w:b/>
                <w:color w:val="000000"/>
                <w:lang w:val="en"/>
              </w:rPr>
              <w:t>企业</w:t>
            </w:r>
            <w:r>
              <w:rPr>
                <w:rFonts w:hint="eastAsia" w:ascii="宋体" w:hAnsi="宋体" w:eastAsia="宋体"/>
                <w:b/>
                <w:color w:val="000000"/>
              </w:rPr>
              <w:t>未成立安全生产标准化建设领导组织，或未制定安全生产标准化建设实施方案的，扣100分。</w:t>
            </w:r>
            <w:r>
              <w:rPr>
                <w:rFonts w:hint="eastAsia" w:ascii="宋体" w:hAnsi="宋体"/>
                <w:b/>
                <w:color w:val="000000"/>
                <w:lang w:eastAsia="zh-CN"/>
              </w:rPr>
              <w:t>（</w:t>
            </w:r>
            <w:r>
              <w:rPr>
                <w:rFonts w:hint="eastAsia" w:ascii="宋体" w:hAnsi="宋体" w:eastAsia="宋体"/>
                <w:b/>
                <w:color w:val="000000"/>
              </w:rPr>
              <w:t>A级要素否决项</w:t>
            </w:r>
            <w:r>
              <w:rPr>
                <w:rFonts w:hint="eastAsia" w:ascii="宋体" w:hAnsi="宋体"/>
                <w:b/>
                <w:color w:val="000000"/>
                <w:lang w:eastAsia="zh-CN"/>
              </w:rPr>
              <w:t>）</w:t>
            </w:r>
          </w:p>
        </w:tc>
        <w:tc>
          <w:tcPr>
            <w:tcW w:w="1050" w:type="dxa"/>
            <w:shd w:val="clear" w:color="auto" w:fill="FFFFFF"/>
            <w:noWrap w:val="0"/>
            <w:vAlign w:val="top"/>
          </w:tcPr>
          <w:p w14:paraId="0E9A1E5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F8D8728">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8A27D5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970A87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7909614">
            <w:pPr>
              <w:spacing w:line="320" w:lineRule="exact"/>
              <w:rPr>
                <w:rFonts w:hint="eastAsia" w:ascii="宋体" w:hAnsi="宋体" w:eastAsia="宋体" w:cs="宋体"/>
                <w:b/>
                <w:bCs/>
                <w:color w:val="000000"/>
                <w:szCs w:val="21"/>
              </w:rPr>
            </w:pPr>
          </w:p>
        </w:tc>
      </w:tr>
      <w:tr w14:paraId="22F8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11" w:hRule="atLeast"/>
          <w:jc w:val="center"/>
        </w:trPr>
        <w:tc>
          <w:tcPr>
            <w:tcW w:w="923" w:type="dxa"/>
            <w:vMerge w:val="continue"/>
            <w:shd w:val="clear" w:color="auto" w:fill="FFFFFF"/>
            <w:noWrap w:val="0"/>
            <w:vAlign w:val="top"/>
          </w:tcPr>
          <w:p w14:paraId="7B50A266">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63AD5D3D">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43D59C73">
            <w:pPr>
              <w:spacing w:line="320" w:lineRule="exact"/>
              <w:jc w:val="center"/>
              <w:rPr>
                <w:rFonts w:hint="eastAsia" w:ascii="宋体" w:hAnsi="宋体" w:eastAsia="宋体"/>
                <w:b/>
                <w:color w:val="000000"/>
              </w:rPr>
            </w:pPr>
            <w:r>
              <w:rPr>
                <w:rFonts w:hint="eastAsia" w:ascii="宋体" w:hAnsi="宋体" w:eastAsia="宋体"/>
                <w:b/>
                <w:color w:val="000000"/>
              </w:rPr>
              <w:t>6.1.2沟通与交流</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7D98FE56">
            <w:pPr>
              <w:spacing w:line="320" w:lineRule="exact"/>
              <w:rPr>
                <w:rFonts w:hint="eastAsia" w:ascii="宋体" w:hAnsi="宋体" w:eastAsia="宋体"/>
                <w:color w:val="000000"/>
              </w:rPr>
            </w:pPr>
            <w:r>
              <w:rPr>
                <w:rFonts w:hint="eastAsia" w:ascii="宋体" w:hAnsi="宋体" w:eastAsia="宋体"/>
                <w:color w:val="000000"/>
              </w:rPr>
              <w:t>1.企业要建立畅通的沟通与交流渠道，确保企业各项信息的上传下达并及时落实。</w:t>
            </w:r>
          </w:p>
          <w:p w14:paraId="562FC6D9">
            <w:pPr>
              <w:spacing w:line="320" w:lineRule="exact"/>
              <w:rPr>
                <w:rFonts w:hint="eastAsia" w:ascii="宋体" w:hAnsi="宋体" w:eastAsia="宋体"/>
                <w:color w:val="000000"/>
              </w:rPr>
            </w:pPr>
            <w:r>
              <w:rPr>
                <w:rFonts w:hint="eastAsia" w:ascii="宋体" w:hAnsi="宋体" w:eastAsia="宋体"/>
                <w:color w:val="000000"/>
              </w:rPr>
              <w:t>2.企业应积极建立与同类企业的沟通渠道。</w:t>
            </w:r>
          </w:p>
        </w:tc>
        <w:tc>
          <w:tcPr>
            <w:tcW w:w="3764" w:type="dxa"/>
            <w:shd w:val="clear" w:color="auto" w:fill="FFFFFF"/>
            <w:noWrap w:val="0"/>
            <w:vAlign w:val="top"/>
          </w:tcPr>
          <w:p w14:paraId="625E8746">
            <w:pPr>
              <w:spacing w:line="320" w:lineRule="exact"/>
              <w:rPr>
                <w:rFonts w:hint="eastAsia" w:ascii="宋体" w:hAnsi="宋体" w:eastAsia="宋体"/>
                <w:color w:val="000000"/>
              </w:rPr>
            </w:pPr>
            <w:r>
              <w:rPr>
                <w:rFonts w:hint="eastAsia" w:ascii="宋体" w:hAnsi="宋体" w:eastAsia="宋体"/>
                <w:color w:val="000000"/>
              </w:rPr>
              <w:t>1.企业未建立畅通的沟通与交流渠道的，扣2分。</w:t>
            </w:r>
          </w:p>
          <w:p w14:paraId="11D7423A">
            <w:pPr>
              <w:spacing w:line="320" w:lineRule="exact"/>
              <w:rPr>
                <w:rFonts w:hint="eastAsia" w:ascii="宋体" w:hAnsi="宋体" w:eastAsia="宋体"/>
                <w:color w:val="000000"/>
              </w:rPr>
            </w:pPr>
            <w:r>
              <w:rPr>
                <w:rFonts w:hint="eastAsia" w:ascii="宋体" w:hAnsi="宋体" w:eastAsia="宋体"/>
                <w:color w:val="000000"/>
              </w:rPr>
              <w:t>2.企业与同类企业的信息沟通不畅的，扣2分。</w:t>
            </w:r>
          </w:p>
        </w:tc>
        <w:tc>
          <w:tcPr>
            <w:tcW w:w="1050" w:type="dxa"/>
            <w:shd w:val="clear" w:color="auto" w:fill="FFFFFF"/>
            <w:noWrap w:val="0"/>
            <w:vAlign w:val="top"/>
          </w:tcPr>
          <w:p w14:paraId="00F4700D">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E37AF1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56B6589">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E16A7B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4074138">
            <w:pPr>
              <w:spacing w:line="320" w:lineRule="exact"/>
              <w:rPr>
                <w:rFonts w:hint="eastAsia" w:ascii="宋体" w:hAnsi="宋体" w:eastAsia="宋体" w:cs="宋体"/>
                <w:b/>
                <w:bCs/>
                <w:color w:val="000000"/>
                <w:szCs w:val="21"/>
              </w:rPr>
            </w:pPr>
          </w:p>
        </w:tc>
      </w:tr>
      <w:tr w14:paraId="3539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7" w:hRule="atLeast"/>
          <w:jc w:val="center"/>
        </w:trPr>
        <w:tc>
          <w:tcPr>
            <w:tcW w:w="923" w:type="dxa"/>
            <w:vMerge w:val="continue"/>
            <w:shd w:val="clear" w:color="auto" w:fill="FFFFFF"/>
            <w:noWrap w:val="0"/>
            <w:vAlign w:val="top"/>
          </w:tcPr>
          <w:p w14:paraId="5376C171">
            <w:pPr>
              <w:spacing w:line="320" w:lineRule="exact"/>
              <w:jc w:val="center"/>
              <w:rPr>
                <w:rFonts w:hint="eastAsia" w:ascii="宋体" w:hAnsi="宋体" w:eastAsia="宋体" w:cs="宋体"/>
                <w:b/>
                <w:bCs/>
                <w:color w:val="000000"/>
                <w:szCs w:val="21"/>
              </w:rPr>
            </w:pPr>
          </w:p>
        </w:tc>
        <w:tc>
          <w:tcPr>
            <w:tcW w:w="809" w:type="dxa"/>
            <w:vMerge w:val="continue"/>
            <w:shd w:val="clear" w:color="auto" w:fill="FFFFFF"/>
            <w:noWrap w:val="0"/>
            <w:vAlign w:val="top"/>
          </w:tcPr>
          <w:p w14:paraId="6CEC3495">
            <w:pPr>
              <w:spacing w:line="320" w:lineRule="exact"/>
              <w:jc w:val="center"/>
              <w:rPr>
                <w:rFonts w:hint="eastAsia" w:ascii="宋体" w:hAnsi="宋体" w:eastAsia="宋体" w:cs="宋体"/>
                <w:b/>
                <w:color w:val="000000"/>
                <w:szCs w:val="21"/>
              </w:rPr>
            </w:pPr>
          </w:p>
        </w:tc>
        <w:tc>
          <w:tcPr>
            <w:tcW w:w="815" w:type="dxa"/>
            <w:shd w:val="clear" w:color="auto" w:fill="FFFFFF"/>
            <w:noWrap w:val="0"/>
            <w:vAlign w:val="top"/>
          </w:tcPr>
          <w:p w14:paraId="61008F13">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6.1.3</w:t>
            </w:r>
          </w:p>
          <w:p w14:paraId="31DEE8EC">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考核</w:t>
            </w:r>
          </w:p>
          <w:p w14:paraId="2A29D10D">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与</w:t>
            </w:r>
          </w:p>
          <w:p w14:paraId="71B72517">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奖惩</w:t>
            </w:r>
          </w:p>
          <w:p w14:paraId="63A6BDD7">
            <w:pPr>
              <w:spacing w:line="320" w:lineRule="exact"/>
              <w:jc w:val="center"/>
              <w:rPr>
                <w:rFonts w:hint="eastAsia" w:ascii="宋体" w:hAnsi="宋体" w:eastAsia="宋体"/>
                <w:b/>
                <w:color w:val="000000"/>
              </w:rPr>
            </w:pP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shd w:val="clear" w:color="auto" w:fill="FFFFFF"/>
            <w:noWrap w:val="0"/>
            <w:vAlign w:val="top"/>
          </w:tcPr>
          <w:p w14:paraId="7CBA99C6">
            <w:pPr>
              <w:spacing w:line="320" w:lineRule="exact"/>
              <w:rPr>
                <w:rFonts w:hint="eastAsia" w:ascii="Times New Roman" w:hAnsi="Times New Roman" w:eastAsia="宋体"/>
                <w:color w:val="000000"/>
              </w:rPr>
            </w:pPr>
            <w:r>
              <w:rPr>
                <w:rFonts w:hint="eastAsia" w:ascii="Times New Roman" w:hAnsi="Times New Roman" w:eastAsia="宋体"/>
                <w:color w:val="000000"/>
              </w:rPr>
              <w:t>1.企业应建立健全安全生产考核奖惩长效机制，加强对安全生产工作贯彻落实情况的监督考核，确保运行效果和质量。</w:t>
            </w:r>
          </w:p>
          <w:p w14:paraId="7ACB67AD">
            <w:pPr>
              <w:spacing w:line="320" w:lineRule="exact"/>
              <w:rPr>
                <w:rFonts w:hint="eastAsia" w:ascii="Times New Roman" w:hAnsi="Times New Roman" w:eastAsia="宋体"/>
                <w:color w:val="000000"/>
              </w:rPr>
            </w:pPr>
            <w:r>
              <w:rPr>
                <w:rFonts w:hint="eastAsia" w:ascii="Times New Roman" w:hAnsi="Times New Roman" w:eastAsia="宋体"/>
                <w:color w:val="000000"/>
              </w:rPr>
              <w:t>2.企业应制定安全生产考核奖惩办法，将考核绩效与员工薪酬（奖金）挂钩，明确考核标准、频次、方式方法和相关要求等。</w:t>
            </w:r>
          </w:p>
        </w:tc>
        <w:tc>
          <w:tcPr>
            <w:tcW w:w="3764" w:type="dxa"/>
            <w:shd w:val="clear" w:color="auto" w:fill="FFFFFF"/>
            <w:noWrap w:val="0"/>
            <w:vAlign w:val="top"/>
          </w:tcPr>
          <w:p w14:paraId="1D2CD104">
            <w:pPr>
              <w:tabs>
                <w:tab w:val="left" w:pos="531"/>
              </w:tabs>
              <w:spacing w:line="320" w:lineRule="exact"/>
              <w:rPr>
                <w:rFonts w:hint="eastAsia" w:ascii="宋体" w:hAnsi="宋体" w:eastAsia="宋体" w:cs="宋体"/>
                <w:bCs/>
                <w:color w:val="000000"/>
                <w:szCs w:val="21"/>
              </w:rPr>
            </w:pPr>
            <w:r>
              <w:rPr>
                <w:rFonts w:hint="eastAsia" w:ascii="Times New Roman" w:hAnsi="Times New Roman" w:eastAsia="宋体"/>
                <w:color w:val="000000"/>
              </w:rPr>
              <w:t>1.</w:t>
            </w:r>
            <w:r>
              <w:rPr>
                <w:rFonts w:hint="eastAsia" w:ascii="宋体" w:hAnsi="宋体" w:eastAsia="宋体" w:cs="宋体"/>
                <w:bCs/>
                <w:color w:val="000000"/>
                <w:szCs w:val="21"/>
              </w:rPr>
              <w:t>企业未建立安全生产考核奖惩长效机制的，扣5分。</w:t>
            </w:r>
          </w:p>
          <w:p w14:paraId="75248171">
            <w:pPr>
              <w:widowControl/>
              <w:spacing w:line="320" w:lineRule="exact"/>
              <w:ind w:right="105" w:rightChars="50"/>
              <w:rPr>
                <w:rFonts w:hint="eastAsia" w:ascii="Times New Roman" w:hAnsi="Times New Roman" w:eastAsia="宋体"/>
                <w:color w:val="000000"/>
              </w:rPr>
            </w:pPr>
            <w:r>
              <w:rPr>
                <w:rFonts w:hint="eastAsia" w:ascii="Times New Roman" w:hAnsi="Times New Roman" w:eastAsia="宋体"/>
                <w:color w:val="000000"/>
              </w:rPr>
              <w:t>2.企业未按照考核奖惩办法规定要求对相关安全生产工作进行定期考核的，一次扣2分。</w:t>
            </w:r>
          </w:p>
          <w:p w14:paraId="2D48E26F">
            <w:pPr>
              <w:pStyle w:val="10"/>
              <w:spacing w:line="320" w:lineRule="exact"/>
              <w:rPr>
                <w:rFonts w:hint="eastAsia" w:ascii="Times New Roman" w:hAnsi="Times New Roman" w:cs="Times New Roman"/>
                <w:color w:val="000000"/>
                <w:szCs w:val="21"/>
                <w:lang w:eastAsia="zh-CN"/>
              </w:rPr>
            </w:pPr>
          </w:p>
        </w:tc>
        <w:tc>
          <w:tcPr>
            <w:tcW w:w="1050" w:type="dxa"/>
            <w:shd w:val="clear" w:color="auto" w:fill="FFFFFF"/>
            <w:noWrap w:val="0"/>
            <w:vAlign w:val="top"/>
          </w:tcPr>
          <w:p w14:paraId="210F54C9">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6E9FF8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DBBCAE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8EEDBD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31BFA00">
            <w:pPr>
              <w:spacing w:line="320" w:lineRule="exact"/>
              <w:rPr>
                <w:rFonts w:hint="eastAsia" w:ascii="宋体" w:hAnsi="宋体" w:eastAsia="宋体" w:cs="宋体"/>
                <w:b/>
                <w:bCs/>
                <w:color w:val="000000"/>
                <w:szCs w:val="21"/>
              </w:rPr>
            </w:pPr>
          </w:p>
        </w:tc>
      </w:tr>
      <w:tr w14:paraId="65CA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923" w:type="dxa"/>
            <w:vMerge w:val="continue"/>
            <w:noWrap w:val="0"/>
            <w:vAlign w:val="top"/>
          </w:tcPr>
          <w:p w14:paraId="79667CBC">
            <w:pPr>
              <w:spacing w:line="320" w:lineRule="exact"/>
              <w:jc w:val="center"/>
              <w:rPr>
                <w:rFonts w:hint="eastAsia" w:ascii="宋体" w:hAnsi="宋体" w:eastAsia="宋体" w:cs="宋体"/>
                <w:b/>
                <w:bCs/>
                <w:color w:val="000000"/>
                <w:szCs w:val="21"/>
              </w:rPr>
            </w:pPr>
          </w:p>
        </w:tc>
        <w:tc>
          <w:tcPr>
            <w:tcW w:w="809" w:type="dxa"/>
            <w:vMerge w:val="continue"/>
            <w:noWrap w:val="0"/>
            <w:vAlign w:val="top"/>
          </w:tcPr>
          <w:p w14:paraId="1274347C">
            <w:pPr>
              <w:spacing w:line="320" w:lineRule="exact"/>
              <w:jc w:val="center"/>
              <w:rPr>
                <w:rFonts w:hint="eastAsia" w:ascii="宋体" w:hAnsi="宋体" w:eastAsia="宋体" w:cs="宋体"/>
                <w:b/>
                <w:color w:val="000000"/>
                <w:szCs w:val="21"/>
              </w:rPr>
            </w:pPr>
          </w:p>
        </w:tc>
        <w:tc>
          <w:tcPr>
            <w:tcW w:w="815" w:type="dxa"/>
            <w:noWrap w:val="0"/>
            <w:vAlign w:val="top"/>
          </w:tcPr>
          <w:p w14:paraId="0F206203">
            <w:pPr>
              <w:spacing w:line="320" w:lineRule="exact"/>
              <w:jc w:val="center"/>
              <w:rPr>
                <w:rFonts w:hint="eastAsia" w:ascii="宋体" w:hAnsi="宋体" w:eastAsia="宋体" w:cs="宋体"/>
                <w:b/>
                <w:color w:val="000000"/>
                <w:szCs w:val="21"/>
              </w:rPr>
            </w:pPr>
            <w:r>
              <w:rPr>
                <w:rFonts w:hint="eastAsia" w:ascii="宋体" w:hAnsi="宋体" w:eastAsia="宋体"/>
                <w:b/>
                <w:color w:val="000000"/>
              </w:rPr>
              <w:t>6.1.4</w:t>
            </w:r>
            <w:r>
              <w:rPr>
                <w:rFonts w:ascii="Times New Roman" w:hAnsi="Times New Roman" w:eastAsia="宋体"/>
                <w:b/>
                <w:color w:val="000000"/>
                <w:szCs w:val="21"/>
              </w:rPr>
              <w:t>本地区要求</w:t>
            </w:r>
            <w:r>
              <w:rPr>
                <w:rFonts w:hint="eastAsia" w:ascii="Times New Roman" w:hAnsi="Times New Roman"/>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4642" w:type="dxa"/>
            <w:noWrap w:val="0"/>
            <w:vAlign w:val="top"/>
          </w:tcPr>
          <w:p w14:paraId="486607B3">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1.企业应认真贯彻落实地方人民政府及有关部门提出的安全生产具体要求。</w:t>
            </w:r>
          </w:p>
          <w:p w14:paraId="2FDCD0D7">
            <w:pPr>
              <w:widowControl/>
              <w:spacing w:line="320" w:lineRule="exact"/>
              <w:rPr>
                <w:rFonts w:hint="eastAsia" w:ascii="Times New Roman" w:hAnsi="Times New Roman" w:eastAsia="宋体"/>
                <w:color w:val="000000"/>
              </w:rPr>
            </w:pPr>
            <w:r>
              <w:rPr>
                <w:rFonts w:hint="eastAsia" w:ascii="Times New Roman" w:hAnsi="Times New Roman" w:eastAsia="宋体"/>
                <w:color w:val="000000"/>
              </w:rPr>
              <w:t>2.</w:t>
            </w:r>
            <w:r>
              <w:rPr>
                <w:rFonts w:ascii="Times New Roman" w:hAnsi="Times New Roman" w:eastAsia="宋体"/>
                <w:color w:val="000000"/>
              </w:rPr>
              <w:t>企业应认真贯彻执行本地区</w:t>
            </w:r>
            <w:r>
              <w:rPr>
                <w:rFonts w:hint="eastAsia" w:ascii="Times New Roman" w:hAnsi="Times New Roman" w:eastAsia="宋体"/>
                <w:color w:val="000000"/>
              </w:rPr>
              <w:t>应急管理部门</w:t>
            </w:r>
            <w:r>
              <w:rPr>
                <w:rFonts w:ascii="Times New Roman" w:hAnsi="Times New Roman" w:eastAsia="宋体"/>
                <w:color w:val="000000"/>
              </w:rPr>
              <w:t>安排的各项安全生产工作，依法自觉接受安全监管。</w:t>
            </w:r>
          </w:p>
        </w:tc>
        <w:tc>
          <w:tcPr>
            <w:tcW w:w="3764" w:type="dxa"/>
            <w:noWrap w:val="0"/>
            <w:vAlign w:val="top"/>
          </w:tcPr>
          <w:p w14:paraId="600FF39A">
            <w:pPr>
              <w:spacing w:line="320" w:lineRule="exact"/>
              <w:rPr>
                <w:rFonts w:hint="eastAsia" w:ascii="Times New Roman" w:hAnsi="Times New Roman" w:eastAsia="宋体"/>
                <w:color w:val="000000"/>
                <w:szCs w:val="21"/>
              </w:rPr>
            </w:pPr>
            <w:r>
              <w:rPr>
                <w:rFonts w:ascii="Times New Roman" w:hAnsi="Times New Roman" w:eastAsia="宋体"/>
                <w:color w:val="000000"/>
                <w:szCs w:val="21"/>
              </w:rPr>
              <w:t>1.对</w:t>
            </w:r>
            <w:r>
              <w:rPr>
                <w:rFonts w:hint="eastAsia" w:ascii="Times New Roman" w:hAnsi="Times New Roman" w:eastAsia="宋体"/>
                <w:color w:val="000000"/>
                <w:szCs w:val="21"/>
              </w:rPr>
              <w:t>地方</w:t>
            </w:r>
            <w:r>
              <w:rPr>
                <w:rFonts w:ascii="Times New Roman" w:hAnsi="Times New Roman" w:eastAsia="宋体"/>
                <w:color w:val="000000"/>
                <w:szCs w:val="21"/>
              </w:rPr>
              <w:t>政府、</w:t>
            </w:r>
            <w:r>
              <w:rPr>
                <w:rFonts w:hint="eastAsia" w:ascii="Times New Roman" w:hAnsi="Times New Roman" w:eastAsia="宋体"/>
                <w:color w:val="000000"/>
                <w:szCs w:val="21"/>
              </w:rPr>
              <w:t>应急管理</w:t>
            </w:r>
            <w:r>
              <w:rPr>
                <w:rFonts w:ascii="Times New Roman" w:hAnsi="Times New Roman" w:eastAsia="宋体"/>
                <w:color w:val="000000"/>
                <w:szCs w:val="21"/>
              </w:rPr>
              <w:t>部门安排的工作落实不到位，发现一次扣</w:t>
            </w:r>
            <w:r>
              <w:rPr>
                <w:rFonts w:hint="eastAsia" w:ascii="Times New Roman" w:hAnsi="Times New Roman" w:eastAsia="宋体"/>
                <w:color w:val="000000"/>
                <w:szCs w:val="21"/>
              </w:rPr>
              <w:t>2</w:t>
            </w:r>
            <w:r>
              <w:rPr>
                <w:rFonts w:ascii="Times New Roman" w:hAnsi="Times New Roman" w:eastAsia="宋体"/>
                <w:color w:val="000000"/>
                <w:szCs w:val="21"/>
              </w:rPr>
              <w:t>分</w:t>
            </w:r>
            <w:r>
              <w:rPr>
                <w:rFonts w:hint="eastAsia" w:ascii="Times New Roman" w:hAnsi="Times New Roman" w:eastAsia="宋体"/>
                <w:color w:val="000000"/>
                <w:szCs w:val="21"/>
              </w:rPr>
              <w:t>。</w:t>
            </w:r>
          </w:p>
          <w:p w14:paraId="0EA8E5F0">
            <w:pPr>
              <w:pStyle w:val="10"/>
              <w:spacing w:line="320" w:lineRule="exact"/>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2.</w:t>
            </w:r>
            <w:r>
              <w:rPr>
                <w:rFonts w:ascii="Times New Roman" w:hAnsi="Times New Roman" w:cs="Times New Roman"/>
                <w:color w:val="000000"/>
                <w:szCs w:val="21"/>
                <w:lang w:eastAsia="zh-CN"/>
              </w:rPr>
              <w:t>对应急管理部门责令整改的</w:t>
            </w:r>
            <w:r>
              <w:rPr>
                <w:rFonts w:hint="eastAsia" w:ascii="Times New Roman" w:hAnsi="Times New Roman" w:cs="Times New Roman"/>
                <w:color w:val="000000"/>
                <w:szCs w:val="21"/>
                <w:lang w:eastAsia="zh-CN"/>
              </w:rPr>
              <w:t>问题</w:t>
            </w:r>
            <w:r>
              <w:rPr>
                <w:rFonts w:ascii="Times New Roman" w:hAnsi="Times New Roman" w:cs="Times New Roman"/>
                <w:color w:val="000000"/>
                <w:szCs w:val="21"/>
                <w:lang w:eastAsia="zh-CN"/>
              </w:rPr>
              <w:t>隐患逾期不整改或整改不到位，</w:t>
            </w:r>
            <w:r>
              <w:rPr>
                <w:color w:val="000000"/>
                <w:szCs w:val="21"/>
                <w:lang w:eastAsia="zh-CN"/>
              </w:rPr>
              <w:t>发现</w:t>
            </w:r>
            <w:r>
              <w:rPr>
                <w:rFonts w:hint="eastAsia" w:ascii="Times New Roman" w:hAnsi="Times New Roman" w:cs="Times New Roman"/>
                <w:color w:val="000000"/>
                <w:szCs w:val="21"/>
                <w:lang w:eastAsia="zh-CN"/>
              </w:rPr>
              <w:t>一个</w:t>
            </w:r>
            <w:r>
              <w:rPr>
                <w:rFonts w:ascii="Times New Roman" w:hAnsi="Times New Roman" w:cs="Times New Roman"/>
                <w:color w:val="000000"/>
                <w:szCs w:val="21"/>
                <w:lang w:eastAsia="zh-CN"/>
              </w:rPr>
              <w:t>扣</w:t>
            </w:r>
            <w:r>
              <w:rPr>
                <w:rFonts w:hint="eastAsia" w:ascii="Times New Roman" w:hAnsi="Times New Roman" w:cs="Times New Roman"/>
                <w:color w:val="000000"/>
                <w:szCs w:val="21"/>
                <w:lang w:eastAsia="zh-CN"/>
              </w:rPr>
              <w:t>2</w:t>
            </w:r>
            <w:r>
              <w:rPr>
                <w:rFonts w:ascii="Times New Roman" w:hAnsi="Times New Roman" w:cs="Times New Roman"/>
                <w:color w:val="000000"/>
                <w:szCs w:val="21"/>
                <w:lang w:eastAsia="zh-CN"/>
              </w:rPr>
              <w:t>分。</w:t>
            </w:r>
          </w:p>
        </w:tc>
        <w:tc>
          <w:tcPr>
            <w:tcW w:w="1050" w:type="dxa"/>
            <w:noWrap w:val="0"/>
            <w:vAlign w:val="top"/>
          </w:tcPr>
          <w:p w14:paraId="46818199">
            <w:pPr>
              <w:spacing w:line="320" w:lineRule="exact"/>
              <w:rPr>
                <w:rFonts w:hint="eastAsia" w:ascii="宋体" w:hAnsi="宋体" w:eastAsia="宋体" w:cs="宋体"/>
                <w:bCs/>
                <w:color w:val="000000"/>
                <w:szCs w:val="21"/>
              </w:rPr>
            </w:pPr>
          </w:p>
        </w:tc>
        <w:tc>
          <w:tcPr>
            <w:tcW w:w="735" w:type="dxa"/>
            <w:noWrap w:val="0"/>
            <w:vAlign w:val="top"/>
          </w:tcPr>
          <w:p w14:paraId="100A5B29">
            <w:pPr>
              <w:spacing w:line="320" w:lineRule="exact"/>
              <w:rPr>
                <w:rFonts w:hint="eastAsia" w:ascii="宋体" w:hAnsi="宋体" w:eastAsia="宋体" w:cs="宋体"/>
                <w:bCs/>
                <w:color w:val="000000"/>
                <w:kern w:val="0"/>
                <w:szCs w:val="21"/>
              </w:rPr>
            </w:pPr>
          </w:p>
        </w:tc>
        <w:tc>
          <w:tcPr>
            <w:tcW w:w="735" w:type="dxa"/>
            <w:noWrap w:val="0"/>
            <w:vAlign w:val="top"/>
          </w:tcPr>
          <w:p w14:paraId="4B468D83">
            <w:pPr>
              <w:spacing w:line="320" w:lineRule="exact"/>
              <w:rPr>
                <w:rFonts w:hint="eastAsia" w:ascii="宋体" w:hAnsi="宋体" w:eastAsia="宋体" w:cs="宋体"/>
                <w:bCs/>
                <w:color w:val="000000"/>
                <w:szCs w:val="21"/>
              </w:rPr>
            </w:pPr>
          </w:p>
        </w:tc>
        <w:tc>
          <w:tcPr>
            <w:tcW w:w="735" w:type="dxa"/>
            <w:noWrap w:val="0"/>
            <w:vAlign w:val="top"/>
          </w:tcPr>
          <w:p w14:paraId="74C5BB63">
            <w:pPr>
              <w:spacing w:line="320" w:lineRule="exact"/>
              <w:rPr>
                <w:rFonts w:hint="eastAsia" w:ascii="宋体" w:hAnsi="宋体" w:eastAsia="宋体" w:cs="宋体"/>
                <w:bCs/>
                <w:color w:val="000000"/>
                <w:szCs w:val="21"/>
              </w:rPr>
            </w:pPr>
          </w:p>
        </w:tc>
        <w:tc>
          <w:tcPr>
            <w:tcW w:w="735" w:type="dxa"/>
            <w:noWrap w:val="0"/>
            <w:vAlign w:val="top"/>
          </w:tcPr>
          <w:p w14:paraId="236B29B6">
            <w:pPr>
              <w:spacing w:line="320" w:lineRule="exact"/>
              <w:rPr>
                <w:rFonts w:hint="eastAsia" w:ascii="宋体" w:hAnsi="宋体" w:eastAsia="宋体" w:cs="宋体"/>
                <w:bCs/>
                <w:color w:val="000000"/>
                <w:szCs w:val="21"/>
              </w:rPr>
            </w:pPr>
          </w:p>
        </w:tc>
      </w:tr>
      <w:tr w14:paraId="7410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17" w:hRule="atLeast"/>
          <w:jc w:val="center"/>
        </w:trPr>
        <w:tc>
          <w:tcPr>
            <w:tcW w:w="14943" w:type="dxa"/>
            <w:gridSpan w:val="10"/>
            <w:shd w:val="clear" w:color="auto" w:fill="FFFFFF"/>
            <w:noWrap w:val="0"/>
            <w:vAlign w:val="top"/>
          </w:tcPr>
          <w:p w14:paraId="559AFAC4">
            <w:pPr>
              <w:pStyle w:val="10"/>
              <w:spacing w:before="156" w:beforeLines="50" w:line="320" w:lineRule="exact"/>
              <w:rPr>
                <w:rFonts w:hint="eastAsia" w:ascii="Times New Roman" w:hAnsi="Times New Roman" w:cs="Times New Roman"/>
                <w:color w:val="000000"/>
                <w:szCs w:val="21"/>
                <w:lang w:eastAsia="zh-CN"/>
              </w:rPr>
            </w:pPr>
            <w:r>
              <w:rPr>
                <w:rFonts w:ascii="Times New Roman" w:hAnsi="Times New Roman" w:cs="Times New Roman"/>
                <w:b/>
                <w:color w:val="000000"/>
                <w:szCs w:val="21"/>
                <w:lang w:eastAsia="zh-CN"/>
              </w:rPr>
              <w:t>说明：</w:t>
            </w:r>
            <w:r>
              <w:rPr>
                <w:rFonts w:hint="eastAsia" w:ascii="Times New Roman" w:hAnsi="Times New Roman" w:cs="Times New Roman"/>
                <w:color w:val="000000"/>
                <w:szCs w:val="21"/>
                <w:lang w:eastAsia="zh-CN"/>
              </w:rPr>
              <w:t>1.本安全生产标准化建设定级评分表共设A级要素6项、B级要素14项、C级要素36项。</w:t>
            </w:r>
          </w:p>
          <w:p w14:paraId="55E4863D">
            <w:pPr>
              <w:pStyle w:val="10"/>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2</w:t>
            </w:r>
            <w:r>
              <w:rPr>
                <w:rFonts w:ascii="Times New Roman" w:hAnsi="Times New Roman" w:cs="Times New Roman"/>
                <w:color w:val="000000"/>
                <w:szCs w:val="21"/>
                <w:lang w:eastAsia="zh-CN"/>
              </w:rPr>
              <w:t>.</w:t>
            </w:r>
            <w:r>
              <w:rPr>
                <w:rFonts w:hint="eastAsia" w:ascii="Times New Roman" w:hAnsi="Times New Roman" w:cs="Times New Roman"/>
                <w:color w:val="000000"/>
                <w:szCs w:val="21"/>
                <w:lang w:eastAsia="zh-CN"/>
              </w:rPr>
              <w:t>本</w:t>
            </w:r>
            <w:r>
              <w:rPr>
                <w:rFonts w:ascii="Times New Roman" w:hAnsi="Times New Roman" w:cs="Times New Roman"/>
                <w:color w:val="000000"/>
                <w:szCs w:val="21"/>
                <w:lang w:eastAsia="zh-CN"/>
              </w:rPr>
              <w:t>标准</w:t>
            </w:r>
            <w:r>
              <w:rPr>
                <w:rFonts w:hint="eastAsia" w:ascii="Times New Roman" w:hAnsi="Times New Roman" w:cs="Times New Roman"/>
                <w:color w:val="000000"/>
                <w:szCs w:val="21"/>
                <w:lang w:eastAsia="zh-CN"/>
              </w:rPr>
              <w:t>总计1000分，从A级到C级要素逐步分解，A级、B级、C级要素均设有标准</w:t>
            </w:r>
            <w:r>
              <w:rPr>
                <w:rFonts w:ascii="Times New Roman" w:hAnsi="Times New Roman" w:cs="Times New Roman"/>
                <w:color w:val="000000"/>
                <w:szCs w:val="21"/>
                <w:lang w:eastAsia="zh-CN"/>
              </w:rPr>
              <w:t>分值</w:t>
            </w:r>
            <w:r>
              <w:rPr>
                <w:rFonts w:hint="eastAsia" w:ascii="Times New Roman" w:hAnsi="Times New Roman" w:cs="Times New Roman"/>
                <w:color w:val="000000"/>
                <w:szCs w:val="21"/>
                <w:lang w:eastAsia="zh-CN"/>
              </w:rPr>
              <w:t>。</w:t>
            </w:r>
          </w:p>
          <w:p w14:paraId="32DEFD1B">
            <w:pPr>
              <w:pStyle w:val="10"/>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3</w:t>
            </w:r>
            <w:r>
              <w:rPr>
                <w:rFonts w:ascii="Times New Roman" w:hAnsi="Times New Roman" w:cs="Times New Roman"/>
                <w:color w:val="000000"/>
                <w:szCs w:val="21"/>
                <w:lang w:eastAsia="zh-CN"/>
              </w:rPr>
              <w:t>.本标准实行</w:t>
            </w:r>
            <w:r>
              <w:rPr>
                <w:rFonts w:hint="eastAsia" w:ascii="Times New Roman" w:hAnsi="Times New Roman" w:cs="Times New Roman"/>
                <w:color w:val="000000"/>
                <w:szCs w:val="21"/>
                <w:lang w:eastAsia="zh-CN"/>
              </w:rPr>
              <w:t>扣分制</w:t>
            </w:r>
            <w:r>
              <w:rPr>
                <w:rFonts w:ascii="Times New Roman" w:hAnsi="Times New Roman" w:cs="Times New Roman"/>
                <w:color w:val="000000"/>
                <w:szCs w:val="21"/>
                <w:lang w:eastAsia="zh-CN"/>
              </w:rPr>
              <w:t>，</w:t>
            </w:r>
            <w:r>
              <w:rPr>
                <w:rFonts w:hint="eastAsia" w:ascii="Times New Roman" w:hAnsi="Times New Roman" w:cs="Times New Roman"/>
                <w:color w:val="000000"/>
                <w:szCs w:val="21"/>
                <w:lang w:eastAsia="zh-CN"/>
              </w:rPr>
              <w:t>各级要素中包含项扣分累计扣完为止，不得</w:t>
            </w:r>
            <w:r>
              <w:rPr>
                <w:rFonts w:ascii="Times New Roman" w:hAnsi="Times New Roman" w:cs="Times New Roman"/>
                <w:color w:val="000000"/>
                <w:szCs w:val="21"/>
                <w:lang w:eastAsia="zh-CN"/>
              </w:rPr>
              <w:t>负分</w:t>
            </w:r>
            <w:r>
              <w:rPr>
                <w:rFonts w:hint="eastAsia" w:ascii="Times New Roman" w:hAnsi="Times New Roman" w:cs="Times New Roman"/>
                <w:color w:val="000000"/>
                <w:szCs w:val="21"/>
                <w:lang w:eastAsia="zh-CN"/>
              </w:rPr>
              <w:t>；否决项只扣相应级别分数</w:t>
            </w:r>
            <w:r>
              <w:rPr>
                <w:rFonts w:ascii="Times New Roman" w:hAnsi="Times New Roman" w:cs="Times New Roman"/>
                <w:color w:val="000000"/>
                <w:szCs w:val="21"/>
                <w:lang w:eastAsia="zh-CN"/>
              </w:rPr>
              <w:t>。</w:t>
            </w:r>
          </w:p>
          <w:p w14:paraId="7BB292BE">
            <w:pPr>
              <w:pStyle w:val="10"/>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4</w:t>
            </w:r>
            <w:r>
              <w:rPr>
                <w:rFonts w:ascii="Times New Roman" w:hAnsi="Times New Roman" w:cs="Times New Roman"/>
                <w:color w:val="000000"/>
                <w:szCs w:val="21"/>
                <w:lang w:eastAsia="zh-CN"/>
              </w:rPr>
              <w:t>.不涉及项</w:t>
            </w:r>
            <w:r>
              <w:rPr>
                <w:rFonts w:hint="eastAsia" w:ascii="Times New Roman" w:hAnsi="Times New Roman" w:cs="Times New Roman"/>
                <w:color w:val="000000"/>
                <w:szCs w:val="21"/>
                <w:lang w:eastAsia="zh-CN"/>
              </w:rPr>
              <w:t>：因企业性质等不同涉及的考评内容就不同，</w:t>
            </w:r>
            <w:r>
              <w:rPr>
                <w:rFonts w:ascii="Times New Roman" w:hAnsi="Times New Roman" w:cs="Times New Roman"/>
                <w:color w:val="000000"/>
                <w:szCs w:val="21"/>
                <w:lang w:eastAsia="zh-CN"/>
              </w:rPr>
              <w:t>不涉及</w:t>
            </w:r>
            <w:r>
              <w:rPr>
                <w:rFonts w:hint="eastAsia" w:ascii="Times New Roman" w:hAnsi="Times New Roman" w:cs="Times New Roman"/>
                <w:color w:val="000000"/>
                <w:szCs w:val="21"/>
                <w:lang w:eastAsia="zh-CN"/>
              </w:rPr>
              <w:t>考评项目因不扣分即为</w:t>
            </w:r>
            <w:r>
              <w:rPr>
                <w:rFonts w:ascii="Times New Roman" w:hAnsi="Times New Roman" w:cs="Times New Roman"/>
                <w:color w:val="000000"/>
                <w:szCs w:val="21"/>
                <w:lang w:eastAsia="zh-CN"/>
              </w:rPr>
              <w:t>该</w:t>
            </w:r>
            <w:r>
              <w:rPr>
                <w:rFonts w:hint="eastAsia" w:ascii="Times New Roman" w:hAnsi="Times New Roman" w:cs="Times New Roman"/>
                <w:color w:val="000000"/>
                <w:szCs w:val="21"/>
                <w:lang w:eastAsia="zh-CN"/>
              </w:rPr>
              <w:t>项目</w:t>
            </w:r>
            <w:r>
              <w:rPr>
                <w:rFonts w:ascii="Times New Roman" w:hAnsi="Times New Roman" w:cs="Times New Roman"/>
                <w:color w:val="000000"/>
                <w:szCs w:val="21"/>
                <w:lang w:eastAsia="zh-CN"/>
              </w:rPr>
              <w:t>标准分值。</w:t>
            </w:r>
          </w:p>
          <w:p w14:paraId="7D567C09">
            <w:pPr>
              <w:pStyle w:val="10"/>
              <w:spacing w:line="320" w:lineRule="exact"/>
              <w:ind w:firstLine="630" w:firstLineChars="300"/>
              <w:rPr>
                <w:rFonts w:ascii="Times New Roman" w:hAnsi="Times New Roman" w:cs="Times New Roman"/>
                <w:color w:val="000000"/>
                <w:szCs w:val="21"/>
                <w:lang w:eastAsia="zh-CN"/>
              </w:rPr>
            </w:pPr>
            <w:r>
              <w:rPr>
                <w:rFonts w:hint="eastAsia" w:ascii="Times New Roman" w:hAnsi="Times New Roman" w:cs="Times New Roman"/>
                <w:color w:val="000000"/>
                <w:szCs w:val="21"/>
                <w:lang w:eastAsia="zh-CN"/>
              </w:rPr>
              <w:t>5</w:t>
            </w:r>
            <w:r>
              <w:rPr>
                <w:rFonts w:ascii="Times New Roman" w:hAnsi="Times New Roman" w:cs="Times New Roman"/>
                <w:color w:val="000000"/>
                <w:szCs w:val="21"/>
                <w:lang w:eastAsia="zh-CN"/>
              </w:rPr>
              <w:t>.实际得分：</w:t>
            </w:r>
            <w:r>
              <w:rPr>
                <w:rFonts w:hint="eastAsia" w:ascii="Times New Roman" w:hAnsi="Times New Roman" w:cs="Times New Roman"/>
                <w:color w:val="000000"/>
                <w:szCs w:val="21"/>
                <w:lang w:eastAsia="zh-CN"/>
              </w:rPr>
              <w:t>用标准总分值1000，减去实际考评所扣分数之和，即为企业考评实际总</w:t>
            </w:r>
            <w:r>
              <w:rPr>
                <w:rFonts w:ascii="Times New Roman" w:hAnsi="Times New Roman" w:cs="Times New Roman"/>
                <w:color w:val="000000"/>
                <w:szCs w:val="21"/>
                <w:lang w:eastAsia="zh-CN"/>
              </w:rPr>
              <w:t>得</w:t>
            </w:r>
            <w:r>
              <w:rPr>
                <w:rFonts w:hint="eastAsia" w:ascii="Times New Roman" w:hAnsi="Times New Roman" w:cs="Times New Roman"/>
                <w:color w:val="000000"/>
                <w:szCs w:val="21"/>
                <w:lang w:eastAsia="zh-CN"/>
              </w:rPr>
              <w:t>分（含不涉及项分数）</w:t>
            </w:r>
            <w:r>
              <w:rPr>
                <w:rFonts w:ascii="Times New Roman" w:hAnsi="Times New Roman" w:cs="Times New Roman"/>
                <w:color w:val="000000"/>
                <w:szCs w:val="21"/>
                <w:lang w:eastAsia="zh-CN"/>
              </w:rPr>
              <w:t>。</w:t>
            </w:r>
          </w:p>
          <w:p w14:paraId="3835D61C">
            <w:pPr>
              <w:pStyle w:val="10"/>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6</w:t>
            </w:r>
            <w:r>
              <w:rPr>
                <w:rFonts w:ascii="Times New Roman" w:hAnsi="Times New Roman" w:cs="Times New Roman"/>
                <w:color w:val="000000"/>
                <w:szCs w:val="21"/>
                <w:lang w:eastAsia="zh-CN"/>
              </w:rPr>
              <w:t>.评定得分</w:t>
            </w:r>
            <w:r>
              <w:rPr>
                <w:rFonts w:hint="eastAsia" w:ascii="Times New Roman" w:hAnsi="Times New Roman" w:cs="Times New Roman"/>
                <w:color w:val="000000"/>
                <w:szCs w:val="21"/>
                <w:lang w:eastAsia="zh-CN"/>
              </w:rPr>
              <w:t>：得分</w:t>
            </w:r>
            <w:r>
              <w:rPr>
                <w:rFonts w:ascii="Times New Roman" w:hAnsi="Times New Roman" w:cs="Times New Roman"/>
                <w:color w:val="000000"/>
                <w:szCs w:val="21"/>
                <w:lang w:eastAsia="zh-CN"/>
              </w:rPr>
              <w:t>换算成百分制，公式</w:t>
            </w:r>
            <w:r>
              <w:rPr>
                <w:rFonts w:hint="eastAsia" w:ascii="Times New Roman" w:hAnsi="Times New Roman" w:cs="Times New Roman"/>
                <w:color w:val="000000"/>
                <w:szCs w:val="21"/>
                <w:lang w:eastAsia="zh-CN"/>
              </w:rPr>
              <w:t>为</w:t>
            </w:r>
            <w:r>
              <w:rPr>
                <w:rFonts w:ascii="Times New Roman" w:hAnsi="Times New Roman" w:cs="Times New Roman"/>
                <w:color w:val="000000"/>
                <w:szCs w:val="21"/>
                <w:lang w:eastAsia="zh-CN"/>
              </w:rPr>
              <w:t>：评定得分（百分制）</w:t>
            </w:r>
            <w:r>
              <w:rPr>
                <w:rFonts w:hint="eastAsia" w:ascii="Times New Roman" w:hAnsi="Times New Roman" w:cs="Times New Roman"/>
                <w:color w:val="000000"/>
                <w:szCs w:val="21"/>
                <w:lang w:eastAsia="zh-CN"/>
              </w:rPr>
              <w:t>=实际得分总值÷（1000－不涉及项分数总值）×100</w:t>
            </w:r>
          </w:p>
          <w:p w14:paraId="5BFAA491">
            <w:pPr>
              <w:pStyle w:val="10"/>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7.最后得分采用四舍五入，小数点后保留一位小数；按照评定得分分级：三级≥60分、二级≥80分，同时兼顾企业安全绩效。</w:t>
            </w:r>
          </w:p>
          <w:p w14:paraId="5B8014D3">
            <w:pPr>
              <w:pStyle w:val="10"/>
              <w:spacing w:line="320" w:lineRule="exact"/>
              <w:ind w:firstLine="630" w:firstLineChars="300"/>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8.本标准化建设定级设置“标准化建设非企业自主评定”和“安全许可未通过”这</w:t>
            </w:r>
            <w:r>
              <w:rPr>
                <w:rFonts w:hint="eastAsia" w:ascii="Times New Roman" w:hAnsi="Times New Roman" w:cs="Times New Roman"/>
                <w:b/>
                <w:color w:val="000000"/>
                <w:szCs w:val="21"/>
                <w:lang w:eastAsia="zh-CN"/>
              </w:rPr>
              <w:t>2个总否决项</w:t>
            </w:r>
            <w:r>
              <w:rPr>
                <w:rFonts w:hint="eastAsia" w:ascii="Times New Roman" w:hAnsi="Times New Roman" w:cs="Times New Roman"/>
                <w:color w:val="000000"/>
                <w:szCs w:val="21"/>
                <w:lang w:eastAsia="zh-CN"/>
              </w:rPr>
              <w:t>，符合任一项定级工作即行终止。</w:t>
            </w:r>
          </w:p>
        </w:tc>
      </w:tr>
    </w:tbl>
    <w:p w14:paraId="4270A768">
      <w:pPr>
        <w:rPr>
          <w:rFonts w:ascii="Times New Roman" w:hAnsi="Times New Roman" w:eastAsia="宋体"/>
          <w:color w:val="000000"/>
        </w:rPr>
      </w:pPr>
    </w:p>
    <w:p w14:paraId="689EFC11">
      <w:pPr>
        <w:ind w:firstLine="0" w:firstLineChars="0"/>
        <w:rPr>
          <w:color w:val="000000"/>
        </w:rPr>
        <w:sectPr>
          <w:footerReference r:id="rId3" w:type="default"/>
          <w:footerReference r:id="rId4" w:type="even"/>
          <w:pgSz w:w="16838" w:h="11906" w:orient="landscape"/>
          <w:pgMar w:top="1134" w:right="1134" w:bottom="623" w:left="1304" w:header="851" w:footer="1417" w:gutter="0"/>
          <w:pgNumType w:fmt="decimal"/>
          <w:cols w:space="720" w:num="1"/>
          <w:docGrid w:type="lines" w:linePitch="312" w:charSpace="0"/>
        </w:sectPr>
      </w:pPr>
    </w:p>
    <w:p w14:paraId="4875267B">
      <w:pPr>
        <w:spacing w:line="400" w:lineRule="exact"/>
        <w:jc w:val="center"/>
        <w:rPr>
          <w:rFonts w:hint="eastAsia" w:ascii="宋体" w:hAnsi="宋体" w:eastAsia="宋体" w:cs="宋体"/>
          <w:b/>
          <w:color w:val="000000"/>
          <w:sz w:val="32"/>
          <w:szCs w:val="32"/>
        </w:rPr>
      </w:pPr>
      <w:r>
        <w:rPr>
          <w:rFonts w:hint="eastAsia" w:ascii="方正小标宋简体" w:hAnsi="宋体" w:eastAsia="方正小标宋简体" w:cs="宋体"/>
          <w:color w:val="000000"/>
          <w:sz w:val="32"/>
          <w:szCs w:val="32"/>
          <w:lang w:eastAsia="zh-CN"/>
        </w:rPr>
        <w:t>安阳市</w:t>
      </w:r>
      <w:r>
        <w:rPr>
          <w:rFonts w:hint="eastAsia" w:ascii="方正小标宋简体" w:hAnsi="宋体" w:eastAsia="方正小标宋简体" w:cs="宋体"/>
          <w:color w:val="000000"/>
          <w:sz w:val="32"/>
          <w:szCs w:val="32"/>
        </w:rPr>
        <w:t>危险化学品无仓储经营企业安全生产标准化建设定级评分表</w:t>
      </w:r>
      <w:r>
        <w:rPr>
          <w:rFonts w:hint="eastAsia" w:ascii="宋体" w:hAnsi="宋体" w:eastAsia="宋体" w:cs="宋体"/>
          <w:b/>
          <w:color w:val="000000"/>
          <w:sz w:val="32"/>
          <w:szCs w:val="32"/>
        </w:rPr>
        <w:t>（考评表）</w:t>
      </w:r>
    </w:p>
    <w:p w14:paraId="76CF8AEF">
      <w:pPr>
        <w:spacing w:line="320" w:lineRule="exact"/>
        <w:jc w:val="center"/>
        <w:rPr>
          <w:rFonts w:hint="eastAsia" w:ascii="宋体" w:hAnsi="宋体" w:eastAsia="宋体" w:cs="宋体"/>
          <w:b/>
          <w:bCs/>
          <w:color w:val="000000"/>
          <w:szCs w:val="21"/>
        </w:rPr>
      </w:pPr>
    </w:p>
    <w:tbl>
      <w:tblPr>
        <w:tblStyle w:val="6"/>
        <w:tblpPr w:leftFromText="180" w:rightFromText="180" w:vertAnchor="text" w:horzAnchor="page" w:tblpX="1147" w:tblpY="534"/>
        <w:tblOverlap w:val="never"/>
        <w:tblW w:w="1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833"/>
        <w:gridCol w:w="3356"/>
        <w:gridCol w:w="5040"/>
        <w:gridCol w:w="735"/>
        <w:gridCol w:w="735"/>
        <w:gridCol w:w="699"/>
      </w:tblGrid>
      <w:tr w14:paraId="78CD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1530" w:type="dxa"/>
            <w:vMerge w:val="restart"/>
            <w:noWrap w:val="0"/>
            <w:vAlign w:val="center"/>
          </w:tcPr>
          <w:p w14:paraId="2934D53E">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A级要素</w:t>
            </w:r>
          </w:p>
          <w:p w14:paraId="6BA99CF1">
            <w:pPr>
              <w:spacing w:line="320" w:lineRule="exact"/>
              <w:jc w:val="center"/>
              <w:rPr>
                <w:rFonts w:hint="eastAsia" w:ascii="Times New Roman" w:hAnsi="Times New Roman" w:eastAsia="宋体"/>
                <w:color w:val="000000"/>
              </w:rPr>
            </w:pPr>
            <w:r>
              <w:rPr>
                <w:rFonts w:hint="eastAsia" w:ascii="宋体" w:hAnsi="宋体" w:eastAsia="宋体" w:cs="宋体"/>
                <w:b/>
                <w:bCs/>
                <w:color w:val="000000"/>
                <w:szCs w:val="21"/>
              </w:rPr>
              <w:t>标准分值</w:t>
            </w:r>
          </w:p>
        </w:tc>
        <w:tc>
          <w:tcPr>
            <w:tcW w:w="2833" w:type="dxa"/>
            <w:vMerge w:val="restart"/>
            <w:noWrap w:val="0"/>
            <w:vAlign w:val="center"/>
          </w:tcPr>
          <w:p w14:paraId="3263E01C">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B级要素</w:t>
            </w:r>
          </w:p>
          <w:p w14:paraId="0882FDB3">
            <w:pPr>
              <w:spacing w:line="320" w:lineRule="exact"/>
              <w:jc w:val="center"/>
              <w:rPr>
                <w:rFonts w:hint="eastAsia" w:ascii="Times New Roman" w:hAnsi="Times New Roman" w:eastAsia="宋体"/>
                <w:color w:val="000000"/>
              </w:rPr>
            </w:pPr>
            <w:r>
              <w:rPr>
                <w:rFonts w:hint="eastAsia" w:ascii="宋体" w:hAnsi="宋体" w:eastAsia="宋体" w:cs="宋体"/>
                <w:b/>
                <w:bCs/>
                <w:color w:val="000000"/>
                <w:szCs w:val="21"/>
              </w:rPr>
              <w:t>标准分值</w:t>
            </w:r>
          </w:p>
        </w:tc>
        <w:tc>
          <w:tcPr>
            <w:tcW w:w="3356" w:type="dxa"/>
            <w:vMerge w:val="restart"/>
            <w:noWrap w:val="0"/>
            <w:vAlign w:val="center"/>
          </w:tcPr>
          <w:p w14:paraId="3AC67454">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C级要素</w:t>
            </w:r>
          </w:p>
          <w:p w14:paraId="3DA73746">
            <w:pPr>
              <w:spacing w:line="320" w:lineRule="exact"/>
              <w:jc w:val="center"/>
              <w:rPr>
                <w:rFonts w:hint="eastAsia" w:ascii="Times New Roman" w:hAnsi="Times New Roman" w:eastAsia="宋体"/>
                <w:color w:val="000000"/>
              </w:rPr>
            </w:pPr>
            <w:r>
              <w:rPr>
                <w:rFonts w:hint="eastAsia" w:ascii="宋体" w:hAnsi="宋体" w:eastAsia="宋体" w:cs="宋体"/>
                <w:b/>
                <w:bCs/>
                <w:color w:val="000000"/>
                <w:szCs w:val="21"/>
              </w:rPr>
              <w:t>标准分值</w:t>
            </w:r>
          </w:p>
        </w:tc>
        <w:tc>
          <w:tcPr>
            <w:tcW w:w="7209" w:type="dxa"/>
            <w:gridSpan w:val="4"/>
            <w:noWrap w:val="0"/>
            <w:vAlign w:val="center"/>
          </w:tcPr>
          <w:p w14:paraId="58DE60BF">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自评/评审情况</w:t>
            </w:r>
          </w:p>
        </w:tc>
      </w:tr>
      <w:tr w14:paraId="744B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1530" w:type="dxa"/>
            <w:vMerge w:val="continue"/>
            <w:noWrap w:val="0"/>
            <w:vAlign w:val="top"/>
          </w:tcPr>
          <w:p w14:paraId="4A0E1901">
            <w:pPr>
              <w:spacing w:line="320" w:lineRule="exact"/>
              <w:jc w:val="center"/>
              <w:rPr>
                <w:rFonts w:hint="eastAsia" w:ascii="宋体" w:hAnsi="宋体" w:eastAsia="宋体" w:cs="宋体"/>
                <w:b/>
                <w:bCs/>
                <w:color w:val="000000"/>
                <w:szCs w:val="21"/>
              </w:rPr>
            </w:pPr>
          </w:p>
        </w:tc>
        <w:tc>
          <w:tcPr>
            <w:tcW w:w="2833" w:type="dxa"/>
            <w:vMerge w:val="continue"/>
            <w:noWrap w:val="0"/>
            <w:vAlign w:val="center"/>
          </w:tcPr>
          <w:p w14:paraId="0DB83C6C">
            <w:pPr>
              <w:spacing w:line="320" w:lineRule="exact"/>
              <w:rPr>
                <w:rFonts w:hint="eastAsia" w:ascii="宋体" w:hAnsi="宋体" w:eastAsia="宋体" w:cs="宋体"/>
                <w:b/>
                <w:bCs/>
                <w:color w:val="000000"/>
                <w:szCs w:val="21"/>
              </w:rPr>
            </w:pPr>
          </w:p>
        </w:tc>
        <w:tc>
          <w:tcPr>
            <w:tcW w:w="3356" w:type="dxa"/>
            <w:vMerge w:val="continue"/>
            <w:noWrap w:val="0"/>
            <w:vAlign w:val="center"/>
          </w:tcPr>
          <w:p w14:paraId="28CB49BC">
            <w:pPr>
              <w:spacing w:line="320" w:lineRule="exact"/>
              <w:rPr>
                <w:rFonts w:hint="eastAsia" w:ascii="宋体" w:hAnsi="宋体" w:eastAsia="宋体" w:cs="宋体"/>
                <w:b/>
                <w:bCs/>
                <w:color w:val="000000"/>
                <w:szCs w:val="21"/>
              </w:rPr>
            </w:pPr>
          </w:p>
        </w:tc>
        <w:tc>
          <w:tcPr>
            <w:tcW w:w="5040" w:type="dxa"/>
            <w:noWrap w:val="0"/>
            <w:vAlign w:val="center"/>
          </w:tcPr>
          <w:p w14:paraId="01BDF33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扣分说明</w:t>
            </w:r>
          </w:p>
        </w:tc>
        <w:tc>
          <w:tcPr>
            <w:tcW w:w="735" w:type="dxa"/>
            <w:noWrap w:val="0"/>
            <w:vAlign w:val="center"/>
          </w:tcPr>
          <w:p w14:paraId="28E6B2E5">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扣分</w:t>
            </w:r>
          </w:p>
          <w:p w14:paraId="0C706A44">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分数</w:t>
            </w:r>
          </w:p>
        </w:tc>
        <w:tc>
          <w:tcPr>
            <w:tcW w:w="735" w:type="dxa"/>
            <w:noWrap w:val="0"/>
            <w:vAlign w:val="top"/>
          </w:tcPr>
          <w:p w14:paraId="0956ED18">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不涉</w:t>
            </w:r>
          </w:p>
          <w:p w14:paraId="24CE892A">
            <w:pPr>
              <w:spacing w:line="320" w:lineRule="exact"/>
              <w:jc w:val="center"/>
              <w:rPr>
                <w:rFonts w:ascii="宋体" w:hAnsi="宋体" w:eastAsia="宋体" w:cs="宋体"/>
                <w:b/>
                <w:bCs/>
                <w:color w:val="000000"/>
                <w:szCs w:val="21"/>
              </w:rPr>
            </w:pPr>
            <w:r>
              <w:rPr>
                <w:rFonts w:hint="eastAsia" w:ascii="宋体" w:hAnsi="宋体" w:eastAsia="宋体" w:cs="宋体"/>
                <w:b/>
                <w:bCs/>
                <w:color w:val="000000"/>
                <w:szCs w:val="21"/>
              </w:rPr>
              <w:t>及项分数</w:t>
            </w:r>
          </w:p>
        </w:tc>
        <w:tc>
          <w:tcPr>
            <w:tcW w:w="699" w:type="dxa"/>
            <w:noWrap w:val="0"/>
            <w:vAlign w:val="center"/>
          </w:tcPr>
          <w:p w14:paraId="506F90C7">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实际</w:t>
            </w:r>
          </w:p>
          <w:p w14:paraId="156E32E6">
            <w:pPr>
              <w:spacing w:line="320" w:lineRule="exact"/>
              <w:jc w:val="center"/>
              <w:rPr>
                <w:rFonts w:hint="eastAsia" w:ascii="宋体" w:hAnsi="宋体" w:eastAsia="宋体" w:cs="宋体"/>
                <w:b/>
                <w:bCs/>
                <w:color w:val="000000"/>
                <w:szCs w:val="21"/>
              </w:rPr>
            </w:pPr>
            <w:r>
              <w:rPr>
                <w:rFonts w:hint="eastAsia" w:ascii="宋体" w:hAnsi="宋体" w:eastAsia="宋体" w:cs="宋体"/>
                <w:b/>
                <w:bCs/>
                <w:color w:val="000000"/>
                <w:szCs w:val="21"/>
              </w:rPr>
              <w:t>得分</w:t>
            </w:r>
          </w:p>
        </w:tc>
      </w:tr>
      <w:tr w14:paraId="7E7F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30" w:type="dxa"/>
            <w:vMerge w:val="restart"/>
            <w:noWrap w:val="0"/>
            <w:vAlign w:val="center"/>
          </w:tcPr>
          <w:p w14:paraId="0514E6C0">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1</w:t>
            </w:r>
          </w:p>
          <w:p w14:paraId="3AFC78D2">
            <w:pPr>
              <w:spacing w:line="320" w:lineRule="exact"/>
              <w:jc w:val="center"/>
              <w:rPr>
                <w:rFonts w:hint="eastAsia" w:ascii="Times New Roman" w:hAnsi="Times New Roman" w:eastAsia="宋体"/>
                <w:b/>
                <w:bCs/>
                <w:color w:val="000000"/>
              </w:rPr>
            </w:pPr>
            <w:r>
              <w:rPr>
                <w:rFonts w:hint="eastAsia" w:ascii="Times New Roman" w:hAnsi="Times New Roman" w:eastAsia="宋体"/>
                <w:b/>
                <w:bCs/>
                <w:color w:val="000000"/>
              </w:rPr>
              <w:t>机构和职责（160分）</w:t>
            </w:r>
          </w:p>
          <w:p w14:paraId="781474E4">
            <w:pPr>
              <w:widowControl w:val="0"/>
              <w:spacing w:line="320" w:lineRule="exact"/>
              <w:ind w:left="480" w:firstLine="0" w:firstLineChars="0"/>
              <w:jc w:val="center"/>
              <w:rPr>
                <w:rFonts w:hint="eastAsia" w:ascii="Times New Roman" w:hAnsi="Times New Roman" w:eastAsia="宋体" w:cs="Times New Roman"/>
                <w:b/>
                <w:bCs/>
                <w:color w:val="000000"/>
                <w:kern w:val="2"/>
                <w:sz w:val="24"/>
                <w:szCs w:val="24"/>
                <w:lang w:val="en-US" w:eastAsia="zh-CN" w:bidi="ar-SA"/>
              </w:rPr>
            </w:pPr>
          </w:p>
        </w:tc>
        <w:tc>
          <w:tcPr>
            <w:tcW w:w="2833" w:type="dxa"/>
            <w:vMerge w:val="restart"/>
            <w:noWrap w:val="0"/>
            <w:vAlign w:val="center"/>
          </w:tcPr>
          <w:p w14:paraId="328A9965">
            <w:pPr>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1.1安全生产目标</w:t>
            </w:r>
            <w:r>
              <w:rPr>
                <w:rFonts w:hint="eastAsia" w:ascii="宋体" w:hAnsi="宋体" w:cs="宋体"/>
                <w:b/>
                <w:bCs/>
                <w:color w:val="000000"/>
                <w:szCs w:val="21"/>
                <w:lang w:eastAsia="zh-CN"/>
              </w:rPr>
              <w:t>（</w:t>
            </w:r>
            <w:r>
              <w:rPr>
                <w:rFonts w:hint="eastAsia" w:ascii="宋体" w:hAnsi="宋体" w:eastAsia="宋体" w:cs="宋体"/>
                <w:b/>
                <w:bCs/>
                <w:color w:val="000000"/>
                <w:szCs w:val="21"/>
              </w:rPr>
              <w:t>20分</w:t>
            </w:r>
            <w:r>
              <w:rPr>
                <w:rFonts w:hint="eastAsia" w:ascii="宋体" w:hAnsi="宋体" w:cs="宋体"/>
                <w:b/>
                <w:bCs/>
                <w:color w:val="000000"/>
                <w:szCs w:val="21"/>
                <w:lang w:eastAsia="zh-CN"/>
              </w:rPr>
              <w:t>）</w:t>
            </w:r>
          </w:p>
        </w:tc>
        <w:tc>
          <w:tcPr>
            <w:tcW w:w="3356" w:type="dxa"/>
            <w:noWrap w:val="0"/>
            <w:vAlign w:val="center"/>
          </w:tcPr>
          <w:p w14:paraId="7830AFE5">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1.1.1目标制定</w:t>
            </w:r>
            <w:r>
              <w:rPr>
                <w:rFonts w:hint="eastAsia" w:ascii="宋体" w:hAnsi="宋体" w:cs="宋体"/>
                <w:b/>
                <w:color w:val="000000"/>
                <w:szCs w:val="21"/>
                <w:lang w:eastAsia="zh-CN"/>
              </w:rPr>
              <w:t>（</w:t>
            </w:r>
            <w:r>
              <w:rPr>
                <w:rFonts w:hint="eastAsia" w:ascii="宋体" w:hAnsi="宋体" w:eastAsia="宋体" w:cs="宋体"/>
                <w:b/>
                <w:bCs/>
                <w:color w:val="000000"/>
                <w:szCs w:val="21"/>
              </w:rPr>
              <w:t>10分</w:t>
            </w:r>
            <w:r>
              <w:rPr>
                <w:rFonts w:hint="eastAsia" w:ascii="宋体" w:hAnsi="宋体" w:cs="宋体"/>
                <w:b/>
                <w:bCs/>
                <w:color w:val="000000"/>
                <w:szCs w:val="21"/>
                <w:lang w:eastAsia="zh-CN"/>
              </w:rPr>
              <w:t>）</w:t>
            </w:r>
          </w:p>
        </w:tc>
        <w:tc>
          <w:tcPr>
            <w:tcW w:w="5040" w:type="dxa"/>
            <w:tcBorders>
              <w:bottom w:val="single" w:color="auto" w:sz="4" w:space="0"/>
            </w:tcBorders>
            <w:noWrap w:val="0"/>
            <w:vAlign w:val="top"/>
          </w:tcPr>
          <w:p w14:paraId="2992330C">
            <w:pPr>
              <w:spacing w:line="320" w:lineRule="exact"/>
              <w:rPr>
                <w:rFonts w:hint="eastAsia" w:ascii="宋体" w:hAnsi="宋体" w:eastAsia="宋体" w:cs="宋体"/>
                <w:b/>
                <w:color w:val="000000"/>
                <w:szCs w:val="21"/>
              </w:rPr>
            </w:pPr>
          </w:p>
        </w:tc>
        <w:tc>
          <w:tcPr>
            <w:tcW w:w="735" w:type="dxa"/>
            <w:noWrap w:val="0"/>
            <w:vAlign w:val="top"/>
          </w:tcPr>
          <w:p w14:paraId="779892DC">
            <w:pPr>
              <w:spacing w:line="320" w:lineRule="exact"/>
              <w:rPr>
                <w:rFonts w:hint="eastAsia" w:ascii="宋体" w:hAnsi="宋体" w:eastAsia="宋体" w:cs="宋体"/>
                <w:bCs/>
                <w:color w:val="000000"/>
                <w:szCs w:val="21"/>
              </w:rPr>
            </w:pPr>
          </w:p>
        </w:tc>
        <w:tc>
          <w:tcPr>
            <w:tcW w:w="735" w:type="dxa"/>
            <w:noWrap w:val="0"/>
            <w:vAlign w:val="top"/>
          </w:tcPr>
          <w:p w14:paraId="21EE29A6">
            <w:pPr>
              <w:spacing w:line="320" w:lineRule="exact"/>
              <w:rPr>
                <w:rFonts w:hint="eastAsia" w:ascii="宋体" w:hAnsi="宋体" w:eastAsia="宋体" w:cs="宋体"/>
                <w:bCs/>
                <w:color w:val="000000"/>
                <w:szCs w:val="21"/>
              </w:rPr>
            </w:pPr>
          </w:p>
        </w:tc>
        <w:tc>
          <w:tcPr>
            <w:tcW w:w="699" w:type="dxa"/>
            <w:noWrap w:val="0"/>
            <w:vAlign w:val="top"/>
          </w:tcPr>
          <w:p w14:paraId="7C27C3AC">
            <w:pPr>
              <w:spacing w:line="320" w:lineRule="exact"/>
              <w:rPr>
                <w:rFonts w:hint="eastAsia" w:ascii="宋体" w:hAnsi="宋体" w:eastAsia="宋体" w:cs="宋体"/>
                <w:bCs/>
                <w:color w:val="000000"/>
                <w:szCs w:val="21"/>
              </w:rPr>
            </w:pPr>
          </w:p>
        </w:tc>
      </w:tr>
      <w:tr w14:paraId="3487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30" w:type="dxa"/>
            <w:vMerge w:val="continue"/>
            <w:noWrap w:val="0"/>
            <w:vAlign w:val="top"/>
          </w:tcPr>
          <w:p w14:paraId="18FB78FF">
            <w:pPr>
              <w:spacing w:line="320" w:lineRule="exact"/>
              <w:jc w:val="center"/>
              <w:rPr>
                <w:rFonts w:hint="eastAsia" w:ascii="宋体" w:hAnsi="宋体" w:eastAsia="宋体" w:cs="宋体"/>
                <w:b/>
                <w:bCs/>
                <w:color w:val="000000"/>
                <w:szCs w:val="21"/>
              </w:rPr>
            </w:pPr>
          </w:p>
        </w:tc>
        <w:tc>
          <w:tcPr>
            <w:tcW w:w="2833" w:type="dxa"/>
            <w:vMerge w:val="continue"/>
            <w:noWrap w:val="0"/>
            <w:vAlign w:val="center"/>
          </w:tcPr>
          <w:p w14:paraId="6C174F12">
            <w:pPr>
              <w:spacing w:line="320" w:lineRule="exact"/>
              <w:rPr>
                <w:rFonts w:hint="eastAsia" w:ascii="宋体" w:hAnsi="宋体" w:eastAsia="宋体" w:cs="宋体"/>
                <w:b/>
                <w:bCs/>
                <w:color w:val="000000"/>
                <w:szCs w:val="21"/>
              </w:rPr>
            </w:pPr>
          </w:p>
        </w:tc>
        <w:tc>
          <w:tcPr>
            <w:tcW w:w="3356" w:type="dxa"/>
            <w:noWrap w:val="0"/>
            <w:vAlign w:val="center"/>
          </w:tcPr>
          <w:p w14:paraId="33B9CED2">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1.1.2目标分解和考核</w:t>
            </w:r>
            <w:r>
              <w:rPr>
                <w:rFonts w:hint="eastAsia" w:ascii="宋体" w:hAnsi="宋体" w:cs="宋体"/>
                <w:b/>
                <w:color w:val="000000"/>
                <w:szCs w:val="21"/>
                <w:lang w:eastAsia="zh-CN"/>
              </w:rPr>
              <w:t>（</w:t>
            </w:r>
            <w:r>
              <w:rPr>
                <w:rFonts w:hint="eastAsia" w:ascii="宋体" w:hAnsi="宋体" w:eastAsia="宋体" w:cs="宋体"/>
                <w:b/>
                <w:bCs/>
                <w:color w:val="000000"/>
                <w:szCs w:val="21"/>
              </w:rPr>
              <w:t>10分</w:t>
            </w:r>
            <w:r>
              <w:rPr>
                <w:rFonts w:hint="eastAsia" w:ascii="宋体" w:hAnsi="宋体" w:cs="宋体"/>
                <w:b/>
                <w:bCs/>
                <w:color w:val="000000"/>
                <w:szCs w:val="21"/>
                <w:lang w:eastAsia="zh-CN"/>
              </w:rPr>
              <w:t>）</w:t>
            </w:r>
          </w:p>
        </w:tc>
        <w:tc>
          <w:tcPr>
            <w:tcW w:w="5040" w:type="dxa"/>
            <w:noWrap w:val="0"/>
            <w:vAlign w:val="top"/>
          </w:tcPr>
          <w:p w14:paraId="45BC345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32A2C44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279946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699" w:type="dxa"/>
            <w:noWrap w:val="0"/>
            <w:vAlign w:val="top"/>
          </w:tcPr>
          <w:p w14:paraId="5961637F">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6406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30" w:type="dxa"/>
            <w:vMerge w:val="continue"/>
            <w:noWrap w:val="0"/>
            <w:vAlign w:val="top"/>
          </w:tcPr>
          <w:p w14:paraId="500311A6">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2833" w:type="dxa"/>
            <w:vMerge w:val="restart"/>
            <w:noWrap w:val="0"/>
            <w:vAlign w:val="center"/>
          </w:tcPr>
          <w:p w14:paraId="6B142BEB">
            <w:pPr>
              <w:spacing w:line="320" w:lineRule="exact"/>
              <w:rPr>
                <w:rFonts w:ascii="Times New Roman" w:hAnsi="Times New Roman" w:eastAsia="宋体"/>
                <w:b/>
                <w:color w:val="000000"/>
              </w:rPr>
            </w:pPr>
            <w:r>
              <w:rPr>
                <w:rFonts w:hint="eastAsia" w:ascii="宋体" w:hAnsi="宋体" w:eastAsia="宋体" w:cs="宋体"/>
                <w:b/>
                <w:color w:val="000000"/>
                <w:szCs w:val="21"/>
              </w:rPr>
              <w:t>1.2安全生产管理机构（30分）</w:t>
            </w:r>
          </w:p>
        </w:tc>
        <w:tc>
          <w:tcPr>
            <w:tcW w:w="3356" w:type="dxa"/>
            <w:noWrap w:val="0"/>
            <w:vAlign w:val="center"/>
          </w:tcPr>
          <w:p w14:paraId="1D33276B">
            <w:pPr>
              <w:widowControl w:val="0"/>
              <w:spacing w:line="320" w:lineRule="exact"/>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1.2.1机构设置</w:t>
            </w:r>
            <w:r>
              <w:rPr>
                <w:rFonts w:hint="eastAsia" w:ascii="宋体" w:hAnsi="宋体" w:cs="宋体"/>
                <w:b/>
                <w:bCs/>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15分</w:t>
            </w:r>
            <w:r>
              <w:rPr>
                <w:rFonts w:hint="eastAsia" w:ascii="宋体" w:hAnsi="宋体" w:cs="宋体"/>
                <w:b/>
                <w:bCs/>
                <w:color w:val="000000"/>
                <w:kern w:val="2"/>
                <w:sz w:val="21"/>
                <w:szCs w:val="21"/>
                <w:lang w:val="en-US" w:eastAsia="zh-CN" w:bidi="ar-SA"/>
              </w:rPr>
              <w:t>）</w:t>
            </w:r>
          </w:p>
        </w:tc>
        <w:tc>
          <w:tcPr>
            <w:tcW w:w="5040" w:type="dxa"/>
            <w:tcBorders>
              <w:bottom w:val="single" w:color="auto" w:sz="4" w:space="0"/>
            </w:tcBorders>
            <w:noWrap w:val="0"/>
            <w:vAlign w:val="top"/>
          </w:tcPr>
          <w:p w14:paraId="69AABCE5">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35E3162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39F43469">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699" w:type="dxa"/>
            <w:noWrap w:val="0"/>
            <w:vAlign w:val="top"/>
          </w:tcPr>
          <w:p w14:paraId="32CADFE1">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690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30" w:type="dxa"/>
            <w:vMerge w:val="continue"/>
            <w:noWrap w:val="0"/>
            <w:vAlign w:val="top"/>
          </w:tcPr>
          <w:p w14:paraId="4E8CEF63">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2833" w:type="dxa"/>
            <w:vMerge w:val="continue"/>
            <w:noWrap w:val="0"/>
            <w:vAlign w:val="center"/>
          </w:tcPr>
          <w:p w14:paraId="39973266">
            <w:pPr>
              <w:spacing w:line="320" w:lineRule="exact"/>
              <w:rPr>
                <w:rFonts w:hint="eastAsia" w:ascii="宋体" w:hAnsi="宋体" w:eastAsia="宋体" w:cs="宋体"/>
                <w:b/>
                <w:color w:val="000000"/>
                <w:szCs w:val="21"/>
              </w:rPr>
            </w:pPr>
          </w:p>
        </w:tc>
        <w:tc>
          <w:tcPr>
            <w:tcW w:w="3356" w:type="dxa"/>
            <w:noWrap w:val="0"/>
            <w:vAlign w:val="center"/>
          </w:tcPr>
          <w:p w14:paraId="43400C05">
            <w:pPr>
              <w:widowControl w:val="0"/>
              <w:spacing w:line="320" w:lineRule="exact"/>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1.2.2主要负责人（15分）</w:t>
            </w:r>
          </w:p>
        </w:tc>
        <w:tc>
          <w:tcPr>
            <w:tcW w:w="5040" w:type="dxa"/>
            <w:tcBorders>
              <w:bottom w:val="single" w:color="auto" w:sz="4" w:space="0"/>
            </w:tcBorders>
            <w:noWrap w:val="0"/>
            <w:vAlign w:val="top"/>
          </w:tcPr>
          <w:p w14:paraId="24D6412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EF918E1">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5121056D">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699" w:type="dxa"/>
            <w:noWrap w:val="0"/>
            <w:vAlign w:val="top"/>
          </w:tcPr>
          <w:p w14:paraId="7580B9F3">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5509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30" w:type="dxa"/>
            <w:vMerge w:val="continue"/>
            <w:noWrap w:val="0"/>
            <w:vAlign w:val="top"/>
          </w:tcPr>
          <w:p w14:paraId="68DDB8FA">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2833" w:type="dxa"/>
            <w:vMerge w:val="restart"/>
            <w:noWrap w:val="0"/>
            <w:vAlign w:val="center"/>
          </w:tcPr>
          <w:p w14:paraId="011DCF43">
            <w:pPr>
              <w:spacing w:line="320" w:lineRule="exact"/>
              <w:rPr>
                <w:rFonts w:ascii="宋体" w:hAnsi="宋体" w:eastAsia="宋体" w:cs="宋体"/>
                <w:b/>
                <w:color w:val="000000"/>
                <w:szCs w:val="21"/>
              </w:rPr>
            </w:pPr>
            <w:r>
              <w:rPr>
                <w:rFonts w:hint="eastAsia" w:ascii="宋体" w:hAnsi="宋体" w:eastAsia="宋体" w:cs="宋体"/>
                <w:b/>
                <w:color w:val="000000"/>
                <w:szCs w:val="21"/>
              </w:rPr>
              <w:t>1.3安全生产责任制（80分）</w:t>
            </w:r>
          </w:p>
        </w:tc>
        <w:tc>
          <w:tcPr>
            <w:tcW w:w="3356" w:type="dxa"/>
            <w:noWrap w:val="0"/>
            <w:vAlign w:val="center"/>
          </w:tcPr>
          <w:p w14:paraId="4AF6B3CC">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1.3.1责任制建立健全（50分）</w:t>
            </w:r>
          </w:p>
        </w:tc>
        <w:tc>
          <w:tcPr>
            <w:tcW w:w="5040" w:type="dxa"/>
            <w:tcBorders>
              <w:bottom w:val="single" w:color="auto" w:sz="4" w:space="0"/>
            </w:tcBorders>
            <w:noWrap w:val="0"/>
            <w:vAlign w:val="top"/>
          </w:tcPr>
          <w:p w14:paraId="46407BA6">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4A1B10C">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9DC1ACC">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699" w:type="dxa"/>
            <w:noWrap w:val="0"/>
            <w:vAlign w:val="top"/>
          </w:tcPr>
          <w:p w14:paraId="0959AA69">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2C76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30" w:type="dxa"/>
            <w:vMerge w:val="continue"/>
            <w:noWrap w:val="0"/>
            <w:vAlign w:val="top"/>
          </w:tcPr>
          <w:p w14:paraId="4638BDA0">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2833" w:type="dxa"/>
            <w:vMerge w:val="continue"/>
            <w:noWrap w:val="0"/>
            <w:vAlign w:val="center"/>
          </w:tcPr>
          <w:p w14:paraId="60FDEC27">
            <w:pPr>
              <w:spacing w:line="320" w:lineRule="exact"/>
              <w:rPr>
                <w:rFonts w:hint="eastAsia" w:ascii="宋体" w:hAnsi="宋体" w:eastAsia="宋体" w:cs="宋体"/>
                <w:b/>
                <w:bCs/>
                <w:color w:val="000000"/>
                <w:szCs w:val="21"/>
              </w:rPr>
            </w:pPr>
          </w:p>
        </w:tc>
        <w:tc>
          <w:tcPr>
            <w:tcW w:w="3356" w:type="dxa"/>
            <w:noWrap w:val="0"/>
            <w:vAlign w:val="center"/>
          </w:tcPr>
          <w:p w14:paraId="018435D8">
            <w:pPr>
              <w:spacing w:line="320" w:lineRule="exact"/>
              <w:rPr>
                <w:rFonts w:hint="eastAsia" w:ascii="宋体" w:hAnsi="宋体" w:eastAsia="宋体" w:cs="宋体"/>
                <w:b/>
                <w:bCs/>
                <w:color w:val="000000"/>
                <w:szCs w:val="21"/>
              </w:rPr>
            </w:pPr>
            <w:r>
              <w:rPr>
                <w:rFonts w:hint="eastAsia" w:ascii="宋体" w:hAnsi="宋体" w:eastAsia="宋体" w:cs="宋体"/>
                <w:b/>
                <w:color w:val="000000"/>
                <w:szCs w:val="21"/>
              </w:rPr>
              <w:t>1.3.2责任制运行考核</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5040" w:type="dxa"/>
            <w:tcBorders>
              <w:bottom w:val="single" w:color="auto" w:sz="4" w:space="0"/>
            </w:tcBorders>
            <w:noWrap w:val="0"/>
            <w:vAlign w:val="top"/>
          </w:tcPr>
          <w:p w14:paraId="3AF6D3A2">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02795233">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13F96D1E">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699" w:type="dxa"/>
            <w:noWrap w:val="0"/>
            <w:vAlign w:val="top"/>
          </w:tcPr>
          <w:p w14:paraId="18F992A6">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5C10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30" w:type="dxa"/>
            <w:vMerge w:val="continue"/>
            <w:noWrap w:val="0"/>
            <w:vAlign w:val="top"/>
          </w:tcPr>
          <w:p w14:paraId="417CFD6A">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2833" w:type="dxa"/>
            <w:noWrap w:val="0"/>
            <w:vAlign w:val="center"/>
          </w:tcPr>
          <w:p w14:paraId="76A9A728">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1.4安全费用投入</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3356" w:type="dxa"/>
            <w:noWrap w:val="0"/>
            <w:vAlign w:val="center"/>
          </w:tcPr>
          <w:p w14:paraId="46AD7665">
            <w:pPr>
              <w:spacing w:line="320" w:lineRule="exact"/>
              <w:jc w:val="left"/>
              <w:rPr>
                <w:rFonts w:hint="eastAsia" w:ascii="宋体" w:hAnsi="宋体" w:eastAsia="宋体"/>
                <w:b/>
                <w:color w:val="000000"/>
              </w:rPr>
            </w:pPr>
            <w:r>
              <w:rPr>
                <w:rFonts w:hint="eastAsia" w:ascii="宋体" w:hAnsi="宋体" w:eastAsia="宋体" w:cs="宋体"/>
                <w:b/>
                <w:color w:val="000000"/>
                <w:szCs w:val="21"/>
              </w:rPr>
              <w:t>1.4.1安全费用提取和使用</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5040" w:type="dxa"/>
            <w:tcBorders>
              <w:bottom w:val="single" w:color="auto" w:sz="4" w:space="0"/>
            </w:tcBorders>
            <w:noWrap w:val="0"/>
            <w:vAlign w:val="top"/>
          </w:tcPr>
          <w:p w14:paraId="15AC2490">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72E6A00F">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2045456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699" w:type="dxa"/>
            <w:noWrap w:val="0"/>
            <w:vAlign w:val="top"/>
          </w:tcPr>
          <w:p w14:paraId="4FD89FA4">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7579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30" w:type="dxa"/>
            <w:vMerge w:val="restart"/>
            <w:noWrap w:val="0"/>
            <w:vAlign w:val="center"/>
          </w:tcPr>
          <w:p w14:paraId="54749379">
            <w:pPr>
              <w:widowControl w:val="0"/>
              <w:spacing w:line="320" w:lineRule="exact"/>
              <w:jc w:val="center"/>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2</w:t>
            </w:r>
          </w:p>
          <w:p w14:paraId="7C2B4911">
            <w:pPr>
              <w:widowControl w:val="0"/>
              <w:spacing w:line="320" w:lineRule="exact"/>
              <w:jc w:val="center"/>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管理制度</w:t>
            </w:r>
          </w:p>
          <w:p w14:paraId="0F60C594">
            <w:pPr>
              <w:widowControl w:val="0"/>
              <w:spacing w:line="320" w:lineRule="exact"/>
              <w:jc w:val="center"/>
              <w:rPr>
                <w:rFonts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（140分）</w:t>
            </w:r>
          </w:p>
        </w:tc>
        <w:tc>
          <w:tcPr>
            <w:tcW w:w="2833" w:type="dxa"/>
            <w:vMerge w:val="restart"/>
            <w:noWrap w:val="0"/>
            <w:vAlign w:val="center"/>
          </w:tcPr>
          <w:p w14:paraId="65DE9A07">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2.1法律法规和标准规范（60分）</w:t>
            </w:r>
          </w:p>
        </w:tc>
        <w:tc>
          <w:tcPr>
            <w:tcW w:w="3356" w:type="dxa"/>
            <w:noWrap w:val="0"/>
            <w:vAlign w:val="center"/>
          </w:tcPr>
          <w:p w14:paraId="5581B47A">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2.1.1法律法规和标准规范的获取</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5040" w:type="dxa"/>
            <w:tcBorders>
              <w:bottom w:val="single" w:color="auto" w:sz="4" w:space="0"/>
            </w:tcBorders>
            <w:noWrap w:val="0"/>
            <w:vAlign w:val="top"/>
          </w:tcPr>
          <w:p w14:paraId="7BB606EB">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042233D">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6D2C2861">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699" w:type="dxa"/>
            <w:noWrap w:val="0"/>
            <w:vAlign w:val="top"/>
          </w:tcPr>
          <w:p w14:paraId="32AB7F5A">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2333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30" w:type="dxa"/>
            <w:vMerge w:val="continue"/>
            <w:noWrap w:val="0"/>
            <w:vAlign w:val="top"/>
          </w:tcPr>
          <w:p w14:paraId="366E7F70">
            <w:pPr>
              <w:widowControl w:val="0"/>
              <w:spacing w:line="320" w:lineRule="exact"/>
              <w:jc w:val="center"/>
              <w:rPr>
                <w:rFonts w:ascii="Times New Roman" w:hAnsi="Times New Roman" w:eastAsia="宋体" w:cs="Times New Roman"/>
                <w:b/>
                <w:color w:val="000000"/>
                <w:kern w:val="2"/>
                <w:sz w:val="21"/>
                <w:szCs w:val="24"/>
                <w:lang w:val="en-US" w:eastAsia="zh-CN" w:bidi="ar-SA"/>
              </w:rPr>
            </w:pPr>
          </w:p>
        </w:tc>
        <w:tc>
          <w:tcPr>
            <w:tcW w:w="2833" w:type="dxa"/>
            <w:vMerge w:val="continue"/>
            <w:noWrap w:val="0"/>
            <w:vAlign w:val="center"/>
          </w:tcPr>
          <w:p w14:paraId="08CED178">
            <w:pPr>
              <w:spacing w:line="320" w:lineRule="exact"/>
              <w:rPr>
                <w:rFonts w:hint="eastAsia" w:ascii="宋体" w:hAnsi="宋体" w:eastAsia="宋体" w:cs="宋体"/>
                <w:b/>
                <w:color w:val="000000"/>
                <w:szCs w:val="21"/>
              </w:rPr>
            </w:pPr>
          </w:p>
        </w:tc>
        <w:tc>
          <w:tcPr>
            <w:tcW w:w="3356" w:type="dxa"/>
            <w:noWrap w:val="0"/>
            <w:vAlign w:val="center"/>
          </w:tcPr>
          <w:p w14:paraId="3FEFE9EF">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2.1.2法律法规和标准规范合规性评审（30分）</w:t>
            </w:r>
          </w:p>
        </w:tc>
        <w:tc>
          <w:tcPr>
            <w:tcW w:w="5040" w:type="dxa"/>
            <w:tcBorders>
              <w:bottom w:val="single" w:color="auto" w:sz="4" w:space="0"/>
            </w:tcBorders>
            <w:noWrap w:val="0"/>
            <w:vAlign w:val="top"/>
          </w:tcPr>
          <w:p w14:paraId="4E0624A7">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145945EE">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735" w:type="dxa"/>
            <w:noWrap w:val="0"/>
            <w:vAlign w:val="top"/>
          </w:tcPr>
          <w:p w14:paraId="4E4D52FA">
            <w:pPr>
              <w:widowControl w:val="0"/>
              <w:spacing w:line="320" w:lineRule="exact"/>
              <w:jc w:val="both"/>
              <w:rPr>
                <w:rFonts w:hint="eastAsia" w:ascii="宋体" w:hAnsi="宋体" w:eastAsia="宋体" w:cs="宋体"/>
                <w:bCs/>
                <w:color w:val="000000"/>
                <w:kern w:val="0"/>
                <w:sz w:val="21"/>
                <w:szCs w:val="21"/>
                <w:lang w:val="en-US" w:eastAsia="zh-CN" w:bidi="ar-SA"/>
              </w:rPr>
            </w:pPr>
          </w:p>
        </w:tc>
        <w:tc>
          <w:tcPr>
            <w:tcW w:w="699" w:type="dxa"/>
            <w:noWrap w:val="0"/>
            <w:vAlign w:val="top"/>
          </w:tcPr>
          <w:p w14:paraId="396FC1DF">
            <w:pPr>
              <w:widowControl w:val="0"/>
              <w:spacing w:line="320" w:lineRule="exact"/>
              <w:jc w:val="both"/>
              <w:rPr>
                <w:rFonts w:hint="eastAsia" w:ascii="宋体" w:hAnsi="宋体" w:eastAsia="宋体" w:cs="宋体"/>
                <w:bCs/>
                <w:color w:val="000000"/>
                <w:kern w:val="0"/>
                <w:sz w:val="21"/>
                <w:szCs w:val="21"/>
                <w:lang w:val="en-US" w:eastAsia="zh-CN" w:bidi="ar-SA"/>
              </w:rPr>
            </w:pPr>
          </w:p>
        </w:tc>
      </w:tr>
      <w:tr w14:paraId="7861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30" w:type="dxa"/>
            <w:vMerge w:val="continue"/>
            <w:noWrap w:val="0"/>
            <w:vAlign w:val="top"/>
          </w:tcPr>
          <w:p w14:paraId="0FC9CFA8">
            <w:pPr>
              <w:spacing w:line="320" w:lineRule="exact"/>
              <w:jc w:val="center"/>
              <w:rPr>
                <w:rFonts w:hint="eastAsia" w:ascii="宋体" w:hAnsi="宋体" w:eastAsia="宋体" w:cs="宋体"/>
                <w:b/>
                <w:bCs/>
                <w:color w:val="000000"/>
                <w:szCs w:val="21"/>
              </w:rPr>
            </w:pPr>
          </w:p>
        </w:tc>
        <w:tc>
          <w:tcPr>
            <w:tcW w:w="2833" w:type="dxa"/>
            <w:vMerge w:val="restart"/>
            <w:noWrap w:val="0"/>
            <w:vAlign w:val="center"/>
          </w:tcPr>
          <w:p w14:paraId="1F6C3387">
            <w:pPr>
              <w:spacing w:line="320" w:lineRule="exact"/>
              <w:rPr>
                <w:rFonts w:hint="eastAsia" w:ascii="宋体" w:hAnsi="宋体" w:eastAsia="宋体" w:cs="宋体"/>
                <w:b/>
                <w:bCs/>
                <w:color w:val="000000"/>
                <w:szCs w:val="21"/>
              </w:rPr>
            </w:pPr>
            <w:r>
              <w:rPr>
                <w:rFonts w:hint="eastAsia" w:ascii="宋体" w:hAnsi="宋体" w:eastAsia="宋体" w:cs="宋体"/>
                <w:b/>
                <w:color w:val="000000"/>
                <w:szCs w:val="21"/>
              </w:rPr>
              <w:t>2.2规章制度</w:t>
            </w:r>
            <w:r>
              <w:rPr>
                <w:rFonts w:hint="eastAsia" w:ascii="宋体" w:hAnsi="宋体" w:cs="宋体"/>
                <w:b/>
                <w:color w:val="000000"/>
                <w:szCs w:val="21"/>
                <w:lang w:eastAsia="zh-CN"/>
              </w:rPr>
              <w:t>（</w:t>
            </w:r>
            <w:r>
              <w:rPr>
                <w:rFonts w:hint="eastAsia" w:ascii="宋体" w:hAnsi="宋体" w:eastAsia="宋体" w:cs="宋体"/>
                <w:b/>
                <w:color w:val="000000"/>
                <w:szCs w:val="21"/>
              </w:rPr>
              <w:t>80分</w:t>
            </w:r>
            <w:r>
              <w:rPr>
                <w:rFonts w:hint="eastAsia" w:ascii="宋体" w:hAnsi="宋体" w:cs="宋体"/>
                <w:b/>
                <w:color w:val="000000"/>
                <w:szCs w:val="21"/>
                <w:lang w:eastAsia="zh-CN"/>
              </w:rPr>
              <w:t>）</w:t>
            </w:r>
          </w:p>
        </w:tc>
        <w:tc>
          <w:tcPr>
            <w:tcW w:w="3356" w:type="dxa"/>
            <w:noWrap w:val="0"/>
            <w:vAlign w:val="center"/>
          </w:tcPr>
          <w:p w14:paraId="3EC2F869">
            <w:pPr>
              <w:spacing w:line="320" w:lineRule="exact"/>
              <w:rPr>
                <w:rFonts w:hint="eastAsia" w:ascii="宋体" w:hAnsi="宋体" w:eastAsia="宋体" w:cs="宋体"/>
                <w:b/>
                <w:bCs/>
                <w:color w:val="000000"/>
                <w:szCs w:val="21"/>
              </w:rPr>
            </w:pPr>
            <w:r>
              <w:rPr>
                <w:rFonts w:hint="eastAsia" w:ascii="宋体" w:hAnsi="宋体" w:eastAsia="宋体" w:cs="宋体"/>
                <w:b/>
                <w:color w:val="000000"/>
                <w:szCs w:val="21"/>
              </w:rPr>
              <w:t>2.2.1规章制度</w:t>
            </w:r>
            <w:r>
              <w:rPr>
                <w:rFonts w:hint="eastAsia" w:ascii="宋体" w:hAnsi="宋体" w:cs="宋体"/>
                <w:b/>
                <w:color w:val="000000"/>
                <w:szCs w:val="21"/>
                <w:lang w:eastAsia="zh-CN"/>
              </w:rPr>
              <w:t>（</w:t>
            </w:r>
            <w:r>
              <w:rPr>
                <w:rFonts w:hint="eastAsia" w:ascii="宋体" w:hAnsi="宋体" w:eastAsia="宋体" w:cs="宋体"/>
                <w:b/>
                <w:color w:val="000000"/>
                <w:szCs w:val="21"/>
              </w:rPr>
              <w:t>50分</w:t>
            </w:r>
            <w:r>
              <w:rPr>
                <w:rFonts w:hint="eastAsia" w:ascii="宋体" w:hAnsi="宋体" w:cs="宋体"/>
                <w:b/>
                <w:color w:val="000000"/>
                <w:szCs w:val="21"/>
                <w:lang w:eastAsia="zh-CN"/>
              </w:rPr>
              <w:t>）</w:t>
            </w:r>
          </w:p>
        </w:tc>
        <w:tc>
          <w:tcPr>
            <w:tcW w:w="5040" w:type="dxa"/>
            <w:noWrap w:val="0"/>
            <w:vAlign w:val="top"/>
          </w:tcPr>
          <w:p w14:paraId="107E967B">
            <w:pPr>
              <w:spacing w:line="320" w:lineRule="exact"/>
              <w:ind w:left="-5" w:right="-67" w:rightChars="-32"/>
              <w:rPr>
                <w:rFonts w:hint="eastAsia" w:ascii="宋体" w:hAnsi="宋体" w:eastAsia="宋体" w:cs="宋体"/>
                <w:b/>
                <w:color w:val="000000"/>
                <w:kern w:val="0"/>
                <w:szCs w:val="21"/>
              </w:rPr>
            </w:pPr>
          </w:p>
        </w:tc>
        <w:tc>
          <w:tcPr>
            <w:tcW w:w="735" w:type="dxa"/>
            <w:noWrap w:val="0"/>
            <w:vAlign w:val="top"/>
          </w:tcPr>
          <w:p w14:paraId="414F82C3">
            <w:pPr>
              <w:spacing w:line="320" w:lineRule="exact"/>
              <w:rPr>
                <w:rFonts w:hint="eastAsia" w:ascii="宋体" w:hAnsi="宋体" w:eastAsia="宋体" w:cs="宋体"/>
                <w:bCs/>
                <w:color w:val="000000"/>
                <w:szCs w:val="21"/>
              </w:rPr>
            </w:pPr>
          </w:p>
        </w:tc>
        <w:tc>
          <w:tcPr>
            <w:tcW w:w="735" w:type="dxa"/>
            <w:noWrap w:val="0"/>
            <w:vAlign w:val="top"/>
          </w:tcPr>
          <w:p w14:paraId="6BC88843">
            <w:pPr>
              <w:spacing w:line="320" w:lineRule="exact"/>
              <w:rPr>
                <w:rFonts w:hint="eastAsia" w:ascii="宋体" w:hAnsi="宋体" w:eastAsia="宋体" w:cs="宋体"/>
                <w:bCs/>
                <w:color w:val="000000"/>
                <w:szCs w:val="21"/>
              </w:rPr>
            </w:pPr>
          </w:p>
        </w:tc>
        <w:tc>
          <w:tcPr>
            <w:tcW w:w="699" w:type="dxa"/>
            <w:noWrap w:val="0"/>
            <w:vAlign w:val="top"/>
          </w:tcPr>
          <w:p w14:paraId="6DC087DF">
            <w:pPr>
              <w:spacing w:line="320" w:lineRule="exact"/>
              <w:rPr>
                <w:rFonts w:hint="eastAsia" w:ascii="宋体" w:hAnsi="宋体" w:eastAsia="宋体" w:cs="宋体"/>
                <w:bCs/>
                <w:color w:val="000000"/>
                <w:szCs w:val="21"/>
              </w:rPr>
            </w:pPr>
          </w:p>
        </w:tc>
      </w:tr>
      <w:tr w14:paraId="54FC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30" w:type="dxa"/>
            <w:vMerge w:val="continue"/>
            <w:noWrap w:val="0"/>
            <w:vAlign w:val="top"/>
          </w:tcPr>
          <w:p w14:paraId="5C6D5345">
            <w:pPr>
              <w:spacing w:line="320" w:lineRule="exact"/>
              <w:jc w:val="center"/>
              <w:rPr>
                <w:rFonts w:hint="eastAsia" w:ascii="宋体" w:hAnsi="宋体" w:eastAsia="宋体" w:cs="宋体"/>
                <w:b/>
                <w:bCs/>
                <w:color w:val="000000"/>
                <w:szCs w:val="21"/>
              </w:rPr>
            </w:pPr>
          </w:p>
        </w:tc>
        <w:tc>
          <w:tcPr>
            <w:tcW w:w="2833" w:type="dxa"/>
            <w:vMerge w:val="continue"/>
            <w:noWrap w:val="0"/>
            <w:vAlign w:val="center"/>
          </w:tcPr>
          <w:p w14:paraId="5DCD205C">
            <w:pPr>
              <w:spacing w:line="320" w:lineRule="exact"/>
              <w:rPr>
                <w:rFonts w:hint="eastAsia" w:ascii="宋体" w:hAnsi="宋体" w:eastAsia="宋体" w:cs="宋体"/>
                <w:b/>
                <w:bCs/>
                <w:color w:val="000000"/>
                <w:szCs w:val="21"/>
              </w:rPr>
            </w:pPr>
          </w:p>
        </w:tc>
        <w:tc>
          <w:tcPr>
            <w:tcW w:w="3356" w:type="dxa"/>
            <w:noWrap w:val="0"/>
            <w:vAlign w:val="center"/>
          </w:tcPr>
          <w:p w14:paraId="0CB345B4">
            <w:pPr>
              <w:spacing w:line="320" w:lineRule="exact"/>
              <w:rPr>
                <w:rFonts w:hint="eastAsia" w:ascii="宋体" w:hAnsi="宋体" w:eastAsia="宋体" w:cs="宋体"/>
                <w:b/>
                <w:bCs/>
                <w:color w:val="000000"/>
                <w:szCs w:val="21"/>
              </w:rPr>
            </w:pPr>
            <w:r>
              <w:rPr>
                <w:rFonts w:hint="eastAsia" w:ascii="宋体" w:hAnsi="宋体" w:eastAsia="宋体" w:cs="宋体"/>
                <w:b/>
                <w:color w:val="000000"/>
                <w:szCs w:val="21"/>
              </w:rPr>
              <w:t>2.2.2文档管理</w:t>
            </w:r>
            <w:r>
              <w:rPr>
                <w:rFonts w:hint="eastAsia" w:ascii="宋体" w:hAnsi="宋体" w:cs="宋体"/>
                <w:b/>
                <w:color w:val="000000"/>
                <w:szCs w:val="21"/>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5040" w:type="dxa"/>
            <w:noWrap w:val="0"/>
            <w:vAlign w:val="top"/>
          </w:tcPr>
          <w:p w14:paraId="1B63F748">
            <w:pPr>
              <w:spacing w:line="320" w:lineRule="exact"/>
              <w:rPr>
                <w:rFonts w:hint="eastAsia" w:ascii="宋体" w:hAnsi="宋体" w:eastAsia="宋体" w:cs="宋体"/>
                <w:bCs/>
                <w:color w:val="000000"/>
                <w:kern w:val="0"/>
                <w:szCs w:val="21"/>
              </w:rPr>
            </w:pPr>
          </w:p>
        </w:tc>
        <w:tc>
          <w:tcPr>
            <w:tcW w:w="735" w:type="dxa"/>
            <w:noWrap w:val="0"/>
            <w:vAlign w:val="top"/>
          </w:tcPr>
          <w:p w14:paraId="4694D085">
            <w:pPr>
              <w:spacing w:line="320" w:lineRule="exact"/>
              <w:rPr>
                <w:rFonts w:hint="eastAsia" w:ascii="宋体" w:hAnsi="宋体" w:eastAsia="宋体" w:cs="宋体"/>
                <w:bCs/>
                <w:color w:val="000000"/>
                <w:szCs w:val="21"/>
              </w:rPr>
            </w:pPr>
          </w:p>
        </w:tc>
        <w:tc>
          <w:tcPr>
            <w:tcW w:w="735" w:type="dxa"/>
            <w:noWrap w:val="0"/>
            <w:vAlign w:val="top"/>
          </w:tcPr>
          <w:p w14:paraId="568C3F9B">
            <w:pPr>
              <w:spacing w:line="320" w:lineRule="exact"/>
              <w:rPr>
                <w:rFonts w:hint="eastAsia" w:ascii="宋体" w:hAnsi="宋体" w:eastAsia="宋体" w:cs="宋体"/>
                <w:bCs/>
                <w:color w:val="000000"/>
                <w:szCs w:val="21"/>
              </w:rPr>
            </w:pPr>
          </w:p>
        </w:tc>
        <w:tc>
          <w:tcPr>
            <w:tcW w:w="699" w:type="dxa"/>
            <w:noWrap w:val="0"/>
            <w:vAlign w:val="top"/>
          </w:tcPr>
          <w:p w14:paraId="678B0E7B">
            <w:pPr>
              <w:spacing w:line="320" w:lineRule="exact"/>
              <w:rPr>
                <w:rFonts w:hint="eastAsia" w:ascii="宋体" w:hAnsi="宋体" w:eastAsia="宋体" w:cs="宋体"/>
                <w:bCs/>
                <w:color w:val="000000"/>
                <w:szCs w:val="21"/>
              </w:rPr>
            </w:pPr>
          </w:p>
        </w:tc>
      </w:tr>
      <w:tr w14:paraId="1D85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0" w:type="dxa"/>
            <w:vMerge w:val="restart"/>
            <w:noWrap w:val="0"/>
            <w:vAlign w:val="center"/>
          </w:tcPr>
          <w:p w14:paraId="03DF50E3">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3</w:t>
            </w:r>
          </w:p>
          <w:p w14:paraId="3160CE0E">
            <w:pPr>
              <w:spacing w:line="320" w:lineRule="exact"/>
              <w:jc w:val="center"/>
              <w:rPr>
                <w:rFonts w:hint="eastAsia" w:ascii="宋体" w:hAnsi="宋体" w:eastAsia="宋体" w:cs="宋体"/>
                <w:b/>
                <w:color w:val="000000"/>
                <w:szCs w:val="21"/>
              </w:rPr>
            </w:pPr>
            <w:r>
              <w:rPr>
                <w:rFonts w:hint="eastAsia" w:ascii="宋体" w:hAnsi="宋体" w:eastAsia="宋体" w:cs="宋体"/>
                <w:b/>
                <w:color w:val="000000"/>
                <w:szCs w:val="21"/>
              </w:rPr>
              <w:t>教育培训</w:t>
            </w:r>
          </w:p>
          <w:p w14:paraId="228CCD9E">
            <w:pPr>
              <w:spacing w:line="320" w:lineRule="exact"/>
              <w:jc w:val="center"/>
              <w:rPr>
                <w:rFonts w:hint="eastAsia" w:ascii="宋体" w:hAnsi="宋体" w:eastAsia="宋体" w:cs="宋体"/>
                <w:b/>
                <w:bCs/>
                <w:color w:val="000000"/>
                <w:szCs w:val="21"/>
              </w:rPr>
            </w:pPr>
            <w:r>
              <w:rPr>
                <w:rFonts w:hint="eastAsia" w:ascii="宋体" w:hAnsi="宋体" w:cs="宋体"/>
                <w:b/>
                <w:color w:val="000000"/>
                <w:szCs w:val="21"/>
                <w:lang w:eastAsia="zh-CN"/>
              </w:rPr>
              <w:t>（</w:t>
            </w:r>
            <w:r>
              <w:rPr>
                <w:rFonts w:ascii="宋体" w:hAnsi="宋体" w:eastAsia="宋体" w:cs="宋体"/>
                <w:b/>
                <w:color w:val="000000"/>
                <w:szCs w:val="21"/>
                <w:lang w:val="en"/>
              </w:rPr>
              <w:t>150</w:t>
            </w:r>
            <w:r>
              <w:rPr>
                <w:rFonts w:hint="eastAsia" w:ascii="宋体" w:hAnsi="宋体" w:eastAsia="宋体" w:cs="宋体"/>
                <w:b/>
                <w:color w:val="000000"/>
                <w:szCs w:val="21"/>
              </w:rPr>
              <w:t>分</w:t>
            </w:r>
            <w:r>
              <w:rPr>
                <w:rFonts w:hint="eastAsia" w:ascii="宋体" w:hAnsi="宋体" w:cs="宋体"/>
                <w:b/>
                <w:color w:val="000000"/>
                <w:szCs w:val="21"/>
                <w:lang w:eastAsia="zh-CN"/>
              </w:rPr>
              <w:t>）</w:t>
            </w:r>
          </w:p>
        </w:tc>
        <w:tc>
          <w:tcPr>
            <w:tcW w:w="2833" w:type="dxa"/>
            <w:vMerge w:val="restart"/>
            <w:noWrap w:val="0"/>
            <w:vAlign w:val="center"/>
          </w:tcPr>
          <w:p w14:paraId="683D32FC">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3.1教育培训要求</w:t>
            </w:r>
            <w:r>
              <w:rPr>
                <w:rFonts w:hint="eastAsia" w:ascii="宋体" w:hAnsi="宋体" w:cs="宋体"/>
                <w:b/>
                <w:color w:val="000000"/>
                <w:szCs w:val="21"/>
                <w:lang w:eastAsia="zh-CN"/>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3356" w:type="dxa"/>
            <w:noWrap w:val="0"/>
            <w:vAlign w:val="center"/>
          </w:tcPr>
          <w:p w14:paraId="5B8E5DC3">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3.1.1教育培训管理</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5040" w:type="dxa"/>
            <w:noWrap w:val="0"/>
            <w:vAlign w:val="top"/>
          </w:tcPr>
          <w:p w14:paraId="0B108406">
            <w:pPr>
              <w:spacing w:line="320" w:lineRule="exact"/>
              <w:rPr>
                <w:rFonts w:hint="eastAsia" w:ascii="宋体" w:hAnsi="宋体" w:eastAsia="宋体" w:cs="宋体"/>
                <w:bCs/>
                <w:color w:val="000000"/>
                <w:kern w:val="0"/>
                <w:szCs w:val="21"/>
              </w:rPr>
            </w:pPr>
          </w:p>
        </w:tc>
        <w:tc>
          <w:tcPr>
            <w:tcW w:w="735" w:type="dxa"/>
            <w:noWrap w:val="0"/>
            <w:vAlign w:val="top"/>
          </w:tcPr>
          <w:p w14:paraId="7954CF3D">
            <w:pPr>
              <w:spacing w:line="320" w:lineRule="exact"/>
              <w:rPr>
                <w:rFonts w:hint="eastAsia" w:ascii="宋体" w:hAnsi="宋体" w:eastAsia="宋体" w:cs="宋体"/>
                <w:bCs/>
                <w:color w:val="000000"/>
                <w:szCs w:val="21"/>
              </w:rPr>
            </w:pPr>
          </w:p>
        </w:tc>
        <w:tc>
          <w:tcPr>
            <w:tcW w:w="735" w:type="dxa"/>
            <w:noWrap w:val="0"/>
            <w:vAlign w:val="top"/>
          </w:tcPr>
          <w:p w14:paraId="0A03BA7F">
            <w:pPr>
              <w:spacing w:line="320" w:lineRule="exact"/>
              <w:rPr>
                <w:rFonts w:hint="eastAsia" w:ascii="宋体" w:hAnsi="宋体" w:eastAsia="宋体" w:cs="宋体"/>
                <w:bCs/>
                <w:color w:val="000000"/>
                <w:szCs w:val="21"/>
              </w:rPr>
            </w:pPr>
          </w:p>
        </w:tc>
        <w:tc>
          <w:tcPr>
            <w:tcW w:w="699" w:type="dxa"/>
            <w:noWrap w:val="0"/>
            <w:vAlign w:val="top"/>
          </w:tcPr>
          <w:p w14:paraId="38F3CD5F">
            <w:pPr>
              <w:spacing w:line="320" w:lineRule="exact"/>
              <w:rPr>
                <w:rFonts w:hint="eastAsia" w:ascii="Times New Roman" w:hAnsi="Times New Roman" w:eastAsia="宋体"/>
                <w:color w:val="000000"/>
              </w:rPr>
            </w:pPr>
          </w:p>
        </w:tc>
      </w:tr>
      <w:tr w14:paraId="5324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0" w:type="dxa"/>
            <w:vMerge w:val="continue"/>
            <w:noWrap w:val="0"/>
            <w:vAlign w:val="top"/>
          </w:tcPr>
          <w:p w14:paraId="0B1A915A">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2833" w:type="dxa"/>
            <w:vMerge w:val="continue"/>
            <w:noWrap w:val="0"/>
            <w:vAlign w:val="center"/>
          </w:tcPr>
          <w:p w14:paraId="6AFC989F">
            <w:pPr>
              <w:spacing w:line="320" w:lineRule="exact"/>
              <w:rPr>
                <w:rFonts w:hint="eastAsia" w:ascii="宋体" w:hAnsi="宋体" w:eastAsia="宋体" w:cs="宋体"/>
                <w:b/>
                <w:bCs/>
                <w:color w:val="000000"/>
                <w:szCs w:val="21"/>
              </w:rPr>
            </w:pPr>
          </w:p>
        </w:tc>
        <w:tc>
          <w:tcPr>
            <w:tcW w:w="3356" w:type="dxa"/>
            <w:noWrap w:val="0"/>
            <w:vAlign w:val="center"/>
          </w:tcPr>
          <w:p w14:paraId="411DD37D">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3.1.2岗位能力要求</w:t>
            </w:r>
            <w:r>
              <w:rPr>
                <w:rFonts w:hint="eastAsia" w:ascii="宋体" w:hAnsi="宋体" w:cs="宋体"/>
                <w:b/>
                <w:color w:val="000000"/>
                <w:szCs w:val="21"/>
                <w:lang w:eastAsia="zh-CN"/>
              </w:rPr>
              <w:t>（</w:t>
            </w:r>
            <w:r>
              <w:rPr>
                <w:rFonts w:hint="eastAsia" w:ascii="宋体" w:hAnsi="宋体" w:eastAsia="宋体" w:cs="宋体"/>
                <w:b/>
                <w:color w:val="000000"/>
                <w:szCs w:val="21"/>
              </w:rPr>
              <w:t>20分）</w:t>
            </w:r>
          </w:p>
        </w:tc>
        <w:tc>
          <w:tcPr>
            <w:tcW w:w="5040" w:type="dxa"/>
            <w:noWrap w:val="0"/>
            <w:vAlign w:val="top"/>
          </w:tcPr>
          <w:p w14:paraId="34F4E27D">
            <w:pPr>
              <w:spacing w:line="320" w:lineRule="exact"/>
              <w:rPr>
                <w:rFonts w:hint="eastAsia" w:ascii="宋体" w:hAnsi="宋体" w:eastAsia="宋体" w:cs="宋体"/>
                <w:bCs/>
                <w:color w:val="000000"/>
                <w:kern w:val="0"/>
                <w:szCs w:val="21"/>
              </w:rPr>
            </w:pPr>
          </w:p>
        </w:tc>
        <w:tc>
          <w:tcPr>
            <w:tcW w:w="735" w:type="dxa"/>
            <w:noWrap w:val="0"/>
            <w:vAlign w:val="top"/>
          </w:tcPr>
          <w:p w14:paraId="7438AE71">
            <w:pPr>
              <w:spacing w:line="320" w:lineRule="exact"/>
              <w:rPr>
                <w:rFonts w:hint="eastAsia" w:ascii="宋体" w:hAnsi="宋体" w:eastAsia="宋体" w:cs="宋体"/>
                <w:bCs/>
                <w:color w:val="000000"/>
                <w:szCs w:val="21"/>
              </w:rPr>
            </w:pPr>
          </w:p>
        </w:tc>
        <w:tc>
          <w:tcPr>
            <w:tcW w:w="735" w:type="dxa"/>
            <w:noWrap w:val="0"/>
            <w:vAlign w:val="top"/>
          </w:tcPr>
          <w:p w14:paraId="3F9D14C2">
            <w:pPr>
              <w:spacing w:line="320" w:lineRule="exact"/>
              <w:rPr>
                <w:rFonts w:hint="eastAsia" w:ascii="宋体" w:hAnsi="宋体" w:eastAsia="宋体" w:cs="宋体"/>
                <w:bCs/>
                <w:color w:val="000000"/>
                <w:szCs w:val="21"/>
              </w:rPr>
            </w:pPr>
          </w:p>
        </w:tc>
        <w:tc>
          <w:tcPr>
            <w:tcW w:w="699" w:type="dxa"/>
            <w:noWrap w:val="0"/>
            <w:vAlign w:val="top"/>
          </w:tcPr>
          <w:p w14:paraId="44B77465">
            <w:pPr>
              <w:spacing w:line="320" w:lineRule="exact"/>
              <w:rPr>
                <w:rFonts w:hint="eastAsia" w:ascii="宋体" w:hAnsi="宋体" w:eastAsia="宋体" w:cs="宋体"/>
                <w:bCs/>
                <w:color w:val="000000"/>
                <w:szCs w:val="21"/>
              </w:rPr>
            </w:pPr>
          </w:p>
        </w:tc>
      </w:tr>
      <w:tr w14:paraId="04A6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30" w:type="dxa"/>
            <w:vMerge w:val="continue"/>
            <w:noWrap w:val="0"/>
            <w:vAlign w:val="top"/>
          </w:tcPr>
          <w:p w14:paraId="536260C7">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2833" w:type="dxa"/>
            <w:vMerge w:val="restart"/>
            <w:noWrap w:val="0"/>
            <w:vAlign w:val="center"/>
          </w:tcPr>
          <w:p w14:paraId="7BFFD108">
            <w:pPr>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3.2人员教育培训</w:t>
            </w:r>
            <w:r>
              <w:rPr>
                <w:rFonts w:hint="eastAsia" w:ascii="宋体" w:hAnsi="宋体" w:cs="宋体"/>
                <w:b/>
                <w:bCs/>
                <w:color w:val="000000"/>
                <w:szCs w:val="21"/>
                <w:lang w:eastAsia="zh-CN"/>
              </w:rPr>
              <w:t>（</w:t>
            </w:r>
            <w:r>
              <w:rPr>
                <w:rFonts w:hint="eastAsia" w:ascii="宋体" w:hAnsi="宋体" w:eastAsia="宋体" w:cs="宋体"/>
                <w:b/>
                <w:color w:val="000000"/>
                <w:szCs w:val="21"/>
              </w:rPr>
              <w:t>1</w:t>
            </w:r>
            <w:r>
              <w:rPr>
                <w:rFonts w:ascii="宋体" w:hAnsi="宋体" w:eastAsia="宋体" w:cs="宋体"/>
                <w:b/>
                <w:color w:val="000000"/>
                <w:szCs w:val="21"/>
                <w:lang w:val="en"/>
              </w:rPr>
              <w:t>1</w:t>
            </w:r>
            <w:r>
              <w:rPr>
                <w:rFonts w:hint="eastAsia" w:ascii="宋体" w:hAnsi="宋体" w:eastAsia="宋体" w:cs="宋体"/>
                <w:b/>
                <w:color w:val="000000"/>
                <w:szCs w:val="21"/>
              </w:rPr>
              <w:t>0分</w:t>
            </w:r>
            <w:r>
              <w:rPr>
                <w:rFonts w:hint="eastAsia" w:ascii="宋体" w:hAnsi="宋体" w:cs="宋体"/>
                <w:b/>
                <w:color w:val="000000"/>
                <w:szCs w:val="21"/>
                <w:lang w:eastAsia="zh-CN"/>
              </w:rPr>
              <w:t>）</w:t>
            </w:r>
          </w:p>
        </w:tc>
        <w:tc>
          <w:tcPr>
            <w:tcW w:w="3356" w:type="dxa"/>
            <w:noWrap w:val="0"/>
            <w:vAlign w:val="center"/>
          </w:tcPr>
          <w:p w14:paraId="605081C0">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3.2.1管理人员教育培训（</w:t>
            </w:r>
            <w:r>
              <w:rPr>
                <w:rFonts w:ascii="宋体" w:hAnsi="宋体" w:eastAsia="宋体" w:cs="宋体"/>
                <w:b/>
                <w:color w:val="000000"/>
                <w:szCs w:val="21"/>
                <w:lang w:val="en"/>
              </w:rPr>
              <w:t>5</w:t>
            </w:r>
            <w:r>
              <w:rPr>
                <w:rFonts w:hint="eastAsia" w:ascii="宋体" w:hAnsi="宋体" w:eastAsia="宋体" w:cs="宋体"/>
                <w:b/>
                <w:color w:val="000000"/>
                <w:szCs w:val="21"/>
              </w:rPr>
              <w:t>0分）</w:t>
            </w:r>
          </w:p>
        </w:tc>
        <w:tc>
          <w:tcPr>
            <w:tcW w:w="5040" w:type="dxa"/>
            <w:noWrap w:val="0"/>
            <w:vAlign w:val="top"/>
          </w:tcPr>
          <w:p w14:paraId="61E2B1DA">
            <w:pPr>
              <w:spacing w:line="320" w:lineRule="exact"/>
              <w:rPr>
                <w:rFonts w:hint="eastAsia" w:ascii="宋体" w:hAnsi="宋体" w:eastAsia="宋体" w:cs="宋体"/>
                <w:bCs/>
                <w:color w:val="000000"/>
                <w:kern w:val="0"/>
                <w:szCs w:val="21"/>
              </w:rPr>
            </w:pPr>
          </w:p>
        </w:tc>
        <w:tc>
          <w:tcPr>
            <w:tcW w:w="735" w:type="dxa"/>
            <w:noWrap w:val="0"/>
            <w:vAlign w:val="top"/>
          </w:tcPr>
          <w:p w14:paraId="0BEA3D7F">
            <w:pPr>
              <w:spacing w:line="320" w:lineRule="exact"/>
              <w:rPr>
                <w:rFonts w:hint="eastAsia" w:ascii="宋体" w:hAnsi="宋体" w:eastAsia="宋体" w:cs="宋体"/>
                <w:bCs/>
                <w:color w:val="000000"/>
                <w:szCs w:val="21"/>
              </w:rPr>
            </w:pPr>
          </w:p>
        </w:tc>
        <w:tc>
          <w:tcPr>
            <w:tcW w:w="735" w:type="dxa"/>
            <w:noWrap w:val="0"/>
            <w:vAlign w:val="top"/>
          </w:tcPr>
          <w:p w14:paraId="363A6BE5">
            <w:pPr>
              <w:spacing w:line="320" w:lineRule="exact"/>
              <w:rPr>
                <w:rFonts w:hint="eastAsia" w:ascii="宋体" w:hAnsi="宋体" w:eastAsia="宋体" w:cs="宋体"/>
                <w:bCs/>
                <w:color w:val="000000"/>
                <w:szCs w:val="21"/>
              </w:rPr>
            </w:pPr>
          </w:p>
        </w:tc>
        <w:tc>
          <w:tcPr>
            <w:tcW w:w="699" w:type="dxa"/>
            <w:noWrap w:val="0"/>
            <w:vAlign w:val="top"/>
          </w:tcPr>
          <w:p w14:paraId="13D9C51E">
            <w:pPr>
              <w:spacing w:line="320" w:lineRule="exact"/>
              <w:rPr>
                <w:rFonts w:hint="eastAsia" w:ascii="宋体" w:hAnsi="宋体" w:eastAsia="宋体" w:cs="宋体"/>
                <w:bCs/>
                <w:color w:val="000000"/>
                <w:szCs w:val="21"/>
              </w:rPr>
            </w:pPr>
          </w:p>
        </w:tc>
      </w:tr>
      <w:tr w14:paraId="40F9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30" w:type="dxa"/>
            <w:vMerge w:val="continue"/>
            <w:noWrap w:val="0"/>
            <w:vAlign w:val="top"/>
          </w:tcPr>
          <w:p w14:paraId="76AB9F28">
            <w:pPr>
              <w:widowControl w:val="0"/>
              <w:spacing w:line="320" w:lineRule="exact"/>
              <w:ind w:firstLine="482" w:firstLineChars="200"/>
              <w:jc w:val="center"/>
              <w:rPr>
                <w:rFonts w:hint="eastAsia" w:ascii="Times New Roman" w:hAnsi="Times New Roman" w:eastAsia="宋体" w:cs="Times New Roman"/>
                <w:b/>
                <w:color w:val="000000"/>
                <w:kern w:val="2"/>
                <w:sz w:val="24"/>
                <w:szCs w:val="24"/>
                <w:lang w:val="en-US" w:eastAsia="zh-CN" w:bidi="ar-SA"/>
              </w:rPr>
            </w:pPr>
          </w:p>
        </w:tc>
        <w:tc>
          <w:tcPr>
            <w:tcW w:w="2833" w:type="dxa"/>
            <w:vMerge w:val="continue"/>
            <w:noWrap w:val="0"/>
            <w:vAlign w:val="center"/>
          </w:tcPr>
          <w:p w14:paraId="0572B8F8">
            <w:pPr>
              <w:spacing w:line="320" w:lineRule="exact"/>
              <w:rPr>
                <w:rFonts w:hint="eastAsia" w:ascii="宋体" w:hAnsi="宋体" w:eastAsia="宋体" w:cs="宋体"/>
                <w:b/>
                <w:bCs/>
                <w:color w:val="000000"/>
                <w:szCs w:val="21"/>
              </w:rPr>
            </w:pPr>
          </w:p>
        </w:tc>
        <w:tc>
          <w:tcPr>
            <w:tcW w:w="3356" w:type="dxa"/>
            <w:noWrap w:val="0"/>
            <w:vAlign w:val="center"/>
          </w:tcPr>
          <w:p w14:paraId="31AB114E">
            <w:pPr>
              <w:spacing w:line="320" w:lineRule="exact"/>
              <w:rPr>
                <w:rFonts w:hint="eastAsia" w:ascii="宋体" w:hAnsi="宋体" w:eastAsia="宋体" w:cs="宋体"/>
                <w:b/>
                <w:color w:val="000000"/>
                <w:szCs w:val="21"/>
              </w:rPr>
            </w:pPr>
            <w:r>
              <w:rPr>
                <w:rFonts w:hint="eastAsia" w:ascii="宋体" w:hAnsi="宋体" w:eastAsia="宋体" w:cs="宋体"/>
                <w:b/>
                <w:color w:val="000000"/>
                <w:szCs w:val="21"/>
              </w:rPr>
              <w:t>3.2.2从业人员教育培训（</w:t>
            </w:r>
            <w:r>
              <w:rPr>
                <w:rFonts w:ascii="宋体" w:hAnsi="宋体" w:eastAsia="宋体" w:cs="宋体"/>
                <w:b/>
                <w:color w:val="000000"/>
                <w:szCs w:val="21"/>
                <w:lang w:val="en"/>
              </w:rPr>
              <w:t>6</w:t>
            </w:r>
            <w:r>
              <w:rPr>
                <w:rFonts w:hint="eastAsia" w:ascii="宋体" w:hAnsi="宋体" w:eastAsia="宋体" w:cs="宋体"/>
                <w:b/>
                <w:color w:val="000000"/>
                <w:szCs w:val="21"/>
              </w:rPr>
              <w:t>0分）</w:t>
            </w:r>
          </w:p>
        </w:tc>
        <w:tc>
          <w:tcPr>
            <w:tcW w:w="5040" w:type="dxa"/>
            <w:noWrap w:val="0"/>
            <w:vAlign w:val="top"/>
          </w:tcPr>
          <w:p w14:paraId="709FBD0C">
            <w:pPr>
              <w:spacing w:line="320" w:lineRule="exact"/>
              <w:rPr>
                <w:rFonts w:hint="eastAsia" w:ascii="宋体" w:hAnsi="宋体" w:eastAsia="宋体" w:cs="宋体"/>
                <w:bCs/>
                <w:color w:val="000000"/>
                <w:kern w:val="0"/>
                <w:szCs w:val="21"/>
              </w:rPr>
            </w:pPr>
          </w:p>
        </w:tc>
        <w:tc>
          <w:tcPr>
            <w:tcW w:w="735" w:type="dxa"/>
            <w:noWrap w:val="0"/>
            <w:vAlign w:val="top"/>
          </w:tcPr>
          <w:p w14:paraId="2AEA1A10">
            <w:pPr>
              <w:spacing w:line="320" w:lineRule="exact"/>
              <w:rPr>
                <w:rFonts w:hint="eastAsia" w:ascii="宋体" w:hAnsi="宋体" w:eastAsia="宋体" w:cs="宋体"/>
                <w:bCs/>
                <w:color w:val="000000"/>
                <w:szCs w:val="21"/>
              </w:rPr>
            </w:pPr>
          </w:p>
        </w:tc>
        <w:tc>
          <w:tcPr>
            <w:tcW w:w="735" w:type="dxa"/>
            <w:noWrap w:val="0"/>
            <w:vAlign w:val="top"/>
          </w:tcPr>
          <w:p w14:paraId="37F1C1C9">
            <w:pPr>
              <w:spacing w:line="320" w:lineRule="exact"/>
              <w:rPr>
                <w:rFonts w:hint="eastAsia" w:ascii="宋体" w:hAnsi="宋体" w:eastAsia="宋体" w:cs="宋体"/>
                <w:bCs/>
                <w:color w:val="000000"/>
                <w:szCs w:val="21"/>
              </w:rPr>
            </w:pPr>
          </w:p>
        </w:tc>
        <w:tc>
          <w:tcPr>
            <w:tcW w:w="699" w:type="dxa"/>
            <w:noWrap w:val="0"/>
            <w:vAlign w:val="top"/>
          </w:tcPr>
          <w:p w14:paraId="33292290">
            <w:pPr>
              <w:spacing w:line="320" w:lineRule="exact"/>
              <w:rPr>
                <w:rFonts w:hint="eastAsia" w:ascii="宋体" w:hAnsi="宋体" w:eastAsia="宋体" w:cs="宋体"/>
                <w:bCs/>
                <w:color w:val="000000"/>
                <w:szCs w:val="21"/>
              </w:rPr>
            </w:pPr>
          </w:p>
        </w:tc>
      </w:tr>
      <w:tr w14:paraId="6FD3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30" w:type="dxa"/>
            <w:vMerge w:val="restart"/>
            <w:noWrap w:val="0"/>
            <w:vAlign w:val="center"/>
          </w:tcPr>
          <w:p w14:paraId="786B21C4">
            <w:pPr>
              <w:spacing w:line="320" w:lineRule="exact"/>
              <w:jc w:val="center"/>
              <w:rPr>
                <w:rFonts w:hint="eastAsia" w:ascii="宋体" w:hAnsi="宋体" w:eastAsia="宋体"/>
                <w:b/>
                <w:bCs/>
                <w:color w:val="000000"/>
                <w:szCs w:val="21"/>
              </w:rPr>
            </w:pPr>
            <w:r>
              <w:rPr>
                <w:rFonts w:hint="eastAsia" w:ascii="宋体" w:hAnsi="宋体" w:eastAsia="宋体"/>
                <w:b/>
                <w:bCs/>
                <w:color w:val="000000"/>
                <w:szCs w:val="21"/>
              </w:rPr>
              <w:t>4</w:t>
            </w:r>
          </w:p>
          <w:p w14:paraId="24CC297A">
            <w:pPr>
              <w:spacing w:line="320" w:lineRule="exact"/>
              <w:jc w:val="center"/>
              <w:rPr>
                <w:rFonts w:hint="eastAsia" w:ascii="宋体" w:hAnsi="宋体" w:eastAsia="宋体" w:cs="宋体"/>
                <w:b/>
                <w:bCs/>
                <w:color w:val="000000"/>
                <w:szCs w:val="21"/>
              </w:rPr>
            </w:pPr>
            <w:r>
              <w:rPr>
                <w:rFonts w:hint="eastAsia" w:ascii="宋体" w:hAnsi="宋体" w:eastAsia="宋体"/>
                <w:b/>
                <w:bCs/>
                <w:color w:val="000000"/>
                <w:szCs w:val="21"/>
              </w:rPr>
              <w:t>双重预防机制</w:t>
            </w:r>
            <w:r>
              <w:rPr>
                <w:rFonts w:hint="eastAsia" w:ascii="宋体" w:hAnsi="宋体"/>
                <w:b/>
                <w:bCs/>
                <w:color w:val="000000"/>
                <w:szCs w:val="21"/>
                <w:lang w:eastAsia="zh-CN"/>
              </w:rPr>
              <w:t>（</w:t>
            </w:r>
            <w:r>
              <w:rPr>
                <w:rFonts w:hint="eastAsia" w:ascii="宋体" w:hAnsi="宋体" w:eastAsia="宋体"/>
                <w:b/>
                <w:bCs/>
                <w:color w:val="000000"/>
                <w:szCs w:val="21"/>
              </w:rPr>
              <w:t>280分</w:t>
            </w:r>
            <w:r>
              <w:rPr>
                <w:rFonts w:hint="eastAsia" w:ascii="宋体" w:hAnsi="宋体"/>
                <w:b/>
                <w:bCs/>
                <w:color w:val="000000"/>
                <w:szCs w:val="21"/>
                <w:lang w:eastAsia="zh-CN"/>
              </w:rPr>
              <w:t>）</w:t>
            </w:r>
          </w:p>
        </w:tc>
        <w:tc>
          <w:tcPr>
            <w:tcW w:w="2833" w:type="dxa"/>
            <w:vMerge w:val="restart"/>
            <w:noWrap w:val="0"/>
            <w:vAlign w:val="center"/>
          </w:tcPr>
          <w:p w14:paraId="234F1983">
            <w:pPr>
              <w:spacing w:line="320" w:lineRule="exact"/>
              <w:rPr>
                <w:rFonts w:hint="eastAsia" w:ascii="宋体" w:hAnsi="宋体" w:eastAsia="宋体" w:cs="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.1</w:t>
            </w:r>
            <w:r>
              <w:rPr>
                <w:rFonts w:hint="eastAsia" w:ascii="宋体" w:hAnsi="宋体" w:eastAsia="宋体"/>
                <w:b/>
                <w:bCs/>
                <w:color w:val="000000"/>
                <w:szCs w:val="21"/>
              </w:rPr>
              <w:t>风险分级管控</w:t>
            </w:r>
            <w:r>
              <w:rPr>
                <w:rFonts w:hint="eastAsia" w:ascii="宋体" w:hAnsi="宋体"/>
                <w:b/>
                <w:bCs/>
                <w:color w:val="000000"/>
                <w:szCs w:val="21"/>
                <w:lang w:eastAsia="zh-CN"/>
              </w:rPr>
              <w:t>（</w:t>
            </w:r>
            <w:r>
              <w:rPr>
                <w:rFonts w:hint="eastAsia" w:ascii="宋体" w:hAnsi="宋体" w:eastAsia="宋体"/>
                <w:b/>
                <w:bCs/>
                <w:color w:val="000000"/>
                <w:szCs w:val="21"/>
              </w:rPr>
              <w:t>80分</w:t>
            </w:r>
            <w:r>
              <w:rPr>
                <w:rFonts w:hint="eastAsia" w:ascii="宋体" w:hAnsi="宋体"/>
                <w:b/>
                <w:bCs/>
                <w:color w:val="000000"/>
                <w:szCs w:val="21"/>
                <w:lang w:eastAsia="zh-CN"/>
              </w:rPr>
              <w:t>）</w:t>
            </w:r>
          </w:p>
        </w:tc>
        <w:tc>
          <w:tcPr>
            <w:tcW w:w="3356" w:type="dxa"/>
            <w:noWrap w:val="0"/>
            <w:vAlign w:val="center"/>
          </w:tcPr>
          <w:p w14:paraId="09927116">
            <w:pPr>
              <w:spacing w:line="320" w:lineRule="exact"/>
              <w:rPr>
                <w:rFonts w:ascii="宋体" w:hAnsi="宋体" w:eastAsia="宋体"/>
                <w:b/>
                <w:bCs/>
                <w:color w:val="000000"/>
                <w:sz w:val="24"/>
              </w:rPr>
            </w:pPr>
            <w:r>
              <w:rPr>
                <w:rFonts w:hint="eastAsia" w:ascii="宋体" w:hAnsi="宋体" w:eastAsia="宋体"/>
                <w:b/>
                <w:bCs/>
                <w:color w:val="000000"/>
                <w:szCs w:val="21"/>
              </w:rPr>
              <w:t>4</w:t>
            </w:r>
            <w:r>
              <w:rPr>
                <w:rFonts w:ascii="宋体" w:hAnsi="宋体" w:eastAsia="宋体"/>
                <w:b/>
                <w:bCs/>
                <w:color w:val="000000"/>
                <w:szCs w:val="21"/>
              </w:rPr>
              <w:t>.</w:t>
            </w:r>
            <w:r>
              <w:rPr>
                <w:rFonts w:hint="eastAsia" w:ascii="宋体" w:hAnsi="宋体" w:eastAsia="宋体"/>
                <w:b/>
                <w:bCs/>
                <w:color w:val="000000"/>
                <w:szCs w:val="21"/>
              </w:rPr>
              <w:t>1.1危险源排查</w:t>
            </w:r>
            <w:r>
              <w:rPr>
                <w:rFonts w:hint="eastAsia" w:ascii="宋体" w:hAnsi="宋体"/>
                <w:b/>
                <w:bCs/>
                <w:color w:val="000000"/>
                <w:szCs w:val="21"/>
                <w:lang w:eastAsia="zh-CN"/>
              </w:rPr>
              <w:t>（</w:t>
            </w:r>
            <w:r>
              <w:rPr>
                <w:rFonts w:hint="eastAsia" w:ascii="宋体" w:hAnsi="宋体" w:eastAsia="宋体"/>
                <w:b/>
                <w:bCs/>
                <w:color w:val="000000"/>
                <w:szCs w:val="21"/>
              </w:rPr>
              <w:t>20分</w:t>
            </w:r>
            <w:r>
              <w:rPr>
                <w:rFonts w:hint="eastAsia" w:ascii="宋体" w:hAnsi="宋体"/>
                <w:b/>
                <w:bCs/>
                <w:color w:val="000000"/>
                <w:szCs w:val="21"/>
                <w:lang w:eastAsia="zh-CN"/>
              </w:rPr>
              <w:t>）</w:t>
            </w:r>
          </w:p>
        </w:tc>
        <w:tc>
          <w:tcPr>
            <w:tcW w:w="5040" w:type="dxa"/>
            <w:noWrap w:val="0"/>
            <w:vAlign w:val="top"/>
          </w:tcPr>
          <w:p w14:paraId="52492502">
            <w:pPr>
              <w:spacing w:line="320" w:lineRule="exact"/>
              <w:rPr>
                <w:rFonts w:hint="eastAsia" w:ascii="宋体" w:hAnsi="宋体" w:eastAsia="宋体" w:cs="宋体"/>
                <w:b/>
                <w:color w:val="000000"/>
                <w:szCs w:val="21"/>
              </w:rPr>
            </w:pPr>
          </w:p>
        </w:tc>
        <w:tc>
          <w:tcPr>
            <w:tcW w:w="735" w:type="dxa"/>
            <w:noWrap w:val="0"/>
            <w:vAlign w:val="top"/>
          </w:tcPr>
          <w:p w14:paraId="394CF1ED">
            <w:pPr>
              <w:spacing w:line="320" w:lineRule="exact"/>
              <w:rPr>
                <w:rFonts w:hint="eastAsia" w:ascii="宋体" w:hAnsi="宋体" w:eastAsia="宋体" w:cs="宋体"/>
                <w:b/>
                <w:bCs/>
                <w:color w:val="000000"/>
                <w:szCs w:val="21"/>
              </w:rPr>
            </w:pPr>
          </w:p>
        </w:tc>
        <w:tc>
          <w:tcPr>
            <w:tcW w:w="735" w:type="dxa"/>
            <w:noWrap w:val="0"/>
            <w:vAlign w:val="top"/>
          </w:tcPr>
          <w:p w14:paraId="74582A99">
            <w:pPr>
              <w:spacing w:line="320" w:lineRule="exact"/>
              <w:rPr>
                <w:rFonts w:hint="eastAsia" w:ascii="宋体" w:hAnsi="宋体" w:eastAsia="宋体" w:cs="宋体"/>
                <w:b/>
                <w:bCs/>
                <w:color w:val="000000"/>
                <w:szCs w:val="21"/>
              </w:rPr>
            </w:pPr>
          </w:p>
        </w:tc>
        <w:tc>
          <w:tcPr>
            <w:tcW w:w="699" w:type="dxa"/>
            <w:noWrap w:val="0"/>
            <w:vAlign w:val="top"/>
          </w:tcPr>
          <w:p w14:paraId="04E61D90">
            <w:pPr>
              <w:spacing w:line="320" w:lineRule="exact"/>
              <w:rPr>
                <w:rFonts w:hint="eastAsia" w:ascii="宋体" w:hAnsi="宋体" w:eastAsia="宋体" w:cs="宋体"/>
                <w:b/>
                <w:bCs/>
                <w:color w:val="000000"/>
                <w:szCs w:val="21"/>
              </w:rPr>
            </w:pPr>
          </w:p>
        </w:tc>
      </w:tr>
      <w:tr w14:paraId="1B6A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30" w:type="dxa"/>
            <w:vMerge w:val="continue"/>
            <w:noWrap w:val="0"/>
            <w:vAlign w:val="center"/>
          </w:tcPr>
          <w:p w14:paraId="0999BE92">
            <w:pPr>
              <w:spacing w:line="320" w:lineRule="exact"/>
              <w:jc w:val="center"/>
              <w:rPr>
                <w:rFonts w:hint="eastAsia" w:ascii="宋体" w:hAnsi="宋体" w:eastAsia="宋体"/>
                <w:b/>
                <w:bCs/>
                <w:color w:val="000000"/>
                <w:szCs w:val="21"/>
              </w:rPr>
            </w:pPr>
          </w:p>
        </w:tc>
        <w:tc>
          <w:tcPr>
            <w:tcW w:w="2833" w:type="dxa"/>
            <w:vMerge w:val="continue"/>
            <w:noWrap w:val="0"/>
            <w:vAlign w:val="center"/>
          </w:tcPr>
          <w:p w14:paraId="06810E02">
            <w:pPr>
              <w:spacing w:line="320" w:lineRule="exact"/>
              <w:rPr>
                <w:rFonts w:hint="eastAsia" w:ascii="宋体" w:hAnsi="宋体" w:eastAsia="宋体"/>
                <w:b/>
                <w:bCs/>
                <w:color w:val="000000"/>
                <w:szCs w:val="21"/>
              </w:rPr>
            </w:pPr>
          </w:p>
        </w:tc>
        <w:tc>
          <w:tcPr>
            <w:tcW w:w="3356" w:type="dxa"/>
            <w:noWrap w:val="0"/>
            <w:vAlign w:val="center"/>
          </w:tcPr>
          <w:p w14:paraId="2925D2E2">
            <w:pPr>
              <w:spacing w:line="320" w:lineRule="exact"/>
              <w:rPr>
                <w:rFonts w:hint="eastAsia" w:ascii="宋体" w:hAnsi="宋体" w:eastAsia="宋体"/>
                <w:b/>
                <w:bCs/>
                <w:color w:val="000000"/>
                <w:szCs w:val="21"/>
              </w:rPr>
            </w:pPr>
            <w:r>
              <w:rPr>
                <w:rFonts w:hint="eastAsia" w:ascii="宋体" w:hAnsi="宋体" w:eastAsia="宋体"/>
                <w:b/>
                <w:bCs/>
                <w:color w:val="000000"/>
                <w:szCs w:val="21"/>
              </w:rPr>
              <w:t>4.1.2风险辨识评估</w:t>
            </w:r>
            <w:r>
              <w:rPr>
                <w:rFonts w:hint="eastAsia" w:ascii="宋体" w:hAnsi="宋体"/>
                <w:b/>
                <w:bCs/>
                <w:color w:val="000000"/>
                <w:szCs w:val="21"/>
                <w:lang w:eastAsia="zh-CN"/>
              </w:rPr>
              <w:t>（</w:t>
            </w:r>
            <w:r>
              <w:rPr>
                <w:rFonts w:hint="eastAsia" w:ascii="宋体" w:hAnsi="宋体" w:eastAsia="宋体"/>
                <w:b/>
                <w:bCs/>
                <w:color w:val="000000"/>
                <w:szCs w:val="21"/>
              </w:rPr>
              <w:t>30分</w:t>
            </w:r>
            <w:r>
              <w:rPr>
                <w:rFonts w:hint="eastAsia" w:ascii="宋体" w:hAnsi="宋体"/>
                <w:b/>
                <w:bCs/>
                <w:color w:val="000000"/>
                <w:szCs w:val="21"/>
                <w:lang w:eastAsia="zh-CN"/>
              </w:rPr>
              <w:t>）</w:t>
            </w:r>
          </w:p>
        </w:tc>
        <w:tc>
          <w:tcPr>
            <w:tcW w:w="5040" w:type="dxa"/>
            <w:noWrap w:val="0"/>
            <w:vAlign w:val="top"/>
          </w:tcPr>
          <w:p w14:paraId="03B9F601">
            <w:pPr>
              <w:spacing w:line="320" w:lineRule="exact"/>
              <w:rPr>
                <w:rFonts w:hint="eastAsia" w:ascii="宋体" w:hAnsi="宋体" w:eastAsia="宋体" w:cs="宋体"/>
                <w:b/>
                <w:color w:val="000000"/>
                <w:szCs w:val="21"/>
              </w:rPr>
            </w:pPr>
          </w:p>
        </w:tc>
        <w:tc>
          <w:tcPr>
            <w:tcW w:w="735" w:type="dxa"/>
            <w:noWrap w:val="0"/>
            <w:vAlign w:val="top"/>
          </w:tcPr>
          <w:p w14:paraId="75E1F348">
            <w:pPr>
              <w:spacing w:line="320" w:lineRule="exact"/>
              <w:rPr>
                <w:rFonts w:hint="eastAsia" w:ascii="宋体" w:hAnsi="宋体" w:eastAsia="宋体" w:cs="宋体"/>
                <w:b/>
                <w:bCs/>
                <w:color w:val="000000"/>
                <w:szCs w:val="21"/>
              </w:rPr>
            </w:pPr>
          </w:p>
        </w:tc>
        <w:tc>
          <w:tcPr>
            <w:tcW w:w="735" w:type="dxa"/>
            <w:noWrap w:val="0"/>
            <w:vAlign w:val="top"/>
          </w:tcPr>
          <w:p w14:paraId="78E51C80">
            <w:pPr>
              <w:spacing w:line="320" w:lineRule="exact"/>
              <w:rPr>
                <w:rFonts w:hint="eastAsia" w:ascii="宋体" w:hAnsi="宋体" w:eastAsia="宋体" w:cs="宋体"/>
                <w:b/>
                <w:bCs/>
                <w:color w:val="000000"/>
                <w:szCs w:val="21"/>
              </w:rPr>
            </w:pPr>
          </w:p>
        </w:tc>
        <w:tc>
          <w:tcPr>
            <w:tcW w:w="699" w:type="dxa"/>
            <w:noWrap w:val="0"/>
            <w:vAlign w:val="top"/>
          </w:tcPr>
          <w:p w14:paraId="78DE366F">
            <w:pPr>
              <w:spacing w:line="320" w:lineRule="exact"/>
              <w:rPr>
                <w:rFonts w:hint="eastAsia" w:ascii="宋体" w:hAnsi="宋体" w:eastAsia="宋体" w:cs="宋体"/>
                <w:b/>
                <w:bCs/>
                <w:color w:val="000000"/>
                <w:szCs w:val="21"/>
              </w:rPr>
            </w:pPr>
          </w:p>
        </w:tc>
      </w:tr>
      <w:tr w14:paraId="0C26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30" w:type="dxa"/>
            <w:vMerge w:val="continue"/>
            <w:noWrap w:val="0"/>
            <w:vAlign w:val="center"/>
          </w:tcPr>
          <w:p w14:paraId="21EA58D7">
            <w:pPr>
              <w:spacing w:line="320" w:lineRule="exact"/>
              <w:jc w:val="center"/>
              <w:rPr>
                <w:rFonts w:hint="eastAsia" w:ascii="宋体" w:hAnsi="宋体" w:eastAsia="宋体"/>
                <w:b/>
                <w:bCs/>
                <w:color w:val="000000"/>
                <w:szCs w:val="21"/>
              </w:rPr>
            </w:pPr>
          </w:p>
        </w:tc>
        <w:tc>
          <w:tcPr>
            <w:tcW w:w="2833" w:type="dxa"/>
            <w:vMerge w:val="continue"/>
            <w:noWrap w:val="0"/>
            <w:vAlign w:val="center"/>
          </w:tcPr>
          <w:p w14:paraId="2BA9185E">
            <w:pPr>
              <w:spacing w:line="320" w:lineRule="exact"/>
              <w:rPr>
                <w:rFonts w:hint="eastAsia" w:ascii="宋体" w:hAnsi="宋体" w:eastAsia="宋体"/>
                <w:b/>
                <w:bCs/>
                <w:color w:val="000000"/>
                <w:szCs w:val="21"/>
              </w:rPr>
            </w:pPr>
          </w:p>
        </w:tc>
        <w:tc>
          <w:tcPr>
            <w:tcW w:w="3356" w:type="dxa"/>
            <w:noWrap w:val="0"/>
            <w:vAlign w:val="center"/>
          </w:tcPr>
          <w:p w14:paraId="64B2367A">
            <w:pPr>
              <w:spacing w:line="320" w:lineRule="exact"/>
              <w:rPr>
                <w:rFonts w:hint="eastAsia" w:ascii="宋体" w:hAnsi="宋体" w:eastAsia="宋体"/>
                <w:b/>
                <w:bCs/>
                <w:color w:val="000000"/>
                <w:szCs w:val="21"/>
              </w:rPr>
            </w:pPr>
            <w:r>
              <w:rPr>
                <w:rFonts w:hint="eastAsia" w:ascii="宋体" w:hAnsi="宋体" w:eastAsia="宋体"/>
                <w:b/>
                <w:bCs/>
                <w:color w:val="000000"/>
                <w:szCs w:val="21"/>
              </w:rPr>
              <w:t>4</w:t>
            </w:r>
            <w:r>
              <w:rPr>
                <w:rFonts w:ascii="宋体" w:hAnsi="宋体" w:eastAsia="宋体"/>
                <w:b/>
                <w:bCs/>
                <w:color w:val="000000"/>
                <w:szCs w:val="21"/>
              </w:rPr>
              <w:t>.</w:t>
            </w:r>
            <w:r>
              <w:rPr>
                <w:rFonts w:hint="eastAsia" w:ascii="宋体" w:hAnsi="宋体" w:eastAsia="宋体"/>
                <w:b/>
                <w:bCs/>
                <w:color w:val="000000"/>
                <w:szCs w:val="21"/>
              </w:rPr>
              <w:t>1.3风险分级管控</w:t>
            </w:r>
            <w:r>
              <w:rPr>
                <w:rFonts w:hint="eastAsia" w:ascii="宋体" w:hAnsi="宋体"/>
                <w:b/>
                <w:bCs/>
                <w:color w:val="000000"/>
                <w:szCs w:val="21"/>
                <w:lang w:eastAsia="zh-CN"/>
              </w:rPr>
              <w:t>（</w:t>
            </w:r>
            <w:r>
              <w:rPr>
                <w:rFonts w:hint="eastAsia" w:ascii="宋体" w:hAnsi="宋体" w:eastAsia="宋体"/>
                <w:b/>
                <w:bCs/>
                <w:color w:val="000000"/>
                <w:szCs w:val="21"/>
              </w:rPr>
              <w:t>30分</w:t>
            </w:r>
            <w:r>
              <w:rPr>
                <w:rFonts w:hint="eastAsia" w:ascii="宋体" w:hAnsi="宋体"/>
                <w:b/>
                <w:bCs/>
                <w:color w:val="000000"/>
                <w:szCs w:val="21"/>
                <w:lang w:eastAsia="zh-CN"/>
              </w:rPr>
              <w:t>）</w:t>
            </w:r>
          </w:p>
        </w:tc>
        <w:tc>
          <w:tcPr>
            <w:tcW w:w="5040" w:type="dxa"/>
            <w:noWrap w:val="0"/>
            <w:vAlign w:val="top"/>
          </w:tcPr>
          <w:p w14:paraId="4BDFDAD4">
            <w:pPr>
              <w:spacing w:line="320" w:lineRule="exact"/>
              <w:rPr>
                <w:rFonts w:hint="eastAsia" w:ascii="宋体" w:hAnsi="宋体" w:eastAsia="宋体" w:cs="宋体"/>
                <w:b/>
                <w:color w:val="000000"/>
                <w:szCs w:val="21"/>
              </w:rPr>
            </w:pPr>
          </w:p>
        </w:tc>
        <w:tc>
          <w:tcPr>
            <w:tcW w:w="735" w:type="dxa"/>
            <w:noWrap w:val="0"/>
            <w:vAlign w:val="top"/>
          </w:tcPr>
          <w:p w14:paraId="3955C69C">
            <w:pPr>
              <w:spacing w:line="320" w:lineRule="exact"/>
              <w:rPr>
                <w:rFonts w:hint="eastAsia" w:ascii="宋体" w:hAnsi="宋体" w:eastAsia="宋体" w:cs="宋体"/>
                <w:b/>
                <w:bCs/>
                <w:color w:val="000000"/>
                <w:szCs w:val="21"/>
              </w:rPr>
            </w:pPr>
          </w:p>
        </w:tc>
        <w:tc>
          <w:tcPr>
            <w:tcW w:w="735" w:type="dxa"/>
            <w:noWrap w:val="0"/>
            <w:vAlign w:val="top"/>
          </w:tcPr>
          <w:p w14:paraId="29523B86">
            <w:pPr>
              <w:spacing w:line="320" w:lineRule="exact"/>
              <w:rPr>
                <w:rFonts w:hint="eastAsia" w:ascii="宋体" w:hAnsi="宋体" w:eastAsia="宋体" w:cs="宋体"/>
                <w:b/>
                <w:bCs/>
                <w:color w:val="000000"/>
                <w:szCs w:val="21"/>
              </w:rPr>
            </w:pPr>
          </w:p>
        </w:tc>
        <w:tc>
          <w:tcPr>
            <w:tcW w:w="699" w:type="dxa"/>
            <w:noWrap w:val="0"/>
            <w:vAlign w:val="top"/>
          </w:tcPr>
          <w:p w14:paraId="26D6FD4E">
            <w:pPr>
              <w:spacing w:line="320" w:lineRule="exact"/>
              <w:rPr>
                <w:rFonts w:hint="eastAsia" w:ascii="宋体" w:hAnsi="宋体" w:eastAsia="宋体" w:cs="宋体"/>
                <w:b/>
                <w:bCs/>
                <w:color w:val="000000"/>
                <w:szCs w:val="21"/>
              </w:rPr>
            </w:pPr>
          </w:p>
        </w:tc>
      </w:tr>
      <w:tr w14:paraId="2A62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1" w:hRule="atLeast"/>
        </w:trPr>
        <w:tc>
          <w:tcPr>
            <w:tcW w:w="1530" w:type="dxa"/>
            <w:vMerge w:val="continue"/>
            <w:shd w:val="clear" w:color="auto" w:fill="FFFFFF"/>
            <w:noWrap w:val="0"/>
            <w:vAlign w:val="top"/>
          </w:tcPr>
          <w:p w14:paraId="1A4883C6">
            <w:pPr>
              <w:spacing w:line="320" w:lineRule="exact"/>
              <w:jc w:val="center"/>
              <w:rPr>
                <w:rFonts w:hint="eastAsia" w:ascii="宋体" w:hAnsi="宋体" w:eastAsia="宋体" w:cs="宋体"/>
                <w:b/>
                <w:bCs/>
                <w:color w:val="000000"/>
                <w:szCs w:val="21"/>
              </w:rPr>
            </w:pPr>
          </w:p>
        </w:tc>
        <w:tc>
          <w:tcPr>
            <w:tcW w:w="2833" w:type="dxa"/>
            <w:vMerge w:val="restart"/>
            <w:shd w:val="clear" w:color="auto" w:fill="FFFFFF"/>
            <w:noWrap w:val="0"/>
            <w:vAlign w:val="center"/>
          </w:tcPr>
          <w:p w14:paraId="4549D912">
            <w:pPr>
              <w:spacing w:line="320" w:lineRule="exact"/>
              <w:rPr>
                <w:rFonts w:hint="eastAsia" w:ascii="宋体" w:hAnsi="宋体" w:eastAsia="宋体" w:cs="宋体"/>
                <w:b/>
                <w:bCs/>
                <w:color w:val="000000"/>
                <w:szCs w:val="21"/>
              </w:rPr>
            </w:pPr>
            <w:r>
              <w:rPr>
                <w:rFonts w:hint="eastAsia" w:ascii="宋体" w:hAnsi="宋体" w:eastAsia="宋体" w:cs="宋体"/>
                <w:b/>
                <w:bCs/>
                <w:color w:val="000000"/>
                <w:szCs w:val="21"/>
              </w:rPr>
              <w:t xml:space="preserve">4.2隐患排查治理 </w:t>
            </w:r>
            <w:r>
              <w:rPr>
                <w:rFonts w:hint="eastAsia" w:ascii="宋体" w:hAnsi="宋体" w:cs="宋体"/>
                <w:b/>
                <w:bCs/>
                <w:color w:val="000000"/>
                <w:szCs w:val="21"/>
                <w:lang w:eastAsia="zh-CN"/>
              </w:rPr>
              <w:t>（</w:t>
            </w:r>
            <w:r>
              <w:rPr>
                <w:rFonts w:hint="eastAsia" w:ascii="宋体" w:hAnsi="宋体" w:eastAsia="宋体" w:cs="宋体"/>
                <w:b/>
                <w:bCs/>
                <w:color w:val="000000"/>
                <w:spacing w:val="8"/>
                <w:szCs w:val="21"/>
              </w:rPr>
              <w:t>120分</w:t>
            </w:r>
            <w:r>
              <w:rPr>
                <w:rFonts w:hint="eastAsia" w:ascii="宋体" w:hAnsi="宋体" w:cs="宋体"/>
                <w:b/>
                <w:bCs/>
                <w:color w:val="000000"/>
                <w:spacing w:val="8"/>
                <w:szCs w:val="21"/>
                <w:lang w:eastAsia="zh-CN"/>
              </w:rPr>
              <w:t>）</w:t>
            </w:r>
          </w:p>
        </w:tc>
        <w:tc>
          <w:tcPr>
            <w:tcW w:w="3356" w:type="dxa"/>
            <w:shd w:val="clear" w:color="auto" w:fill="FFFFFF"/>
            <w:noWrap w:val="0"/>
            <w:vAlign w:val="center"/>
          </w:tcPr>
          <w:p w14:paraId="49089810">
            <w:pPr>
              <w:spacing w:line="320" w:lineRule="exact"/>
              <w:rPr>
                <w:rFonts w:hint="eastAsia" w:ascii="宋体" w:hAnsi="宋体" w:eastAsia="宋体" w:cs="宋体"/>
                <w:b/>
                <w:bCs/>
                <w:color w:val="000000"/>
                <w:szCs w:val="21"/>
              </w:rPr>
            </w:pPr>
            <w:r>
              <w:rPr>
                <w:rFonts w:hint="eastAsia" w:ascii="宋体" w:hAnsi="宋体" w:eastAsia="宋体" w:cs="宋体"/>
                <w:b/>
                <w:bCs/>
                <w:color w:val="000000"/>
                <w:spacing w:val="8"/>
                <w:szCs w:val="21"/>
              </w:rPr>
              <w:t>4.2.1</w:t>
            </w:r>
            <w:r>
              <w:rPr>
                <w:rFonts w:hint="eastAsia" w:ascii="宋体" w:hAnsi="宋体" w:eastAsia="宋体" w:cs="宋体"/>
                <w:b/>
                <w:bCs/>
                <w:color w:val="000000"/>
                <w:szCs w:val="21"/>
              </w:rPr>
              <w:t>隐患排查标准清单</w:t>
            </w:r>
            <w:r>
              <w:rPr>
                <w:rFonts w:hint="eastAsia" w:ascii="宋体" w:hAnsi="宋体" w:cs="宋体"/>
                <w:b/>
                <w:bCs/>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5040" w:type="dxa"/>
            <w:shd w:val="clear" w:color="auto" w:fill="FFFFFF"/>
            <w:noWrap w:val="0"/>
            <w:vAlign w:val="top"/>
          </w:tcPr>
          <w:p w14:paraId="4BA1813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E7BFFC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63C6FC3">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34F58466">
            <w:pPr>
              <w:spacing w:line="320" w:lineRule="exact"/>
              <w:rPr>
                <w:rFonts w:hint="eastAsia" w:ascii="宋体" w:hAnsi="宋体" w:eastAsia="宋体" w:cs="宋体"/>
                <w:b/>
                <w:bCs/>
                <w:color w:val="000000"/>
                <w:szCs w:val="21"/>
              </w:rPr>
            </w:pPr>
          </w:p>
        </w:tc>
      </w:tr>
      <w:tr w14:paraId="6EC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trPr>
        <w:tc>
          <w:tcPr>
            <w:tcW w:w="1530" w:type="dxa"/>
            <w:vMerge w:val="continue"/>
            <w:shd w:val="clear" w:color="auto" w:fill="FFFFFF"/>
            <w:noWrap w:val="0"/>
            <w:vAlign w:val="top"/>
          </w:tcPr>
          <w:p w14:paraId="1881293A">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45319024">
            <w:pPr>
              <w:widowControl w:val="0"/>
              <w:spacing w:line="360" w:lineRule="auto"/>
              <w:ind w:firstLine="482" w:firstLineChars="200"/>
              <w:jc w:val="both"/>
              <w:rPr>
                <w:rFonts w:hint="eastAsia" w:ascii="宋体" w:hAnsi="宋体" w:eastAsia="宋体" w:cs="宋体"/>
                <w:b/>
                <w:bCs/>
                <w:color w:val="000000"/>
                <w:kern w:val="2"/>
                <w:sz w:val="24"/>
                <w:szCs w:val="21"/>
                <w:lang w:val="en-US" w:eastAsia="zh-CN" w:bidi="ar-SA"/>
              </w:rPr>
            </w:pPr>
          </w:p>
        </w:tc>
        <w:tc>
          <w:tcPr>
            <w:tcW w:w="3356" w:type="dxa"/>
            <w:shd w:val="clear" w:color="auto" w:fill="FFFFFF"/>
            <w:noWrap w:val="0"/>
            <w:vAlign w:val="center"/>
          </w:tcPr>
          <w:p w14:paraId="015209E4">
            <w:pPr>
              <w:spacing w:line="320" w:lineRule="exact"/>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4.2.2</w:t>
            </w:r>
            <w:r>
              <w:rPr>
                <w:rFonts w:hint="eastAsia" w:ascii="宋体" w:hAnsi="宋体" w:eastAsia="宋体" w:cs="宋体"/>
                <w:b/>
                <w:bCs/>
                <w:color w:val="000000"/>
                <w:szCs w:val="21"/>
              </w:rPr>
              <w:t>隐患排查</w:t>
            </w: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ascii="宋体" w:hAnsi="宋体" w:eastAsia="宋体" w:cs="宋体"/>
                <w:b/>
                <w:color w:val="000000"/>
                <w:szCs w:val="21"/>
                <w:lang w:val="en"/>
              </w:rPr>
              <w:t>3</w:t>
            </w:r>
            <w:r>
              <w:rPr>
                <w:rFonts w:hint="eastAsia" w:ascii="宋体" w:hAnsi="宋体" w:eastAsia="宋体" w:cs="宋体"/>
                <w:b/>
                <w:color w:val="000000"/>
                <w:szCs w:val="21"/>
              </w:rPr>
              <w:t>0分</w:t>
            </w:r>
            <w:r>
              <w:rPr>
                <w:rFonts w:hint="eastAsia" w:ascii="宋体" w:hAnsi="宋体" w:cs="宋体"/>
                <w:b/>
                <w:color w:val="000000"/>
                <w:szCs w:val="21"/>
                <w:lang w:eastAsia="zh-CN"/>
              </w:rPr>
              <w:t>）</w:t>
            </w:r>
          </w:p>
        </w:tc>
        <w:tc>
          <w:tcPr>
            <w:tcW w:w="5040" w:type="dxa"/>
            <w:shd w:val="clear" w:color="auto" w:fill="FFFFFF"/>
            <w:noWrap w:val="0"/>
            <w:vAlign w:val="top"/>
          </w:tcPr>
          <w:p w14:paraId="66285D8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D6DC4D2">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3750BDF">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4E8DBFBB">
            <w:pPr>
              <w:spacing w:line="320" w:lineRule="exact"/>
              <w:rPr>
                <w:rFonts w:hint="eastAsia" w:ascii="宋体" w:hAnsi="宋体" w:eastAsia="宋体" w:cs="宋体"/>
                <w:b/>
                <w:bCs/>
                <w:color w:val="000000"/>
                <w:szCs w:val="21"/>
              </w:rPr>
            </w:pPr>
          </w:p>
        </w:tc>
      </w:tr>
      <w:tr w14:paraId="48B7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1" w:hRule="atLeast"/>
        </w:trPr>
        <w:tc>
          <w:tcPr>
            <w:tcW w:w="1530" w:type="dxa"/>
            <w:vMerge w:val="continue"/>
            <w:shd w:val="clear" w:color="auto" w:fill="FFFFFF"/>
            <w:noWrap w:val="0"/>
            <w:vAlign w:val="top"/>
          </w:tcPr>
          <w:p w14:paraId="774ECCFF">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6D414C53">
            <w:pPr>
              <w:widowControl w:val="0"/>
              <w:spacing w:line="360" w:lineRule="auto"/>
              <w:ind w:firstLine="482" w:firstLineChars="200"/>
              <w:jc w:val="both"/>
              <w:rPr>
                <w:rFonts w:hint="eastAsia" w:ascii="宋体" w:hAnsi="宋体" w:eastAsia="宋体" w:cs="宋体"/>
                <w:b/>
                <w:bCs/>
                <w:color w:val="000000"/>
                <w:kern w:val="2"/>
                <w:sz w:val="24"/>
                <w:szCs w:val="21"/>
                <w:lang w:val="en-US" w:eastAsia="zh-CN" w:bidi="ar-SA"/>
              </w:rPr>
            </w:pPr>
          </w:p>
        </w:tc>
        <w:tc>
          <w:tcPr>
            <w:tcW w:w="3356" w:type="dxa"/>
            <w:shd w:val="clear" w:color="auto" w:fill="FFFFFF"/>
            <w:noWrap w:val="0"/>
            <w:vAlign w:val="center"/>
          </w:tcPr>
          <w:p w14:paraId="55676498">
            <w:pPr>
              <w:spacing w:line="320" w:lineRule="exact"/>
              <w:rPr>
                <w:rFonts w:hint="eastAsia" w:ascii="宋体" w:hAnsi="宋体" w:eastAsia="宋体" w:cs="宋体"/>
                <w:b/>
                <w:bCs/>
                <w:color w:val="000000"/>
                <w:spacing w:val="8"/>
                <w:szCs w:val="21"/>
              </w:rPr>
            </w:pPr>
            <w:r>
              <w:rPr>
                <w:rFonts w:hint="eastAsia" w:ascii="宋体" w:hAnsi="宋体" w:eastAsia="宋体" w:cs="宋体"/>
                <w:b/>
                <w:bCs/>
                <w:color w:val="000000"/>
                <w:spacing w:val="8"/>
                <w:szCs w:val="21"/>
              </w:rPr>
              <w:t>4.2.3</w:t>
            </w:r>
            <w:r>
              <w:rPr>
                <w:rFonts w:hint="eastAsia" w:ascii="宋体" w:hAnsi="宋体" w:eastAsia="宋体" w:cs="宋体"/>
                <w:b/>
                <w:bCs/>
                <w:color w:val="000000"/>
                <w:szCs w:val="21"/>
              </w:rPr>
              <w:t>隐患治理</w:t>
            </w:r>
            <w:r>
              <w:rPr>
                <w:rFonts w:hint="eastAsia" w:ascii="宋体" w:hAnsi="宋体" w:eastAsia="宋体" w:cs="宋体"/>
                <w:b/>
                <w:color w:val="000000"/>
                <w:szCs w:val="21"/>
              </w:rPr>
              <w:t xml:space="preserve"> </w:t>
            </w:r>
            <w:r>
              <w:rPr>
                <w:rFonts w:hint="eastAsia" w:ascii="宋体" w:hAnsi="宋体" w:cs="宋体"/>
                <w:b/>
                <w:color w:val="000000"/>
                <w:szCs w:val="21"/>
                <w:lang w:eastAsia="zh-CN"/>
              </w:rPr>
              <w:t>（</w:t>
            </w:r>
            <w:r>
              <w:rPr>
                <w:rFonts w:ascii="宋体" w:hAnsi="宋体" w:eastAsia="宋体" w:cs="宋体"/>
                <w:b/>
                <w:color w:val="000000"/>
                <w:szCs w:val="21"/>
                <w:lang w:val="en"/>
              </w:rPr>
              <w:t>3</w:t>
            </w:r>
            <w:r>
              <w:rPr>
                <w:rFonts w:hint="eastAsia" w:ascii="宋体" w:hAnsi="宋体" w:eastAsia="宋体" w:cs="宋体"/>
                <w:b/>
                <w:color w:val="000000"/>
                <w:szCs w:val="21"/>
              </w:rPr>
              <w:t>0分</w:t>
            </w:r>
            <w:r>
              <w:rPr>
                <w:rFonts w:hint="eastAsia" w:ascii="宋体" w:hAnsi="宋体" w:cs="宋体"/>
                <w:b/>
                <w:color w:val="000000"/>
                <w:szCs w:val="21"/>
                <w:lang w:eastAsia="zh-CN"/>
              </w:rPr>
              <w:t>）</w:t>
            </w:r>
          </w:p>
        </w:tc>
        <w:tc>
          <w:tcPr>
            <w:tcW w:w="5040" w:type="dxa"/>
            <w:shd w:val="clear" w:color="auto" w:fill="FFFFFF"/>
            <w:noWrap w:val="0"/>
            <w:vAlign w:val="top"/>
          </w:tcPr>
          <w:p w14:paraId="38D84B08">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B9EE779">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AC064A0">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3C632302">
            <w:pPr>
              <w:spacing w:line="320" w:lineRule="exact"/>
              <w:rPr>
                <w:rFonts w:hint="eastAsia" w:ascii="宋体" w:hAnsi="宋体" w:eastAsia="宋体" w:cs="宋体"/>
                <w:b/>
                <w:bCs/>
                <w:color w:val="000000"/>
                <w:szCs w:val="21"/>
              </w:rPr>
            </w:pPr>
          </w:p>
        </w:tc>
      </w:tr>
      <w:tr w14:paraId="7648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9" w:hRule="atLeast"/>
        </w:trPr>
        <w:tc>
          <w:tcPr>
            <w:tcW w:w="1530" w:type="dxa"/>
            <w:vMerge w:val="continue"/>
            <w:shd w:val="clear" w:color="auto" w:fill="FFFFFF"/>
            <w:noWrap w:val="0"/>
            <w:vAlign w:val="top"/>
          </w:tcPr>
          <w:p w14:paraId="568BFC3A">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6A2D612B">
            <w:pPr>
              <w:widowControl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p>
        </w:tc>
        <w:tc>
          <w:tcPr>
            <w:tcW w:w="3356" w:type="dxa"/>
            <w:shd w:val="clear" w:color="auto" w:fill="FFFFFF"/>
            <w:noWrap w:val="0"/>
            <w:vAlign w:val="center"/>
          </w:tcPr>
          <w:p w14:paraId="3E28944A">
            <w:pPr>
              <w:spacing w:line="320" w:lineRule="exact"/>
              <w:rPr>
                <w:rFonts w:hint="eastAsia" w:ascii="宋体" w:hAnsi="宋体" w:eastAsia="宋体" w:cs="宋体"/>
                <w:b/>
                <w:color w:val="000000"/>
                <w:spacing w:val="8"/>
                <w:szCs w:val="21"/>
              </w:rPr>
            </w:pPr>
            <w:r>
              <w:rPr>
                <w:rFonts w:hint="eastAsia" w:ascii="Times New Roman" w:hAnsi="Times New Roman" w:eastAsia="宋体"/>
                <w:b/>
                <w:bCs/>
                <w:color w:val="000000"/>
              </w:rPr>
              <w:t>4.2.4</w:t>
            </w:r>
            <w:r>
              <w:rPr>
                <w:rFonts w:hint="eastAsia" w:ascii="宋体" w:hAnsi="宋体" w:eastAsia="宋体" w:cs="宋体"/>
                <w:b/>
                <w:bCs/>
                <w:color w:val="000000"/>
                <w:szCs w:val="21"/>
              </w:rPr>
              <w:t>隐患排查治理情况记录</w:t>
            </w:r>
            <w:r>
              <w:rPr>
                <w:rFonts w:ascii="宋体" w:hAnsi="宋体" w:eastAsia="宋体" w:cs="宋体"/>
                <w:b/>
                <w:color w:val="000000"/>
                <w:szCs w:val="21"/>
                <w:lang w:val="en"/>
              </w:rPr>
              <w:t>2</w:t>
            </w:r>
            <w:r>
              <w:rPr>
                <w:rFonts w:hint="eastAsia" w:ascii="宋体" w:hAnsi="宋体" w:eastAsia="宋体" w:cs="宋体"/>
                <w:b/>
                <w:color w:val="000000"/>
                <w:szCs w:val="21"/>
              </w:rPr>
              <w:t>0分</w:t>
            </w:r>
            <w:r>
              <w:rPr>
                <w:rFonts w:hint="eastAsia" w:ascii="宋体" w:hAnsi="宋体" w:cs="宋体"/>
                <w:b/>
                <w:color w:val="000000"/>
                <w:szCs w:val="21"/>
                <w:lang w:eastAsia="zh-CN"/>
              </w:rPr>
              <w:t>）</w:t>
            </w:r>
          </w:p>
        </w:tc>
        <w:tc>
          <w:tcPr>
            <w:tcW w:w="5040" w:type="dxa"/>
            <w:shd w:val="clear" w:color="auto" w:fill="FFFFFF"/>
            <w:noWrap w:val="0"/>
            <w:vAlign w:val="top"/>
          </w:tcPr>
          <w:p w14:paraId="7FF89F7F">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2E099B5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1F5C4BC">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660AF39A">
            <w:pPr>
              <w:spacing w:line="320" w:lineRule="exact"/>
              <w:rPr>
                <w:rFonts w:hint="eastAsia" w:ascii="宋体" w:hAnsi="宋体" w:eastAsia="宋体" w:cs="宋体"/>
                <w:b/>
                <w:bCs/>
                <w:color w:val="000000"/>
                <w:szCs w:val="21"/>
              </w:rPr>
            </w:pPr>
          </w:p>
        </w:tc>
      </w:tr>
      <w:tr w14:paraId="5DB5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1" w:hRule="atLeast"/>
        </w:trPr>
        <w:tc>
          <w:tcPr>
            <w:tcW w:w="1530" w:type="dxa"/>
            <w:vMerge w:val="continue"/>
            <w:shd w:val="clear" w:color="auto" w:fill="FFFFFF"/>
            <w:noWrap w:val="0"/>
            <w:vAlign w:val="top"/>
          </w:tcPr>
          <w:p w14:paraId="4A52B5EF">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596C2245">
            <w:pPr>
              <w:spacing w:line="320" w:lineRule="exact"/>
              <w:rPr>
                <w:rFonts w:hint="eastAsia" w:ascii="宋体" w:hAnsi="宋体" w:eastAsia="宋体" w:cs="宋体"/>
                <w:b/>
                <w:color w:val="000000"/>
                <w:spacing w:val="8"/>
                <w:szCs w:val="21"/>
              </w:rPr>
            </w:pPr>
          </w:p>
        </w:tc>
        <w:tc>
          <w:tcPr>
            <w:tcW w:w="3356" w:type="dxa"/>
            <w:shd w:val="clear" w:color="auto" w:fill="FFFFFF"/>
            <w:noWrap w:val="0"/>
            <w:vAlign w:val="center"/>
          </w:tcPr>
          <w:p w14:paraId="5753B0CA">
            <w:pPr>
              <w:widowControl/>
              <w:spacing w:line="320" w:lineRule="exact"/>
              <w:textAlignment w:val="center"/>
              <w:rPr>
                <w:rFonts w:hint="eastAsia" w:ascii="宋体" w:hAnsi="宋体" w:eastAsia="宋体" w:cs="宋体"/>
                <w:b/>
                <w:color w:val="000000"/>
                <w:spacing w:val="8"/>
                <w:szCs w:val="21"/>
              </w:rPr>
            </w:pPr>
            <w:r>
              <w:rPr>
                <w:rFonts w:hint="eastAsia" w:ascii="宋体" w:hAnsi="宋体" w:eastAsia="宋体" w:cs="宋体"/>
                <w:b/>
                <w:bCs/>
                <w:color w:val="000000"/>
                <w:kern w:val="0"/>
                <w:szCs w:val="21"/>
                <w:lang w:bidi="ar"/>
              </w:rPr>
              <w:t>4.2.5隐患排查治理情况通报和报告</w:t>
            </w:r>
            <w:r>
              <w:rPr>
                <w:rFonts w:hint="eastAsia" w:ascii="宋体" w:hAnsi="宋体" w:cs="宋体"/>
                <w:b/>
                <w:bCs/>
                <w:color w:val="000000"/>
                <w:kern w:val="0"/>
                <w:szCs w:val="21"/>
                <w:lang w:eastAsia="zh-CN" w:bidi="ar"/>
              </w:rPr>
              <w:t>（</w:t>
            </w:r>
            <w:r>
              <w:rPr>
                <w:rFonts w:ascii="宋体" w:hAnsi="宋体" w:eastAsia="宋体" w:cs="宋体"/>
                <w:b/>
                <w:bCs/>
                <w:color w:val="000000"/>
                <w:kern w:val="0"/>
                <w:szCs w:val="21"/>
                <w:lang w:val="en" w:bidi="ar"/>
              </w:rPr>
              <w:t>2</w:t>
            </w:r>
            <w:r>
              <w:rPr>
                <w:rFonts w:hint="eastAsia" w:ascii="宋体" w:hAnsi="宋体" w:eastAsia="宋体" w:cs="宋体"/>
                <w:b/>
                <w:bCs/>
                <w:color w:val="000000"/>
                <w:kern w:val="0"/>
                <w:szCs w:val="21"/>
                <w:lang w:bidi="ar"/>
              </w:rPr>
              <w:t>0分</w:t>
            </w:r>
            <w:r>
              <w:rPr>
                <w:rFonts w:hint="eastAsia" w:ascii="宋体" w:hAnsi="宋体" w:cs="宋体"/>
                <w:b/>
                <w:bCs/>
                <w:color w:val="000000"/>
                <w:kern w:val="0"/>
                <w:szCs w:val="21"/>
                <w:lang w:eastAsia="zh-CN" w:bidi="ar"/>
              </w:rPr>
              <w:t>）</w:t>
            </w:r>
          </w:p>
        </w:tc>
        <w:tc>
          <w:tcPr>
            <w:tcW w:w="5040" w:type="dxa"/>
            <w:shd w:val="clear" w:color="auto" w:fill="FFFFFF"/>
            <w:noWrap w:val="0"/>
            <w:vAlign w:val="top"/>
          </w:tcPr>
          <w:p w14:paraId="49D0AE0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416A9B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20A24B4">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449191E3">
            <w:pPr>
              <w:spacing w:line="320" w:lineRule="exact"/>
              <w:rPr>
                <w:rFonts w:hint="eastAsia" w:ascii="宋体" w:hAnsi="宋体" w:eastAsia="宋体" w:cs="宋体"/>
                <w:b/>
                <w:bCs/>
                <w:color w:val="000000"/>
                <w:szCs w:val="21"/>
              </w:rPr>
            </w:pPr>
          </w:p>
        </w:tc>
      </w:tr>
      <w:tr w14:paraId="7976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 w:hRule="atLeast"/>
        </w:trPr>
        <w:tc>
          <w:tcPr>
            <w:tcW w:w="1530" w:type="dxa"/>
            <w:vMerge w:val="continue"/>
            <w:shd w:val="clear" w:color="auto" w:fill="FFFFFF"/>
            <w:noWrap w:val="0"/>
            <w:vAlign w:val="top"/>
          </w:tcPr>
          <w:p w14:paraId="12E91575">
            <w:pPr>
              <w:spacing w:line="320" w:lineRule="exact"/>
              <w:jc w:val="center"/>
              <w:rPr>
                <w:rFonts w:hint="eastAsia" w:ascii="Times New Roman" w:hAnsi="Times New Roman" w:eastAsia="宋体"/>
                <w:color w:val="000000"/>
              </w:rPr>
            </w:pPr>
          </w:p>
        </w:tc>
        <w:tc>
          <w:tcPr>
            <w:tcW w:w="2833" w:type="dxa"/>
            <w:vMerge w:val="restart"/>
            <w:shd w:val="clear" w:color="auto" w:fill="FFFFFF"/>
            <w:noWrap w:val="0"/>
            <w:vAlign w:val="center"/>
          </w:tcPr>
          <w:p w14:paraId="3E1471D8">
            <w:pPr>
              <w:spacing w:line="320" w:lineRule="exact"/>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4.3安全管理（80分）</w:t>
            </w:r>
          </w:p>
        </w:tc>
        <w:tc>
          <w:tcPr>
            <w:tcW w:w="3356" w:type="dxa"/>
            <w:shd w:val="clear" w:color="auto" w:fill="FFFFFF"/>
            <w:noWrap w:val="0"/>
            <w:vAlign w:val="center"/>
          </w:tcPr>
          <w:p w14:paraId="5DF1A21C">
            <w:pPr>
              <w:widowControl/>
              <w:spacing w:line="320" w:lineRule="exac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4.3.1经营场所管理 （20分）</w:t>
            </w:r>
          </w:p>
        </w:tc>
        <w:tc>
          <w:tcPr>
            <w:tcW w:w="5040" w:type="dxa"/>
            <w:shd w:val="clear" w:color="auto" w:fill="FFFFFF"/>
            <w:noWrap w:val="0"/>
            <w:vAlign w:val="top"/>
          </w:tcPr>
          <w:p w14:paraId="4BFF32F2">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65188915">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3BE63CB">
            <w:pPr>
              <w:spacing w:line="320" w:lineRule="exact"/>
              <w:rPr>
                <w:rFonts w:hint="eastAsia" w:ascii="宋体" w:hAnsi="宋体" w:eastAsia="宋体" w:cs="宋体"/>
                <w:color w:val="000000"/>
                <w:szCs w:val="21"/>
              </w:rPr>
            </w:pPr>
          </w:p>
        </w:tc>
        <w:tc>
          <w:tcPr>
            <w:tcW w:w="699" w:type="dxa"/>
            <w:shd w:val="clear" w:color="auto" w:fill="FFFFFF"/>
            <w:noWrap w:val="0"/>
            <w:vAlign w:val="top"/>
          </w:tcPr>
          <w:p w14:paraId="064FE318">
            <w:pPr>
              <w:spacing w:line="320" w:lineRule="exact"/>
              <w:rPr>
                <w:rFonts w:hint="eastAsia" w:ascii="宋体" w:hAnsi="宋体" w:eastAsia="宋体" w:cs="宋体"/>
                <w:color w:val="000000"/>
                <w:szCs w:val="21"/>
              </w:rPr>
            </w:pPr>
          </w:p>
        </w:tc>
      </w:tr>
      <w:tr w14:paraId="43F5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3" w:hRule="atLeast"/>
        </w:trPr>
        <w:tc>
          <w:tcPr>
            <w:tcW w:w="1530" w:type="dxa"/>
            <w:vMerge w:val="continue"/>
            <w:shd w:val="clear" w:color="auto" w:fill="FFFFFF"/>
            <w:noWrap w:val="0"/>
            <w:vAlign w:val="top"/>
          </w:tcPr>
          <w:p w14:paraId="3EE28648">
            <w:pPr>
              <w:spacing w:line="320" w:lineRule="exact"/>
              <w:jc w:val="center"/>
              <w:rPr>
                <w:rFonts w:hint="eastAsia" w:ascii="Times New Roman" w:hAnsi="Times New Roman" w:eastAsia="宋体"/>
                <w:color w:val="000000"/>
              </w:rPr>
            </w:pPr>
          </w:p>
        </w:tc>
        <w:tc>
          <w:tcPr>
            <w:tcW w:w="2833" w:type="dxa"/>
            <w:vMerge w:val="continue"/>
            <w:shd w:val="clear" w:color="auto" w:fill="FFFFFF"/>
            <w:noWrap w:val="0"/>
            <w:vAlign w:val="center"/>
          </w:tcPr>
          <w:p w14:paraId="53A8774E">
            <w:pPr>
              <w:spacing w:line="320" w:lineRule="exact"/>
              <w:rPr>
                <w:rFonts w:hint="eastAsia" w:ascii="宋体" w:hAnsi="宋体" w:eastAsia="宋体" w:cs="宋体"/>
                <w:b/>
                <w:bCs/>
                <w:color w:val="000000"/>
                <w:kern w:val="0"/>
                <w:szCs w:val="21"/>
                <w:lang w:bidi="ar"/>
              </w:rPr>
            </w:pPr>
          </w:p>
        </w:tc>
        <w:tc>
          <w:tcPr>
            <w:tcW w:w="3356" w:type="dxa"/>
            <w:shd w:val="clear" w:color="auto" w:fill="FFFFFF"/>
            <w:noWrap w:val="0"/>
            <w:vAlign w:val="center"/>
          </w:tcPr>
          <w:p w14:paraId="040EF802">
            <w:pPr>
              <w:widowControl/>
              <w:spacing w:line="320" w:lineRule="exact"/>
              <w:textAlignment w:val="center"/>
              <w:rPr>
                <w:rFonts w:hint="eastAsia" w:ascii="宋体" w:hAnsi="宋体" w:eastAsia="宋体" w:cs="宋体"/>
                <w:b/>
                <w:bCs/>
                <w:color w:val="000000"/>
                <w:kern w:val="0"/>
                <w:szCs w:val="21"/>
                <w:lang w:bidi="ar"/>
              </w:rPr>
            </w:pPr>
            <w:r>
              <w:rPr>
                <w:rFonts w:hint="eastAsia" w:ascii="宋体" w:hAnsi="宋体" w:eastAsia="宋体"/>
                <w:b/>
                <w:bCs/>
                <w:color w:val="000000"/>
                <w:szCs w:val="21"/>
              </w:rPr>
              <w:t>4.3.2经营资质管理</w:t>
            </w:r>
            <w:r>
              <w:rPr>
                <w:rFonts w:hint="eastAsia" w:ascii="宋体" w:hAnsi="宋体"/>
                <w:b/>
                <w:bCs/>
                <w:color w:val="000000"/>
                <w:szCs w:val="21"/>
                <w:lang w:eastAsia="zh-CN"/>
              </w:rPr>
              <w:t>（</w:t>
            </w:r>
            <w:r>
              <w:rPr>
                <w:rFonts w:hint="eastAsia" w:ascii="宋体" w:hAnsi="宋体" w:eastAsia="宋体"/>
                <w:b/>
                <w:bCs/>
                <w:color w:val="000000"/>
                <w:szCs w:val="21"/>
              </w:rPr>
              <w:t>30分</w:t>
            </w:r>
            <w:r>
              <w:rPr>
                <w:rFonts w:hint="eastAsia" w:ascii="宋体" w:hAnsi="宋体"/>
                <w:b/>
                <w:bCs/>
                <w:color w:val="000000"/>
                <w:szCs w:val="21"/>
                <w:lang w:eastAsia="zh-CN"/>
              </w:rPr>
              <w:t>）</w:t>
            </w:r>
          </w:p>
        </w:tc>
        <w:tc>
          <w:tcPr>
            <w:tcW w:w="5040" w:type="dxa"/>
            <w:shd w:val="clear" w:color="auto" w:fill="FFFFFF"/>
            <w:noWrap w:val="0"/>
            <w:vAlign w:val="top"/>
          </w:tcPr>
          <w:p w14:paraId="7810BE10">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4AA69DB5">
            <w:pPr>
              <w:spacing w:line="320" w:lineRule="exact"/>
              <w:rPr>
                <w:rFonts w:hint="eastAsia" w:ascii="宋体" w:hAnsi="宋体" w:eastAsia="宋体" w:cs="宋体"/>
                <w:color w:val="000000"/>
                <w:szCs w:val="21"/>
              </w:rPr>
            </w:pPr>
          </w:p>
        </w:tc>
        <w:tc>
          <w:tcPr>
            <w:tcW w:w="735" w:type="dxa"/>
            <w:shd w:val="clear" w:color="auto" w:fill="FFFFFF"/>
            <w:noWrap w:val="0"/>
            <w:vAlign w:val="top"/>
          </w:tcPr>
          <w:p w14:paraId="7D68BB3D">
            <w:pPr>
              <w:spacing w:line="320" w:lineRule="exact"/>
              <w:rPr>
                <w:rFonts w:hint="eastAsia" w:ascii="宋体" w:hAnsi="宋体" w:eastAsia="宋体" w:cs="宋体"/>
                <w:color w:val="000000"/>
                <w:szCs w:val="21"/>
              </w:rPr>
            </w:pPr>
          </w:p>
        </w:tc>
        <w:tc>
          <w:tcPr>
            <w:tcW w:w="699" w:type="dxa"/>
            <w:shd w:val="clear" w:color="auto" w:fill="FFFFFF"/>
            <w:noWrap w:val="0"/>
            <w:vAlign w:val="top"/>
          </w:tcPr>
          <w:p w14:paraId="5CDE537F">
            <w:pPr>
              <w:spacing w:line="320" w:lineRule="exact"/>
              <w:rPr>
                <w:rFonts w:hint="eastAsia" w:ascii="宋体" w:hAnsi="宋体" w:eastAsia="宋体" w:cs="宋体"/>
                <w:color w:val="000000"/>
                <w:szCs w:val="21"/>
              </w:rPr>
            </w:pPr>
          </w:p>
        </w:tc>
      </w:tr>
      <w:tr w14:paraId="4239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7" w:hRule="atLeast"/>
        </w:trPr>
        <w:tc>
          <w:tcPr>
            <w:tcW w:w="1530" w:type="dxa"/>
            <w:vMerge w:val="continue"/>
            <w:shd w:val="clear" w:color="auto" w:fill="FFFFFF"/>
            <w:noWrap w:val="0"/>
            <w:vAlign w:val="top"/>
          </w:tcPr>
          <w:p w14:paraId="057099E7">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22CFC9CB">
            <w:pPr>
              <w:widowControl/>
              <w:spacing w:line="320" w:lineRule="exact"/>
              <w:textAlignment w:val="center"/>
              <w:rPr>
                <w:rFonts w:hint="eastAsia" w:ascii="宋体" w:hAnsi="宋体" w:eastAsia="宋体" w:cs="宋体"/>
                <w:b/>
                <w:bCs/>
                <w:color w:val="000000"/>
                <w:szCs w:val="21"/>
              </w:rPr>
            </w:pPr>
          </w:p>
        </w:tc>
        <w:tc>
          <w:tcPr>
            <w:tcW w:w="3356" w:type="dxa"/>
            <w:shd w:val="clear" w:color="auto" w:fill="FFFFFF"/>
            <w:noWrap w:val="0"/>
            <w:vAlign w:val="center"/>
          </w:tcPr>
          <w:p w14:paraId="13616EFE">
            <w:pPr>
              <w:spacing w:line="320" w:lineRule="exact"/>
              <w:rPr>
                <w:rFonts w:hint="eastAsia" w:ascii="宋体" w:hAnsi="宋体" w:eastAsia="宋体"/>
                <w:b/>
                <w:color w:val="000000"/>
                <w:szCs w:val="21"/>
              </w:rPr>
            </w:pPr>
            <w:r>
              <w:rPr>
                <w:rFonts w:hint="eastAsia" w:ascii="宋体" w:hAnsi="宋体" w:eastAsia="宋体"/>
                <w:b/>
                <w:bCs/>
                <w:color w:val="000000"/>
                <w:szCs w:val="21"/>
              </w:rPr>
              <w:t>4.3.3经营活动管理</w:t>
            </w:r>
            <w:r>
              <w:rPr>
                <w:rFonts w:hint="eastAsia" w:ascii="宋体" w:hAnsi="宋体"/>
                <w:b/>
                <w:bCs/>
                <w:color w:val="000000"/>
                <w:szCs w:val="21"/>
                <w:lang w:eastAsia="zh-CN"/>
              </w:rPr>
              <w:t>（</w:t>
            </w:r>
            <w:r>
              <w:rPr>
                <w:rFonts w:hint="eastAsia" w:ascii="宋体" w:hAnsi="宋体" w:eastAsia="宋体"/>
                <w:b/>
                <w:bCs/>
                <w:color w:val="000000"/>
                <w:szCs w:val="21"/>
              </w:rPr>
              <w:t>30分</w:t>
            </w:r>
            <w:r>
              <w:rPr>
                <w:rFonts w:hint="eastAsia" w:ascii="宋体" w:hAnsi="宋体"/>
                <w:b/>
                <w:bCs/>
                <w:color w:val="000000"/>
                <w:szCs w:val="21"/>
                <w:lang w:eastAsia="zh-CN"/>
              </w:rPr>
              <w:t>）</w:t>
            </w:r>
          </w:p>
        </w:tc>
        <w:tc>
          <w:tcPr>
            <w:tcW w:w="5040" w:type="dxa"/>
            <w:shd w:val="clear" w:color="auto" w:fill="FFFFFF"/>
            <w:noWrap w:val="0"/>
            <w:vAlign w:val="top"/>
          </w:tcPr>
          <w:p w14:paraId="771ECCD4">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84E3CD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1AE3356">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5058C5B4">
            <w:pPr>
              <w:spacing w:line="320" w:lineRule="exact"/>
              <w:rPr>
                <w:rFonts w:hint="eastAsia" w:ascii="宋体" w:hAnsi="宋体" w:eastAsia="宋体" w:cs="宋体"/>
                <w:b/>
                <w:bCs/>
                <w:color w:val="000000"/>
                <w:szCs w:val="21"/>
              </w:rPr>
            </w:pPr>
          </w:p>
        </w:tc>
      </w:tr>
      <w:tr w14:paraId="5D9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3" w:hRule="atLeast"/>
        </w:trPr>
        <w:tc>
          <w:tcPr>
            <w:tcW w:w="1530" w:type="dxa"/>
            <w:vMerge w:val="restart"/>
            <w:shd w:val="clear" w:color="auto" w:fill="FFFFFF"/>
            <w:noWrap w:val="0"/>
            <w:vAlign w:val="center"/>
          </w:tcPr>
          <w:p w14:paraId="6E213ABA">
            <w:pPr>
              <w:spacing w:line="320" w:lineRule="exact"/>
              <w:jc w:val="center"/>
              <w:rPr>
                <w:rFonts w:hint="eastAsia" w:ascii="宋体" w:hAnsi="宋体" w:eastAsia="宋体"/>
                <w:b/>
                <w:color w:val="000000"/>
              </w:rPr>
            </w:pPr>
            <w:r>
              <w:rPr>
                <w:rFonts w:hint="eastAsia" w:ascii="宋体" w:hAnsi="宋体" w:eastAsia="宋体"/>
                <w:b/>
                <w:color w:val="000000"/>
              </w:rPr>
              <w:t>5</w:t>
            </w:r>
          </w:p>
          <w:p w14:paraId="713548B4">
            <w:pPr>
              <w:spacing w:line="320" w:lineRule="exact"/>
              <w:jc w:val="center"/>
              <w:rPr>
                <w:rFonts w:hint="eastAsia" w:ascii="宋体" w:hAnsi="宋体" w:eastAsia="宋体"/>
                <w:b/>
                <w:color w:val="000000"/>
              </w:rPr>
            </w:pPr>
            <w:r>
              <w:rPr>
                <w:rFonts w:hint="eastAsia" w:ascii="宋体" w:hAnsi="宋体" w:eastAsia="宋体"/>
                <w:b/>
                <w:color w:val="000000"/>
              </w:rPr>
              <w:t>应急与事故</w:t>
            </w:r>
          </w:p>
          <w:p w14:paraId="09C6E95B">
            <w:pPr>
              <w:spacing w:line="320" w:lineRule="exact"/>
              <w:jc w:val="center"/>
              <w:rPr>
                <w:rFonts w:hint="eastAsia" w:ascii="宋体" w:hAnsi="宋体" w:eastAsia="宋体"/>
                <w:b/>
                <w:color w:val="000000"/>
              </w:rPr>
            </w:pPr>
            <w:r>
              <w:rPr>
                <w:rFonts w:hint="eastAsia" w:ascii="宋体" w:hAnsi="宋体" w:eastAsia="宋体"/>
                <w:b/>
                <w:color w:val="000000"/>
              </w:rPr>
              <w:t>管理（170分）</w:t>
            </w:r>
          </w:p>
        </w:tc>
        <w:tc>
          <w:tcPr>
            <w:tcW w:w="2833" w:type="dxa"/>
            <w:vMerge w:val="restart"/>
            <w:shd w:val="clear" w:color="auto" w:fill="FFFFFF"/>
            <w:noWrap w:val="0"/>
            <w:vAlign w:val="center"/>
          </w:tcPr>
          <w:p w14:paraId="18BE1A9F">
            <w:pPr>
              <w:spacing w:line="320" w:lineRule="exact"/>
              <w:rPr>
                <w:rFonts w:hint="eastAsia" w:ascii="宋体" w:hAnsi="宋体" w:eastAsia="宋体"/>
                <w:b/>
                <w:color w:val="000000"/>
              </w:rPr>
            </w:pPr>
            <w:r>
              <w:rPr>
                <w:rFonts w:hint="eastAsia" w:ascii="宋体" w:hAnsi="宋体" w:eastAsia="宋体"/>
                <w:b/>
                <w:color w:val="000000"/>
              </w:rPr>
              <w:t>5.1应急管理（100分）</w:t>
            </w:r>
          </w:p>
        </w:tc>
        <w:tc>
          <w:tcPr>
            <w:tcW w:w="3356" w:type="dxa"/>
            <w:shd w:val="clear" w:color="auto" w:fill="FFFFFF"/>
            <w:noWrap w:val="0"/>
            <w:vAlign w:val="center"/>
          </w:tcPr>
          <w:p w14:paraId="496F8717">
            <w:pPr>
              <w:spacing w:line="320" w:lineRule="exact"/>
              <w:rPr>
                <w:rFonts w:hint="eastAsia" w:ascii="宋体" w:hAnsi="宋体" w:eastAsia="宋体"/>
                <w:b/>
                <w:color w:val="000000"/>
              </w:rPr>
            </w:pPr>
            <w:r>
              <w:rPr>
                <w:rFonts w:hint="eastAsia" w:ascii="宋体" w:hAnsi="宋体" w:eastAsia="宋体"/>
                <w:b/>
                <w:color w:val="000000"/>
              </w:rPr>
              <w:t>5.1.1应急预案管理</w:t>
            </w:r>
            <w:r>
              <w:rPr>
                <w:rFonts w:hint="eastAsia" w:ascii="宋体" w:hAnsi="宋体"/>
                <w:b/>
                <w:color w:val="000000"/>
                <w:lang w:eastAsia="zh-CN"/>
              </w:rPr>
              <w:t>（</w:t>
            </w:r>
            <w:r>
              <w:rPr>
                <w:rFonts w:hint="eastAsia" w:ascii="宋体" w:hAnsi="宋体" w:eastAsia="宋体" w:cs="宋体"/>
                <w:b/>
                <w:color w:val="000000"/>
                <w:szCs w:val="21"/>
              </w:rPr>
              <w:t>50分</w:t>
            </w:r>
            <w:r>
              <w:rPr>
                <w:rFonts w:hint="eastAsia" w:ascii="宋体" w:hAnsi="宋体" w:cs="宋体"/>
                <w:b/>
                <w:color w:val="000000"/>
                <w:szCs w:val="21"/>
                <w:lang w:eastAsia="zh-CN"/>
              </w:rPr>
              <w:t>）</w:t>
            </w:r>
          </w:p>
        </w:tc>
        <w:tc>
          <w:tcPr>
            <w:tcW w:w="5040" w:type="dxa"/>
            <w:shd w:val="clear" w:color="auto" w:fill="FFFFFF"/>
            <w:noWrap w:val="0"/>
            <w:vAlign w:val="top"/>
          </w:tcPr>
          <w:p w14:paraId="1967AA2E">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80CA008">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4D67DCA">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4FA5A84F">
            <w:pPr>
              <w:spacing w:line="320" w:lineRule="exact"/>
              <w:rPr>
                <w:rFonts w:hint="eastAsia" w:ascii="宋体" w:hAnsi="宋体" w:eastAsia="宋体" w:cs="宋体"/>
                <w:b/>
                <w:bCs/>
                <w:color w:val="000000"/>
                <w:szCs w:val="21"/>
              </w:rPr>
            </w:pPr>
          </w:p>
        </w:tc>
      </w:tr>
      <w:tr w14:paraId="1A61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9" w:hRule="atLeast"/>
        </w:trPr>
        <w:tc>
          <w:tcPr>
            <w:tcW w:w="1530" w:type="dxa"/>
            <w:vMerge w:val="continue"/>
            <w:shd w:val="clear" w:color="auto" w:fill="FFFFFF"/>
            <w:noWrap w:val="0"/>
            <w:vAlign w:val="top"/>
          </w:tcPr>
          <w:p w14:paraId="26E848A7">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058D33D6">
            <w:pPr>
              <w:spacing w:line="320" w:lineRule="exact"/>
              <w:rPr>
                <w:rFonts w:hint="eastAsia" w:ascii="宋体" w:hAnsi="宋体" w:eastAsia="宋体" w:cs="宋体"/>
                <w:b/>
                <w:bCs/>
                <w:color w:val="000000"/>
                <w:szCs w:val="21"/>
              </w:rPr>
            </w:pPr>
          </w:p>
        </w:tc>
        <w:tc>
          <w:tcPr>
            <w:tcW w:w="3356" w:type="dxa"/>
            <w:shd w:val="clear" w:color="auto" w:fill="FFFFFF"/>
            <w:noWrap w:val="0"/>
            <w:vAlign w:val="center"/>
          </w:tcPr>
          <w:p w14:paraId="79F2C5B0">
            <w:pPr>
              <w:spacing w:line="320" w:lineRule="exact"/>
              <w:rPr>
                <w:rFonts w:hint="eastAsia" w:ascii="宋体" w:hAnsi="宋体" w:eastAsia="宋体"/>
                <w:b/>
                <w:color w:val="000000"/>
              </w:rPr>
            </w:pPr>
            <w:r>
              <w:rPr>
                <w:rFonts w:hint="eastAsia" w:ascii="宋体" w:hAnsi="宋体" w:eastAsia="宋体"/>
                <w:b/>
                <w:color w:val="000000"/>
              </w:rPr>
              <w:t>5.1.2应急救援管理</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5040" w:type="dxa"/>
            <w:shd w:val="clear" w:color="auto" w:fill="FFFFFF"/>
            <w:noWrap w:val="0"/>
            <w:vAlign w:val="top"/>
          </w:tcPr>
          <w:p w14:paraId="56703C4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357B4B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2A0B6A5">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0BFFE934">
            <w:pPr>
              <w:spacing w:line="320" w:lineRule="exact"/>
              <w:rPr>
                <w:rFonts w:hint="eastAsia" w:ascii="宋体" w:hAnsi="宋体" w:eastAsia="宋体" w:cs="宋体"/>
                <w:b/>
                <w:bCs/>
                <w:color w:val="000000"/>
                <w:szCs w:val="21"/>
              </w:rPr>
            </w:pPr>
          </w:p>
        </w:tc>
      </w:tr>
      <w:tr w14:paraId="135C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3" w:hRule="atLeast"/>
        </w:trPr>
        <w:tc>
          <w:tcPr>
            <w:tcW w:w="1530" w:type="dxa"/>
            <w:vMerge w:val="continue"/>
            <w:shd w:val="clear" w:color="auto" w:fill="FFFFFF"/>
            <w:noWrap w:val="0"/>
            <w:vAlign w:val="top"/>
          </w:tcPr>
          <w:p w14:paraId="41C5C822">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2333959E">
            <w:pPr>
              <w:spacing w:line="320" w:lineRule="exact"/>
              <w:rPr>
                <w:rFonts w:hint="eastAsia" w:ascii="宋体" w:hAnsi="宋体" w:eastAsia="宋体" w:cs="宋体"/>
                <w:b/>
                <w:bCs/>
                <w:color w:val="000000"/>
                <w:szCs w:val="21"/>
              </w:rPr>
            </w:pPr>
          </w:p>
        </w:tc>
        <w:tc>
          <w:tcPr>
            <w:tcW w:w="3356" w:type="dxa"/>
            <w:shd w:val="clear" w:color="auto" w:fill="FFFFFF"/>
            <w:noWrap w:val="0"/>
            <w:vAlign w:val="center"/>
          </w:tcPr>
          <w:p w14:paraId="0303C153">
            <w:pPr>
              <w:spacing w:line="320" w:lineRule="exact"/>
              <w:rPr>
                <w:rFonts w:hint="eastAsia" w:ascii="宋体" w:hAnsi="宋体" w:eastAsia="宋体"/>
                <w:b/>
                <w:color w:val="000000"/>
              </w:rPr>
            </w:pPr>
            <w:r>
              <w:rPr>
                <w:rFonts w:hint="eastAsia" w:ascii="宋体" w:hAnsi="宋体" w:eastAsia="宋体"/>
                <w:b/>
                <w:color w:val="000000"/>
              </w:rPr>
              <w:t>5.1.3应急评估</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5040" w:type="dxa"/>
            <w:shd w:val="clear" w:color="auto" w:fill="FFFFFF"/>
            <w:noWrap w:val="0"/>
            <w:vAlign w:val="top"/>
          </w:tcPr>
          <w:p w14:paraId="54F03FC1">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088CC2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5709DCF5">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7D070382">
            <w:pPr>
              <w:spacing w:line="320" w:lineRule="exact"/>
              <w:rPr>
                <w:rFonts w:hint="eastAsia" w:ascii="宋体" w:hAnsi="宋体" w:eastAsia="宋体" w:cs="宋体"/>
                <w:b/>
                <w:bCs/>
                <w:color w:val="000000"/>
                <w:szCs w:val="21"/>
              </w:rPr>
            </w:pPr>
          </w:p>
        </w:tc>
      </w:tr>
      <w:tr w14:paraId="1552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1530" w:type="dxa"/>
            <w:vMerge w:val="continue"/>
            <w:shd w:val="clear" w:color="auto" w:fill="FFFFFF"/>
            <w:noWrap w:val="0"/>
            <w:vAlign w:val="top"/>
          </w:tcPr>
          <w:p w14:paraId="6D669651">
            <w:pPr>
              <w:spacing w:line="320" w:lineRule="exact"/>
              <w:jc w:val="center"/>
              <w:rPr>
                <w:rFonts w:hint="eastAsia" w:ascii="宋体" w:hAnsi="宋体" w:eastAsia="宋体" w:cs="宋体"/>
                <w:b/>
                <w:color w:val="000000"/>
                <w:szCs w:val="21"/>
                <w:shd w:val="clear" w:color="auto" w:fill="FFFF00"/>
              </w:rPr>
            </w:pPr>
          </w:p>
        </w:tc>
        <w:tc>
          <w:tcPr>
            <w:tcW w:w="2833" w:type="dxa"/>
            <w:vMerge w:val="restart"/>
            <w:shd w:val="clear" w:color="auto" w:fill="FFFFFF"/>
            <w:noWrap w:val="0"/>
            <w:vAlign w:val="center"/>
          </w:tcPr>
          <w:p w14:paraId="6C992088">
            <w:pPr>
              <w:spacing w:line="320" w:lineRule="exact"/>
              <w:rPr>
                <w:rFonts w:hint="eastAsia" w:ascii="宋体" w:hAnsi="宋体" w:eastAsia="宋体"/>
                <w:b/>
                <w:color w:val="000000"/>
              </w:rPr>
            </w:pPr>
            <w:r>
              <w:rPr>
                <w:rFonts w:hint="eastAsia" w:ascii="宋体" w:hAnsi="宋体" w:eastAsia="宋体"/>
                <w:b/>
                <w:color w:val="000000"/>
              </w:rPr>
              <w:t>5.2事故管理（70分）</w:t>
            </w:r>
          </w:p>
        </w:tc>
        <w:tc>
          <w:tcPr>
            <w:tcW w:w="3356" w:type="dxa"/>
            <w:shd w:val="clear" w:color="auto" w:fill="FFFFFF"/>
            <w:noWrap w:val="0"/>
            <w:vAlign w:val="center"/>
          </w:tcPr>
          <w:p w14:paraId="0266BB6E">
            <w:pPr>
              <w:spacing w:line="320" w:lineRule="exact"/>
              <w:rPr>
                <w:rFonts w:hint="eastAsia" w:ascii="宋体" w:hAnsi="宋体" w:eastAsia="宋体"/>
                <w:b/>
                <w:color w:val="000000"/>
              </w:rPr>
            </w:pPr>
            <w:r>
              <w:rPr>
                <w:rFonts w:hint="eastAsia" w:ascii="宋体" w:hAnsi="宋体" w:eastAsia="宋体"/>
                <w:b/>
                <w:color w:val="000000"/>
              </w:rPr>
              <w:t>5.2.1事故报告</w:t>
            </w:r>
            <w:r>
              <w:rPr>
                <w:rFonts w:hint="eastAsia" w:ascii="宋体" w:hAnsi="宋体"/>
                <w:b/>
                <w:color w:val="000000"/>
                <w:lang w:eastAsia="zh-CN"/>
              </w:rPr>
              <w:t>（</w:t>
            </w:r>
            <w:r>
              <w:rPr>
                <w:rFonts w:hint="eastAsia" w:ascii="宋体" w:hAnsi="宋体" w:eastAsia="宋体" w:cs="宋体"/>
                <w:b/>
                <w:color w:val="000000"/>
                <w:szCs w:val="21"/>
              </w:rPr>
              <w:t>30分</w:t>
            </w:r>
            <w:r>
              <w:rPr>
                <w:rFonts w:hint="eastAsia" w:ascii="宋体" w:hAnsi="宋体" w:cs="宋体"/>
                <w:b/>
                <w:color w:val="000000"/>
                <w:szCs w:val="21"/>
                <w:lang w:eastAsia="zh-CN"/>
              </w:rPr>
              <w:t>）</w:t>
            </w:r>
          </w:p>
        </w:tc>
        <w:tc>
          <w:tcPr>
            <w:tcW w:w="5040" w:type="dxa"/>
            <w:shd w:val="clear" w:color="auto" w:fill="FFFFFF"/>
            <w:noWrap w:val="0"/>
            <w:vAlign w:val="top"/>
          </w:tcPr>
          <w:p w14:paraId="6877CC49">
            <w:pPr>
              <w:spacing w:line="320" w:lineRule="exact"/>
              <w:rPr>
                <w:rFonts w:hint="eastAsia" w:ascii="宋体" w:hAnsi="宋体" w:eastAsia="宋体" w:cs="宋体"/>
                <w:b/>
                <w:bCs/>
                <w:color w:val="000000"/>
                <w:szCs w:val="21"/>
              </w:rPr>
            </w:pPr>
            <w:bookmarkStart w:id="0" w:name="_GoBack"/>
            <w:bookmarkEnd w:id="0"/>
          </w:p>
        </w:tc>
        <w:tc>
          <w:tcPr>
            <w:tcW w:w="735" w:type="dxa"/>
            <w:shd w:val="clear" w:color="auto" w:fill="FFFFFF"/>
            <w:noWrap w:val="0"/>
            <w:vAlign w:val="top"/>
          </w:tcPr>
          <w:p w14:paraId="5E26DC1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DEFBCF6">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0C441809">
            <w:pPr>
              <w:spacing w:line="320" w:lineRule="exact"/>
              <w:rPr>
                <w:rFonts w:hint="eastAsia" w:ascii="宋体" w:hAnsi="宋体" w:eastAsia="宋体" w:cs="宋体"/>
                <w:b/>
                <w:bCs/>
                <w:color w:val="000000"/>
                <w:szCs w:val="21"/>
              </w:rPr>
            </w:pPr>
          </w:p>
        </w:tc>
      </w:tr>
      <w:tr w14:paraId="0013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9" w:hRule="atLeast"/>
        </w:trPr>
        <w:tc>
          <w:tcPr>
            <w:tcW w:w="1530" w:type="dxa"/>
            <w:vMerge w:val="continue"/>
            <w:shd w:val="clear" w:color="auto" w:fill="FFFFFF"/>
            <w:noWrap w:val="0"/>
            <w:vAlign w:val="top"/>
          </w:tcPr>
          <w:p w14:paraId="4AC8CA3D">
            <w:pPr>
              <w:spacing w:line="320" w:lineRule="exact"/>
              <w:jc w:val="center"/>
              <w:rPr>
                <w:rFonts w:hint="eastAsia" w:ascii="宋体" w:hAnsi="宋体" w:eastAsia="宋体" w:cs="宋体"/>
                <w:b/>
                <w:bCs/>
                <w:color w:val="000000"/>
                <w:szCs w:val="21"/>
                <w:shd w:val="clear" w:color="auto" w:fill="FFFF00"/>
              </w:rPr>
            </w:pPr>
          </w:p>
        </w:tc>
        <w:tc>
          <w:tcPr>
            <w:tcW w:w="2833" w:type="dxa"/>
            <w:vMerge w:val="continue"/>
            <w:shd w:val="clear" w:color="auto" w:fill="FFFFFF"/>
            <w:noWrap w:val="0"/>
            <w:vAlign w:val="center"/>
          </w:tcPr>
          <w:p w14:paraId="6AC80CC5">
            <w:pPr>
              <w:spacing w:line="320" w:lineRule="exact"/>
              <w:rPr>
                <w:rFonts w:hint="eastAsia" w:ascii="宋体" w:hAnsi="宋体" w:eastAsia="宋体" w:cs="宋体"/>
                <w:b/>
                <w:color w:val="000000"/>
                <w:szCs w:val="21"/>
                <w:shd w:val="clear" w:color="auto" w:fill="FFFF00"/>
              </w:rPr>
            </w:pPr>
          </w:p>
        </w:tc>
        <w:tc>
          <w:tcPr>
            <w:tcW w:w="3356" w:type="dxa"/>
            <w:shd w:val="clear" w:color="auto" w:fill="FFFFFF"/>
            <w:noWrap w:val="0"/>
            <w:vAlign w:val="center"/>
          </w:tcPr>
          <w:p w14:paraId="5D7300B5">
            <w:pPr>
              <w:spacing w:line="320" w:lineRule="exact"/>
              <w:rPr>
                <w:rFonts w:hint="eastAsia" w:ascii="宋体" w:hAnsi="宋体" w:eastAsia="宋体"/>
                <w:b/>
                <w:color w:val="000000"/>
              </w:rPr>
            </w:pPr>
            <w:r>
              <w:rPr>
                <w:rFonts w:hint="eastAsia" w:ascii="宋体" w:hAnsi="宋体" w:eastAsia="宋体"/>
                <w:b/>
                <w:color w:val="000000"/>
              </w:rPr>
              <w:t>5</w:t>
            </w:r>
            <w:r>
              <w:rPr>
                <w:rFonts w:ascii="宋体" w:hAnsi="宋体" w:eastAsia="宋体"/>
                <w:b/>
                <w:color w:val="000000"/>
              </w:rPr>
              <w:t>.2.</w:t>
            </w:r>
            <w:r>
              <w:rPr>
                <w:rFonts w:hint="eastAsia" w:ascii="宋体" w:hAnsi="宋体" w:eastAsia="宋体"/>
                <w:b/>
                <w:color w:val="000000"/>
              </w:rPr>
              <w:t>2事故调查和处理</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5040" w:type="dxa"/>
            <w:shd w:val="clear" w:color="auto" w:fill="FFFFFF"/>
            <w:noWrap w:val="0"/>
            <w:vAlign w:val="top"/>
          </w:tcPr>
          <w:p w14:paraId="19A4A375">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347F83A6">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8F97E73">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091E31FA">
            <w:pPr>
              <w:spacing w:line="320" w:lineRule="exact"/>
              <w:rPr>
                <w:rFonts w:hint="eastAsia" w:ascii="宋体" w:hAnsi="宋体" w:eastAsia="宋体" w:cs="宋体"/>
                <w:b/>
                <w:bCs/>
                <w:color w:val="000000"/>
                <w:szCs w:val="21"/>
              </w:rPr>
            </w:pPr>
          </w:p>
        </w:tc>
      </w:tr>
      <w:tr w14:paraId="0363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7" w:hRule="atLeast"/>
        </w:trPr>
        <w:tc>
          <w:tcPr>
            <w:tcW w:w="1530" w:type="dxa"/>
            <w:vMerge w:val="continue"/>
            <w:shd w:val="clear" w:color="auto" w:fill="FFFFFF"/>
            <w:noWrap w:val="0"/>
            <w:vAlign w:val="top"/>
          </w:tcPr>
          <w:p w14:paraId="0DB15554">
            <w:pPr>
              <w:spacing w:line="320" w:lineRule="exact"/>
              <w:jc w:val="center"/>
              <w:rPr>
                <w:rFonts w:hint="eastAsia" w:ascii="宋体" w:hAnsi="宋体" w:eastAsia="宋体" w:cs="宋体"/>
                <w:b/>
                <w:bCs/>
                <w:color w:val="000000"/>
                <w:szCs w:val="21"/>
                <w:shd w:val="clear" w:color="auto" w:fill="FFFF00"/>
              </w:rPr>
            </w:pPr>
          </w:p>
        </w:tc>
        <w:tc>
          <w:tcPr>
            <w:tcW w:w="2833" w:type="dxa"/>
            <w:vMerge w:val="continue"/>
            <w:shd w:val="clear" w:color="auto" w:fill="FFFFFF"/>
            <w:noWrap w:val="0"/>
            <w:vAlign w:val="center"/>
          </w:tcPr>
          <w:p w14:paraId="27DAD38D">
            <w:pPr>
              <w:spacing w:line="320" w:lineRule="exact"/>
              <w:rPr>
                <w:rFonts w:hint="eastAsia" w:ascii="宋体" w:hAnsi="宋体" w:eastAsia="宋体" w:cs="宋体"/>
                <w:b/>
                <w:color w:val="000000"/>
                <w:szCs w:val="21"/>
                <w:shd w:val="clear" w:color="auto" w:fill="FFFF00"/>
              </w:rPr>
            </w:pPr>
          </w:p>
        </w:tc>
        <w:tc>
          <w:tcPr>
            <w:tcW w:w="3356" w:type="dxa"/>
            <w:shd w:val="clear" w:color="auto" w:fill="FFFFFF"/>
            <w:noWrap w:val="0"/>
            <w:vAlign w:val="center"/>
          </w:tcPr>
          <w:p w14:paraId="586EDCC7">
            <w:pPr>
              <w:spacing w:line="320" w:lineRule="exact"/>
              <w:rPr>
                <w:rFonts w:hint="eastAsia" w:ascii="宋体" w:hAnsi="宋体" w:eastAsia="宋体"/>
                <w:b/>
                <w:color w:val="000000"/>
              </w:rPr>
            </w:pPr>
            <w:r>
              <w:rPr>
                <w:rFonts w:hint="eastAsia" w:ascii="宋体" w:hAnsi="宋体" w:eastAsia="宋体"/>
                <w:b/>
                <w:color w:val="000000"/>
              </w:rPr>
              <w:t>5</w:t>
            </w:r>
            <w:r>
              <w:rPr>
                <w:rFonts w:ascii="宋体" w:hAnsi="宋体" w:eastAsia="宋体"/>
                <w:b/>
                <w:color w:val="000000"/>
              </w:rPr>
              <w:t>.2.</w:t>
            </w:r>
            <w:r>
              <w:rPr>
                <w:rFonts w:hint="eastAsia" w:ascii="宋体" w:hAnsi="宋体" w:eastAsia="宋体"/>
                <w:b/>
                <w:color w:val="000000"/>
              </w:rPr>
              <w:t>3事故事件管理</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5040" w:type="dxa"/>
            <w:shd w:val="clear" w:color="auto" w:fill="FFFFFF"/>
            <w:noWrap w:val="0"/>
            <w:vAlign w:val="top"/>
          </w:tcPr>
          <w:p w14:paraId="6C95CE0A">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DC4093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794A3ECE">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640193E0">
            <w:pPr>
              <w:spacing w:line="320" w:lineRule="exact"/>
              <w:rPr>
                <w:rFonts w:hint="eastAsia" w:ascii="宋体" w:hAnsi="宋体" w:eastAsia="宋体" w:cs="宋体"/>
                <w:b/>
                <w:bCs/>
                <w:color w:val="000000"/>
                <w:szCs w:val="21"/>
              </w:rPr>
            </w:pPr>
          </w:p>
        </w:tc>
      </w:tr>
      <w:tr w14:paraId="0CFC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3" w:hRule="atLeast"/>
        </w:trPr>
        <w:tc>
          <w:tcPr>
            <w:tcW w:w="1530" w:type="dxa"/>
            <w:vMerge w:val="restart"/>
            <w:shd w:val="clear" w:color="auto" w:fill="FFFFFF"/>
            <w:noWrap w:val="0"/>
            <w:vAlign w:val="center"/>
          </w:tcPr>
          <w:p w14:paraId="5B1D2E2C">
            <w:pPr>
              <w:spacing w:line="320" w:lineRule="exact"/>
              <w:jc w:val="center"/>
              <w:rPr>
                <w:rFonts w:hint="eastAsia" w:ascii="宋体" w:hAnsi="宋体" w:eastAsia="宋体"/>
                <w:b/>
                <w:color w:val="000000"/>
              </w:rPr>
            </w:pPr>
            <w:r>
              <w:rPr>
                <w:rFonts w:hint="eastAsia" w:ascii="宋体" w:hAnsi="宋体" w:eastAsia="宋体"/>
                <w:b/>
                <w:color w:val="000000"/>
              </w:rPr>
              <w:t>6</w:t>
            </w:r>
          </w:p>
          <w:p w14:paraId="6FB302D6">
            <w:pPr>
              <w:spacing w:line="320" w:lineRule="exact"/>
              <w:jc w:val="center"/>
              <w:rPr>
                <w:rFonts w:hint="eastAsia" w:ascii="宋体" w:hAnsi="宋体" w:eastAsia="宋体"/>
                <w:b/>
                <w:color w:val="000000"/>
              </w:rPr>
            </w:pPr>
            <w:r>
              <w:rPr>
                <w:rFonts w:hint="eastAsia" w:ascii="宋体" w:hAnsi="宋体" w:eastAsia="宋体"/>
                <w:b/>
                <w:color w:val="000000"/>
              </w:rPr>
              <w:t>持续改进</w:t>
            </w:r>
          </w:p>
          <w:p w14:paraId="2DDFC1D7">
            <w:pPr>
              <w:spacing w:line="320" w:lineRule="exact"/>
              <w:jc w:val="center"/>
              <w:rPr>
                <w:rFonts w:hint="eastAsia" w:ascii="宋体" w:hAnsi="宋体" w:eastAsia="宋体"/>
                <w:b/>
                <w:color w:val="000000"/>
              </w:rPr>
            </w:pPr>
            <w:r>
              <w:rPr>
                <w:rFonts w:hint="eastAsia" w:ascii="宋体" w:hAnsi="宋体" w:eastAsia="宋体"/>
                <w:b/>
                <w:color w:val="000000"/>
              </w:rPr>
              <w:t>（100分）</w:t>
            </w:r>
          </w:p>
        </w:tc>
        <w:tc>
          <w:tcPr>
            <w:tcW w:w="2833" w:type="dxa"/>
            <w:vMerge w:val="restart"/>
            <w:shd w:val="clear" w:color="auto" w:fill="FFFFFF"/>
            <w:noWrap w:val="0"/>
            <w:vAlign w:val="center"/>
          </w:tcPr>
          <w:p w14:paraId="4BEE1797">
            <w:pPr>
              <w:spacing w:line="320" w:lineRule="exact"/>
              <w:rPr>
                <w:rFonts w:hint="eastAsia" w:ascii="宋体" w:hAnsi="宋体" w:eastAsia="宋体"/>
                <w:b/>
                <w:color w:val="000000"/>
              </w:rPr>
            </w:pPr>
            <w:r>
              <w:rPr>
                <w:rFonts w:hint="eastAsia" w:ascii="宋体" w:hAnsi="宋体" w:eastAsia="宋体"/>
                <w:b/>
                <w:color w:val="000000"/>
              </w:rPr>
              <w:t>6.1持续改进与提升（100分）</w:t>
            </w:r>
          </w:p>
        </w:tc>
        <w:tc>
          <w:tcPr>
            <w:tcW w:w="3356" w:type="dxa"/>
            <w:shd w:val="clear" w:color="auto" w:fill="FFFFFF"/>
            <w:noWrap w:val="0"/>
            <w:vAlign w:val="center"/>
          </w:tcPr>
          <w:p w14:paraId="18B7BE0A">
            <w:pPr>
              <w:spacing w:line="320" w:lineRule="exact"/>
              <w:rPr>
                <w:rFonts w:hint="eastAsia" w:ascii="宋体" w:hAnsi="宋体" w:eastAsia="宋体"/>
                <w:b/>
                <w:color w:val="000000"/>
              </w:rPr>
            </w:pPr>
            <w:r>
              <w:rPr>
                <w:rFonts w:hint="eastAsia" w:ascii="宋体" w:hAnsi="宋体" w:eastAsia="宋体"/>
                <w:b/>
                <w:color w:val="000000"/>
              </w:rPr>
              <w:t>6.1.1绩效评定改进与提升</w:t>
            </w:r>
            <w:r>
              <w:rPr>
                <w:rFonts w:hint="eastAsia" w:ascii="宋体" w:hAnsi="宋体"/>
                <w:b/>
                <w:color w:val="000000"/>
                <w:lang w:eastAsia="zh-CN"/>
              </w:rPr>
              <w:t>（</w:t>
            </w:r>
            <w:r>
              <w:rPr>
                <w:rFonts w:hint="eastAsia" w:ascii="宋体" w:hAnsi="宋体" w:eastAsia="宋体" w:cs="宋体"/>
                <w:b/>
                <w:color w:val="000000"/>
                <w:szCs w:val="21"/>
              </w:rPr>
              <w:t>40分</w:t>
            </w:r>
            <w:r>
              <w:rPr>
                <w:rFonts w:hint="eastAsia" w:ascii="宋体" w:hAnsi="宋体" w:cs="宋体"/>
                <w:b/>
                <w:color w:val="000000"/>
                <w:szCs w:val="21"/>
                <w:lang w:eastAsia="zh-CN"/>
              </w:rPr>
              <w:t>）</w:t>
            </w:r>
          </w:p>
        </w:tc>
        <w:tc>
          <w:tcPr>
            <w:tcW w:w="5040" w:type="dxa"/>
            <w:shd w:val="clear" w:color="auto" w:fill="FFFFFF"/>
            <w:noWrap w:val="0"/>
            <w:vAlign w:val="top"/>
          </w:tcPr>
          <w:p w14:paraId="50DAD438">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6E1A9FFC">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BE3B190">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5A56521B">
            <w:pPr>
              <w:spacing w:line="320" w:lineRule="exact"/>
              <w:rPr>
                <w:rFonts w:hint="eastAsia" w:ascii="宋体" w:hAnsi="宋体" w:eastAsia="宋体" w:cs="宋体"/>
                <w:b/>
                <w:bCs/>
                <w:color w:val="000000"/>
                <w:szCs w:val="21"/>
              </w:rPr>
            </w:pPr>
          </w:p>
        </w:tc>
      </w:tr>
      <w:tr w14:paraId="16E8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5" w:hRule="atLeast"/>
        </w:trPr>
        <w:tc>
          <w:tcPr>
            <w:tcW w:w="1530" w:type="dxa"/>
            <w:vMerge w:val="continue"/>
            <w:shd w:val="clear" w:color="auto" w:fill="FFFFFF"/>
            <w:noWrap w:val="0"/>
            <w:vAlign w:val="top"/>
          </w:tcPr>
          <w:p w14:paraId="49979B94">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7B37C8C7">
            <w:pPr>
              <w:spacing w:line="320" w:lineRule="exact"/>
              <w:rPr>
                <w:rFonts w:hint="eastAsia" w:ascii="宋体" w:hAnsi="宋体" w:eastAsia="宋体" w:cs="宋体"/>
                <w:b/>
                <w:color w:val="000000"/>
                <w:szCs w:val="21"/>
              </w:rPr>
            </w:pPr>
          </w:p>
        </w:tc>
        <w:tc>
          <w:tcPr>
            <w:tcW w:w="3356" w:type="dxa"/>
            <w:shd w:val="clear" w:color="auto" w:fill="FFFFFF"/>
            <w:noWrap w:val="0"/>
            <w:vAlign w:val="center"/>
          </w:tcPr>
          <w:p w14:paraId="4A505124">
            <w:pPr>
              <w:spacing w:line="320" w:lineRule="exact"/>
              <w:rPr>
                <w:rFonts w:hint="eastAsia" w:ascii="宋体" w:hAnsi="宋体" w:eastAsia="宋体"/>
                <w:b/>
                <w:color w:val="000000"/>
              </w:rPr>
            </w:pPr>
            <w:r>
              <w:rPr>
                <w:rFonts w:hint="eastAsia" w:ascii="宋体" w:hAnsi="宋体" w:eastAsia="宋体"/>
                <w:b/>
                <w:color w:val="000000"/>
              </w:rPr>
              <w:t>6.1.2沟通与交流</w:t>
            </w:r>
            <w:r>
              <w:rPr>
                <w:rFonts w:hint="eastAsia" w:ascii="宋体" w:hAnsi="宋体"/>
                <w:b/>
                <w:color w:val="000000"/>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5040" w:type="dxa"/>
            <w:shd w:val="clear" w:color="auto" w:fill="FFFFFF"/>
            <w:noWrap w:val="0"/>
            <w:vAlign w:val="top"/>
          </w:tcPr>
          <w:p w14:paraId="04E75B2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0818FE27">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19606011">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7AE6394A">
            <w:pPr>
              <w:spacing w:line="320" w:lineRule="exact"/>
              <w:rPr>
                <w:rFonts w:hint="eastAsia" w:ascii="宋体" w:hAnsi="宋体" w:eastAsia="宋体" w:cs="宋体"/>
                <w:b/>
                <w:bCs/>
                <w:color w:val="000000"/>
                <w:szCs w:val="21"/>
              </w:rPr>
            </w:pPr>
          </w:p>
        </w:tc>
      </w:tr>
      <w:tr w14:paraId="15CC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9" w:hRule="atLeast"/>
        </w:trPr>
        <w:tc>
          <w:tcPr>
            <w:tcW w:w="1530" w:type="dxa"/>
            <w:vMerge w:val="continue"/>
            <w:shd w:val="clear" w:color="auto" w:fill="FFFFFF"/>
            <w:noWrap w:val="0"/>
            <w:vAlign w:val="top"/>
          </w:tcPr>
          <w:p w14:paraId="38B38F3F">
            <w:pPr>
              <w:spacing w:line="320" w:lineRule="exact"/>
              <w:jc w:val="center"/>
              <w:rPr>
                <w:rFonts w:hint="eastAsia" w:ascii="宋体" w:hAnsi="宋体" w:eastAsia="宋体" w:cs="宋体"/>
                <w:b/>
                <w:bCs/>
                <w:color w:val="000000"/>
                <w:szCs w:val="21"/>
              </w:rPr>
            </w:pPr>
          </w:p>
        </w:tc>
        <w:tc>
          <w:tcPr>
            <w:tcW w:w="2833" w:type="dxa"/>
            <w:vMerge w:val="continue"/>
            <w:shd w:val="clear" w:color="auto" w:fill="FFFFFF"/>
            <w:noWrap w:val="0"/>
            <w:vAlign w:val="center"/>
          </w:tcPr>
          <w:p w14:paraId="5521A612">
            <w:pPr>
              <w:spacing w:line="320" w:lineRule="exact"/>
              <w:rPr>
                <w:rFonts w:hint="eastAsia" w:ascii="宋体" w:hAnsi="宋体" w:eastAsia="宋体" w:cs="宋体"/>
                <w:b/>
                <w:color w:val="000000"/>
                <w:szCs w:val="21"/>
              </w:rPr>
            </w:pPr>
          </w:p>
        </w:tc>
        <w:tc>
          <w:tcPr>
            <w:tcW w:w="3356" w:type="dxa"/>
            <w:shd w:val="clear" w:color="auto" w:fill="FFFFFF"/>
            <w:noWrap w:val="0"/>
            <w:vAlign w:val="center"/>
          </w:tcPr>
          <w:p w14:paraId="7606E163">
            <w:pPr>
              <w:spacing w:line="320" w:lineRule="exact"/>
              <w:rPr>
                <w:rFonts w:hint="eastAsia" w:ascii="Times New Roman" w:hAnsi="Times New Roman" w:eastAsia="宋体"/>
                <w:color w:val="000000"/>
              </w:rPr>
            </w:pPr>
            <w:r>
              <w:rPr>
                <w:rFonts w:hint="eastAsia" w:ascii="宋体" w:hAnsi="宋体" w:eastAsia="宋体" w:cs="宋体"/>
                <w:b/>
                <w:color w:val="000000"/>
                <w:szCs w:val="21"/>
              </w:rPr>
              <w:t>6.1.3考核与奖惩</w:t>
            </w:r>
            <w:r>
              <w:rPr>
                <w:rFonts w:hint="eastAsia" w:ascii="宋体" w:hAnsi="宋体" w:cs="宋体"/>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5040" w:type="dxa"/>
            <w:shd w:val="clear" w:color="auto" w:fill="FFFFFF"/>
            <w:noWrap w:val="0"/>
            <w:vAlign w:val="top"/>
          </w:tcPr>
          <w:p w14:paraId="65001A90">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7FEF48F">
            <w:pPr>
              <w:spacing w:line="320" w:lineRule="exact"/>
              <w:rPr>
                <w:rFonts w:hint="eastAsia" w:ascii="宋体" w:hAnsi="宋体" w:eastAsia="宋体" w:cs="宋体"/>
                <w:b/>
                <w:bCs/>
                <w:color w:val="000000"/>
                <w:szCs w:val="21"/>
              </w:rPr>
            </w:pPr>
          </w:p>
        </w:tc>
        <w:tc>
          <w:tcPr>
            <w:tcW w:w="735" w:type="dxa"/>
            <w:shd w:val="clear" w:color="auto" w:fill="FFFFFF"/>
            <w:noWrap w:val="0"/>
            <w:vAlign w:val="top"/>
          </w:tcPr>
          <w:p w14:paraId="48B1265E">
            <w:pPr>
              <w:spacing w:line="320" w:lineRule="exact"/>
              <w:rPr>
                <w:rFonts w:hint="eastAsia" w:ascii="宋体" w:hAnsi="宋体" w:eastAsia="宋体" w:cs="宋体"/>
                <w:b/>
                <w:bCs/>
                <w:color w:val="000000"/>
                <w:szCs w:val="21"/>
              </w:rPr>
            </w:pPr>
          </w:p>
        </w:tc>
        <w:tc>
          <w:tcPr>
            <w:tcW w:w="699" w:type="dxa"/>
            <w:shd w:val="clear" w:color="auto" w:fill="FFFFFF"/>
            <w:noWrap w:val="0"/>
            <w:vAlign w:val="top"/>
          </w:tcPr>
          <w:p w14:paraId="094B8247">
            <w:pPr>
              <w:spacing w:line="320" w:lineRule="exact"/>
              <w:rPr>
                <w:rFonts w:hint="eastAsia" w:ascii="宋体" w:hAnsi="宋体" w:eastAsia="宋体" w:cs="宋体"/>
                <w:b/>
                <w:bCs/>
                <w:color w:val="000000"/>
                <w:szCs w:val="21"/>
              </w:rPr>
            </w:pPr>
          </w:p>
        </w:tc>
      </w:tr>
      <w:tr w14:paraId="4CB5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30" w:type="dxa"/>
            <w:vMerge w:val="continue"/>
            <w:noWrap w:val="0"/>
            <w:vAlign w:val="top"/>
          </w:tcPr>
          <w:p w14:paraId="16113F1E">
            <w:pPr>
              <w:spacing w:line="320" w:lineRule="exact"/>
              <w:jc w:val="center"/>
              <w:rPr>
                <w:rFonts w:hint="eastAsia" w:ascii="宋体" w:hAnsi="宋体" w:eastAsia="宋体" w:cs="宋体"/>
                <w:b/>
                <w:bCs/>
                <w:color w:val="000000"/>
                <w:szCs w:val="21"/>
              </w:rPr>
            </w:pPr>
          </w:p>
        </w:tc>
        <w:tc>
          <w:tcPr>
            <w:tcW w:w="2833" w:type="dxa"/>
            <w:vMerge w:val="continue"/>
            <w:noWrap w:val="0"/>
            <w:vAlign w:val="center"/>
          </w:tcPr>
          <w:p w14:paraId="1C2F43E1">
            <w:pPr>
              <w:spacing w:line="320" w:lineRule="exact"/>
              <w:rPr>
                <w:rFonts w:hint="eastAsia" w:ascii="宋体" w:hAnsi="宋体" w:eastAsia="宋体" w:cs="宋体"/>
                <w:b/>
                <w:color w:val="000000"/>
                <w:szCs w:val="21"/>
              </w:rPr>
            </w:pPr>
          </w:p>
        </w:tc>
        <w:tc>
          <w:tcPr>
            <w:tcW w:w="3356" w:type="dxa"/>
            <w:noWrap w:val="0"/>
            <w:vAlign w:val="center"/>
          </w:tcPr>
          <w:p w14:paraId="7B88E9C6">
            <w:pPr>
              <w:spacing w:line="320" w:lineRule="exact"/>
              <w:rPr>
                <w:rFonts w:hint="eastAsia" w:ascii="宋体" w:hAnsi="宋体" w:eastAsia="宋体" w:cs="宋体"/>
                <w:b/>
                <w:color w:val="000000"/>
                <w:szCs w:val="21"/>
              </w:rPr>
            </w:pPr>
            <w:r>
              <w:rPr>
                <w:rFonts w:hint="eastAsia" w:ascii="宋体" w:hAnsi="宋体" w:eastAsia="宋体"/>
                <w:b/>
                <w:color w:val="000000"/>
              </w:rPr>
              <w:t>6.1.4</w:t>
            </w:r>
            <w:r>
              <w:rPr>
                <w:rFonts w:ascii="Times New Roman" w:hAnsi="Times New Roman" w:eastAsia="宋体"/>
                <w:b/>
                <w:color w:val="000000"/>
                <w:szCs w:val="21"/>
              </w:rPr>
              <w:t>本地区要求</w:t>
            </w:r>
            <w:r>
              <w:rPr>
                <w:rFonts w:hint="eastAsia" w:ascii="Times New Roman" w:hAnsi="Times New Roman"/>
                <w:b/>
                <w:color w:val="000000"/>
                <w:szCs w:val="21"/>
                <w:lang w:eastAsia="zh-CN"/>
              </w:rPr>
              <w:t>（</w:t>
            </w:r>
            <w:r>
              <w:rPr>
                <w:rFonts w:hint="eastAsia" w:ascii="宋体" w:hAnsi="宋体" w:eastAsia="宋体" w:cs="宋体"/>
                <w:b/>
                <w:color w:val="000000"/>
                <w:szCs w:val="21"/>
              </w:rPr>
              <w:t>20分</w:t>
            </w:r>
            <w:r>
              <w:rPr>
                <w:rFonts w:hint="eastAsia" w:ascii="宋体" w:hAnsi="宋体" w:cs="宋体"/>
                <w:b/>
                <w:color w:val="000000"/>
                <w:szCs w:val="21"/>
                <w:lang w:eastAsia="zh-CN"/>
              </w:rPr>
              <w:t>）</w:t>
            </w:r>
          </w:p>
        </w:tc>
        <w:tc>
          <w:tcPr>
            <w:tcW w:w="5040" w:type="dxa"/>
            <w:noWrap w:val="0"/>
            <w:vAlign w:val="top"/>
          </w:tcPr>
          <w:p w14:paraId="59306FE9">
            <w:pPr>
              <w:spacing w:line="320" w:lineRule="exact"/>
              <w:rPr>
                <w:rFonts w:hint="eastAsia" w:ascii="宋体" w:hAnsi="宋体" w:eastAsia="宋体" w:cs="宋体"/>
                <w:bCs/>
                <w:color w:val="000000"/>
                <w:kern w:val="0"/>
                <w:szCs w:val="21"/>
              </w:rPr>
            </w:pPr>
          </w:p>
        </w:tc>
        <w:tc>
          <w:tcPr>
            <w:tcW w:w="735" w:type="dxa"/>
            <w:noWrap w:val="0"/>
            <w:vAlign w:val="top"/>
          </w:tcPr>
          <w:p w14:paraId="5120E038">
            <w:pPr>
              <w:spacing w:line="320" w:lineRule="exact"/>
              <w:rPr>
                <w:rFonts w:hint="eastAsia" w:ascii="宋体" w:hAnsi="宋体" w:eastAsia="宋体" w:cs="宋体"/>
                <w:bCs/>
                <w:color w:val="000000"/>
                <w:szCs w:val="21"/>
              </w:rPr>
            </w:pPr>
          </w:p>
        </w:tc>
        <w:tc>
          <w:tcPr>
            <w:tcW w:w="735" w:type="dxa"/>
            <w:noWrap w:val="0"/>
            <w:vAlign w:val="top"/>
          </w:tcPr>
          <w:p w14:paraId="1F39BAC4">
            <w:pPr>
              <w:spacing w:line="320" w:lineRule="exact"/>
              <w:rPr>
                <w:rFonts w:hint="eastAsia" w:ascii="宋体" w:hAnsi="宋体" w:eastAsia="宋体" w:cs="宋体"/>
                <w:bCs/>
                <w:color w:val="000000"/>
                <w:szCs w:val="21"/>
              </w:rPr>
            </w:pPr>
          </w:p>
        </w:tc>
        <w:tc>
          <w:tcPr>
            <w:tcW w:w="699" w:type="dxa"/>
            <w:noWrap w:val="0"/>
            <w:vAlign w:val="top"/>
          </w:tcPr>
          <w:p w14:paraId="211B406D">
            <w:pPr>
              <w:spacing w:line="320" w:lineRule="exact"/>
              <w:rPr>
                <w:rFonts w:hint="eastAsia" w:ascii="宋体" w:hAnsi="宋体" w:eastAsia="宋体" w:cs="宋体"/>
                <w:bCs/>
                <w:color w:val="000000"/>
                <w:szCs w:val="21"/>
              </w:rPr>
            </w:pPr>
          </w:p>
        </w:tc>
      </w:tr>
      <w:tr w14:paraId="3602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530" w:type="dxa"/>
            <w:noWrap w:val="0"/>
            <w:vAlign w:val="center"/>
          </w:tcPr>
          <w:p w14:paraId="24E0246B">
            <w:pPr>
              <w:widowControl w:val="0"/>
              <w:spacing w:line="360" w:lineRule="auto"/>
              <w:ind w:firstLine="0" w:firstLineChars="0"/>
              <w:jc w:val="center"/>
              <w:rPr>
                <w:rFonts w:hint="eastAsia"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说  明</w:t>
            </w:r>
          </w:p>
        </w:tc>
        <w:tc>
          <w:tcPr>
            <w:tcW w:w="13398" w:type="dxa"/>
            <w:gridSpan w:val="6"/>
            <w:noWrap w:val="0"/>
            <w:vAlign w:val="center"/>
          </w:tcPr>
          <w:p w14:paraId="0D2CB5C9">
            <w:pPr>
              <w:spacing w:line="400" w:lineRule="exact"/>
              <w:ind w:firstLine="482" w:firstLineChars="200"/>
              <w:rPr>
                <w:rFonts w:hint="eastAsia" w:ascii="宋体" w:hAnsi="宋体" w:eastAsia="宋体" w:cs="宋体"/>
                <w:b/>
                <w:bCs/>
                <w:color w:val="000000"/>
                <w:szCs w:val="21"/>
              </w:rPr>
            </w:pPr>
            <w:r>
              <w:rPr>
                <w:rFonts w:hint="eastAsia" w:ascii="宋体" w:hAnsi="宋体" w:eastAsia="宋体" w:cs="宋体"/>
                <w:b/>
                <w:bCs/>
                <w:color w:val="000000"/>
                <w:sz w:val="24"/>
              </w:rPr>
              <w:t>本标准总计1000分，共设置A级要素6项、B级要素14项、C级要素36项；共设置A级要素否决项3个、B级要素否决项4个、C级要素否决项7个，总否决项2个（安全相关行政许可未通过、标准化建设非企业自主评定）</w:t>
            </w:r>
            <w:r>
              <w:rPr>
                <w:rFonts w:hint="eastAsia" w:ascii="宋体" w:hAnsi="宋体" w:eastAsia="宋体" w:cs="宋体"/>
                <w:b/>
                <w:bCs/>
                <w:color w:val="000000"/>
                <w:sz w:val="28"/>
                <w:szCs w:val="28"/>
              </w:rPr>
              <w:t>。</w:t>
            </w:r>
          </w:p>
        </w:tc>
      </w:tr>
    </w:tbl>
    <w:p w14:paraId="27A680FA">
      <w:pPr>
        <w:widowControl w:val="0"/>
        <w:spacing w:line="360" w:lineRule="auto"/>
        <w:ind w:firstLine="480" w:firstLineChars="200"/>
        <w:jc w:val="both"/>
        <w:rPr>
          <w:rFonts w:hint="eastAsia" w:ascii="Times New Roman" w:hAnsi="Times New Roman" w:eastAsia="宋体" w:cs="Times New Roman"/>
          <w:color w:val="000000"/>
          <w:kern w:val="2"/>
          <w:sz w:val="24"/>
          <w:szCs w:val="24"/>
          <w:lang w:val="en-US" w:eastAsia="zh-CN" w:bidi="ar-SA"/>
        </w:rPr>
      </w:pPr>
    </w:p>
    <w:p w14:paraId="1D7D4536"/>
    <w:p w14:paraId="4F3F208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3643">
    <w:pPr>
      <w:widowControl w:val="0"/>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981316">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981316">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882D">
    <w:pPr>
      <w:framePr w:wrap="around" w:vAnchor="text" w:hAnchor="margin" w:xAlign="center" w:y="1"/>
      <w:widowControl w:val="0"/>
      <w:snapToGrid w:val="0"/>
      <w:jc w:val="left"/>
      <w:rPr>
        <w:rStyle w:val="8"/>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Style w:val="8"/>
        <w:rFonts w:ascii="Times New Roman" w:hAnsi="Times New Roman"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14:paraId="48C4BFE1">
    <w:pPr>
      <w:widowControl w:val="0"/>
      <w:snapToGrid w:val="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6848B"/>
    <w:multiLevelType w:val="singleLevel"/>
    <w:tmpl w:val="6346848B"/>
    <w:lvl w:ilvl="0" w:tentative="0">
      <w:start w:val="1"/>
      <w:numFmt w:val="decimal"/>
      <w:suff w:val="nothing"/>
      <w:lvlText w:val="%1."/>
      <w:lvlJc w:val="left"/>
    </w:lvl>
  </w:abstractNum>
  <w:abstractNum w:abstractNumId="1">
    <w:nsid w:val="63477407"/>
    <w:multiLevelType w:val="singleLevel"/>
    <w:tmpl w:val="6347740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8728D"/>
    <w:rsid w:val="2C78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rPr>
  </w:style>
  <w:style w:type="paragraph" w:styleId="4">
    <w:name w:val="Normal Indent"/>
    <w:basedOn w:val="1"/>
    <w:next w:val="1"/>
    <w:qFormat/>
    <w:uiPriority w:val="0"/>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qFormat/>
    <w:uiPriority w:val="0"/>
  </w:style>
  <w:style w:type="paragraph" w:customStyle="1" w:styleId="9">
    <w:name w:val="Body text|1"/>
    <w:qFormat/>
    <w:uiPriority w:val="0"/>
    <w:pPr>
      <w:widowControl w:val="0"/>
      <w:shd w:val="clear" w:color="auto" w:fill="auto"/>
      <w:spacing w:after="100" w:line="334" w:lineRule="exact"/>
      <w:ind w:firstLine="220"/>
      <w:jc w:val="both"/>
    </w:pPr>
    <w:rPr>
      <w:rFonts w:ascii="宋体" w:hAnsi="宋体" w:eastAsia="宋体" w:cs="宋体"/>
      <w:kern w:val="2"/>
      <w:sz w:val="20"/>
      <w:szCs w:val="20"/>
      <w:u w:val="none"/>
      <w:shd w:val="clear" w:color="auto" w:fill="auto"/>
      <w:lang w:val="zh-TW" w:eastAsia="zh-TW" w:bidi="zh-TW"/>
    </w:rPr>
  </w:style>
  <w:style w:type="paragraph" w:customStyle="1" w:styleId="10">
    <w:name w:val="Table Paragraph"/>
    <w:qFormat/>
    <w:uiPriority w:val="1"/>
    <w:pPr>
      <w:widowControl w:val="0"/>
      <w:jc w:val="both"/>
    </w:pPr>
    <w:rPr>
      <w:rFonts w:ascii="宋体" w:hAnsi="宋体" w:eastAsia="宋体" w:cs="宋体"/>
      <w:kern w:val="2"/>
      <w:sz w:val="21"/>
      <w:szCs w:val="24"/>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2025-03-05T01:00:00Z</dcterms:created>
  <dc:creator>雷</dc:creator>
  <cp:lastModifiedBy>雷</cp:lastModifiedBy>
  <dcterms:modified xsi:type="dcterms:W3CDTF">2025-03-05T01:01:08Z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39262DCA3F2D45578057106BDB30C771_11</vt:lpwstr>
  </property>
  <property fmtid="{D5CDD505-2E9C-101B-9397-08002B2CF9AE}" pid="4" name="KSOTemplateDocerSaveRecord">
    <vt:lpwstr>eyJoZGlkIjoiNDExMGY0NWYyNTY3ZWI3ZTg0NTIxYTMzM2RmMWM2YmUiLCJ1c2VySWQiOiIzMjM0NTMyNDgifQ==</vt:lpwstr>
  </property>
</Properties>
</file>