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D55BD">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hint="default" w:ascii="黑体" w:hAnsi="黑体" w:eastAsia="黑体" w:cs="黑体"/>
          <w:color w:val="000000"/>
          <w:kern w:val="2"/>
          <w:sz w:val="32"/>
          <w:szCs w:val="32"/>
          <w:highlight w:val="none"/>
          <w:lang w:val="en-US" w:eastAsia="zh-CN" w:bidi="ar-SA"/>
        </w:rPr>
      </w:pPr>
      <w:bookmarkStart w:id="0" w:name="_GoBack"/>
      <w:bookmarkEnd w:id="0"/>
      <w:r>
        <w:rPr>
          <w:rFonts w:hint="eastAsia" w:ascii="黑体" w:hAnsi="黑体" w:eastAsia="黑体" w:cs="黑体"/>
          <w:color w:val="000000"/>
          <w:kern w:val="2"/>
          <w:sz w:val="32"/>
          <w:szCs w:val="32"/>
          <w:highlight w:val="none"/>
          <w:lang w:val="en-US" w:eastAsia="zh-CN" w:bidi="ar-SA"/>
        </w:rPr>
        <w:t>附件3</w:t>
      </w:r>
    </w:p>
    <w:p w14:paraId="3121AF2D">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hint="eastAsia" w:ascii="方正小标宋简体" w:hAnsi="方正小标宋简体" w:eastAsia="方正小标宋简体" w:cs="方正小标宋简体"/>
          <w:color w:val="000000"/>
          <w:kern w:val="2"/>
          <w:sz w:val="44"/>
          <w:szCs w:val="44"/>
          <w:highlight w:val="none"/>
          <w:lang w:val="en-US" w:eastAsia="zh-CN" w:bidi="ar-SA"/>
        </w:rPr>
        <w:t>经开区特色文化展馆评分细则</w:t>
      </w:r>
    </w:p>
    <w:p w14:paraId="29D78FDE">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color w:val="000000"/>
          <w:kern w:val="2"/>
          <w:sz w:val="44"/>
          <w:szCs w:val="44"/>
          <w:highlight w:val="none"/>
          <w:lang w:val="en-US" w:eastAsia="zh-CN" w:bidi="ar-S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351"/>
        <w:gridCol w:w="2624"/>
        <w:gridCol w:w="2145"/>
        <w:gridCol w:w="915"/>
        <w:gridCol w:w="5797"/>
      </w:tblGrid>
      <w:tr w14:paraId="337C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Pr>
          <w:p w14:paraId="1FD50A0F">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黑体" w:hAnsi="黑体" w:eastAsia="黑体" w:cs="黑体"/>
                <w:color w:val="000000"/>
                <w:kern w:val="2"/>
                <w:sz w:val="32"/>
                <w:szCs w:val="32"/>
                <w:highlight w:val="none"/>
                <w:vertAlign w:val="baseline"/>
                <w:lang w:val="en-US" w:eastAsia="zh-CN" w:bidi="ar-SA"/>
              </w:rPr>
            </w:pPr>
            <w:r>
              <w:rPr>
                <w:rFonts w:hint="eastAsia" w:ascii="黑体" w:hAnsi="黑体" w:eastAsia="黑体" w:cs="黑体"/>
                <w:color w:val="000000"/>
                <w:kern w:val="2"/>
                <w:sz w:val="32"/>
                <w:szCs w:val="32"/>
                <w:highlight w:val="none"/>
                <w:vertAlign w:val="baseline"/>
                <w:lang w:val="en-US" w:eastAsia="zh-CN" w:bidi="ar-SA"/>
              </w:rPr>
              <w:t>标号</w:t>
            </w:r>
          </w:p>
        </w:tc>
        <w:tc>
          <w:tcPr>
            <w:tcW w:w="1351" w:type="dxa"/>
          </w:tcPr>
          <w:p w14:paraId="2C87E8D6">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黑体" w:hAnsi="黑体" w:eastAsia="黑体" w:cs="黑体"/>
                <w:color w:val="000000"/>
                <w:kern w:val="2"/>
                <w:sz w:val="32"/>
                <w:szCs w:val="32"/>
                <w:highlight w:val="none"/>
                <w:vertAlign w:val="baseline"/>
                <w:lang w:val="en-US" w:eastAsia="zh-CN" w:bidi="ar-SA"/>
              </w:rPr>
            </w:pPr>
            <w:r>
              <w:rPr>
                <w:rFonts w:hint="eastAsia" w:ascii="黑体" w:hAnsi="黑体" w:eastAsia="黑体" w:cs="黑体"/>
                <w:color w:val="000000"/>
                <w:kern w:val="2"/>
                <w:sz w:val="32"/>
                <w:szCs w:val="32"/>
                <w:highlight w:val="none"/>
                <w:vertAlign w:val="baseline"/>
                <w:lang w:val="en-US" w:eastAsia="zh-CN" w:bidi="ar-SA"/>
              </w:rPr>
              <w:t>项目</w:t>
            </w:r>
          </w:p>
        </w:tc>
        <w:tc>
          <w:tcPr>
            <w:tcW w:w="2624" w:type="dxa"/>
          </w:tcPr>
          <w:p w14:paraId="3D48F208">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黑体" w:hAnsi="黑体" w:eastAsia="黑体" w:cs="黑体"/>
                <w:color w:val="000000"/>
                <w:kern w:val="2"/>
                <w:sz w:val="32"/>
                <w:szCs w:val="32"/>
                <w:highlight w:val="none"/>
                <w:vertAlign w:val="baseline"/>
                <w:lang w:val="en-US" w:eastAsia="zh-CN" w:bidi="ar-SA"/>
              </w:rPr>
            </w:pPr>
            <w:r>
              <w:rPr>
                <w:rFonts w:hint="eastAsia" w:ascii="黑体" w:hAnsi="黑体" w:eastAsia="黑体" w:cs="黑体"/>
                <w:color w:val="000000"/>
                <w:kern w:val="2"/>
                <w:sz w:val="32"/>
                <w:szCs w:val="32"/>
                <w:highlight w:val="none"/>
                <w:vertAlign w:val="baseline"/>
                <w:lang w:val="en-US" w:eastAsia="zh-CN" w:bidi="ar-SA"/>
              </w:rPr>
              <w:t>标准</w:t>
            </w:r>
          </w:p>
        </w:tc>
        <w:tc>
          <w:tcPr>
            <w:tcW w:w="2145" w:type="dxa"/>
          </w:tcPr>
          <w:p w14:paraId="56B6D53A">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黑体" w:hAnsi="黑体" w:eastAsia="黑体" w:cs="黑体"/>
                <w:color w:val="000000"/>
                <w:kern w:val="2"/>
                <w:sz w:val="32"/>
                <w:szCs w:val="32"/>
                <w:highlight w:val="none"/>
                <w:vertAlign w:val="baseline"/>
                <w:lang w:val="en-US" w:eastAsia="zh-CN" w:bidi="ar-SA"/>
              </w:rPr>
            </w:pPr>
            <w:r>
              <w:rPr>
                <w:rFonts w:hint="eastAsia" w:ascii="黑体" w:hAnsi="黑体" w:eastAsia="黑体" w:cs="黑体"/>
                <w:color w:val="000000"/>
                <w:kern w:val="2"/>
                <w:sz w:val="32"/>
                <w:szCs w:val="32"/>
                <w:highlight w:val="none"/>
                <w:vertAlign w:val="baseline"/>
                <w:lang w:val="en-US" w:eastAsia="zh-CN" w:bidi="ar-SA"/>
              </w:rPr>
              <w:t>说明</w:t>
            </w:r>
          </w:p>
        </w:tc>
        <w:tc>
          <w:tcPr>
            <w:tcW w:w="915" w:type="dxa"/>
          </w:tcPr>
          <w:p w14:paraId="04E317AE">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黑体" w:hAnsi="黑体" w:eastAsia="黑体" w:cs="黑体"/>
                <w:color w:val="000000"/>
                <w:kern w:val="2"/>
                <w:sz w:val="32"/>
                <w:szCs w:val="32"/>
                <w:highlight w:val="none"/>
                <w:vertAlign w:val="baseline"/>
                <w:lang w:val="en-US" w:eastAsia="zh-CN" w:bidi="ar-SA"/>
              </w:rPr>
            </w:pPr>
            <w:r>
              <w:rPr>
                <w:rFonts w:hint="eastAsia" w:ascii="黑体" w:hAnsi="黑体" w:eastAsia="黑体" w:cs="黑体"/>
                <w:color w:val="000000"/>
                <w:kern w:val="2"/>
                <w:sz w:val="32"/>
                <w:szCs w:val="32"/>
                <w:highlight w:val="none"/>
                <w:vertAlign w:val="baseline"/>
                <w:lang w:val="en-US" w:eastAsia="zh-CN" w:bidi="ar-SA"/>
              </w:rPr>
              <w:t>分值</w:t>
            </w:r>
          </w:p>
        </w:tc>
        <w:tc>
          <w:tcPr>
            <w:tcW w:w="5797" w:type="dxa"/>
          </w:tcPr>
          <w:p w14:paraId="318D6BC6">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黑体" w:hAnsi="黑体" w:eastAsia="黑体" w:cs="黑体"/>
                <w:color w:val="000000"/>
                <w:kern w:val="2"/>
                <w:sz w:val="32"/>
                <w:szCs w:val="32"/>
                <w:highlight w:val="none"/>
                <w:vertAlign w:val="baseline"/>
                <w:lang w:val="en-US" w:eastAsia="zh-CN" w:bidi="ar-SA"/>
              </w:rPr>
            </w:pPr>
            <w:r>
              <w:rPr>
                <w:rFonts w:hint="eastAsia" w:ascii="黑体" w:hAnsi="黑体" w:eastAsia="黑体" w:cs="黑体"/>
                <w:color w:val="000000"/>
                <w:kern w:val="2"/>
                <w:sz w:val="32"/>
                <w:szCs w:val="32"/>
                <w:highlight w:val="none"/>
                <w:vertAlign w:val="baseline"/>
                <w:lang w:val="en-US" w:eastAsia="zh-CN" w:bidi="ar-SA"/>
              </w:rPr>
              <w:t>评估细则</w:t>
            </w:r>
          </w:p>
        </w:tc>
      </w:tr>
      <w:tr w14:paraId="5B88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Pr>
          <w:p w14:paraId="43743D92">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color w:val="000000"/>
                <w:kern w:val="2"/>
                <w:sz w:val="28"/>
                <w:szCs w:val="28"/>
                <w:highlight w:val="none"/>
                <w:vertAlign w:val="baseline"/>
                <w:lang w:val="en-US" w:eastAsia="zh-CN" w:bidi="ar-SA"/>
              </w:rPr>
              <w:t>1</w:t>
            </w:r>
          </w:p>
        </w:tc>
        <w:tc>
          <w:tcPr>
            <w:tcW w:w="1351" w:type="dxa"/>
          </w:tcPr>
          <w:p w14:paraId="3E7156E4">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color w:val="000000"/>
                <w:kern w:val="2"/>
                <w:sz w:val="28"/>
                <w:szCs w:val="28"/>
                <w:highlight w:val="none"/>
                <w:vertAlign w:val="baseline"/>
                <w:lang w:val="en-US" w:eastAsia="zh-CN" w:bidi="ar-SA"/>
              </w:rPr>
              <w:t>馆舍建筑面积（平方米）及</w:t>
            </w:r>
            <w:r>
              <w:rPr>
                <w:rFonts w:hint="eastAsia" w:ascii="仿宋_GB2312" w:hAnsi="仿宋_GB2312" w:eastAsia="仿宋_GB2312" w:cs="仿宋_GB2312"/>
                <w:color w:val="auto"/>
                <w:kern w:val="2"/>
                <w:sz w:val="28"/>
                <w:szCs w:val="28"/>
                <w:highlight w:val="none"/>
                <w:lang w:val="en-US" w:eastAsia="zh-CN" w:bidi="ar-SA"/>
              </w:rPr>
              <w:t>非遗展品数量</w:t>
            </w:r>
          </w:p>
        </w:tc>
        <w:tc>
          <w:tcPr>
            <w:tcW w:w="2624" w:type="dxa"/>
          </w:tcPr>
          <w:p w14:paraId="65D431AD">
            <w:pPr>
              <w:keepNext w:val="0"/>
              <w:keepLines w:val="0"/>
              <w:pageBreakBefore w:val="0"/>
              <w:widowControl w:val="0"/>
              <w:tabs>
                <w:tab w:val="center" w:pos="666"/>
              </w:tabs>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面积在1000平方米以上，</w:t>
            </w:r>
            <w:r>
              <w:rPr>
                <w:rFonts w:hint="eastAsia" w:ascii="仿宋_GB2312" w:hAnsi="仿宋_GB2312" w:eastAsia="仿宋_GB2312" w:cs="仿宋_GB2312"/>
                <w:color w:val="auto"/>
                <w:kern w:val="2"/>
                <w:sz w:val="28"/>
                <w:szCs w:val="28"/>
                <w:highlight w:val="none"/>
                <w:lang w:val="en-US" w:eastAsia="zh-CN" w:bidi="ar-SA"/>
              </w:rPr>
              <w:t>藏品数量不少于60件</w:t>
            </w:r>
          </w:p>
        </w:tc>
        <w:tc>
          <w:tcPr>
            <w:tcW w:w="2145" w:type="dxa"/>
          </w:tcPr>
          <w:p w14:paraId="4115068D">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面积达标或藏品数达标，得满分，面积每少100平米，扣2分，少藏品5件，扣2分。</w:t>
            </w:r>
          </w:p>
        </w:tc>
        <w:tc>
          <w:tcPr>
            <w:tcW w:w="915" w:type="dxa"/>
          </w:tcPr>
          <w:p w14:paraId="1356749D">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30</w:t>
            </w:r>
          </w:p>
        </w:tc>
        <w:tc>
          <w:tcPr>
            <w:tcW w:w="5797" w:type="dxa"/>
          </w:tcPr>
          <w:p w14:paraId="2BA19AC6">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馆舍建筑面积指实际使用的房屋建筑面积。要求提供相关的房产证明及建筑图纸，无法提供房产证明和建筑图纸的，须由当地政府房屋管理部门提供测绘证明，必要时可通过实地勘测加以认定。同时，需提供馆内所展示藏品的具体数量。</w:t>
            </w:r>
          </w:p>
        </w:tc>
      </w:tr>
      <w:tr w14:paraId="537E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997" w:type="dxa"/>
          </w:tcPr>
          <w:p w14:paraId="5E0C077F">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2</w:t>
            </w:r>
          </w:p>
        </w:tc>
        <w:tc>
          <w:tcPr>
            <w:tcW w:w="1351" w:type="dxa"/>
          </w:tcPr>
          <w:p w14:paraId="28F481B0">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免费开放（天）</w:t>
            </w:r>
          </w:p>
        </w:tc>
        <w:tc>
          <w:tcPr>
            <w:tcW w:w="2624" w:type="dxa"/>
          </w:tcPr>
          <w:p w14:paraId="16F01DA4">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每年开放时长不少于240天，每天开放不少于6小时</w:t>
            </w:r>
          </w:p>
        </w:tc>
        <w:tc>
          <w:tcPr>
            <w:tcW w:w="2145" w:type="dxa"/>
          </w:tcPr>
          <w:p w14:paraId="5AAABA11">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开放达到要求时长，得满分，开放时间不足200天扣5分。</w:t>
            </w:r>
          </w:p>
        </w:tc>
        <w:tc>
          <w:tcPr>
            <w:tcW w:w="915" w:type="dxa"/>
          </w:tcPr>
          <w:p w14:paraId="74FE9A1B">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10</w:t>
            </w:r>
          </w:p>
        </w:tc>
        <w:tc>
          <w:tcPr>
            <w:tcW w:w="5797" w:type="dxa"/>
          </w:tcPr>
          <w:p w14:paraId="4F6C1A12">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以本馆一年开馆的小时数为依据评分。开馆时间内必须有群众能参与的活动项目。需提供开馆时间以及执行情况的说明材料。</w:t>
            </w:r>
          </w:p>
        </w:tc>
      </w:tr>
      <w:tr w14:paraId="4F15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Pr>
          <w:p w14:paraId="500898DA">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3</w:t>
            </w:r>
          </w:p>
        </w:tc>
        <w:tc>
          <w:tcPr>
            <w:tcW w:w="1351" w:type="dxa"/>
          </w:tcPr>
          <w:p w14:paraId="03E9D96D">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组织各类文化活动</w:t>
            </w:r>
          </w:p>
        </w:tc>
        <w:tc>
          <w:tcPr>
            <w:tcW w:w="2624" w:type="dxa"/>
          </w:tcPr>
          <w:p w14:paraId="7CA51DC4">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每年经新乡经开区管委会批准组织开</w:t>
            </w:r>
            <w:r>
              <w:rPr>
                <w:rFonts w:hint="eastAsia" w:ascii="仿宋_GB2312" w:hAnsi="仿宋_GB2312" w:eastAsia="仿宋_GB2312" w:cs="仿宋_GB2312"/>
                <w:color w:val="000000"/>
                <w:kern w:val="2"/>
                <w:sz w:val="28"/>
                <w:szCs w:val="28"/>
                <w:highlight w:val="none"/>
                <w:lang w:val="en-US" w:eastAsia="zh-CN" w:bidi="ar-SA"/>
              </w:rPr>
              <w:t>展的公益性文化活动不少于2场。</w:t>
            </w:r>
          </w:p>
        </w:tc>
        <w:tc>
          <w:tcPr>
            <w:tcW w:w="2145" w:type="dxa"/>
          </w:tcPr>
          <w:p w14:paraId="5B120687">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活动未提前报备一次扣1分，每少一场活动扣4分。</w:t>
            </w:r>
          </w:p>
        </w:tc>
        <w:tc>
          <w:tcPr>
            <w:tcW w:w="915" w:type="dxa"/>
          </w:tcPr>
          <w:p w14:paraId="534E8578">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10</w:t>
            </w:r>
          </w:p>
        </w:tc>
        <w:tc>
          <w:tcPr>
            <w:tcW w:w="5797" w:type="dxa"/>
          </w:tcPr>
          <w:p w14:paraId="6A72B265">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包括进学校、进社区等开展文化教育活动及各类大型活动和展览。</w:t>
            </w:r>
            <w:r>
              <w:rPr>
                <w:rFonts w:hint="eastAsia" w:ascii="仿宋_GB2312" w:hAnsi="仿宋_GB2312" w:eastAsia="仿宋_GB2312" w:cs="仿宋_GB2312"/>
                <w:sz w:val="28"/>
                <w:szCs w:val="28"/>
                <w:highlight w:val="none"/>
                <w:lang w:val="en-US" w:eastAsia="zh-CN"/>
              </w:rPr>
              <w:t>需提供活动项目书、活动方案、活动总结和经费预算</w:t>
            </w:r>
          </w:p>
        </w:tc>
      </w:tr>
      <w:tr w14:paraId="2BA8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Pr>
          <w:p w14:paraId="04B056DD">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lang w:val="en-US" w:eastAsia="zh-CN"/>
              </w:rPr>
              <w:t>4</w:t>
            </w:r>
          </w:p>
        </w:tc>
        <w:tc>
          <w:tcPr>
            <w:tcW w:w="1351" w:type="dxa"/>
          </w:tcPr>
          <w:p w14:paraId="3E835730">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lang w:val="en-US" w:eastAsia="zh-CN"/>
              </w:rPr>
              <w:t>开展宣传推广活动</w:t>
            </w:r>
          </w:p>
        </w:tc>
        <w:tc>
          <w:tcPr>
            <w:tcW w:w="2624" w:type="dxa"/>
          </w:tcPr>
          <w:p w14:paraId="2054333C">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lang w:val="en-US" w:eastAsia="zh-CN"/>
              </w:rPr>
              <w:t>宣传作品中要明显突出带有经开区地域标志或靓丽符号的内容，每年不少于6条。</w:t>
            </w:r>
          </w:p>
        </w:tc>
        <w:tc>
          <w:tcPr>
            <w:tcW w:w="2145" w:type="dxa"/>
          </w:tcPr>
          <w:p w14:paraId="3785D612">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宣传作品少一条扣1分。</w:t>
            </w:r>
          </w:p>
        </w:tc>
        <w:tc>
          <w:tcPr>
            <w:tcW w:w="915" w:type="dxa"/>
          </w:tcPr>
          <w:p w14:paraId="745195C7">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w:t>
            </w:r>
          </w:p>
        </w:tc>
        <w:tc>
          <w:tcPr>
            <w:tcW w:w="5797" w:type="dxa"/>
          </w:tcPr>
          <w:p w14:paraId="58A8350A">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需提交活动宣传作品中明显突出带有经开区地域标志或靓丽符号的材料证明。</w:t>
            </w:r>
          </w:p>
          <w:p w14:paraId="45A59553">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p>
        </w:tc>
      </w:tr>
      <w:tr w14:paraId="1F44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Pr>
          <w:p w14:paraId="7AFFE7CB">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lang w:val="en-US" w:eastAsia="zh-CN"/>
              </w:rPr>
              <w:t>5</w:t>
            </w:r>
          </w:p>
        </w:tc>
        <w:tc>
          <w:tcPr>
            <w:tcW w:w="1351" w:type="dxa"/>
          </w:tcPr>
          <w:p w14:paraId="2DFF9D18">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sz w:val="32"/>
                <w:szCs w:val="32"/>
                <w:highlight w:val="none"/>
                <w:lang w:val="en-US" w:eastAsia="zh-CN"/>
              </w:rPr>
              <w:t>文化传承人培养补助</w:t>
            </w:r>
          </w:p>
        </w:tc>
        <w:tc>
          <w:tcPr>
            <w:tcW w:w="2624" w:type="dxa"/>
          </w:tcPr>
          <w:p w14:paraId="6CEA7060">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lang w:val="en-US" w:eastAsia="zh-CN"/>
              </w:rPr>
              <w:t>每年培养传承人不少于20人。</w:t>
            </w:r>
          </w:p>
        </w:tc>
        <w:tc>
          <w:tcPr>
            <w:tcW w:w="2145" w:type="dxa"/>
          </w:tcPr>
          <w:p w14:paraId="1013622A">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有计划、有步骤培养文化传承人，每少一人扣0.5分。</w:t>
            </w:r>
          </w:p>
        </w:tc>
        <w:tc>
          <w:tcPr>
            <w:tcW w:w="915" w:type="dxa"/>
          </w:tcPr>
          <w:p w14:paraId="55EAE003">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w:t>
            </w:r>
          </w:p>
        </w:tc>
        <w:tc>
          <w:tcPr>
            <w:tcW w:w="5797" w:type="dxa"/>
          </w:tcPr>
          <w:p w14:paraId="031B8B05">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需提供培训情况的相关材料（含教学计划、培训班参加人员登记册、</w:t>
            </w:r>
            <w:r>
              <w:rPr>
                <w:rFonts w:hint="eastAsia" w:ascii="仿宋_GB2312" w:hAnsi="仿宋_GB2312" w:eastAsia="仿宋_GB2312" w:cs="仿宋_GB2312"/>
                <w:color w:val="000000"/>
                <w:sz w:val="28"/>
                <w:szCs w:val="28"/>
                <w:highlight w:val="none"/>
                <w:lang w:val="en-US" w:eastAsia="zh-CN"/>
              </w:rPr>
              <w:t>课时证明</w:t>
            </w:r>
            <w:r>
              <w:rPr>
                <w:rFonts w:hint="eastAsia" w:ascii="仿宋_GB2312" w:hAnsi="仿宋_GB2312" w:eastAsia="仿宋_GB2312" w:cs="仿宋_GB2312"/>
                <w:sz w:val="28"/>
                <w:szCs w:val="28"/>
                <w:highlight w:val="none"/>
                <w:lang w:val="en-US" w:eastAsia="zh-CN"/>
              </w:rPr>
              <w:t>等）。</w:t>
            </w:r>
          </w:p>
        </w:tc>
      </w:tr>
      <w:tr w14:paraId="06C0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Pr>
          <w:p w14:paraId="4EE7B664">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lang w:val="en-US" w:eastAsia="zh-CN"/>
              </w:rPr>
              <w:t>6</w:t>
            </w:r>
          </w:p>
        </w:tc>
        <w:tc>
          <w:tcPr>
            <w:tcW w:w="1351" w:type="dxa"/>
          </w:tcPr>
          <w:p w14:paraId="5A775FC0">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32"/>
                <w:szCs w:val="32"/>
                <w:highlight w:val="none"/>
                <w:lang w:val="en-US" w:eastAsia="zh-CN"/>
              </w:rPr>
              <w:t>文化展馆为参观人员提供讲解服务</w:t>
            </w:r>
          </w:p>
        </w:tc>
        <w:tc>
          <w:tcPr>
            <w:tcW w:w="2624" w:type="dxa"/>
          </w:tcPr>
          <w:p w14:paraId="30C70F5A">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32"/>
                <w:szCs w:val="32"/>
                <w:highlight w:val="none"/>
                <w:lang w:val="en-US" w:eastAsia="zh-CN"/>
              </w:rPr>
              <w:t>文化展馆每年不少于为10000参观人员提供讲解服务</w:t>
            </w:r>
          </w:p>
        </w:tc>
        <w:tc>
          <w:tcPr>
            <w:tcW w:w="2145" w:type="dxa"/>
          </w:tcPr>
          <w:p w14:paraId="4B85C82F">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lang w:val="en-US" w:eastAsia="zh-CN"/>
              </w:rPr>
              <w:t>每少1000人次扣1分，扣完为止。</w:t>
            </w:r>
          </w:p>
        </w:tc>
        <w:tc>
          <w:tcPr>
            <w:tcW w:w="915" w:type="dxa"/>
          </w:tcPr>
          <w:p w14:paraId="28B92E5F">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kern w:val="0"/>
                <w:sz w:val="28"/>
                <w:szCs w:val="28"/>
                <w:highlight w:val="none"/>
                <w:lang w:val="en-US" w:eastAsia="zh-CN" w:bidi="ar-SA"/>
              </w:rPr>
              <w:t>10</w:t>
            </w:r>
          </w:p>
        </w:tc>
        <w:tc>
          <w:tcPr>
            <w:tcW w:w="5797" w:type="dxa"/>
          </w:tcPr>
          <w:p w14:paraId="00AF5B88">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lang w:val="en-US" w:eastAsia="zh-CN"/>
              </w:rPr>
              <w:t>需提供每次研学内容、照片及相关材料。</w:t>
            </w:r>
          </w:p>
        </w:tc>
      </w:tr>
      <w:tr w14:paraId="0984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Pr>
          <w:p w14:paraId="6B222D24">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w:t>
            </w:r>
          </w:p>
        </w:tc>
        <w:tc>
          <w:tcPr>
            <w:tcW w:w="1351" w:type="dxa"/>
          </w:tcPr>
          <w:p w14:paraId="11F5BC5C">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相符合的人员配备</w:t>
            </w:r>
          </w:p>
        </w:tc>
        <w:tc>
          <w:tcPr>
            <w:tcW w:w="2624" w:type="dxa"/>
          </w:tcPr>
          <w:p w14:paraId="66F9280E">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bidi="ar-SA"/>
              </w:rPr>
              <w:t>工作人员不应少于3人，其中专职人员不少于1人</w:t>
            </w:r>
          </w:p>
        </w:tc>
        <w:tc>
          <w:tcPr>
            <w:tcW w:w="2145" w:type="dxa"/>
          </w:tcPr>
          <w:p w14:paraId="003E802B">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bidi="ar-SA"/>
              </w:rPr>
              <w:t>要有相符合的专业技术和管理人员不应少于3人，其中专职人员不少于1人。没有专业队伍该项不得分。</w:t>
            </w:r>
          </w:p>
        </w:tc>
        <w:tc>
          <w:tcPr>
            <w:tcW w:w="915" w:type="dxa"/>
          </w:tcPr>
          <w:p w14:paraId="7DD4BB9C">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20</w:t>
            </w:r>
          </w:p>
        </w:tc>
        <w:tc>
          <w:tcPr>
            <w:tcW w:w="5797" w:type="dxa"/>
          </w:tcPr>
          <w:p w14:paraId="1ACDD6FE">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有相对应的资格证明。</w:t>
            </w:r>
          </w:p>
        </w:tc>
      </w:tr>
    </w:tbl>
    <w:p w14:paraId="66619D9D">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hint="eastAsia" w:ascii="方正小标宋简体" w:hAnsi="方正小标宋简体" w:eastAsia="方正小标宋简体" w:cs="方正小标宋简体"/>
          <w:color w:val="000000"/>
          <w:kern w:val="2"/>
          <w:sz w:val="44"/>
          <w:szCs w:val="44"/>
          <w:highlight w:val="none"/>
          <w:lang w:val="en-US" w:eastAsia="zh-CN" w:bidi="ar-SA"/>
        </w:rPr>
        <w:t>注：</w:t>
      </w:r>
    </w:p>
    <w:p w14:paraId="2477BAEB">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得分在90分以上，可或全额的奖补资金。80分至90分之间，得奖补资金的80%。60至80分之间，得奖补资金的60%，低于60分，不享受奖补资金。</w:t>
      </w:r>
    </w:p>
    <w:p w14:paraId="60E0A211">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default" w:ascii="方正小标宋简体" w:hAnsi="方正小标宋简体" w:eastAsia="方正小标宋简体" w:cs="方正小标宋简体"/>
          <w:color w:val="000000"/>
          <w:kern w:val="2"/>
          <w:sz w:val="44"/>
          <w:szCs w:val="44"/>
          <w:highlight w:val="none"/>
          <w:lang w:val="en-US" w:eastAsia="zh-CN" w:bidi="ar-SA"/>
        </w:rPr>
      </w:pPr>
    </w:p>
    <w:sectPr>
      <w:footerReference r:id="rId3" w:type="default"/>
      <w:pgSz w:w="16838" w:h="11906" w:orient="landscape"/>
      <w:pgMar w:top="1418" w:right="1701"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13B2B0-C1EA-4BDB-ADB1-D11C7FF069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5080B5C8-5325-460F-B52A-53975B91F1A5}"/>
  </w:font>
  <w:font w:name="方正小标宋简体">
    <w:panose1 w:val="03000509000000000000"/>
    <w:charset w:val="86"/>
    <w:family w:val="auto"/>
    <w:pitch w:val="default"/>
    <w:sig w:usb0="00000001" w:usb1="080E0000" w:usb2="00000000" w:usb3="00000000" w:csb0="00040000" w:csb1="00000000"/>
    <w:embedRegular r:id="rId3" w:fontKey="{FD3D75FE-54D5-4C6B-A068-A526CF87FDC6}"/>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4882">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C35F2">
                          <w:pPr>
                            <w:pStyle w:val="2"/>
                            <w:rPr>
                              <w:rStyle w:val="9"/>
                              <w:rFonts w:hint="eastAsia" w:ascii="仿宋_GB2312" w:hAnsi="仿宋_GB2312" w:eastAsia="仿宋_GB2312" w:cs="仿宋_GB2312"/>
                              <w:sz w:val="32"/>
                              <w:szCs w:val="32"/>
                            </w:rPr>
                          </w:pPr>
                          <w:r>
                            <w:rPr>
                              <w:rStyle w:val="9"/>
                              <w:rFonts w:hint="eastAsia" w:ascii="仿宋_GB2312" w:hAnsi="仿宋_GB2312" w:eastAsia="仿宋_GB2312" w:cs="仿宋_GB2312"/>
                              <w:sz w:val="32"/>
                              <w:szCs w:val="32"/>
                            </w:rPr>
                            <w:fldChar w:fldCharType="begin"/>
                          </w:r>
                          <w:r>
                            <w:rPr>
                              <w:rStyle w:val="9"/>
                              <w:rFonts w:hint="eastAsia" w:ascii="仿宋_GB2312" w:hAnsi="仿宋_GB2312" w:eastAsia="仿宋_GB2312" w:cs="仿宋_GB2312"/>
                              <w:sz w:val="32"/>
                              <w:szCs w:val="32"/>
                            </w:rPr>
                            <w:instrText xml:space="preserve">PAGE  </w:instrText>
                          </w:r>
                          <w:r>
                            <w:rPr>
                              <w:rStyle w:val="9"/>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sz w:val="32"/>
                              <w:szCs w:val="32"/>
                            </w:rPr>
                            <w:t>4</w:t>
                          </w:r>
                          <w:r>
                            <w:rPr>
                              <w:rStyle w:val="9"/>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AC35F2">
                    <w:pPr>
                      <w:pStyle w:val="2"/>
                      <w:rPr>
                        <w:rStyle w:val="9"/>
                        <w:rFonts w:hint="eastAsia" w:ascii="仿宋_GB2312" w:hAnsi="仿宋_GB2312" w:eastAsia="仿宋_GB2312" w:cs="仿宋_GB2312"/>
                        <w:sz w:val="32"/>
                        <w:szCs w:val="32"/>
                      </w:rPr>
                    </w:pPr>
                    <w:r>
                      <w:rPr>
                        <w:rStyle w:val="9"/>
                        <w:rFonts w:hint="eastAsia" w:ascii="仿宋_GB2312" w:hAnsi="仿宋_GB2312" w:eastAsia="仿宋_GB2312" w:cs="仿宋_GB2312"/>
                        <w:sz w:val="32"/>
                        <w:szCs w:val="32"/>
                      </w:rPr>
                      <w:fldChar w:fldCharType="begin"/>
                    </w:r>
                    <w:r>
                      <w:rPr>
                        <w:rStyle w:val="9"/>
                        <w:rFonts w:hint="eastAsia" w:ascii="仿宋_GB2312" w:hAnsi="仿宋_GB2312" w:eastAsia="仿宋_GB2312" w:cs="仿宋_GB2312"/>
                        <w:sz w:val="32"/>
                        <w:szCs w:val="32"/>
                      </w:rPr>
                      <w:instrText xml:space="preserve">PAGE  </w:instrText>
                    </w:r>
                    <w:r>
                      <w:rPr>
                        <w:rStyle w:val="9"/>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sz w:val="32"/>
                        <w:szCs w:val="32"/>
                      </w:rPr>
                      <w:t>4</w:t>
                    </w:r>
                    <w:r>
                      <w:rPr>
                        <w:rStyle w:val="9"/>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NGVmZjJmYjhiOTI2MTE4NTc0NmVkZGNmM2ZiN2QifQ=="/>
  </w:docVars>
  <w:rsids>
    <w:rsidRoot w:val="5EEE4A42"/>
    <w:rsid w:val="0270686F"/>
    <w:rsid w:val="06F93DC7"/>
    <w:rsid w:val="08EB6C4F"/>
    <w:rsid w:val="0A314B36"/>
    <w:rsid w:val="0A4E2A4C"/>
    <w:rsid w:val="0B3A4520"/>
    <w:rsid w:val="0B772A1C"/>
    <w:rsid w:val="0F930B42"/>
    <w:rsid w:val="133674D0"/>
    <w:rsid w:val="135E3D94"/>
    <w:rsid w:val="15A85EC8"/>
    <w:rsid w:val="18C1177B"/>
    <w:rsid w:val="1DA653E3"/>
    <w:rsid w:val="1EEA12FF"/>
    <w:rsid w:val="220313CF"/>
    <w:rsid w:val="22FF35CB"/>
    <w:rsid w:val="24706E95"/>
    <w:rsid w:val="25C74149"/>
    <w:rsid w:val="279A1B15"/>
    <w:rsid w:val="28D01566"/>
    <w:rsid w:val="2AB30BDE"/>
    <w:rsid w:val="2C7059CA"/>
    <w:rsid w:val="2F426527"/>
    <w:rsid w:val="2F4B5EB7"/>
    <w:rsid w:val="2FB32CCE"/>
    <w:rsid w:val="35A4398E"/>
    <w:rsid w:val="39AE1450"/>
    <w:rsid w:val="421F2EEA"/>
    <w:rsid w:val="43F1106F"/>
    <w:rsid w:val="446E31BA"/>
    <w:rsid w:val="4C39104D"/>
    <w:rsid w:val="4E674C4A"/>
    <w:rsid w:val="4EE5726A"/>
    <w:rsid w:val="500656EA"/>
    <w:rsid w:val="50506270"/>
    <w:rsid w:val="527E1C15"/>
    <w:rsid w:val="551D5432"/>
    <w:rsid w:val="56A95021"/>
    <w:rsid w:val="58767185"/>
    <w:rsid w:val="59914276"/>
    <w:rsid w:val="59E24AD2"/>
    <w:rsid w:val="5A6E2809"/>
    <w:rsid w:val="5E29581A"/>
    <w:rsid w:val="5EEE4A42"/>
    <w:rsid w:val="5FFF717F"/>
    <w:rsid w:val="60D153AB"/>
    <w:rsid w:val="620C093E"/>
    <w:rsid w:val="637109B2"/>
    <w:rsid w:val="66527E47"/>
    <w:rsid w:val="6683181F"/>
    <w:rsid w:val="67187211"/>
    <w:rsid w:val="6AE54D0C"/>
    <w:rsid w:val="6AF01018"/>
    <w:rsid w:val="6E0562D8"/>
    <w:rsid w:val="6E405E13"/>
    <w:rsid w:val="70213067"/>
    <w:rsid w:val="73DC038C"/>
    <w:rsid w:val="749C56C7"/>
    <w:rsid w:val="754E7067"/>
    <w:rsid w:val="7590044F"/>
    <w:rsid w:val="762A748E"/>
    <w:rsid w:val="7866421C"/>
    <w:rsid w:val="7C952974"/>
    <w:rsid w:val="7E286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0"/>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qFormat/>
    <w:uiPriority w:val="0"/>
    <w:pPr>
      <w:ind w:left="420" w:leftChars="200"/>
    </w:pPr>
    <w:rPr>
      <w:rFonts w:ascii="Calibri" w:hAnsi="Calibri"/>
      <w:sz w:val="21"/>
      <w:szCs w:val="24"/>
    </w:rPr>
  </w:style>
  <w:style w:type="paragraph" w:styleId="5">
    <w:name w:val="Normal (Web)"/>
    <w:basedOn w:val="1"/>
    <w:qFormat/>
    <w:uiPriority w:val="0"/>
    <w:pPr>
      <w:widowControl/>
      <w:adjustRightInd w:val="0"/>
      <w:snapToGrid w:val="0"/>
      <w:jc w:val="left"/>
    </w:pPr>
    <w:rPr>
      <w:rFonts w:ascii="Tahoma" w:hAnsi="Tahoma" w:eastAsia="微软雅黑"/>
      <w:kern w:val="0"/>
      <w:sz w:val="24"/>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rPr>
      <w:rFonts w:cs="Times New Roman"/>
    </w:rPr>
  </w:style>
  <w:style w:type="character" w:customStyle="1" w:styleId="10">
    <w:name w:val="font61"/>
    <w:basedOn w:val="8"/>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4451</Words>
  <Characters>4564</Characters>
  <Lines>0</Lines>
  <Paragraphs>0</Paragraphs>
  <TotalTime>23</TotalTime>
  <ScaleCrop>false</ScaleCrop>
  <LinksUpToDate>false</LinksUpToDate>
  <CharactersWithSpaces>4994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2024-08-14T04:40:00Z</dcterms:created>
  <dc:creator>WPS_281906090</dc:creator>
  <cp:lastModifiedBy>干哈</cp:lastModifiedBy>
  <cp:lastPrinted>2025-01-17T02:42:00Z</cp:lastPrinted>
  <dcterms:modified xsi:type="dcterms:W3CDTF">2025-04-30T10:18:07Z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76DD6034208640F18B9850E08A2633CE_13</vt:lpwstr>
  </property>
  <property fmtid="{D5CDD505-2E9C-101B-9397-08002B2CF9AE}" pid="4" name="KSOTemplateDocerSaveRecord">
    <vt:lpwstr>eyJoZGlkIjoiYTNjMzAyOGIyYjdhMGE1NWNmODc0MWNhYzMxZDQ3Y2EiLCJ1c2VySWQiOiIzMzQwMTg0MzAifQ==</vt:lpwstr>
  </property>
</Properties>
</file>