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both"/>
        <w:textAlignment w:val="auto"/>
        <w:outlineLvl w:val="9"/>
        <w:rPr>
          <w:rFonts w:hint="eastAsia" w:eastAsia="黑体"/>
          <w:sz w:val="28"/>
        </w:rPr>
      </w:pPr>
      <w:r>
        <w:rPr>
          <w:rFonts w:hint="eastAsia" w:ascii="黑体" w:eastAsia="黑体"/>
          <w:sz w:val="28"/>
        </w:rPr>
        <w:t>安阳市龙安区</w:t>
      </w:r>
      <w:r>
        <w:rPr>
          <w:rFonts w:hint="eastAsia" w:ascii="黑体" w:eastAsia="黑体"/>
          <w:sz w:val="28"/>
          <w:lang w:eastAsia="zh-CN"/>
        </w:rPr>
        <w:t>四</w:t>
      </w:r>
      <w:r>
        <w:rPr>
          <w:rFonts w:hint="eastAsia" w:eastAsia="黑体"/>
          <w:sz w:val="28"/>
        </w:rPr>
        <w:t>届人大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both"/>
        <w:textAlignment w:val="auto"/>
        <w:outlineLvl w:val="9"/>
        <w:rPr>
          <w:rFonts w:hint="eastAsia" w:eastAsia="黑体"/>
          <w:spacing w:val="-8"/>
          <w:sz w:val="28"/>
          <w:lang w:eastAsia="zh-CN"/>
        </w:rPr>
      </w:pPr>
      <w:r>
        <w:rPr>
          <w:rFonts w:hint="eastAsia" w:ascii="黑体" w:eastAsia="黑体"/>
          <w:spacing w:val="-9"/>
          <w:sz w:val="28"/>
          <w:lang w:eastAsia="zh-CN"/>
        </w:rPr>
        <w:t>六</w:t>
      </w:r>
      <w:r>
        <w:rPr>
          <w:rFonts w:hint="eastAsia" w:ascii="黑体" w:eastAsia="黑体"/>
          <w:spacing w:val="-9"/>
          <w:sz w:val="28"/>
          <w:lang w:val="en-US" w:eastAsia="zh-CN"/>
        </w:rPr>
        <w:t xml:space="preserve"> </w:t>
      </w:r>
      <w:r>
        <w:rPr>
          <w:rFonts w:hint="eastAsia" w:ascii="黑体" w:eastAsia="黑体"/>
          <w:spacing w:val="-9"/>
          <w:sz w:val="28"/>
        </w:rPr>
        <w:t>次</w:t>
      </w:r>
      <w:r>
        <w:rPr>
          <w:rFonts w:hint="eastAsia" w:ascii="黑体" w:eastAsia="黑体"/>
          <w:spacing w:val="-9"/>
          <w:sz w:val="28"/>
          <w:lang w:val="en-US" w:eastAsia="zh-CN"/>
        </w:rPr>
        <w:t xml:space="preserve"> </w:t>
      </w:r>
      <w:r>
        <w:rPr>
          <w:rFonts w:hint="eastAsia" w:ascii="黑体" w:eastAsia="黑体"/>
          <w:spacing w:val="-9"/>
          <w:sz w:val="28"/>
        </w:rPr>
        <w:t>会</w:t>
      </w:r>
      <w:r>
        <w:rPr>
          <w:rFonts w:hint="eastAsia" w:ascii="黑体" w:eastAsia="黑体"/>
          <w:spacing w:val="-9"/>
          <w:sz w:val="28"/>
          <w:lang w:val="en-US" w:eastAsia="zh-CN"/>
        </w:rPr>
        <w:t xml:space="preserve"> </w:t>
      </w:r>
      <w:r>
        <w:rPr>
          <w:rFonts w:hint="eastAsia" w:ascii="黑体" w:eastAsia="黑体"/>
          <w:spacing w:val="-9"/>
          <w:sz w:val="28"/>
        </w:rPr>
        <w:t>议</w:t>
      </w:r>
      <w:r>
        <w:rPr>
          <w:rFonts w:hint="eastAsia" w:ascii="黑体" w:eastAsia="黑体"/>
          <w:spacing w:val="-9"/>
          <w:sz w:val="28"/>
          <w:lang w:val="en-US" w:eastAsia="zh-CN"/>
        </w:rPr>
        <w:t xml:space="preserve"> </w:t>
      </w:r>
      <w:r>
        <w:rPr>
          <w:rFonts w:hint="eastAsia" w:ascii="黑体" w:eastAsia="黑体"/>
          <w:spacing w:val="-9"/>
          <w:sz w:val="28"/>
        </w:rPr>
        <w:t>文</w:t>
      </w:r>
      <w:r>
        <w:rPr>
          <w:rFonts w:hint="eastAsia" w:ascii="黑体" w:eastAsia="黑体"/>
          <w:spacing w:val="-9"/>
          <w:sz w:val="28"/>
          <w:lang w:val="en-US" w:eastAsia="zh-CN"/>
        </w:rPr>
        <w:t xml:space="preserve"> </w:t>
      </w:r>
      <w:r>
        <w:rPr>
          <w:rFonts w:hint="eastAsia" w:ascii="黑体" w:eastAsia="黑体"/>
          <w:spacing w:val="-9"/>
          <w:sz w:val="28"/>
        </w:rPr>
        <w:t>件</w:t>
      </w:r>
      <w:r>
        <w:rPr>
          <w:rFonts w:hint="eastAsia" w:ascii="黑体" w:eastAsia="黑体"/>
          <w:spacing w:val="-9"/>
          <w:sz w:val="28"/>
          <w:lang w:eastAsia="zh-CN"/>
        </w:rPr>
        <w:t>（</w:t>
      </w:r>
      <w:r>
        <w:rPr>
          <w:rFonts w:hint="eastAsia" w:ascii="黑体" w:eastAsia="黑体"/>
          <w:spacing w:val="-9"/>
          <w:sz w:val="28"/>
          <w:lang w:val="en-US" w:eastAsia="zh-CN"/>
        </w:rPr>
        <w:t>16</w:t>
      </w:r>
      <w:r>
        <w:rPr>
          <w:rFonts w:hint="eastAsia" w:ascii="黑体" w:eastAsia="黑体"/>
          <w:spacing w:val="-9"/>
          <w:sz w:val="28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both"/>
        <w:textAlignment w:val="auto"/>
        <w:outlineLvl w:val="9"/>
        <w:rPr>
          <w:rFonts w:hint="eastAsia" w:eastAsia="黑体"/>
          <w:spacing w:val="-8"/>
          <w:sz w:val="28"/>
        </w:rPr>
      </w:pPr>
    </w:p>
    <w:p>
      <w:pPr>
        <w:spacing w:line="560" w:lineRule="exact"/>
        <w:jc w:val="both"/>
        <w:rPr>
          <w:rFonts w:hint="eastAsia" w:ascii="黑体" w:hAnsi="黑体" w:eastAsia="黑体" w:cs="方正大标宋简体"/>
          <w:b/>
          <w:spacing w:val="-17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大标宋简体" w:hAnsi="方正大标宋简体" w:eastAsia="方正大标宋简体" w:cs="方正大标宋简体"/>
          <w:b w:val="0"/>
          <w:bCs w:val="0"/>
          <w:spacing w:val="-17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b w:val="0"/>
          <w:bCs w:val="0"/>
          <w:spacing w:val="-17"/>
          <w:sz w:val="44"/>
          <w:szCs w:val="44"/>
        </w:rPr>
        <w:t>关于安阳市龙安区</w:t>
      </w:r>
      <w:r>
        <w:rPr>
          <w:rFonts w:hint="eastAsia" w:ascii="方正大标宋简体" w:hAnsi="方正大标宋简体" w:eastAsia="方正大标宋简体" w:cs="方正大标宋简体"/>
          <w:b w:val="0"/>
          <w:bCs w:val="0"/>
          <w:spacing w:val="-17"/>
          <w:sz w:val="44"/>
          <w:szCs w:val="44"/>
          <w:lang w:val="en-US" w:eastAsia="zh-CN"/>
        </w:rPr>
        <w:t>2020</w:t>
      </w:r>
      <w:bookmarkStart w:id="0" w:name="_GoBack"/>
      <w:bookmarkEnd w:id="0"/>
      <w:r>
        <w:rPr>
          <w:rFonts w:hint="eastAsia" w:ascii="方正大标宋简体" w:hAnsi="方正大标宋简体" w:eastAsia="方正大标宋简体" w:cs="方正大标宋简体"/>
          <w:b w:val="0"/>
          <w:bCs w:val="0"/>
          <w:spacing w:val="-17"/>
          <w:sz w:val="44"/>
          <w:szCs w:val="44"/>
        </w:rPr>
        <w:t>年财政预算执行情况和</w:t>
      </w:r>
      <w:r>
        <w:rPr>
          <w:rFonts w:hint="eastAsia" w:ascii="方正大标宋简体" w:hAnsi="方正大标宋简体" w:eastAsia="方正大标宋简体" w:cs="方正大标宋简体"/>
          <w:b w:val="0"/>
          <w:bCs w:val="0"/>
          <w:spacing w:val="-17"/>
          <w:sz w:val="44"/>
          <w:szCs w:val="44"/>
          <w:lang w:val="en-US" w:eastAsia="zh-CN"/>
        </w:rPr>
        <w:t>2021</w:t>
      </w:r>
      <w:r>
        <w:rPr>
          <w:rFonts w:hint="eastAsia" w:ascii="方正大标宋简体" w:hAnsi="方正大标宋简体" w:eastAsia="方正大标宋简体" w:cs="方正大标宋简体"/>
          <w:b w:val="0"/>
          <w:bCs w:val="0"/>
          <w:spacing w:val="-17"/>
          <w:sz w:val="44"/>
          <w:szCs w:val="44"/>
        </w:rPr>
        <w:t>年财政预算（草案）的报告</w:t>
      </w:r>
    </w:p>
    <w:p>
      <w:pPr>
        <w:adjustRightInd w:val="0"/>
        <w:snapToGrid w:val="0"/>
        <w:spacing w:line="560" w:lineRule="exact"/>
        <w:jc w:val="both"/>
        <w:rPr>
          <w:rFonts w:ascii="黑体" w:hAnsi="黑体" w:eastAsia="黑体" w:cs="方正小标宋简体"/>
          <w:b/>
          <w:bCs/>
          <w:w w:val="9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/>
        <w:jc w:val="center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—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2021</w:t>
      </w:r>
      <w:r>
        <w:rPr>
          <w:rFonts w:hint="eastAsia" w:ascii="楷体_GB2312" w:hAnsi="楷体_GB2312" w:eastAsia="楷体_GB2312" w:cs="楷体_GB2312"/>
          <w:sz w:val="32"/>
          <w:szCs w:val="32"/>
        </w:rPr>
        <w:t>年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4</w:t>
      </w:r>
      <w:r>
        <w:rPr>
          <w:rFonts w:hint="eastAsia" w:ascii="楷体_GB2312" w:hAnsi="楷体_GB2312" w:eastAsia="楷体_GB2312" w:cs="楷体_GB2312"/>
          <w:sz w:val="32"/>
          <w:szCs w:val="32"/>
        </w:rPr>
        <w:t>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9</w:t>
      </w:r>
      <w:r>
        <w:rPr>
          <w:rFonts w:hint="eastAsia" w:ascii="楷体_GB2312" w:hAnsi="楷体_GB2312" w:eastAsia="楷体_GB2312" w:cs="楷体_GB2312"/>
          <w:sz w:val="32"/>
          <w:szCs w:val="32"/>
        </w:rPr>
        <w:t>日在安阳市龙安区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四</w:t>
      </w:r>
      <w:r>
        <w:rPr>
          <w:rFonts w:hint="eastAsia" w:ascii="楷体_GB2312" w:hAnsi="楷体_GB2312" w:eastAsia="楷体_GB2312" w:cs="楷体_GB2312"/>
          <w:sz w:val="32"/>
          <w:szCs w:val="32"/>
        </w:rPr>
        <w:t>届人大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六</w:t>
      </w:r>
      <w:r>
        <w:rPr>
          <w:rFonts w:hint="eastAsia" w:ascii="楷体_GB2312" w:hAnsi="楷体_GB2312" w:eastAsia="楷体_GB2312" w:cs="楷体_GB2312"/>
          <w:sz w:val="32"/>
          <w:szCs w:val="32"/>
        </w:rPr>
        <w:t>次会议上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/>
        <w:jc w:val="center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龙安区财政局局长  付维鹏</w:t>
      </w:r>
    </w:p>
    <w:p>
      <w:pPr>
        <w:spacing w:line="560" w:lineRule="exact"/>
        <w:jc w:val="both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kern w:val="1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10"/>
          <w:sz w:val="32"/>
          <w:szCs w:val="32"/>
        </w:rPr>
        <w:t>各位代表：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1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10"/>
          <w:sz w:val="32"/>
          <w:szCs w:val="32"/>
        </w:rPr>
        <w:t>受区政府委托，现将我区</w:t>
      </w:r>
      <w:r>
        <w:rPr>
          <w:rFonts w:hint="eastAsia" w:ascii="仿宋_GB2312" w:hAnsi="仿宋_GB2312" w:eastAsia="仿宋_GB2312" w:cs="仿宋_GB2312"/>
          <w:kern w:val="10"/>
          <w:sz w:val="32"/>
          <w:szCs w:val="32"/>
          <w:lang w:val="en-US" w:eastAsia="zh-CN"/>
        </w:rPr>
        <w:t>2020</w:t>
      </w:r>
      <w:r>
        <w:rPr>
          <w:rFonts w:hint="eastAsia" w:ascii="仿宋_GB2312" w:hAnsi="仿宋_GB2312" w:eastAsia="仿宋_GB2312" w:cs="仿宋_GB2312"/>
          <w:kern w:val="10"/>
          <w:sz w:val="32"/>
          <w:szCs w:val="32"/>
        </w:rPr>
        <w:t>年财政预算执行情况和</w:t>
      </w:r>
      <w:r>
        <w:rPr>
          <w:rFonts w:hint="eastAsia" w:ascii="仿宋_GB2312" w:hAnsi="仿宋_GB2312" w:eastAsia="仿宋_GB2312" w:cs="仿宋_GB2312"/>
          <w:kern w:val="10"/>
          <w:sz w:val="32"/>
          <w:szCs w:val="32"/>
          <w:lang w:val="en-US" w:eastAsia="zh-CN"/>
        </w:rPr>
        <w:t>2021</w:t>
      </w:r>
      <w:r>
        <w:rPr>
          <w:rFonts w:hint="eastAsia" w:ascii="仿宋_GB2312" w:hAnsi="仿宋_GB2312" w:eastAsia="仿宋_GB2312" w:cs="仿宋_GB2312"/>
          <w:kern w:val="10"/>
          <w:sz w:val="32"/>
          <w:szCs w:val="32"/>
        </w:rPr>
        <w:t>年财政预算（草案）提请区</w:t>
      </w:r>
      <w:r>
        <w:rPr>
          <w:rFonts w:hint="eastAsia" w:ascii="仿宋_GB2312" w:hAnsi="仿宋_GB2312" w:eastAsia="仿宋_GB2312" w:cs="仿宋_GB2312"/>
          <w:kern w:val="10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kern w:val="10"/>
          <w:sz w:val="32"/>
          <w:szCs w:val="32"/>
        </w:rPr>
        <w:t>届人大</w:t>
      </w:r>
      <w:r>
        <w:rPr>
          <w:rFonts w:hint="eastAsia" w:ascii="仿宋_GB2312" w:hAnsi="仿宋_GB2312" w:eastAsia="仿宋_GB2312" w:cs="仿宋_GB2312"/>
          <w:kern w:val="10"/>
          <w:sz w:val="32"/>
          <w:szCs w:val="32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kern w:val="10"/>
          <w:sz w:val="32"/>
          <w:szCs w:val="32"/>
        </w:rPr>
        <w:t>次会议审议，并请各位代表、各位委员和列席人员提出意见。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方正黑体简体" w:hAnsi="方正黑体简体" w:eastAsia="方正黑体简体" w:cs="方正黑体简体"/>
          <w:b w:val="0"/>
          <w:bCs w:val="0"/>
          <w:kern w:val="10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kern w:val="10"/>
          <w:sz w:val="32"/>
          <w:szCs w:val="32"/>
        </w:rPr>
        <w:t>一、</w:t>
      </w:r>
      <w:r>
        <w:rPr>
          <w:rFonts w:hint="eastAsia" w:ascii="方正黑体简体" w:hAnsi="方正黑体简体" w:eastAsia="方正黑体简体" w:cs="方正黑体简体"/>
          <w:b w:val="0"/>
          <w:bCs w:val="0"/>
          <w:kern w:val="10"/>
          <w:sz w:val="32"/>
          <w:szCs w:val="32"/>
          <w:lang w:val="en-US" w:eastAsia="zh-CN"/>
        </w:rPr>
        <w:t>2020</w:t>
      </w:r>
      <w:r>
        <w:rPr>
          <w:rFonts w:hint="eastAsia" w:ascii="方正黑体简体" w:hAnsi="方正黑体简体" w:eastAsia="方正黑体简体" w:cs="方正黑体简体"/>
          <w:b w:val="0"/>
          <w:bCs w:val="0"/>
          <w:kern w:val="10"/>
          <w:sz w:val="32"/>
          <w:szCs w:val="32"/>
        </w:rPr>
        <w:t>年财政预算执行情况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 w:val="0"/>
          <w:kern w:val="1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 w:val="0"/>
          <w:kern w:val="10"/>
          <w:sz w:val="32"/>
          <w:szCs w:val="32"/>
        </w:rPr>
        <w:t>（一）一般公共预算执行情况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kern w:val="1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10"/>
          <w:sz w:val="32"/>
          <w:szCs w:val="32"/>
        </w:rPr>
        <w:t>1、</w:t>
      </w:r>
      <w:r>
        <w:rPr>
          <w:rFonts w:hint="eastAsia" w:ascii="仿宋_GB2312" w:hAnsi="仿宋_GB2312" w:eastAsia="仿宋_GB2312" w:cs="仿宋_GB2312"/>
          <w:b/>
          <w:kern w:val="10"/>
          <w:sz w:val="32"/>
          <w:szCs w:val="32"/>
        </w:rPr>
        <w:t>一般</w:t>
      </w:r>
      <w:r>
        <w:rPr>
          <w:rFonts w:hint="eastAsia" w:ascii="仿宋_GB2312" w:hAnsi="仿宋_GB2312" w:eastAsia="仿宋_GB2312" w:cs="仿宋_GB2312"/>
          <w:b/>
          <w:bCs/>
          <w:kern w:val="10"/>
          <w:sz w:val="32"/>
          <w:szCs w:val="32"/>
        </w:rPr>
        <w:t>公共预算收入执行情况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1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kern w:val="10"/>
          <w:sz w:val="32"/>
          <w:szCs w:val="32"/>
          <w:lang w:val="en-US" w:eastAsia="zh-CN"/>
        </w:rPr>
        <w:t>2020</w:t>
      </w:r>
      <w:r>
        <w:rPr>
          <w:rFonts w:hint="eastAsia" w:ascii="仿宋_GB2312" w:hAnsi="仿宋_GB2312" w:eastAsia="仿宋_GB2312" w:cs="仿宋_GB2312"/>
          <w:kern w:val="10"/>
          <w:sz w:val="32"/>
          <w:szCs w:val="32"/>
        </w:rPr>
        <w:t>年全区一般公共预算收入年初预算为</w:t>
      </w:r>
      <w:r>
        <w:rPr>
          <w:rFonts w:hint="eastAsia" w:ascii="仿宋_GB2312" w:hAnsi="仿宋_GB2312" w:eastAsia="仿宋_GB2312" w:cs="仿宋_GB2312"/>
          <w:kern w:val="10"/>
          <w:sz w:val="32"/>
          <w:szCs w:val="32"/>
          <w:lang w:val="en-US" w:eastAsia="zh-CN"/>
        </w:rPr>
        <w:t>90000</w:t>
      </w:r>
      <w:r>
        <w:rPr>
          <w:rFonts w:hint="eastAsia" w:ascii="仿宋_GB2312" w:hAnsi="仿宋_GB2312" w:eastAsia="仿宋_GB2312" w:cs="仿宋_GB2312"/>
          <w:kern w:val="10"/>
          <w:sz w:val="32"/>
          <w:szCs w:val="32"/>
        </w:rPr>
        <w:t>万元，其中税收收入</w:t>
      </w:r>
      <w:r>
        <w:rPr>
          <w:rFonts w:hint="eastAsia" w:ascii="仿宋_GB2312" w:hAnsi="仿宋_GB2312" w:eastAsia="仿宋_GB2312" w:cs="仿宋_GB2312"/>
          <w:kern w:val="10"/>
          <w:sz w:val="32"/>
          <w:szCs w:val="32"/>
          <w:lang w:val="en-US" w:eastAsia="zh-CN"/>
        </w:rPr>
        <w:t>76500</w:t>
      </w:r>
      <w:r>
        <w:rPr>
          <w:rFonts w:hint="eastAsia" w:ascii="仿宋_GB2312" w:hAnsi="仿宋_GB2312" w:eastAsia="仿宋_GB2312" w:cs="仿宋_GB2312"/>
          <w:kern w:val="10"/>
          <w:sz w:val="32"/>
          <w:szCs w:val="32"/>
        </w:rPr>
        <w:t>万元、非税收入</w:t>
      </w:r>
      <w:r>
        <w:rPr>
          <w:rFonts w:hint="eastAsia" w:ascii="仿宋_GB2312" w:hAnsi="仿宋_GB2312" w:eastAsia="仿宋_GB2312" w:cs="仿宋_GB2312"/>
          <w:kern w:val="10"/>
          <w:sz w:val="32"/>
          <w:szCs w:val="32"/>
          <w:lang w:val="en-US" w:eastAsia="zh-CN"/>
        </w:rPr>
        <w:t>13500</w:t>
      </w:r>
      <w:r>
        <w:rPr>
          <w:rFonts w:hint="eastAsia" w:ascii="仿宋_GB2312" w:hAnsi="仿宋_GB2312" w:eastAsia="仿宋_GB2312" w:cs="仿宋_GB2312"/>
          <w:kern w:val="10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color w:val="000000" w:themeColor="text1"/>
          <w:kern w:val="10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1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1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2020</w:t>
      </w:r>
      <w:r>
        <w:rPr>
          <w:rFonts w:hint="eastAsia" w:ascii="仿宋_GB2312" w:hAnsi="仿宋_GB2312" w:eastAsia="仿宋_GB2312" w:cs="仿宋_GB2312"/>
          <w:color w:val="000000" w:themeColor="text1"/>
          <w:kern w:val="10"/>
          <w:sz w:val="32"/>
          <w:szCs w:val="32"/>
          <w14:textFill>
            <w14:solidFill>
              <w14:schemeClr w14:val="tx1"/>
            </w14:solidFill>
          </w14:textFill>
        </w:rPr>
        <w:t>年全区一般公共预算收入实际完成</w:t>
      </w:r>
      <w:r>
        <w:rPr>
          <w:rFonts w:hint="eastAsia" w:ascii="仿宋_GB2312" w:hAnsi="仿宋_GB2312" w:eastAsia="仿宋_GB2312" w:cs="仿宋_GB2312"/>
          <w:color w:val="000000" w:themeColor="text1"/>
          <w:kern w:val="1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84258</w:t>
      </w:r>
      <w:r>
        <w:rPr>
          <w:rFonts w:hint="eastAsia" w:ascii="仿宋_GB2312" w:hAnsi="仿宋_GB2312" w:eastAsia="仿宋_GB2312" w:cs="仿宋_GB2312"/>
          <w:color w:val="000000" w:themeColor="text1"/>
          <w:kern w:val="10"/>
          <w:sz w:val="32"/>
          <w:szCs w:val="32"/>
          <w14:textFill>
            <w14:solidFill>
              <w14:schemeClr w14:val="tx1"/>
            </w14:solidFill>
          </w14:textFill>
        </w:rPr>
        <w:t>万元，增长</w:t>
      </w:r>
      <w:r>
        <w:rPr>
          <w:rFonts w:hint="eastAsia" w:ascii="仿宋_GB2312" w:hAnsi="仿宋_GB2312" w:eastAsia="仿宋_GB2312" w:cs="仿宋_GB2312"/>
          <w:color w:val="000000" w:themeColor="text1"/>
          <w:kern w:val="1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5.1</w:t>
      </w:r>
      <w:r>
        <w:rPr>
          <w:rFonts w:hint="eastAsia" w:ascii="仿宋_GB2312" w:hAnsi="仿宋_GB2312" w:eastAsia="仿宋_GB2312" w:cs="仿宋_GB2312"/>
          <w:color w:val="000000" w:themeColor="text1"/>
          <w:kern w:val="10"/>
          <w:sz w:val="32"/>
          <w:szCs w:val="32"/>
          <w14:textFill>
            <w14:solidFill>
              <w14:schemeClr w14:val="tx1"/>
            </w14:solidFill>
          </w14:textFill>
        </w:rPr>
        <w:t>%</w:t>
      </w:r>
      <w:r>
        <w:rPr>
          <w:rFonts w:hint="eastAsia" w:ascii="仿宋_GB2312" w:hAnsi="仿宋_GB2312" w:eastAsia="仿宋_GB2312" w:cs="仿宋_GB2312"/>
          <w:kern w:val="10"/>
          <w:sz w:val="32"/>
          <w:szCs w:val="32"/>
        </w:rPr>
        <w:t>。其中</w:t>
      </w:r>
      <w:r>
        <w:rPr>
          <w:rFonts w:hint="eastAsia" w:ascii="仿宋_GB2312" w:hAnsi="仿宋_GB2312" w:eastAsia="仿宋_GB2312" w:cs="仿宋_GB2312"/>
          <w:kern w:val="10"/>
          <w:sz w:val="32"/>
          <w:szCs w:val="32"/>
          <w:lang w:val="en-US" w:eastAsia="zh-CN"/>
        </w:rPr>
        <w:t>:</w:t>
      </w:r>
      <w:r>
        <w:rPr>
          <w:rFonts w:hint="eastAsia" w:ascii="仿宋_GB2312" w:hAnsi="仿宋_GB2312" w:eastAsia="仿宋_GB2312" w:cs="仿宋_GB2312"/>
          <w:kern w:val="10"/>
          <w:sz w:val="32"/>
          <w:szCs w:val="32"/>
        </w:rPr>
        <w:t>税收收入完成</w:t>
      </w:r>
      <w:r>
        <w:rPr>
          <w:rFonts w:hint="eastAsia" w:ascii="仿宋_GB2312" w:hAnsi="仿宋_GB2312" w:eastAsia="仿宋_GB2312" w:cs="仿宋_GB2312"/>
          <w:kern w:val="10"/>
          <w:sz w:val="32"/>
          <w:szCs w:val="32"/>
          <w:lang w:val="en-US" w:eastAsia="zh-CN"/>
        </w:rPr>
        <w:t>68831</w:t>
      </w:r>
      <w:r>
        <w:rPr>
          <w:rFonts w:hint="eastAsia" w:ascii="仿宋_GB2312" w:hAnsi="仿宋_GB2312" w:eastAsia="仿宋_GB2312" w:cs="仿宋_GB2312"/>
          <w:kern w:val="10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kern w:val="1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kern w:val="10"/>
          <w:sz w:val="32"/>
          <w:szCs w:val="32"/>
          <w:highlight w:val="none"/>
          <w:lang w:val="en-US" w:eastAsia="zh-CN"/>
        </w:rPr>
        <w:t>非税收入完成15427万元。</w:t>
      </w:r>
      <w:r>
        <w:rPr>
          <w:rFonts w:hint="eastAsia" w:ascii="仿宋_GB2312" w:hAnsi="仿宋_GB2312" w:eastAsia="仿宋_GB2312" w:cs="仿宋_GB2312"/>
          <w:kern w:val="10"/>
          <w:sz w:val="32"/>
          <w:szCs w:val="32"/>
        </w:rPr>
        <w:t>税收收入占一般公共预算收入的比重为</w:t>
      </w:r>
      <w:r>
        <w:rPr>
          <w:rFonts w:hint="eastAsia" w:ascii="仿宋_GB2312" w:hAnsi="仿宋_GB2312" w:eastAsia="仿宋_GB2312" w:cs="仿宋_GB2312"/>
          <w:kern w:val="10"/>
          <w:sz w:val="32"/>
          <w:szCs w:val="32"/>
          <w:lang w:val="en-US" w:eastAsia="zh-CN"/>
        </w:rPr>
        <w:t>81.7</w:t>
      </w:r>
      <w:r>
        <w:rPr>
          <w:rFonts w:hint="eastAsia" w:ascii="仿宋_GB2312" w:hAnsi="仿宋_GB2312" w:eastAsia="仿宋_GB2312" w:cs="仿宋_GB2312"/>
          <w:kern w:val="10"/>
          <w:sz w:val="32"/>
          <w:szCs w:val="32"/>
        </w:rPr>
        <w:t>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kern w:val="1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kern w:val="10"/>
          <w:sz w:val="32"/>
          <w:szCs w:val="32"/>
          <w:highlight w:val="none"/>
        </w:rPr>
        <w:t>2、一般公共预算支出执行情况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1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kern w:val="10"/>
          <w:sz w:val="32"/>
          <w:szCs w:val="32"/>
          <w:highlight w:val="none"/>
          <w:lang w:val="en-US" w:eastAsia="zh-CN"/>
        </w:rPr>
        <w:t>2020</w:t>
      </w:r>
      <w:r>
        <w:rPr>
          <w:rFonts w:hint="eastAsia" w:ascii="仿宋_GB2312" w:hAnsi="仿宋_GB2312" w:eastAsia="仿宋_GB2312" w:cs="仿宋_GB2312"/>
          <w:kern w:val="10"/>
          <w:sz w:val="32"/>
          <w:szCs w:val="32"/>
          <w:highlight w:val="none"/>
        </w:rPr>
        <w:t>年全区一般公共预算支出年初预算为</w:t>
      </w:r>
      <w:r>
        <w:rPr>
          <w:rFonts w:hint="eastAsia" w:ascii="仿宋_GB2312" w:hAnsi="仿宋_GB2312" w:eastAsia="仿宋_GB2312" w:cs="仿宋_GB2312"/>
          <w:kern w:val="10"/>
          <w:sz w:val="32"/>
          <w:szCs w:val="32"/>
          <w:highlight w:val="none"/>
          <w:lang w:val="en-US" w:eastAsia="zh-CN"/>
        </w:rPr>
        <w:t>141383</w:t>
      </w:r>
      <w:r>
        <w:rPr>
          <w:rFonts w:hint="eastAsia" w:ascii="仿宋_GB2312" w:hAnsi="仿宋_GB2312" w:eastAsia="仿宋_GB2312" w:cs="仿宋_GB2312"/>
          <w:kern w:val="10"/>
          <w:sz w:val="32"/>
          <w:szCs w:val="32"/>
          <w:highlight w:val="none"/>
        </w:rPr>
        <w:t>万元。执行中由于上级补助收入增加等因素，经区</w:t>
      </w:r>
      <w:r>
        <w:rPr>
          <w:rFonts w:hint="eastAsia" w:ascii="仿宋_GB2312" w:hAnsi="仿宋_GB2312" w:eastAsia="仿宋_GB2312" w:cs="仿宋_GB2312"/>
          <w:color w:val="auto"/>
          <w:kern w:val="10"/>
          <w:sz w:val="32"/>
          <w:szCs w:val="32"/>
          <w:highlight w:val="none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kern w:val="10"/>
          <w:sz w:val="32"/>
          <w:szCs w:val="32"/>
          <w:highlight w:val="none"/>
        </w:rPr>
        <w:t>届人大常委会</w:t>
      </w:r>
      <w:r>
        <w:rPr>
          <w:rFonts w:hint="eastAsia" w:ascii="仿宋_GB2312" w:hAnsi="仿宋_GB2312" w:eastAsia="仿宋_GB2312" w:cs="仿宋_GB2312"/>
          <w:kern w:val="10"/>
          <w:sz w:val="32"/>
          <w:szCs w:val="32"/>
          <w:highlight w:val="none"/>
          <w:lang w:eastAsia="zh-CN"/>
        </w:rPr>
        <w:t>第</w:t>
      </w:r>
      <w:r>
        <w:rPr>
          <w:rFonts w:hint="eastAsia" w:ascii="仿宋_GB2312" w:hAnsi="仿宋_GB2312" w:eastAsia="仿宋_GB2312" w:cs="仿宋_GB2312"/>
          <w:kern w:val="10"/>
          <w:sz w:val="32"/>
          <w:szCs w:val="32"/>
          <w:highlight w:val="none"/>
          <w:lang w:val="en-US" w:eastAsia="zh-CN"/>
        </w:rPr>
        <w:t>二十七</w:t>
      </w:r>
      <w:r>
        <w:rPr>
          <w:rFonts w:hint="eastAsia" w:ascii="仿宋_GB2312" w:hAnsi="仿宋_GB2312" w:eastAsia="仿宋_GB2312" w:cs="仿宋_GB2312"/>
          <w:kern w:val="10"/>
          <w:sz w:val="32"/>
          <w:szCs w:val="32"/>
          <w:highlight w:val="none"/>
        </w:rPr>
        <w:t>次会议</w:t>
      </w:r>
      <w:r>
        <w:rPr>
          <w:rFonts w:hint="eastAsia" w:ascii="仿宋_GB2312" w:hAnsi="仿宋_GB2312" w:eastAsia="仿宋_GB2312" w:cs="仿宋_GB2312"/>
          <w:kern w:val="10"/>
          <w:sz w:val="32"/>
          <w:szCs w:val="32"/>
          <w:highlight w:val="none"/>
          <w:lang w:val="en-US" w:eastAsia="zh-CN"/>
        </w:rPr>
        <w:t>批准</w:t>
      </w:r>
      <w:r>
        <w:rPr>
          <w:rFonts w:hint="eastAsia" w:ascii="仿宋_GB2312" w:hAnsi="仿宋_GB2312" w:eastAsia="仿宋_GB2312" w:cs="仿宋_GB2312"/>
          <w:color w:val="000000" w:themeColor="text1"/>
          <w:kern w:val="1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调整为</w:t>
      </w:r>
      <w:r>
        <w:rPr>
          <w:rFonts w:hint="eastAsia" w:ascii="仿宋_GB2312" w:hAnsi="仿宋_GB2312" w:eastAsia="仿宋_GB2312" w:cs="仿宋_GB2312"/>
          <w:color w:val="000000" w:themeColor="text1"/>
          <w:kern w:val="1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147780</w:t>
      </w:r>
      <w:r>
        <w:rPr>
          <w:rFonts w:hint="eastAsia" w:ascii="仿宋_GB2312" w:hAnsi="仿宋_GB2312" w:eastAsia="仿宋_GB2312" w:cs="仿宋_GB2312"/>
          <w:kern w:val="10"/>
          <w:sz w:val="32"/>
          <w:szCs w:val="32"/>
          <w:highlight w:val="none"/>
        </w:rPr>
        <w:t>万元</w:t>
      </w:r>
      <w:r>
        <w:rPr>
          <w:rFonts w:hint="eastAsia" w:ascii="仿宋_GB2312" w:hAnsi="仿宋_GB2312" w:eastAsia="仿宋_GB2312" w:cs="仿宋_GB2312"/>
          <w:kern w:val="1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kern w:val="10"/>
          <w:sz w:val="32"/>
          <w:szCs w:val="32"/>
          <w:highlight w:val="none"/>
        </w:rPr>
        <w:t>实际完成</w:t>
      </w:r>
      <w:r>
        <w:rPr>
          <w:rFonts w:hint="eastAsia" w:ascii="仿宋_GB2312" w:hAnsi="仿宋_GB2312" w:eastAsia="仿宋_GB2312" w:cs="仿宋_GB2312"/>
          <w:kern w:val="10"/>
          <w:sz w:val="32"/>
          <w:szCs w:val="32"/>
          <w:highlight w:val="none"/>
          <w:lang w:val="en-US" w:eastAsia="zh-CN"/>
        </w:rPr>
        <w:t>147780</w:t>
      </w:r>
      <w:r>
        <w:rPr>
          <w:rFonts w:hint="eastAsia" w:ascii="仿宋_GB2312" w:hAnsi="仿宋_GB2312" w:eastAsia="仿宋_GB2312" w:cs="仿宋_GB2312"/>
          <w:kern w:val="10"/>
          <w:sz w:val="32"/>
          <w:szCs w:val="32"/>
          <w:highlight w:val="none"/>
        </w:rPr>
        <w:t>万元</w:t>
      </w:r>
      <w:r>
        <w:rPr>
          <w:rFonts w:hint="eastAsia" w:ascii="仿宋_GB2312" w:hAnsi="仿宋_GB2312" w:eastAsia="仿宋_GB2312" w:cs="仿宋_GB2312"/>
          <w:color w:val="000000" w:themeColor="text1"/>
          <w:kern w:val="1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kern w:val="1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下降</w:t>
      </w:r>
      <w:r>
        <w:rPr>
          <w:rFonts w:hint="eastAsia" w:ascii="仿宋_GB2312" w:hAnsi="仿宋_GB2312" w:eastAsia="仿宋_GB2312" w:cs="仿宋_GB2312"/>
          <w:color w:val="000000" w:themeColor="text1"/>
          <w:kern w:val="1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24.9</w:t>
      </w:r>
      <w:r>
        <w:rPr>
          <w:rFonts w:hint="eastAsia" w:ascii="仿宋_GB2312" w:hAnsi="仿宋_GB2312" w:eastAsia="仿宋_GB2312" w:cs="仿宋_GB2312"/>
          <w:color w:val="000000" w:themeColor="text1"/>
          <w:kern w:val="1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%</w:t>
      </w:r>
      <w:r>
        <w:rPr>
          <w:rFonts w:hint="eastAsia" w:ascii="仿宋_GB2312" w:hAnsi="仿宋_GB2312" w:eastAsia="仿宋_GB2312" w:cs="仿宋_GB2312"/>
          <w:color w:val="000000" w:themeColor="text1"/>
          <w:kern w:val="1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，主要原因是</w:t>
      </w:r>
      <w:r>
        <w:rPr>
          <w:rFonts w:hint="eastAsia" w:ascii="仿宋_GB2312" w:hAnsi="仿宋_GB2312" w:eastAsia="仿宋_GB2312" w:cs="仿宋_GB2312"/>
          <w:color w:val="000000" w:themeColor="text1"/>
          <w:kern w:val="1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2020</w:t>
      </w:r>
      <w:r>
        <w:rPr>
          <w:rFonts w:hint="eastAsia" w:ascii="仿宋_GB2312" w:hAnsi="仿宋_GB2312" w:eastAsia="仿宋_GB2312" w:cs="仿宋_GB2312"/>
          <w:color w:val="000000" w:themeColor="text1"/>
          <w:kern w:val="1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年上级一次性专项资金比</w:t>
      </w:r>
      <w:r>
        <w:rPr>
          <w:rFonts w:hint="eastAsia" w:ascii="仿宋_GB2312" w:hAnsi="仿宋_GB2312" w:eastAsia="仿宋_GB2312" w:cs="仿宋_GB2312"/>
          <w:color w:val="000000" w:themeColor="text1"/>
          <w:kern w:val="1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2019年下降较大</w:t>
      </w:r>
      <w:r>
        <w:rPr>
          <w:rFonts w:hint="eastAsia" w:ascii="仿宋_GB2312" w:hAnsi="仿宋_GB2312" w:eastAsia="仿宋_GB2312" w:cs="仿宋_GB2312"/>
          <w:color w:val="000000" w:themeColor="text1"/>
          <w:kern w:val="1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FF0000"/>
          <w:kern w:val="10"/>
          <w:sz w:val="32"/>
          <w:szCs w:val="32"/>
          <w:highlight w:val="yellow"/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1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功能分类支出主要是：</w:t>
      </w:r>
      <w:r>
        <w:rPr>
          <w:rFonts w:hint="eastAsia" w:ascii="仿宋_GB2312" w:hAnsi="仿宋_GB2312" w:eastAsia="仿宋_GB2312" w:cs="仿宋_GB2312"/>
          <w:color w:val="000000" w:themeColor="text1"/>
          <w:kern w:val="1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一般公共服务支出19067万元、教育支出30242万元、科学技术支出2437万元、社会保障和就业支出21465万元、卫生健康支出11421万元、节能环保支出9441万元、城乡社区支出13239万元、农林水支出21683万元、自然资源海洋气象等支出1402万元、住房保障支出4773万元、债务付息支出1473万元。其中民生类支出106788万元，占当年一般</w:t>
      </w:r>
      <w:r>
        <w:rPr>
          <w:rFonts w:hint="eastAsia" w:ascii="仿宋_GB2312" w:hAnsi="仿宋_GB2312" w:eastAsia="仿宋_GB2312" w:cs="仿宋_GB2312"/>
          <w:color w:val="000000" w:themeColor="text1"/>
          <w:kern w:val="1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公共</w:t>
      </w:r>
      <w:r>
        <w:rPr>
          <w:rFonts w:hint="eastAsia" w:ascii="仿宋_GB2312" w:hAnsi="仿宋_GB2312" w:eastAsia="仿宋_GB2312" w:cs="仿宋_GB2312"/>
          <w:color w:val="000000" w:themeColor="text1"/>
          <w:kern w:val="1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预算支出的72.3%。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1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1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经济分类支出主要是：</w:t>
      </w:r>
      <w:r>
        <w:rPr>
          <w:rFonts w:hint="eastAsia" w:ascii="仿宋_GB2312" w:hAnsi="仿宋_GB2312" w:eastAsia="仿宋_GB2312" w:cs="仿宋_GB2312"/>
          <w:color w:val="000000" w:themeColor="text1"/>
          <w:kern w:val="1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机关工资福利支出24805万元、机关商品和服务支出20491万元、机关资本性支出23552万元、对事业单位经常性补助32175万元、对事业单位资本性补助1405万元、对个人和家庭的补助18396万元、对社会保障基金补助12974万元、债务付息及费用支出1473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1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1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根据现行市区财政体制测算，2020年全区一般公共预算收入84258万元，加上级补助收</w:t>
      </w:r>
      <w:r>
        <w:rPr>
          <w:rFonts w:hint="eastAsia" w:ascii="仿宋_GB2312" w:hAnsi="仿宋_GB2312" w:eastAsia="仿宋_GB2312" w:cs="仿宋_GB2312"/>
          <w:color w:val="auto"/>
          <w:kern w:val="10"/>
          <w:sz w:val="32"/>
          <w:szCs w:val="32"/>
          <w:highlight w:val="none"/>
        </w:rPr>
        <w:t>入</w:t>
      </w:r>
      <w:r>
        <w:rPr>
          <w:rFonts w:hint="eastAsia" w:ascii="仿宋_GB2312" w:hAnsi="仿宋_GB2312" w:eastAsia="仿宋_GB2312" w:cs="仿宋_GB2312"/>
          <w:color w:val="auto"/>
          <w:kern w:val="10"/>
          <w:sz w:val="32"/>
          <w:szCs w:val="32"/>
          <w:highlight w:val="none"/>
          <w:lang w:val="en-US" w:eastAsia="zh-CN"/>
        </w:rPr>
        <w:t>68982</w:t>
      </w:r>
      <w:r>
        <w:rPr>
          <w:rFonts w:hint="eastAsia" w:ascii="仿宋_GB2312" w:hAnsi="仿宋_GB2312" w:eastAsia="仿宋_GB2312" w:cs="仿宋_GB2312"/>
          <w:color w:val="auto"/>
          <w:kern w:val="10"/>
          <w:sz w:val="32"/>
          <w:szCs w:val="32"/>
          <w:highlight w:val="none"/>
        </w:rPr>
        <w:t>万</w:t>
      </w:r>
      <w:r>
        <w:rPr>
          <w:rFonts w:hint="eastAsia" w:ascii="仿宋_GB2312" w:hAnsi="仿宋_GB2312" w:eastAsia="仿宋_GB2312" w:cs="仿宋_GB2312"/>
          <w:color w:val="000000" w:themeColor="text1"/>
          <w:kern w:val="1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元、转贷财政部代理发行地方政府债券收入 9189万元（其中新增债券4400万元、再融资类债券4789万元）、调入资金</w:t>
      </w:r>
      <w:r>
        <w:rPr>
          <w:rFonts w:hint="eastAsia" w:ascii="仿宋_GB2312" w:hAnsi="仿宋_GB2312" w:eastAsia="仿宋_GB2312" w:cs="仿宋_GB2312"/>
          <w:color w:val="000000" w:themeColor="text1"/>
          <w:kern w:val="1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24213</w:t>
      </w:r>
      <w:r>
        <w:rPr>
          <w:rFonts w:hint="eastAsia" w:ascii="仿宋_GB2312" w:hAnsi="仿宋_GB2312" w:eastAsia="仿宋_GB2312" w:cs="仿宋_GB2312"/>
          <w:color w:val="000000" w:themeColor="text1"/>
          <w:kern w:val="1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万元（其中动用预算稳定调节基金1546万元、政府性基金调入</w:t>
      </w:r>
      <w:r>
        <w:rPr>
          <w:rFonts w:hint="eastAsia" w:ascii="仿宋_GB2312" w:hAnsi="仿宋_GB2312" w:eastAsia="仿宋_GB2312" w:cs="仿宋_GB2312"/>
          <w:color w:val="000000" w:themeColor="text1"/>
          <w:kern w:val="1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22667</w:t>
      </w:r>
      <w:r>
        <w:rPr>
          <w:rFonts w:hint="eastAsia" w:ascii="仿宋_GB2312" w:hAnsi="仿宋_GB2312" w:eastAsia="仿宋_GB2312" w:cs="仿宋_GB2312"/>
          <w:color w:val="000000" w:themeColor="text1"/>
          <w:kern w:val="1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万元），减上解</w:t>
      </w:r>
      <w:r>
        <w:rPr>
          <w:rFonts w:hint="eastAsia" w:ascii="仿宋_GB2312" w:hAnsi="仿宋_GB2312" w:eastAsia="仿宋_GB2312" w:cs="仿宋_GB2312"/>
          <w:color w:val="auto"/>
          <w:kern w:val="10"/>
          <w:sz w:val="32"/>
          <w:szCs w:val="32"/>
          <w:highlight w:val="none"/>
        </w:rPr>
        <w:t>支出</w:t>
      </w:r>
      <w:r>
        <w:rPr>
          <w:rFonts w:hint="eastAsia" w:ascii="仿宋_GB2312" w:hAnsi="仿宋_GB2312" w:eastAsia="仿宋_GB2312" w:cs="仿宋_GB2312"/>
          <w:color w:val="auto"/>
          <w:kern w:val="10"/>
          <w:sz w:val="32"/>
          <w:szCs w:val="32"/>
          <w:highlight w:val="none"/>
          <w:lang w:val="en-US" w:eastAsia="zh-CN"/>
        </w:rPr>
        <w:t>32553</w:t>
      </w:r>
      <w:r>
        <w:rPr>
          <w:rFonts w:hint="eastAsia" w:ascii="仿宋_GB2312" w:hAnsi="仿宋_GB2312" w:eastAsia="仿宋_GB2312" w:cs="仿宋_GB2312"/>
          <w:color w:val="auto"/>
          <w:kern w:val="10"/>
          <w:sz w:val="32"/>
          <w:szCs w:val="32"/>
          <w:highlight w:val="none"/>
        </w:rPr>
        <w:t>万元</w:t>
      </w:r>
      <w:r>
        <w:rPr>
          <w:rFonts w:hint="eastAsia" w:ascii="仿宋_GB2312" w:hAnsi="仿宋_GB2312" w:eastAsia="仿宋_GB2312" w:cs="仿宋_GB2312"/>
          <w:color w:val="auto"/>
          <w:kern w:val="10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kern w:val="10"/>
          <w:sz w:val="32"/>
          <w:szCs w:val="32"/>
          <w:highlight w:val="none"/>
        </w:rPr>
        <w:t>债务还本支出4792万元</w:t>
      </w:r>
      <w:r>
        <w:rPr>
          <w:rFonts w:hint="eastAsia" w:ascii="仿宋_GB2312" w:hAnsi="仿宋_GB2312" w:eastAsia="仿宋_GB2312" w:cs="仿宋_GB2312"/>
          <w:color w:val="auto"/>
          <w:kern w:val="10"/>
          <w:sz w:val="32"/>
          <w:szCs w:val="32"/>
          <w:highlight w:val="none"/>
          <w:lang w:eastAsia="zh-CN"/>
        </w:rPr>
        <w:t>、安排预算稳定调节基金</w:t>
      </w:r>
      <w:r>
        <w:rPr>
          <w:rFonts w:hint="eastAsia" w:ascii="仿宋_GB2312" w:hAnsi="仿宋_GB2312" w:eastAsia="仿宋_GB2312" w:cs="仿宋_GB2312"/>
          <w:color w:val="auto"/>
          <w:kern w:val="10"/>
          <w:sz w:val="32"/>
          <w:szCs w:val="32"/>
          <w:highlight w:val="none"/>
          <w:lang w:val="en-US" w:eastAsia="zh-CN"/>
        </w:rPr>
        <w:t>1512万元、</w:t>
      </w:r>
      <w:r>
        <w:rPr>
          <w:rFonts w:hint="eastAsia" w:ascii="仿宋_GB2312" w:hAnsi="仿宋_GB2312" w:eastAsia="仿宋_GB2312" w:cs="仿宋_GB2312"/>
          <w:color w:val="000000" w:themeColor="text1"/>
          <w:kern w:val="1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调出资金</w:t>
      </w:r>
      <w:r>
        <w:rPr>
          <w:rFonts w:hint="eastAsia" w:ascii="仿宋_GB2312" w:hAnsi="仿宋_GB2312" w:eastAsia="仿宋_GB2312" w:cs="仿宋_GB2312"/>
          <w:color w:val="000000" w:themeColor="text1"/>
          <w:kern w:val="1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5万元。</w:t>
      </w:r>
      <w:r>
        <w:rPr>
          <w:rFonts w:hint="eastAsia" w:ascii="仿宋_GB2312" w:hAnsi="仿宋_GB2312" w:eastAsia="仿宋_GB2312" w:cs="仿宋_GB2312"/>
          <w:color w:val="000000" w:themeColor="text1"/>
          <w:kern w:val="1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2020年全区一般公共预算财力为147780万元，</w:t>
      </w:r>
      <w:r>
        <w:rPr>
          <w:rFonts w:hint="eastAsia" w:ascii="仿宋_GB2312" w:hAnsi="仿宋_GB2312" w:eastAsia="仿宋_GB2312" w:cs="仿宋_GB2312"/>
          <w:color w:val="000000" w:themeColor="text1"/>
          <w:kern w:val="1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当</w:t>
      </w:r>
      <w:r>
        <w:rPr>
          <w:rFonts w:hint="eastAsia" w:ascii="仿宋_GB2312" w:hAnsi="仿宋_GB2312" w:eastAsia="仿宋_GB2312" w:cs="仿宋_GB2312"/>
          <w:color w:val="000000" w:themeColor="text1"/>
          <w:kern w:val="1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年全区一般公共预算</w:t>
      </w:r>
      <w:r>
        <w:rPr>
          <w:rFonts w:hint="eastAsia" w:ascii="仿宋_GB2312" w:hAnsi="仿宋_GB2312" w:eastAsia="仿宋_GB2312" w:cs="仿宋_GB2312"/>
          <w:color w:val="000000" w:themeColor="text1"/>
          <w:kern w:val="1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支出完成</w:t>
      </w:r>
      <w:r>
        <w:rPr>
          <w:rFonts w:hint="eastAsia" w:ascii="仿宋_GB2312" w:hAnsi="仿宋_GB2312" w:eastAsia="仿宋_GB2312" w:cs="仿宋_GB2312"/>
          <w:color w:val="000000" w:themeColor="text1"/>
          <w:kern w:val="1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147780万元</w:t>
      </w:r>
      <w:r>
        <w:rPr>
          <w:rFonts w:hint="eastAsia" w:ascii="仿宋_GB2312" w:hAnsi="仿宋_GB2312" w:eastAsia="仿宋_GB2312" w:cs="仿宋_GB2312"/>
          <w:color w:val="000000" w:themeColor="text1"/>
          <w:kern w:val="1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both"/>
        <w:textAlignment w:val="auto"/>
        <w:rPr>
          <w:rFonts w:hint="eastAsia" w:ascii="楷体_GB2312" w:hAnsi="楷体_GB2312" w:eastAsia="楷体_GB2312" w:cs="楷体_GB2312"/>
          <w:color w:val="000000" w:themeColor="text1"/>
          <w:kern w:val="1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color w:val="000000" w:themeColor="text1"/>
          <w:kern w:val="1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（二）政府性基金预算执行情况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kern w:val="1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1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1、政府性基金预算收入执行情况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 w:themeColor="text1"/>
          <w:kern w:val="1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1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2020年全区政府性基金预算收入年初预算为100000万元，实际完成70058万元。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kern w:val="1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kern w:val="10"/>
          <w:sz w:val="32"/>
          <w:szCs w:val="32"/>
          <w:highlight w:val="none"/>
        </w:rPr>
        <w:t>2、政府性基金预算支出执行情况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Cs/>
          <w:kern w:val="10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kern w:val="10"/>
          <w:sz w:val="32"/>
          <w:szCs w:val="32"/>
          <w:highlight w:val="none"/>
          <w:lang w:val="en-US" w:eastAsia="zh-CN"/>
        </w:rPr>
        <w:t>2020年全区政府性基金预算支出年初预算为31135万元。由于受上级补助收入增加等因素影响，经区</w:t>
      </w:r>
      <w:r>
        <w:rPr>
          <w:rFonts w:hint="eastAsia" w:ascii="仿宋_GB2312" w:hAnsi="仿宋_GB2312" w:eastAsia="仿宋_GB2312" w:cs="仿宋_GB2312"/>
          <w:bCs/>
          <w:color w:val="auto"/>
          <w:kern w:val="10"/>
          <w:sz w:val="32"/>
          <w:szCs w:val="32"/>
          <w:highlight w:val="none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bCs/>
          <w:kern w:val="10"/>
          <w:sz w:val="32"/>
          <w:szCs w:val="32"/>
          <w:highlight w:val="none"/>
          <w:lang w:val="en-US" w:eastAsia="zh-CN"/>
        </w:rPr>
        <w:t>届人大常委会第二十七次会议批准调整为81919万元，实际完成81919万元。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10"/>
          <w:sz w:val="32"/>
          <w:szCs w:val="32"/>
          <w:highlight w:val="green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kern w:val="1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功能分类支出主要是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1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：城乡社区支出46336万元、社会保障和就业支出2096万元、债务付息支出1462万元、交通运输支出523万元、农林水支出100万元、其他支出26488万元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1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1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kern w:val="1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经济分类支出主要是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1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：机关商品和服务支出1464万元、机关资本性支出69073万元、对事业单位经常性补助49万元、对事业单位资本性补助1000万元、对个人和家庭的补助支出2774万元、对社会保障基金补助847万元、债务付息支出1462万元。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1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1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根据现行市区财政体制测算，2020年全区政府性基金收入70058万元，加上级补助收入16607万元、转贷财政部代理发行地方政府债券收入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1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36699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1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万元（其中新增债券34700万元、再融资类债券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1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1999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1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万元）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1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，调入资金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1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5万元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1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，减基金上解支出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1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16093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1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万元、专项债务还本支出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1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2690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1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万元、调出政府性基金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1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22667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1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万元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1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1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2020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1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1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全区政府性基金预算财力为81919万元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1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1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当年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1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全区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1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政府性基金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1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预算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1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支出完成81919万元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1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kern w:val="1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kern w:val="10"/>
          <w:sz w:val="32"/>
          <w:szCs w:val="32"/>
          <w:lang w:eastAsia="zh-CN"/>
        </w:rPr>
        <w:t>国有资本经营</w:t>
      </w:r>
      <w:r>
        <w:rPr>
          <w:rFonts w:hint="eastAsia" w:ascii="楷体_GB2312" w:hAnsi="楷体_GB2312" w:eastAsia="楷体_GB2312" w:cs="楷体_GB2312"/>
          <w:b/>
          <w:kern w:val="10"/>
          <w:sz w:val="32"/>
          <w:szCs w:val="32"/>
        </w:rPr>
        <w:t>预算执行情况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kern w:val="1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10"/>
          <w:sz w:val="32"/>
          <w:szCs w:val="32"/>
        </w:rPr>
        <w:t>1、</w:t>
      </w:r>
      <w:r>
        <w:rPr>
          <w:rFonts w:hint="eastAsia" w:ascii="仿宋_GB2312" w:hAnsi="仿宋_GB2312" w:eastAsia="仿宋_GB2312" w:cs="仿宋_GB2312"/>
          <w:b/>
          <w:bCs/>
          <w:kern w:val="10"/>
          <w:sz w:val="32"/>
          <w:szCs w:val="32"/>
          <w:lang w:eastAsia="zh-CN"/>
        </w:rPr>
        <w:t>国有资本经营</w:t>
      </w:r>
      <w:r>
        <w:rPr>
          <w:rFonts w:hint="eastAsia" w:ascii="仿宋_GB2312" w:hAnsi="仿宋_GB2312" w:eastAsia="仿宋_GB2312" w:cs="仿宋_GB2312"/>
          <w:b/>
          <w:bCs/>
          <w:kern w:val="10"/>
          <w:sz w:val="32"/>
          <w:szCs w:val="32"/>
        </w:rPr>
        <w:t>预算收入执行情况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1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10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kern w:val="10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kern w:val="1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kern w:val="10"/>
          <w:sz w:val="32"/>
          <w:szCs w:val="32"/>
          <w:lang w:eastAsia="zh-CN"/>
        </w:rPr>
        <w:t>年初未安排国有资本经营预算收入，</w:t>
      </w:r>
      <w:r>
        <w:rPr>
          <w:rFonts w:hint="eastAsia" w:ascii="仿宋_GB2312" w:hAnsi="仿宋_GB2312" w:eastAsia="仿宋_GB2312" w:cs="仿宋_GB2312"/>
          <w:kern w:val="10"/>
          <w:sz w:val="32"/>
          <w:szCs w:val="32"/>
          <w:lang w:val="en-US" w:eastAsia="zh-CN"/>
        </w:rPr>
        <w:t>当年</w:t>
      </w:r>
      <w:r>
        <w:rPr>
          <w:rFonts w:hint="eastAsia" w:ascii="仿宋_GB2312" w:hAnsi="仿宋_GB2312" w:eastAsia="仿宋_GB2312" w:cs="仿宋_GB2312"/>
          <w:kern w:val="10"/>
          <w:sz w:val="32"/>
          <w:szCs w:val="32"/>
          <w:lang w:eastAsia="zh-CN"/>
        </w:rPr>
        <w:t>国有资本经营预算</w:t>
      </w:r>
      <w:r>
        <w:rPr>
          <w:rFonts w:hint="eastAsia" w:ascii="仿宋_GB2312" w:hAnsi="仿宋_GB2312" w:eastAsia="仿宋_GB2312" w:cs="仿宋_GB2312"/>
          <w:color w:val="000000" w:themeColor="text1"/>
          <w:kern w:val="10"/>
          <w:sz w:val="32"/>
          <w:szCs w:val="32"/>
          <w14:textFill>
            <w14:solidFill>
              <w14:schemeClr w14:val="tx1"/>
            </w14:solidFill>
          </w14:textFill>
        </w:rPr>
        <w:t>收入</w:t>
      </w:r>
      <w:r>
        <w:rPr>
          <w:rFonts w:hint="eastAsia" w:ascii="仿宋_GB2312" w:hAnsi="仿宋_GB2312" w:eastAsia="仿宋_GB2312" w:cs="仿宋_GB2312"/>
          <w:kern w:val="10"/>
          <w:sz w:val="32"/>
          <w:szCs w:val="32"/>
        </w:rPr>
        <w:t>实际完成</w:t>
      </w:r>
      <w:r>
        <w:rPr>
          <w:rFonts w:hint="eastAsia" w:ascii="仿宋_GB2312" w:hAnsi="仿宋_GB2312" w:eastAsia="仿宋_GB2312" w:cs="仿宋_GB2312"/>
          <w:kern w:val="1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kern w:val="10"/>
          <w:sz w:val="32"/>
          <w:szCs w:val="32"/>
        </w:rPr>
        <w:t>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kern w:val="1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10"/>
          <w:sz w:val="32"/>
          <w:szCs w:val="32"/>
        </w:rPr>
        <w:t>2、</w:t>
      </w:r>
      <w:r>
        <w:rPr>
          <w:rFonts w:hint="eastAsia" w:ascii="仿宋_GB2312" w:hAnsi="仿宋_GB2312" w:eastAsia="仿宋_GB2312" w:cs="仿宋_GB2312"/>
          <w:b/>
          <w:bCs/>
          <w:kern w:val="10"/>
          <w:sz w:val="32"/>
          <w:szCs w:val="32"/>
          <w:lang w:eastAsia="zh-CN"/>
        </w:rPr>
        <w:t>国有资本经营</w:t>
      </w:r>
      <w:r>
        <w:rPr>
          <w:rFonts w:hint="eastAsia" w:ascii="仿宋_GB2312" w:hAnsi="仿宋_GB2312" w:eastAsia="仿宋_GB2312" w:cs="仿宋_GB2312"/>
          <w:b/>
          <w:bCs/>
          <w:kern w:val="10"/>
          <w:sz w:val="32"/>
          <w:szCs w:val="32"/>
        </w:rPr>
        <w:t>预算支出执行情况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kern w:val="1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kern w:val="10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bCs/>
          <w:kern w:val="10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bCs/>
          <w:kern w:val="1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Cs/>
          <w:kern w:val="10"/>
          <w:sz w:val="32"/>
          <w:szCs w:val="32"/>
          <w:lang w:eastAsia="zh-CN"/>
        </w:rPr>
        <w:t>年初</w:t>
      </w:r>
      <w:r>
        <w:rPr>
          <w:rFonts w:hint="eastAsia" w:ascii="仿宋_GB2312" w:hAnsi="仿宋_GB2312" w:eastAsia="仿宋_GB2312" w:cs="仿宋_GB2312"/>
          <w:kern w:val="10"/>
          <w:sz w:val="32"/>
          <w:szCs w:val="32"/>
          <w:lang w:eastAsia="zh-CN"/>
        </w:rPr>
        <w:t>未安排国有资本经营预算支出。</w:t>
      </w:r>
      <w:r>
        <w:rPr>
          <w:rFonts w:hint="eastAsia" w:ascii="仿宋_GB2312" w:hAnsi="仿宋_GB2312" w:eastAsia="仿宋_GB2312" w:cs="仿宋_GB2312"/>
          <w:bCs/>
          <w:kern w:val="10"/>
          <w:sz w:val="32"/>
          <w:szCs w:val="32"/>
        </w:rPr>
        <w:t>由于受</w:t>
      </w:r>
      <w:r>
        <w:rPr>
          <w:rFonts w:hint="eastAsia" w:ascii="仿宋_GB2312" w:hAnsi="仿宋_GB2312" w:eastAsia="仿宋_GB2312" w:cs="仿宋_GB2312"/>
          <w:bCs/>
          <w:kern w:val="10"/>
          <w:sz w:val="32"/>
          <w:szCs w:val="32"/>
          <w:lang w:eastAsia="zh-CN"/>
        </w:rPr>
        <w:t>上级补助收入</w:t>
      </w:r>
      <w:r>
        <w:rPr>
          <w:rFonts w:hint="eastAsia" w:ascii="仿宋_GB2312" w:hAnsi="仿宋_GB2312" w:eastAsia="仿宋_GB2312" w:cs="仿宋_GB2312"/>
          <w:bCs/>
          <w:kern w:val="10"/>
          <w:sz w:val="32"/>
          <w:szCs w:val="32"/>
        </w:rPr>
        <w:t>增加因素影响，</w:t>
      </w:r>
      <w:r>
        <w:rPr>
          <w:rFonts w:hint="eastAsia" w:ascii="仿宋_GB2312" w:hAnsi="仿宋_GB2312" w:eastAsia="仿宋_GB2312" w:cs="仿宋_GB2312"/>
          <w:bCs/>
          <w:kern w:val="10"/>
          <w:sz w:val="32"/>
          <w:szCs w:val="32"/>
          <w:highlight w:val="none"/>
        </w:rPr>
        <w:t>经区</w:t>
      </w:r>
      <w:r>
        <w:rPr>
          <w:rFonts w:hint="eastAsia" w:ascii="仿宋_GB2312" w:hAnsi="仿宋_GB2312" w:eastAsia="仿宋_GB2312" w:cs="仿宋_GB2312"/>
          <w:bCs/>
          <w:color w:val="auto"/>
          <w:kern w:val="10"/>
          <w:sz w:val="32"/>
          <w:szCs w:val="32"/>
          <w:highlight w:val="none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bCs/>
          <w:kern w:val="10"/>
          <w:sz w:val="32"/>
          <w:szCs w:val="32"/>
          <w:highlight w:val="none"/>
        </w:rPr>
        <w:t>届人大常委会</w:t>
      </w:r>
      <w:r>
        <w:rPr>
          <w:rFonts w:hint="eastAsia" w:ascii="仿宋_GB2312" w:hAnsi="仿宋_GB2312" w:eastAsia="仿宋_GB2312" w:cs="仿宋_GB2312"/>
          <w:bCs/>
          <w:kern w:val="10"/>
          <w:sz w:val="32"/>
          <w:szCs w:val="32"/>
          <w:highlight w:val="none"/>
          <w:lang w:val="en-US" w:eastAsia="zh-CN"/>
        </w:rPr>
        <w:t>第二十七</w:t>
      </w:r>
      <w:r>
        <w:rPr>
          <w:rFonts w:hint="eastAsia" w:ascii="仿宋_GB2312" w:hAnsi="仿宋_GB2312" w:eastAsia="仿宋_GB2312" w:cs="仿宋_GB2312"/>
          <w:bCs/>
          <w:kern w:val="10"/>
          <w:sz w:val="32"/>
          <w:szCs w:val="32"/>
          <w:highlight w:val="none"/>
        </w:rPr>
        <w:t>次会议</w:t>
      </w:r>
      <w:r>
        <w:rPr>
          <w:rFonts w:hint="eastAsia" w:ascii="仿宋_GB2312" w:hAnsi="仿宋_GB2312" w:eastAsia="仿宋_GB2312" w:cs="仿宋_GB2312"/>
          <w:bCs/>
          <w:kern w:val="10"/>
          <w:sz w:val="32"/>
          <w:szCs w:val="32"/>
          <w:highlight w:val="none"/>
          <w:lang w:val="en-US" w:eastAsia="zh-CN"/>
        </w:rPr>
        <w:t>批准</w:t>
      </w:r>
      <w:r>
        <w:rPr>
          <w:rFonts w:hint="eastAsia" w:ascii="仿宋_GB2312" w:hAnsi="仿宋_GB2312" w:eastAsia="仿宋_GB2312" w:cs="仿宋_GB2312"/>
          <w:color w:val="000000" w:themeColor="text1"/>
          <w:kern w:val="1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调</w:t>
      </w:r>
      <w:r>
        <w:rPr>
          <w:rFonts w:hint="eastAsia" w:ascii="仿宋_GB2312" w:hAnsi="仿宋_GB2312" w:eastAsia="仿宋_GB2312" w:cs="仿宋_GB2312"/>
          <w:color w:val="000000" w:themeColor="text1"/>
          <w:kern w:val="10"/>
          <w:sz w:val="32"/>
          <w:szCs w:val="32"/>
          <w14:textFill>
            <w14:solidFill>
              <w14:schemeClr w14:val="tx1"/>
            </w14:solidFill>
          </w14:textFill>
        </w:rPr>
        <w:t>整</w:t>
      </w:r>
      <w:r>
        <w:rPr>
          <w:rFonts w:hint="eastAsia" w:ascii="仿宋_GB2312" w:hAnsi="仿宋_GB2312" w:eastAsia="仿宋_GB2312" w:cs="仿宋_GB2312"/>
          <w:bCs/>
          <w:kern w:val="10"/>
          <w:sz w:val="32"/>
          <w:szCs w:val="32"/>
        </w:rPr>
        <w:t>为</w:t>
      </w:r>
      <w:r>
        <w:rPr>
          <w:rFonts w:hint="eastAsia" w:ascii="仿宋_GB2312" w:hAnsi="仿宋_GB2312" w:eastAsia="仿宋_GB2312" w:cs="仿宋_GB2312"/>
          <w:bCs/>
          <w:kern w:val="10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bCs/>
          <w:kern w:val="10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bCs/>
          <w:kern w:val="10"/>
          <w:sz w:val="32"/>
          <w:szCs w:val="32"/>
          <w:lang w:eastAsia="zh-CN"/>
        </w:rPr>
        <w:t>，实际</w:t>
      </w:r>
      <w:r>
        <w:rPr>
          <w:rFonts w:hint="eastAsia" w:ascii="仿宋_GB2312" w:hAnsi="仿宋_GB2312" w:eastAsia="仿宋_GB2312" w:cs="仿宋_GB2312"/>
          <w:bCs/>
          <w:kern w:val="10"/>
          <w:sz w:val="32"/>
          <w:szCs w:val="32"/>
        </w:rPr>
        <w:t>完成</w:t>
      </w:r>
      <w:r>
        <w:rPr>
          <w:rFonts w:hint="eastAsia" w:ascii="仿宋_GB2312" w:hAnsi="仿宋_GB2312" w:eastAsia="仿宋_GB2312" w:cs="仿宋_GB2312"/>
          <w:bCs/>
          <w:kern w:val="10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bCs/>
          <w:kern w:val="10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bCs/>
          <w:kern w:val="1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both"/>
        <w:textAlignment w:val="auto"/>
        <w:rPr>
          <w:rFonts w:hint="default" w:ascii="仿宋_GB2312" w:hAnsi="仿宋_GB2312" w:eastAsia="仿宋_GB2312" w:cs="仿宋_GB2312"/>
          <w:bCs/>
          <w:kern w:val="1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kern w:val="10"/>
          <w:sz w:val="32"/>
          <w:szCs w:val="32"/>
        </w:rPr>
        <w:t>功能分类支出主要是：</w:t>
      </w:r>
      <w:r>
        <w:rPr>
          <w:rFonts w:hint="eastAsia" w:ascii="仿宋_GB2312" w:hAnsi="仿宋_GB2312" w:eastAsia="仿宋_GB2312" w:cs="仿宋_GB2312"/>
          <w:bCs/>
          <w:kern w:val="10"/>
          <w:sz w:val="32"/>
          <w:szCs w:val="32"/>
          <w:lang w:val="en-US" w:eastAsia="zh-CN"/>
        </w:rPr>
        <w:t>解决历史遗留问题及改革成本支出15万元。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both"/>
        <w:textAlignment w:val="auto"/>
        <w:rPr>
          <w:rFonts w:hint="default" w:ascii="仿宋_GB2312" w:hAnsi="仿宋_GB2312" w:eastAsia="仿宋_GB2312" w:cs="仿宋_GB2312"/>
          <w:bCs/>
          <w:kern w:val="1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kern w:val="10"/>
          <w:sz w:val="32"/>
          <w:szCs w:val="32"/>
          <w:highlight w:val="none"/>
        </w:rPr>
        <w:t>经济分类支出主要是：</w:t>
      </w:r>
      <w:r>
        <w:rPr>
          <w:rFonts w:hint="eastAsia" w:ascii="仿宋_GB2312" w:hAnsi="仿宋_GB2312" w:eastAsia="仿宋_GB2312" w:cs="仿宋_GB2312"/>
          <w:bCs/>
          <w:kern w:val="10"/>
          <w:sz w:val="32"/>
          <w:szCs w:val="32"/>
          <w:lang w:val="en-US" w:eastAsia="zh-CN"/>
        </w:rPr>
        <w:t>其他支出15万元。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/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kern w:val="10"/>
          <w:sz w:val="32"/>
          <w:szCs w:val="32"/>
          <w14:textFill>
            <w14:solidFill>
              <w14:schemeClr w14:val="tx1"/>
            </w14:solidFill>
          </w14:textFill>
        </w:rPr>
        <w:t>根据现行市区财政体制测算，20</w:t>
      </w:r>
      <w:r>
        <w:rPr>
          <w:rFonts w:hint="eastAsia" w:ascii="仿宋_GB2312" w:hAnsi="仿宋_GB2312" w:eastAsia="仿宋_GB2312" w:cs="仿宋_GB2312"/>
          <w:bCs/>
          <w:color w:val="000000" w:themeColor="text1"/>
          <w:kern w:val="1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_GB2312" w:hAnsi="仿宋_GB2312" w:eastAsia="仿宋_GB2312" w:cs="仿宋_GB2312"/>
          <w:bCs/>
          <w:color w:val="000000" w:themeColor="text1"/>
          <w:kern w:val="10"/>
          <w:sz w:val="32"/>
          <w:szCs w:val="32"/>
          <w14:textFill>
            <w14:solidFill>
              <w14:schemeClr w14:val="tx1"/>
            </w14:solidFill>
          </w14:textFill>
        </w:rPr>
        <w:t>年全区</w:t>
      </w:r>
      <w:r>
        <w:rPr>
          <w:rFonts w:hint="eastAsia" w:ascii="仿宋_GB2312" w:hAnsi="仿宋_GB2312" w:eastAsia="仿宋_GB2312" w:cs="仿宋_GB2312"/>
          <w:bCs/>
          <w:color w:val="000000" w:themeColor="text1"/>
          <w:kern w:val="1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国有资本经营预算</w:t>
      </w:r>
      <w:r>
        <w:rPr>
          <w:rFonts w:hint="eastAsia" w:ascii="仿宋_GB2312" w:hAnsi="仿宋_GB2312" w:eastAsia="仿宋_GB2312" w:cs="仿宋_GB2312"/>
          <w:bCs/>
          <w:color w:val="000000" w:themeColor="text1"/>
          <w:kern w:val="10"/>
          <w:sz w:val="32"/>
          <w:szCs w:val="32"/>
          <w14:textFill>
            <w14:solidFill>
              <w14:schemeClr w14:val="tx1"/>
            </w14:solidFill>
          </w14:textFill>
        </w:rPr>
        <w:t>收入</w:t>
      </w:r>
      <w:r>
        <w:rPr>
          <w:rFonts w:hint="eastAsia" w:ascii="仿宋_GB2312" w:hAnsi="仿宋_GB2312" w:eastAsia="仿宋_GB2312" w:cs="仿宋_GB2312"/>
          <w:bCs/>
          <w:color w:val="000000" w:themeColor="text1"/>
          <w:kern w:val="1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_GB2312" w:hAnsi="仿宋_GB2312" w:eastAsia="仿宋_GB2312" w:cs="仿宋_GB2312"/>
          <w:bCs/>
          <w:color w:val="000000" w:themeColor="text1"/>
          <w:kern w:val="10"/>
          <w:sz w:val="32"/>
          <w:szCs w:val="32"/>
          <w14:textFill>
            <w14:solidFill>
              <w14:schemeClr w14:val="tx1"/>
            </w14:solidFill>
          </w14:textFill>
        </w:rPr>
        <w:t>万元，加上级补助收入</w:t>
      </w:r>
      <w:r>
        <w:rPr>
          <w:rFonts w:hint="eastAsia" w:ascii="仿宋_GB2312" w:hAnsi="仿宋_GB2312" w:eastAsia="仿宋_GB2312" w:cs="仿宋_GB2312"/>
          <w:bCs/>
          <w:color w:val="000000" w:themeColor="text1"/>
          <w:kern w:val="1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15</w:t>
      </w:r>
      <w:r>
        <w:rPr>
          <w:rFonts w:hint="eastAsia" w:ascii="仿宋_GB2312" w:hAnsi="仿宋_GB2312" w:eastAsia="仿宋_GB2312" w:cs="仿宋_GB2312"/>
          <w:bCs/>
          <w:color w:val="000000" w:themeColor="text1"/>
          <w:kern w:val="10"/>
          <w:sz w:val="32"/>
          <w:szCs w:val="32"/>
          <w14:textFill>
            <w14:solidFill>
              <w14:schemeClr w14:val="tx1"/>
            </w14:solidFill>
          </w14:textFill>
        </w:rPr>
        <w:t>万元</w:t>
      </w:r>
      <w:r>
        <w:rPr>
          <w:rFonts w:hint="eastAsia" w:ascii="仿宋_GB2312" w:hAnsi="仿宋_GB2312" w:eastAsia="仿宋_GB2312" w:cs="仿宋_GB2312"/>
          <w:bCs/>
          <w:color w:val="000000" w:themeColor="text1"/>
          <w:kern w:val="1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bCs/>
          <w:color w:val="000000" w:themeColor="text1"/>
          <w:kern w:val="10"/>
          <w:sz w:val="32"/>
          <w:szCs w:val="32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_GB2312" w:hAnsi="仿宋_GB2312" w:eastAsia="仿宋_GB2312" w:cs="仿宋_GB2312"/>
          <w:bCs/>
          <w:color w:val="000000" w:themeColor="text1"/>
          <w:kern w:val="1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_GB2312" w:hAnsi="仿宋_GB2312" w:eastAsia="仿宋_GB2312" w:cs="仿宋_GB2312"/>
          <w:bCs/>
          <w:color w:val="000000" w:themeColor="text1"/>
          <w:kern w:val="10"/>
          <w:sz w:val="32"/>
          <w:szCs w:val="32"/>
          <w14:textFill>
            <w14:solidFill>
              <w14:schemeClr w14:val="tx1"/>
            </w14:solidFill>
          </w14:textFill>
        </w:rPr>
        <w:t>全区</w:t>
      </w:r>
      <w:r>
        <w:rPr>
          <w:rFonts w:hint="eastAsia" w:ascii="仿宋_GB2312" w:hAnsi="仿宋_GB2312" w:eastAsia="仿宋_GB2312" w:cs="仿宋_GB2312"/>
          <w:bCs/>
          <w:color w:val="000000" w:themeColor="text1"/>
          <w:kern w:val="1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国有资本经营</w:t>
      </w:r>
      <w:r>
        <w:rPr>
          <w:rFonts w:hint="eastAsia" w:ascii="仿宋_GB2312" w:hAnsi="仿宋_GB2312" w:eastAsia="仿宋_GB2312" w:cs="仿宋_GB2312"/>
          <w:bCs/>
          <w:color w:val="000000" w:themeColor="text1"/>
          <w:kern w:val="10"/>
          <w:sz w:val="32"/>
          <w:szCs w:val="32"/>
          <w14:textFill>
            <w14:solidFill>
              <w14:schemeClr w14:val="tx1"/>
            </w14:solidFill>
          </w14:textFill>
        </w:rPr>
        <w:t>预算财力为</w:t>
      </w:r>
      <w:r>
        <w:rPr>
          <w:rFonts w:hint="eastAsia" w:ascii="仿宋_GB2312" w:hAnsi="仿宋_GB2312" w:eastAsia="仿宋_GB2312" w:cs="仿宋_GB2312"/>
          <w:bCs/>
          <w:color w:val="000000" w:themeColor="text1"/>
          <w:kern w:val="1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15</w:t>
      </w:r>
      <w:r>
        <w:rPr>
          <w:rFonts w:hint="eastAsia" w:ascii="仿宋_GB2312" w:hAnsi="仿宋_GB2312" w:eastAsia="仿宋_GB2312" w:cs="仿宋_GB2312"/>
          <w:bCs/>
          <w:color w:val="000000" w:themeColor="text1"/>
          <w:kern w:val="10"/>
          <w:sz w:val="32"/>
          <w:szCs w:val="32"/>
          <w14:textFill>
            <w14:solidFill>
              <w14:schemeClr w14:val="tx1"/>
            </w14:solidFill>
          </w14:textFill>
        </w:rPr>
        <w:t>万元</w:t>
      </w:r>
      <w:r>
        <w:rPr>
          <w:rFonts w:hint="eastAsia" w:ascii="仿宋_GB2312" w:hAnsi="仿宋_GB2312" w:eastAsia="仿宋_GB2312" w:cs="仿宋_GB2312"/>
          <w:bCs/>
          <w:color w:val="000000" w:themeColor="text1"/>
          <w:kern w:val="1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bCs/>
          <w:color w:val="000000" w:themeColor="text1"/>
          <w:kern w:val="10"/>
          <w:sz w:val="32"/>
          <w:szCs w:val="32"/>
          <w14:textFill>
            <w14:solidFill>
              <w14:schemeClr w14:val="tx1"/>
            </w14:solidFill>
          </w14:textFill>
        </w:rPr>
        <w:t>当年</w:t>
      </w:r>
      <w:r>
        <w:rPr>
          <w:rFonts w:hint="eastAsia" w:ascii="仿宋_GB2312" w:hAnsi="仿宋_GB2312" w:eastAsia="仿宋_GB2312" w:cs="仿宋_GB2312"/>
          <w:bCs/>
          <w:color w:val="000000" w:themeColor="text1"/>
          <w:kern w:val="1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全区国有资本经营</w:t>
      </w:r>
      <w:r>
        <w:rPr>
          <w:rFonts w:hint="eastAsia" w:ascii="仿宋_GB2312" w:hAnsi="仿宋_GB2312" w:eastAsia="仿宋_GB2312" w:cs="仿宋_GB2312"/>
          <w:bCs/>
          <w:color w:val="000000" w:themeColor="text1"/>
          <w:kern w:val="10"/>
          <w:sz w:val="32"/>
          <w:szCs w:val="32"/>
          <w14:textFill>
            <w14:solidFill>
              <w14:schemeClr w14:val="tx1"/>
            </w14:solidFill>
          </w14:textFill>
        </w:rPr>
        <w:t>预算支出完成</w:t>
      </w:r>
      <w:r>
        <w:rPr>
          <w:rFonts w:hint="eastAsia" w:ascii="仿宋_GB2312" w:hAnsi="仿宋_GB2312" w:eastAsia="仿宋_GB2312" w:cs="仿宋_GB2312"/>
          <w:bCs/>
          <w:color w:val="000000" w:themeColor="text1"/>
          <w:kern w:val="1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15</w:t>
      </w:r>
      <w:r>
        <w:rPr>
          <w:rFonts w:hint="eastAsia" w:ascii="仿宋_GB2312" w:hAnsi="仿宋_GB2312" w:eastAsia="仿宋_GB2312" w:cs="仿宋_GB2312"/>
          <w:bCs/>
          <w:color w:val="000000" w:themeColor="text1"/>
          <w:kern w:val="10"/>
          <w:sz w:val="32"/>
          <w:szCs w:val="32"/>
          <w14:textFill>
            <w14:solidFill>
              <w14:schemeClr w14:val="tx1"/>
            </w14:solidFill>
          </w14:textFill>
        </w:rPr>
        <w:t>万元</w:t>
      </w:r>
      <w:r>
        <w:rPr>
          <w:rFonts w:hint="eastAsia" w:ascii="仿宋_GB2312" w:hAnsi="仿宋_GB2312" w:eastAsia="仿宋_GB2312" w:cs="仿宋_GB2312"/>
          <w:bCs/>
          <w:color w:val="000000" w:themeColor="text1"/>
          <w:kern w:val="1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  <w:highlight w:val="none"/>
        </w:rPr>
        <w:t>（</w:t>
      </w:r>
      <w:r>
        <w:rPr>
          <w:rFonts w:hint="eastAsia" w:ascii="楷体_GB2312" w:hAnsi="楷体_GB2312" w:eastAsia="楷体_GB2312" w:cs="楷体_GB2312"/>
          <w:b/>
          <w:sz w:val="32"/>
          <w:szCs w:val="32"/>
          <w:highlight w:val="none"/>
          <w:lang w:eastAsia="zh-CN"/>
        </w:rPr>
        <w:t>四</w:t>
      </w:r>
      <w:r>
        <w:rPr>
          <w:rFonts w:hint="eastAsia" w:ascii="楷体_GB2312" w:hAnsi="楷体_GB2312" w:eastAsia="楷体_GB2312" w:cs="楷体_GB2312"/>
          <w:b/>
          <w:sz w:val="32"/>
          <w:szCs w:val="32"/>
          <w:highlight w:val="none"/>
        </w:rPr>
        <w:t>）社会保险基金预算执行情况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color w:val="000000" w:themeColor="text1"/>
          <w:kern w:val="1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kern w:val="10"/>
          <w:sz w:val="32"/>
          <w:szCs w:val="32"/>
          <w14:textFill>
            <w14:solidFill>
              <w14:schemeClr w14:val="tx1"/>
            </w14:solidFill>
          </w14:textFill>
        </w:rPr>
        <w:t>2020年社会保险基金年初预算收入为6997万元，社保基金收入</w:t>
      </w:r>
      <w:r>
        <w:rPr>
          <w:rFonts w:hint="eastAsia" w:ascii="仿宋_GB2312" w:hAnsi="仿宋_GB2312" w:eastAsia="仿宋_GB2312" w:cs="仿宋_GB2312"/>
          <w:bCs/>
          <w:color w:val="000000" w:themeColor="text1"/>
          <w:kern w:val="1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实际</w:t>
      </w:r>
      <w:r>
        <w:rPr>
          <w:rFonts w:hint="eastAsia" w:ascii="仿宋_GB2312" w:hAnsi="仿宋_GB2312" w:eastAsia="仿宋_GB2312" w:cs="仿宋_GB2312"/>
          <w:bCs/>
          <w:color w:val="000000" w:themeColor="text1"/>
          <w:kern w:val="10"/>
          <w:sz w:val="32"/>
          <w:szCs w:val="32"/>
          <w14:textFill>
            <w14:solidFill>
              <w14:schemeClr w14:val="tx1"/>
            </w14:solidFill>
          </w14:textFill>
        </w:rPr>
        <w:t>完成7600万元，</w:t>
      </w:r>
      <w:r>
        <w:rPr>
          <w:rFonts w:hint="eastAsia" w:ascii="仿宋_GB2312" w:hAnsi="仿宋_GB2312" w:eastAsia="仿宋_GB2312" w:cs="仿宋_GB2312"/>
          <w:bCs/>
          <w:color w:val="000000" w:themeColor="text1"/>
          <w:kern w:val="1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为年初预算的108.6%</w:t>
      </w:r>
      <w:r>
        <w:rPr>
          <w:rFonts w:hint="eastAsia" w:ascii="仿宋_GB2312" w:hAnsi="仿宋_GB2312" w:eastAsia="仿宋_GB2312" w:cs="仿宋_GB2312"/>
          <w:bCs/>
          <w:color w:val="000000" w:themeColor="text1"/>
          <w:kern w:val="10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color w:val="000000" w:themeColor="text1"/>
          <w:kern w:val="1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kern w:val="10"/>
          <w:sz w:val="32"/>
          <w:szCs w:val="32"/>
          <w14:textFill>
            <w14:solidFill>
              <w14:schemeClr w14:val="tx1"/>
            </w14:solidFill>
          </w14:textFill>
        </w:rPr>
        <w:t>2020年社会保险基金年初预算支出为4857万元，社保基金支出</w:t>
      </w:r>
      <w:r>
        <w:rPr>
          <w:rFonts w:hint="eastAsia" w:ascii="仿宋_GB2312" w:hAnsi="仿宋_GB2312" w:eastAsia="仿宋_GB2312" w:cs="仿宋_GB2312"/>
          <w:bCs/>
          <w:color w:val="000000" w:themeColor="text1"/>
          <w:kern w:val="1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实际</w:t>
      </w:r>
      <w:r>
        <w:rPr>
          <w:rFonts w:hint="eastAsia" w:ascii="仿宋_GB2312" w:hAnsi="仿宋_GB2312" w:eastAsia="仿宋_GB2312" w:cs="仿宋_GB2312"/>
          <w:bCs/>
          <w:color w:val="000000" w:themeColor="text1"/>
          <w:kern w:val="10"/>
          <w:sz w:val="32"/>
          <w:szCs w:val="32"/>
          <w14:textFill>
            <w14:solidFill>
              <w14:schemeClr w14:val="tx1"/>
            </w14:solidFill>
          </w14:textFill>
        </w:rPr>
        <w:t>完成4928万元，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1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为年初预算的101.5%</w:t>
      </w:r>
      <w:r>
        <w:rPr>
          <w:rFonts w:hint="eastAsia" w:ascii="仿宋_GB2312" w:hAnsi="仿宋_GB2312" w:eastAsia="仿宋_GB2312" w:cs="仿宋_GB2312"/>
          <w:bCs/>
          <w:color w:val="000000" w:themeColor="text1"/>
          <w:kern w:val="10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kern w:val="10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kern w:val="10"/>
          <w:sz w:val="32"/>
          <w:szCs w:val="32"/>
          <w:highlight w:val="none"/>
        </w:rPr>
        <w:t>（</w:t>
      </w:r>
      <w:r>
        <w:rPr>
          <w:rFonts w:hint="eastAsia" w:ascii="楷体_GB2312" w:hAnsi="楷体_GB2312" w:eastAsia="楷体_GB2312" w:cs="楷体_GB2312"/>
          <w:b/>
          <w:bCs/>
          <w:kern w:val="10"/>
          <w:sz w:val="32"/>
          <w:szCs w:val="32"/>
          <w:highlight w:val="none"/>
          <w:lang w:eastAsia="zh-CN"/>
        </w:rPr>
        <w:t>五</w:t>
      </w:r>
      <w:r>
        <w:rPr>
          <w:rFonts w:hint="eastAsia" w:ascii="楷体_GB2312" w:hAnsi="楷体_GB2312" w:eastAsia="楷体_GB2312" w:cs="楷体_GB2312"/>
          <w:b/>
          <w:bCs/>
          <w:kern w:val="10"/>
          <w:sz w:val="32"/>
          <w:szCs w:val="32"/>
          <w:highlight w:val="none"/>
        </w:rPr>
        <w:t>）政府债务情况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7" w:firstLineChars="196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上级财政部门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核定我区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2020年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政府债务限额累计118028万元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其中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一般债务限额49328万元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专项债务限额68700万元。截至2020年底，全区实际债务余额11079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万元，其中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一般债务44245万元，专项债务66548万元。全区债务总额和分项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余额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均低于上级财政部门核定的债务限额。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7" w:firstLineChars="196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2020年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上级财政部门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新增我区债券39100万元，其中：一般债券4400万元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专项债券34700万元。债券资金的及时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安排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，较好地保障了重点项目建设资金需求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7" w:firstLineChars="196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 2020年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上级财政部门转贷我区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再融资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类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债券6788万元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其中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一般再融资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4789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万元，专项再融资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19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99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万元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7" w:firstLineChars="196"/>
        <w:jc w:val="both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2020年积极争取抗疫特别国债5945万元，用于我区基础设施建设和疫情防控等方面支出，有效缓解了新冠肺炎疫情对我区经济社会发展的影响。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7" w:firstLineChars="196"/>
        <w:jc w:val="both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上述预算执行情况经上级财政部门批复后如有变化，将依据法定程序向区人大常委会报告。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方正黑体简体" w:hAnsi="方正黑体简体" w:eastAsia="方正黑体简体" w:cs="方正黑体简体"/>
          <w:b w:val="0"/>
          <w:bCs w:val="0"/>
          <w:kern w:val="10"/>
          <w:sz w:val="32"/>
          <w:szCs w:val="32"/>
          <w:highlight w:val="none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kern w:val="10"/>
          <w:sz w:val="32"/>
          <w:szCs w:val="32"/>
          <w:highlight w:val="none"/>
        </w:rPr>
        <w:t>二、</w:t>
      </w:r>
      <w:r>
        <w:rPr>
          <w:rFonts w:hint="eastAsia" w:ascii="方正黑体简体" w:hAnsi="方正黑体简体" w:eastAsia="方正黑体简体" w:cs="方正黑体简体"/>
          <w:b w:val="0"/>
          <w:bCs w:val="0"/>
          <w:kern w:val="10"/>
          <w:sz w:val="32"/>
          <w:szCs w:val="32"/>
          <w:highlight w:val="none"/>
          <w:lang w:val="en-US" w:eastAsia="zh-CN"/>
        </w:rPr>
        <w:t>2020</w:t>
      </w:r>
      <w:r>
        <w:rPr>
          <w:rFonts w:hint="eastAsia" w:ascii="方正黑体简体" w:hAnsi="方正黑体简体" w:eastAsia="方正黑体简体" w:cs="方正黑体简体"/>
          <w:b w:val="0"/>
          <w:bCs w:val="0"/>
          <w:kern w:val="10"/>
          <w:sz w:val="32"/>
          <w:szCs w:val="32"/>
          <w:highlight w:val="none"/>
        </w:rPr>
        <w:t>年主要财政工作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积极组织</w:t>
      </w: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财政收入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加强收入形势研判。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克服减税降费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新冠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疫情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等客观因素影响，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区财政积极与税务部门和各乡（镇）、街道沟通协调，合理确定财政收入预期目标。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强化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组织收入工作。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继续实行乡（镇）、街道收入定期通报排名制度，鼓励先进，鞭策落后。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适时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召开财税分析会，总结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上阶段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工作情况，部署下阶段税收任务，研判收入形势，安排征管部门和乡（镇）、街道财税工作重点。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大力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开展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综合治税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协同税务等部门，聘请第三方对全区符合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清算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条件的房地产企业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税收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进行专项清算工作，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共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清算房地产类企业14个，入库税款16500万元，为全区一般公共预算收入实现均衡入库奠定了基础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highlight w:val="none"/>
        </w:rPr>
        <w:t>持续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  <w:t>推进财政改革和管理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积极落实减税降费重大举措。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坚决贯彻国家出台的税费优惠措施，巩固减税降费成果，支持企业复工复产，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全年共减税降费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25770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万元，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减轻了企业负担。</w:t>
      </w: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加大财政存量资金统筹力度。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按照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市统一部署，开展为期三个月的存量资金专项清理工作，共收回财政存量资金18993万元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主要用于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脱贫攻坚和民生支出。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强化政府采购管理。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全年网上商城采购426次，采购金额814万元，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小额采购实现了价格可比、公开透明、便捷高效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全年限额以上采购项目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111个，预算金额173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80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万元，中标金额162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万元，节约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资金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1160万元，节约率7%。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严格规范行政事业单位资产配置工作。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合理配置国有资产，厉行节俭反对浪费，严把资产配置标准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结合单位存量资产，对不符合标准的采购项目计划申报予以退回。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强化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政府投资项目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预决算评审。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全年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评审项目228个，送审金额56190万元，审定金额4877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万元，审减金额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7415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万元，审减率13.2%。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</w:rPr>
        <w:t>（三）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支持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</w:rPr>
        <w:t>打赢三大攻坚战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color w:val="7030A0"/>
          <w:spacing w:val="-4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支持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打赢风险防范攻坚战。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健全规范政府债务风险管控和化解机制，强化政府债务在线监控，加大预算约束力度，严格规范政府举债行为，提升风险监控能力，守住国家法律“红线”，坚守财政承受能力“底线”，确保财政稳健运行和经济持续健康发展。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支持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打赢精准脱贫攻坚战。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全年安排财政扶贫项目资金3262万元，较上年增长22.3%。其中安排基础设施类、安全饮水提升类、产业扶贫类等共73个项目。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支持打赢污染防治攻坚战。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安排农村生活垃圾市场化运作、农村“厕所革命”、农村土壤污染防治、“双替代”等资金8460万元，改善了辖区人居环境，提高了城乡居民生活质量。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color w:val="7030A0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（四）全面支持“三农”和社会事业发展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落实支农惠农政策。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安排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耕地地力保护补贴资金19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19万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元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提高了农民种粮积极性。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发放大中型水库移民补贴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资金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49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万元，提高了移民户的生活水平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。安排移民工程项目12个，投入资金1072万元，改善了移民村基础设施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条件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积极支持教育事业发展。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安排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“两免一补”资金2770万元，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全力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确保义务阶段学生完成学业。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安排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33万元营养餐补助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资金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，用于建档立卡贫困户家庭学生营养改善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安排教师乡村补贴、班主任津贴785万元，提高了全区教师教书育人的积极性。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安排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404万元用于教师培训，提升教师队伍教学质量。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安排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1067万元用于薄弱学校改造，提高办学条件。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安排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183万元发展学前教育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促进了学前教育的发展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支持社会保障体系建设。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安排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94万元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用于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资助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5303名困难群众参保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努力保障贫困人员病有所医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安排207万元用于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贫困户医疗救助，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减轻了贫困户医疗负担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安排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贫困劳动力公益性岗位补贴348万元，用于全区5623人次就业补贴，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助力打赢全区脱贫攻坚战。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加大卫生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健康事业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投入。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安排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2011万元用于全区基本公共卫生服务体系建设，基本公共卫生服务基本实现了服务均等化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。安排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326万元用于基本药物补助，降低了老百姓看病费用。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安排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96万元用于残疾儿童康复救助，促进了残疾儿童全面发展、减轻了残疾儿童家庭负担。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安排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298万元开展“消化道肿瘤、心脑血管免费筛查”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帮助辖区居民进行疾病预防和控制。安排1407万元用于新冠肺炎疫情防控，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为我区打赢疫情防控阻击战提供了保障。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方正黑体简体" w:hAnsi="方正黑体简体" w:eastAsia="方正黑体简体" w:cs="方正黑体简体"/>
          <w:b w:val="0"/>
          <w:bCs w:val="0"/>
          <w:kern w:val="10"/>
          <w:sz w:val="32"/>
          <w:szCs w:val="32"/>
          <w:highlight w:val="none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kern w:val="10"/>
          <w:sz w:val="32"/>
          <w:szCs w:val="32"/>
          <w:highlight w:val="none"/>
        </w:rPr>
        <w:t>三、202</w:t>
      </w:r>
      <w:r>
        <w:rPr>
          <w:rFonts w:hint="eastAsia" w:ascii="方正黑体简体" w:hAnsi="方正黑体简体" w:eastAsia="方正黑体简体" w:cs="方正黑体简体"/>
          <w:b w:val="0"/>
          <w:bCs w:val="0"/>
          <w:kern w:val="10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方正黑体简体" w:hAnsi="方正黑体简体" w:eastAsia="方正黑体简体" w:cs="方正黑体简体"/>
          <w:b w:val="0"/>
          <w:bCs w:val="0"/>
          <w:kern w:val="10"/>
          <w:sz w:val="32"/>
          <w:szCs w:val="32"/>
          <w:highlight w:val="none"/>
        </w:rPr>
        <w:t>年财政预算（草案）安排</w:t>
      </w:r>
    </w:p>
    <w:p>
      <w:pPr>
        <w:ind w:firstLine="640" w:firstLineChars="200"/>
        <w:rPr>
          <w:rFonts w:hint="eastAsia" w:ascii="仿宋_GB2312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2021年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财政工作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的指导思想：</w:t>
      </w:r>
      <w:r>
        <w:rPr>
          <w:rFonts w:hint="eastAsia" w:ascii="仿宋_GB2312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以习近平新时代中国特色社会主义思想为指导，围绕区委“工业强区，开放兴区，建设美丽宜居新城区”发展战略和“十四五”时期发展目标，全力支持开放招商，努力培植税源，夯实全区财力基础。优化财政支出结构，持续保障和改善民生，增强对重大战略任务和重点领域财力保障力度。加强财政资源统筹，突出保基本、守底线，提高财政资金使用效率和效果。加强全区政府债务管理，积极防范化解政府债务风险。持续深化财政改革，调整完善财政体制，为建设新时代现代化强区提供有力财政支撑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ascii="仿宋" w:hAnsi="仿宋" w:eastAsia="仿宋" w:cs="仿宋_GB2312"/>
          <w:kern w:val="1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10"/>
          <w:sz w:val="32"/>
          <w:szCs w:val="32"/>
          <w:highlight w:val="none"/>
        </w:rPr>
        <w:t>根据上述指导思想，综合考虑我区主要经济预期指标和财政收支增减因素，202</w:t>
      </w:r>
      <w:r>
        <w:rPr>
          <w:rFonts w:hint="eastAsia" w:ascii="仿宋_GB2312" w:hAnsi="仿宋_GB2312" w:eastAsia="仿宋_GB2312" w:cs="仿宋_GB2312"/>
          <w:kern w:val="10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kern w:val="10"/>
          <w:sz w:val="32"/>
          <w:szCs w:val="32"/>
          <w:highlight w:val="none"/>
        </w:rPr>
        <w:t>年全区财政收支预算拟安排如下：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kern w:val="10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kern w:val="10"/>
          <w:sz w:val="32"/>
          <w:szCs w:val="32"/>
          <w:highlight w:val="none"/>
        </w:rPr>
        <w:t>（一）一般公共预算拟安排情况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kern w:val="10"/>
          <w:sz w:val="32"/>
          <w:szCs w:val="32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b/>
          <w:bCs/>
          <w:kern w:val="10"/>
          <w:sz w:val="32"/>
          <w:szCs w:val="32"/>
          <w:highlight w:val="none"/>
        </w:rPr>
        <w:t>1、一般公共预算收入拟安排情况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FF0000"/>
          <w:kern w:val="1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10"/>
          <w:sz w:val="32"/>
          <w:szCs w:val="32"/>
          <w:highlight w:val="none"/>
        </w:rPr>
        <w:t>202</w:t>
      </w:r>
      <w:r>
        <w:rPr>
          <w:rFonts w:hint="eastAsia" w:ascii="仿宋_GB2312" w:hAnsi="仿宋_GB2312" w:eastAsia="仿宋_GB2312" w:cs="仿宋_GB2312"/>
          <w:kern w:val="10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kern w:val="10"/>
          <w:sz w:val="32"/>
          <w:szCs w:val="32"/>
          <w:highlight w:val="none"/>
        </w:rPr>
        <w:t>年全区一般公共预算收入拟安排</w:t>
      </w:r>
      <w:r>
        <w:rPr>
          <w:rFonts w:hint="eastAsia" w:ascii="仿宋_GB2312" w:hAnsi="仿宋_GB2312" w:eastAsia="仿宋_GB2312" w:cs="仿宋_GB2312"/>
          <w:kern w:val="10"/>
          <w:sz w:val="32"/>
          <w:szCs w:val="32"/>
          <w:highlight w:val="none"/>
          <w:lang w:val="en-US" w:eastAsia="zh-CN"/>
        </w:rPr>
        <w:t>100000</w:t>
      </w:r>
      <w:r>
        <w:rPr>
          <w:rFonts w:hint="eastAsia" w:ascii="仿宋_GB2312" w:hAnsi="仿宋_GB2312" w:eastAsia="仿宋_GB2312" w:cs="仿宋_GB2312"/>
          <w:kern w:val="10"/>
          <w:sz w:val="32"/>
          <w:szCs w:val="32"/>
          <w:highlight w:val="none"/>
        </w:rPr>
        <w:t>万元，较上年完成数增长</w:t>
      </w:r>
      <w:r>
        <w:rPr>
          <w:rFonts w:hint="eastAsia" w:ascii="仿宋_GB2312" w:hAnsi="仿宋_GB2312" w:eastAsia="仿宋_GB2312" w:cs="仿宋_GB2312"/>
          <w:kern w:val="10"/>
          <w:sz w:val="32"/>
          <w:szCs w:val="32"/>
          <w:highlight w:val="none"/>
          <w:lang w:val="en-US" w:eastAsia="zh-CN"/>
        </w:rPr>
        <w:t>18.7</w:t>
      </w:r>
      <w:r>
        <w:rPr>
          <w:rFonts w:hint="eastAsia" w:ascii="仿宋_GB2312" w:hAnsi="仿宋_GB2312" w:eastAsia="仿宋_GB2312" w:cs="仿宋_GB2312"/>
          <w:kern w:val="10"/>
          <w:sz w:val="32"/>
          <w:szCs w:val="32"/>
          <w:highlight w:val="none"/>
        </w:rPr>
        <w:t>%</w:t>
      </w:r>
      <w:r>
        <w:rPr>
          <w:rFonts w:hint="eastAsia" w:ascii="仿宋_GB2312" w:hAnsi="仿宋_GB2312" w:eastAsia="仿宋_GB2312" w:cs="仿宋_GB2312"/>
          <w:kern w:val="10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kern w:val="10"/>
          <w:sz w:val="32"/>
          <w:szCs w:val="32"/>
          <w:highlight w:val="none"/>
        </w:rPr>
        <w:t>其中</w:t>
      </w:r>
      <w:r>
        <w:rPr>
          <w:rFonts w:hint="eastAsia" w:ascii="仿宋_GB2312" w:hAnsi="仿宋_GB2312" w:eastAsia="仿宋_GB2312" w:cs="仿宋_GB2312"/>
          <w:kern w:val="10"/>
          <w:sz w:val="32"/>
          <w:szCs w:val="32"/>
          <w:highlight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kern w:val="10"/>
          <w:sz w:val="32"/>
          <w:szCs w:val="32"/>
          <w:highlight w:val="none"/>
        </w:rPr>
        <w:t>税收收入</w:t>
      </w:r>
      <w:r>
        <w:rPr>
          <w:rFonts w:hint="eastAsia" w:ascii="仿宋_GB2312" w:hAnsi="仿宋_GB2312" w:eastAsia="仿宋_GB2312" w:cs="仿宋_GB2312"/>
          <w:kern w:val="10"/>
          <w:sz w:val="32"/>
          <w:szCs w:val="32"/>
          <w:highlight w:val="none"/>
          <w:lang w:val="en-US" w:eastAsia="zh-CN"/>
        </w:rPr>
        <w:t>83000</w:t>
      </w:r>
      <w:r>
        <w:rPr>
          <w:rFonts w:hint="eastAsia" w:ascii="仿宋_GB2312" w:hAnsi="仿宋_GB2312" w:eastAsia="仿宋_GB2312" w:cs="仿宋_GB2312"/>
          <w:kern w:val="10"/>
          <w:sz w:val="32"/>
          <w:szCs w:val="32"/>
          <w:highlight w:val="none"/>
        </w:rPr>
        <w:t>万元，非税收入</w:t>
      </w:r>
      <w:r>
        <w:rPr>
          <w:rFonts w:hint="eastAsia" w:ascii="仿宋_GB2312" w:hAnsi="仿宋_GB2312" w:eastAsia="仿宋_GB2312" w:cs="仿宋_GB2312"/>
          <w:kern w:val="10"/>
          <w:sz w:val="32"/>
          <w:szCs w:val="32"/>
          <w:highlight w:val="none"/>
          <w:lang w:val="en-US" w:eastAsia="zh-CN"/>
        </w:rPr>
        <w:t>17000</w:t>
      </w:r>
      <w:r>
        <w:rPr>
          <w:rFonts w:hint="eastAsia" w:ascii="仿宋_GB2312" w:hAnsi="仿宋_GB2312" w:eastAsia="仿宋_GB2312" w:cs="仿宋_GB2312"/>
          <w:kern w:val="10"/>
          <w:sz w:val="32"/>
          <w:szCs w:val="32"/>
          <w:highlight w:val="none"/>
        </w:rPr>
        <w:t>万元</w:t>
      </w:r>
      <w:r>
        <w:rPr>
          <w:rFonts w:hint="eastAsia" w:ascii="仿宋_GB2312" w:hAnsi="仿宋_GB2312" w:eastAsia="仿宋_GB2312" w:cs="仿宋_GB2312"/>
          <w:kern w:val="10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kern w:val="1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1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2、一般公共预算支出拟安排情况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FF0000"/>
          <w:kern w:val="1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1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_GB2312" w:eastAsia="仿宋_GB2312" w:cs="仿宋_GB2312"/>
          <w:color w:val="000000" w:themeColor="text1"/>
          <w:kern w:val="1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color w:val="000000" w:themeColor="text1"/>
          <w:kern w:val="1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年全区一般公共预算支出拟安排</w:t>
      </w:r>
      <w:r>
        <w:rPr>
          <w:rFonts w:hint="eastAsia" w:ascii="仿宋_GB2312" w:hAnsi="仿宋_GB2312" w:eastAsia="仿宋_GB2312" w:cs="仿宋_GB2312"/>
          <w:color w:val="000000" w:themeColor="text1"/>
          <w:kern w:val="1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165780</w:t>
      </w:r>
      <w:r>
        <w:rPr>
          <w:rFonts w:hint="eastAsia" w:ascii="仿宋_GB2312" w:hAnsi="仿宋_GB2312" w:eastAsia="仿宋_GB2312" w:cs="仿宋_GB2312"/>
          <w:color w:val="000000" w:themeColor="text1"/>
          <w:kern w:val="1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万元，较上年预算数增长</w:t>
      </w:r>
      <w:r>
        <w:rPr>
          <w:rFonts w:hint="eastAsia" w:ascii="仿宋_GB2312" w:hAnsi="仿宋_GB2312" w:eastAsia="仿宋_GB2312" w:cs="仿宋_GB2312"/>
          <w:color w:val="000000" w:themeColor="text1"/>
          <w:kern w:val="1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17.3</w:t>
      </w:r>
      <w:r>
        <w:rPr>
          <w:rFonts w:hint="eastAsia" w:ascii="仿宋_GB2312" w:hAnsi="仿宋_GB2312" w:eastAsia="仿宋_GB2312" w:cs="仿宋_GB2312"/>
          <w:color w:val="000000" w:themeColor="text1"/>
          <w:kern w:val="1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%</w:t>
      </w:r>
      <w:r>
        <w:rPr>
          <w:rFonts w:hint="eastAsia" w:ascii="仿宋_GB2312" w:hAnsi="仿宋_GB2312" w:eastAsia="仿宋_GB2312" w:cs="仿宋_GB2312"/>
          <w:color w:val="000000" w:themeColor="text1"/>
          <w:kern w:val="1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kern w:val="10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kern w:val="10"/>
          <w:sz w:val="32"/>
          <w:szCs w:val="32"/>
          <w:highlight w:val="none"/>
        </w:rPr>
        <w:t>（二）政府性基金预算拟安排情况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kern w:val="1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10"/>
          <w:sz w:val="32"/>
          <w:szCs w:val="32"/>
        </w:rPr>
        <w:t>2021年</w:t>
      </w:r>
      <w:r>
        <w:rPr>
          <w:rFonts w:hint="eastAsia" w:ascii="仿宋_GB2312" w:hAnsi="仿宋_GB2312" w:eastAsia="仿宋_GB2312" w:cs="仿宋_GB2312"/>
          <w:bCs/>
          <w:kern w:val="10"/>
          <w:sz w:val="32"/>
          <w:szCs w:val="32"/>
          <w:lang w:eastAsia="zh-CN"/>
        </w:rPr>
        <w:t>全区</w:t>
      </w:r>
      <w:r>
        <w:rPr>
          <w:rFonts w:hint="eastAsia" w:ascii="仿宋_GB2312" w:hAnsi="仿宋_GB2312" w:eastAsia="仿宋_GB2312" w:cs="仿宋_GB2312"/>
          <w:bCs/>
          <w:kern w:val="10"/>
          <w:sz w:val="32"/>
          <w:szCs w:val="32"/>
        </w:rPr>
        <w:t>政府性基金预算收入拟安排</w:t>
      </w:r>
      <w:r>
        <w:rPr>
          <w:rFonts w:hint="eastAsia" w:ascii="仿宋_GB2312" w:hAnsi="仿宋_GB2312" w:eastAsia="仿宋_GB2312" w:cs="仿宋_GB2312"/>
          <w:bCs/>
          <w:kern w:val="10"/>
          <w:sz w:val="32"/>
          <w:szCs w:val="32"/>
          <w:lang w:val="en-US" w:eastAsia="zh-CN"/>
        </w:rPr>
        <w:t>136000</w:t>
      </w:r>
      <w:r>
        <w:rPr>
          <w:rFonts w:hint="eastAsia" w:ascii="仿宋_GB2312" w:hAnsi="仿宋_GB2312" w:eastAsia="仿宋_GB2312" w:cs="仿宋_GB2312"/>
          <w:bCs/>
          <w:kern w:val="10"/>
          <w:sz w:val="32"/>
          <w:szCs w:val="32"/>
        </w:rPr>
        <w:t>万元，较上年</w:t>
      </w:r>
      <w:r>
        <w:rPr>
          <w:rFonts w:hint="eastAsia" w:ascii="仿宋_GB2312" w:hAnsi="仿宋_GB2312" w:eastAsia="仿宋_GB2312" w:cs="仿宋_GB2312"/>
          <w:bCs/>
          <w:kern w:val="10"/>
          <w:sz w:val="32"/>
          <w:szCs w:val="32"/>
          <w:lang w:eastAsia="zh-CN"/>
        </w:rPr>
        <w:t>完成</w:t>
      </w:r>
      <w:r>
        <w:rPr>
          <w:rFonts w:hint="eastAsia" w:ascii="仿宋_GB2312" w:hAnsi="仿宋_GB2312" w:eastAsia="仿宋_GB2312" w:cs="仿宋_GB2312"/>
          <w:bCs/>
          <w:kern w:val="10"/>
          <w:sz w:val="32"/>
          <w:szCs w:val="32"/>
        </w:rPr>
        <w:t>数增长</w:t>
      </w:r>
      <w:r>
        <w:rPr>
          <w:rFonts w:hint="eastAsia" w:ascii="仿宋_GB2312" w:hAnsi="仿宋_GB2312" w:eastAsia="仿宋_GB2312" w:cs="仿宋_GB2312"/>
          <w:bCs/>
          <w:kern w:val="10"/>
          <w:sz w:val="32"/>
          <w:szCs w:val="32"/>
          <w:lang w:val="en-US" w:eastAsia="zh-CN"/>
        </w:rPr>
        <w:t>94.1</w:t>
      </w:r>
      <w:r>
        <w:rPr>
          <w:rFonts w:hint="eastAsia" w:ascii="仿宋_GB2312" w:hAnsi="仿宋_GB2312" w:eastAsia="仿宋_GB2312" w:cs="仿宋_GB2312"/>
          <w:bCs/>
          <w:kern w:val="10"/>
          <w:sz w:val="32"/>
          <w:szCs w:val="32"/>
        </w:rPr>
        <w:t>%。2021年政府性基金预算支出</w:t>
      </w:r>
      <w:r>
        <w:rPr>
          <w:rFonts w:hint="eastAsia" w:ascii="仿宋_GB2312" w:hAnsi="仿宋_GB2312" w:eastAsia="仿宋_GB2312" w:cs="仿宋_GB2312"/>
          <w:bCs/>
          <w:kern w:val="10"/>
          <w:sz w:val="32"/>
          <w:szCs w:val="32"/>
          <w:lang w:eastAsia="zh-CN"/>
        </w:rPr>
        <w:t>拟安排</w:t>
      </w:r>
      <w:r>
        <w:rPr>
          <w:rFonts w:hint="eastAsia" w:ascii="仿宋_GB2312" w:hAnsi="仿宋_GB2312" w:eastAsia="仿宋_GB2312" w:cs="仿宋_GB2312"/>
          <w:bCs/>
          <w:kern w:val="10"/>
          <w:sz w:val="32"/>
          <w:szCs w:val="32"/>
          <w:lang w:val="en-US" w:eastAsia="zh-CN"/>
        </w:rPr>
        <w:t>45360</w:t>
      </w:r>
      <w:r>
        <w:rPr>
          <w:rFonts w:hint="eastAsia" w:ascii="仿宋_GB2312" w:hAnsi="仿宋_GB2312" w:eastAsia="仿宋_GB2312" w:cs="仿宋_GB2312"/>
          <w:bCs/>
          <w:kern w:val="10"/>
          <w:sz w:val="32"/>
          <w:szCs w:val="32"/>
        </w:rPr>
        <w:t>万元，较上年预算数增长</w:t>
      </w:r>
      <w:r>
        <w:rPr>
          <w:rFonts w:hint="eastAsia" w:ascii="仿宋_GB2312" w:hAnsi="仿宋_GB2312" w:eastAsia="仿宋_GB2312" w:cs="仿宋_GB2312"/>
          <w:bCs/>
          <w:kern w:val="10"/>
          <w:sz w:val="32"/>
          <w:szCs w:val="32"/>
          <w:lang w:val="en-US" w:eastAsia="zh-CN"/>
        </w:rPr>
        <w:t>45.7</w:t>
      </w:r>
      <w:r>
        <w:rPr>
          <w:rFonts w:hint="eastAsia" w:ascii="仿宋_GB2312" w:hAnsi="仿宋_GB2312" w:eastAsia="仿宋_GB2312" w:cs="仿宋_GB2312"/>
          <w:bCs/>
          <w:kern w:val="10"/>
          <w:sz w:val="32"/>
          <w:szCs w:val="32"/>
        </w:rPr>
        <w:t>%。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kern w:val="10"/>
          <w:sz w:val="32"/>
          <w:szCs w:val="32"/>
          <w:highlight w:val="yellow"/>
        </w:rPr>
      </w:pPr>
      <w:r>
        <w:rPr>
          <w:rFonts w:hint="eastAsia" w:ascii="楷体_GB2312" w:hAnsi="楷体_GB2312" w:eastAsia="楷体_GB2312" w:cs="楷体_GB2312"/>
          <w:b/>
          <w:bCs/>
          <w:kern w:val="10"/>
          <w:sz w:val="32"/>
          <w:szCs w:val="32"/>
          <w:highlight w:val="none"/>
          <w:lang w:eastAsia="zh-CN"/>
        </w:rPr>
        <w:t>（三）</w:t>
      </w:r>
      <w:r>
        <w:rPr>
          <w:rFonts w:hint="eastAsia" w:ascii="楷体_GB2312" w:hAnsi="楷体_GB2312" w:eastAsia="楷体_GB2312" w:cs="楷体_GB2312"/>
          <w:b/>
          <w:bCs/>
          <w:kern w:val="10"/>
          <w:sz w:val="32"/>
          <w:szCs w:val="32"/>
          <w:highlight w:val="none"/>
        </w:rPr>
        <w:t>社会保险基金预算拟安排情况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1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10"/>
          <w:sz w:val="32"/>
          <w:szCs w:val="32"/>
        </w:rPr>
        <w:t>2021年</w:t>
      </w:r>
      <w:r>
        <w:rPr>
          <w:rFonts w:hint="eastAsia" w:ascii="仿宋_GB2312" w:hAnsi="仿宋_GB2312" w:eastAsia="仿宋_GB2312" w:cs="仿宋_GB2312"/>
          <w:kern w:val="10"/>
          <w:sz w:val="32"/>
          <w:szCs w:val="32"/>
          <w:highlight w:val="none"/>
        </w:rPr>
        <w:t>城乡居民养老保险</w:t>
      </w:r>
      <w:r>
        <w:rPr>
          <w:rFonts w:hint="eastAsia" w:ascii="仿宋_GB2312" w:hAnsi="仿宋_GB2312" w:eastAsia="仿宋_GB2312" w:cs="仿宋_GB2312"/>
          <w:kern w:val="10"/>
          <w:sz w:val="32"/>
          <w:szCs w:val="32"/>
        </w:rPr>
        <w:t>预算收入拟安排7751万元（其中财政补贴收入5303万元），社保基金</w:t>
      </w:r>
      <w:r>
        <w:rPr>
          <w:rFonts w:hint="eastAsia" w:ascii="仿宋_GB2312" w:hAnsi="仿宋_GB2312" w:eastAsia="仿宋_GB2312" w:cs="仿宋_GB2312"/>
          <w:kern w:val="10"/>
          <w:sz w:val="32"/>
          <w:szCs w:val="32"/>
          <w:lang w:val="en-US" w:eastAsia="zh-CN"/>
        </w:rPr>
        <w:t>预算</w:t>
      </w:r>
      <w:r>
        <w:rPr>
          <w:rFonts w:hint="eastAsia" w:ascii="仿宋_GB2312" w:hAnsi="仿宋_GB2312" w:eastAsia="仿宋_GB2312" w:cs="仿宋_GB2312"/>
          <w:kern w:val="10"/>
          <w:sz w:val="32"/>
          <w:szCs w:val="32"/>
        </w:rPr>
        <w:t>支出拟安排5299万元，当年社保基金预算结余2453万元。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color w:val="000000" w:themeColor="text1"/>
          <w:kern w:val="1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kern w:val="1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（四）提前告知202</w:t>
      </w:r>
      <w:r>
        <w:rPr>
          <w:rFonts w:hint="eastAsia" w:ascii="楷体_GB2312" w:hAnsi="楷体_GB2312" w:eastAsia="楷体_GB2312" w:cs="楷体_GB2312"/>
          <w:b/>
          <w:bCs/>
          <w:color w:val="000000" w:themeColor="text1"/>
          <w:kern w:val="1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楷体_GB2312" w:hAnsi="楷体_GB2312" w:eastAsia="楷体_GB2312" w:cs="楷体_GB2312"/>
          <w:b/>
          <w:bCs/>
          <w:color w:val="000000" w:themeColor="text1"/>
          <w:kern w:val="1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楷体_GB2312" w:hAnsi="楷体_GB2312" w:eastAsia="楷体_GB2312" w:cs="楷体_GB2312"/>
          <w:b/>
          <w:bCs/>
          <w:color w:val="000000" w:themeColor="text1"/>
          <w:kern w:val="1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新增</w:t>
      </w:r>
      <w:r>
        <w:rPr>
          <w:rFonts w:hint="eastAsia" w:ascii="楷体_GB2312" w:hAnsi="楷体_GB2312" w:eastAsia="楷体_GB2312" w:cs="楷体_GB2312"/>
          <w:b/>
          <w:bCs/>
          <w:color w:val="000000" w:themeColor="text1"/>
          <w:kern w:val="1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政府债务限额情况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上级财政部门提前告知我区2021年第一批新增政府债务限额12200万元。其中：一般债务限额900万元，专项债务限额11300万元。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kern w:val="10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kern w:val="10"/>
          <w:sz w:val="32"/>
          <w:szCs w:val="32"/>
          <w:highlight w:val="none"/>
        </w:rPr>
        <w:t>（五）预算草案批准前已支出情况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1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10"/>
          <w:sz w:val="32"/>
          <w:szCs w:val="32"/>
          <w:highlight w:val="none"/>
        </w:rPr>
        <w:t>按照预算法要求，今年</w:t>
      </w:r>
      <w:r>
        <w:rPr>
          <w:rFonts w:hint="eastAsia" w:ascii="仿宋_GB2312" w:hAnsi="仿宋_GB2312" w:eastAsia="仿宋_GB2312" w:cs="仿宋_GB2312"/>
          <w:kern w:val="10"/>
          <w:sz w:val="32"/>
          <w:szCs w:val="32"/>
          <w:highlight w:val="none"/>
          <w:lang w:eastAsia="zh-CN"/>
        </w:rPr>
        <w:t>已</w:t>
      </w:r>
      <w:r>
        <w:rPr>
          <w:rFonts w:hint="eastAsia" w:ascii="仿宋_GB2312" w:hAnsi="仿宋_GB2312" w:eastAsia="仿宋_GB2312" w:cs="仿宋_GB2312"/>
          <w:kern w:val="10"/>
          <w:sz w:val="32"/>
          <w:szCs w:val="32"/>
          <w:highlight w:val="none"/>
        </w:rPr>
        <w:t>支出</w:t>
      </w:r>
      <w:r>
        <w:rPr>
          <w:rFonts w:hint="eastAsia" w:ascii="仿宋_GB2312" w:hAnsi="仿宋_GB2312" w:eastAsia="仿宋_GB2312" w:cs="仿宋_GB2312"/>
          <w:kern w:val="10"/>
          <w:sz w:val="32"/>
          <w:szCs w:val="32"/>
          <w:highlight w:val="none"/>
          <w:lang w:val="en-US" w:eastAsia="zh-CN"/>
        </w:rPr>
        <w:t>60137</w:t>
      </w:r>
      <w:r>
        <w:rPr>
          <w:rFonts w:hint="eastAsia" w:ascii="仿宋_GB2312" w:hAnsi="仿宋_GB2312" w:eastAsia="仿宋_GB2312" w:cs="仿宋_GB2312"/>
          <w:kern w:val="10"/>
          <w:sz w:val="32"/>
          <w:szCs w:val="32"/>
          <w:highlight w:val="none"/>
        </w:rPr>
        <w:t>万元</w:t>
      </w:r>
      <w:r>
        <w:rPr>
          <w:rFonts w:hint="eastAsia" w:ascii="仿宋_GB2312" w:hAnsi="仿宋_GB2312" w:eastAsia="仿宋_GB2312" w:cs="仿宋_GB2312"/>
          <w:kern w:val="10"/>
          <w:sz w:val="32"/>
          <w:szCs w:val="32"/>
          <w:highlight w:val="none"/>
          <w:lang w:eastAsia="zh-CN"/>
        </w:rPr>
        <w:t>（其中上级转移支付支出</w:t>
      </w:r>
      <w:r>
        <w:rPr>
          <w:rFonts w:hint="eastAsia" w:ascii="仿宋_GB2312" w:hAnsi="仿宋_GB2312" w:eastAsia="仿宋_GB2312" w:cs="仿宋_GB2312"/>
          <w:kern w:val="10"/>
          <w:sz w:val="32"/>
          <w:szCs w:val="32"/>
          <w:highlight w:val="none"/>
          <w:lang w:val="en-US" w:eastAsia="zh-CN"/>
        </w:rPr>
        <w:t>18480万元</w:t>
      </w:r>
      <w:r>
        <w:rPr>
          <w:rFonts w:hint="eastAsia" w:ascii="仿宋_GB2312" w:hAnsi="仿宋_GB2312" w:eastAsia="仿宋_GB2312" w:cs="仿宋_GB2312"/>
          <w:kern w:val="10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kern w:val="10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kern w:val="10"/>
          <w:sz w:val="32"/>
          <w:szCs w:val="32"/>
          <w:highlight w:val="none"/>
          <w:lang w:eastAsia="zh-CN"/>
        </w:rPr>
        <w:t>区级资金</w:t>
      </w:r>
      <w:r>
        <w:rPr>
          <w:rFonts w:hint="eastAsia" w:ascii="仿宋_GB2312" w:hAnsi="仿宋_GB2312" w:eastAsia="仿宋_GB2312" w:cs="仿宋_GB2312"/>
          <w:kern w:val="10"/>
          <w:sz w:val="32"/>
          <w:szCs w:val="32"/>
          <w:highlight w:val="none"/>
        </w:rPr>
        <w:t>主要用于保障人</w:t>
      </w:r>
      <w:r>
        <w:rPr>
          <w:rFonts w:hint="eastAsia" w:ascii="仿宋_GB2312" w:hAnsi="仿宋_GB2312" w:eastAsia="仿宋_GB2312" w:cs="仿宋_GB2312"/>
          <w:kern w:val="10"/>
          <w:sz w:val="32"/>
          <w:szCs w:val="32"/>
          <w:highlight w:val="none"/>
          <w:lang w:eastAsia="zh-CN"/>
        </w:rPr>
        <w:t>员</w:t>
      </w:r>
      <w:r>
        <w:rPr>
          <w:rFonts w:hint="eastAsia" w:ascii="仿宋_GB2312" w:hAnsi="仿宋_GB2312" w:eastAsia="仿宋_GB2312" w:cs="仿宋_GB2312"/>
          <w:kern w:val="10"/>
          <w:sz w:val="32"/>
          <w:szCs w:val="32"/>
          <w:highlight w:val="none"/>
        </w:rPr>
        <w:t>经费、机关事业单位正常运转和其他应急性、重点领域项目支出事项等。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四、202</w:t>
      </w:r>
      <w:r>
        <w:rPr>
          <w:rFonts w:hint="eastAsia" w:ascii="方正黑体简体" w:hAnsi="方正黑体简体" w:eastAsia="方正黑体简体" w:cs="方正黑体简体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方正黑体简体" w:hAnsi="方正黑体简体" w:eastAsia="方正黑体简体" w:cs="方正黑体简体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年主要财政工作</w:t>
      </w:r>
    </w:p>
    <w:p>
      <w:pPr>
        <w:ind w:firstLine="643" w:firstLineChars="200"/>
        <w:rPr>
          <w:rFonts w:hint="eastAsia" w:ascii="仿宋_GB2312" w:hAnsi="楷体_GB2312" w:eastAsia="仿宋_GB2312" w:cs="楷体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楷体_GB2312" w:eastAsia="仿宋_GB2312" w:cs="楷体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努力增加</w:t>
      </w:r>
      <w:r>
        <w:rPr>
          <w:rFonts w:hint="eastAsia" w:ascii="仿宋_GB2312" w:hAnsi="楷体_GB2312" w:eastAsia="仿宋_GB2312" w:cs="楷体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全区财力</w:t>
      </w:r>
    </w:p>
    <w:p>
      <w:pPr>
        <w:ind w:firstLine="643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培植涵养财源税源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安排资金服务全区开放招商，争取资金支持全区项目发展，扶持“一区三园”建设，不折不扣落实减税降费各项举措，打造良好营商环境，促进辖区经济发展，壮大全区经济总量，夯实财政发展基础，实现财政可持续发展。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调整完善财政体制。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制定并下发新一轮区对乡(镇)、街道财政管理体制，建立一套科学、规范、合理的财政管理体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制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，激发基层增收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节支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动力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加强预算执行分析。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加强对重点企业、重点行业和各税种与历史同期、其他县区的对比分析，通过分析研判，切实找准收入增长点，强化征管举措，促进财政收入稳定增长。</w:t>
      </w:r>
      <w:r>
        <w:rPr>
          <w:rFonts w:hint="eastAsia" w:ascii="仿宋_GB2312"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持续推进综合治税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继续加强对辖区房地产及建筑业税收评估清算，规范和加强辖区物流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、医药、餐饮、住宿等行业的税收征管，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完善征管措施，确保依法征收，应收尽收。</w:t>
      </w:r>
      <w:r>
        <w:rPr>
          <w:rFonts w:hint="eastAsia" w:ascii="仿宋_GB2312"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继续抓好非税收入征管。</w:t>
      </w:r>
      <w:r>
        <w:rPr>
          <w:rFonts w:hint="eastAsia" w:ascii="仿宋_GB2312" w:hAnsi="Arial" w:eastAsia="仿宋_GB2312" w:cs="Arial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重点跟踪土地出让金、城市基础设施配套费等大额收入征缴情况，积极研究解决非税收入征收中出现的新情况新问题，努力实现非税收入应征尽征，</w:t>
      </w:r>
      <w:r>
        <w:rPr>
          <w:rFonts w:hint="eastAsia" w:ascii="仿宋_GB2312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壮大财政收入规模。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努力争取上级财政补助。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积极研究财政政策和财政体制，加强测算分析，努力争取上级政策扶持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资金补助。</w:t>
      </w:r>
    </w:p>
    <w:p>
      <w:pPr>
        <w:ind w:firstLine="643" w:firstLineChars="200"/>
        <w:rPr>
          <w:rFonts w:hint="eastAsia" w:ascii="仿宋_GB2312" w:hAnsi="楷体_GB2312" w:eastAsia="仿宋_GB2312" w:cs="楷体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楷体_GB2312" w:eastAsia="仿宋_GB2312" w:cs="楷体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（二）调整优化支出结构</w:t>
      </w:r>
    </w:p>
    <w:p>
      <w:pPr>
        <w:ind w:firstLine="643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坚持党政机关“过紧日子”。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把“过紧日子”要求作为预算管理长期坚持的基本方针，坚持量入为出、精打细算，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严把预算支出关口，从严控制“三公”经费，大力压缩一般性支出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非急需非刚性项目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支出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，坚持勤俭办事，杜绝铺张浪费。</w:t>
      </w: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筑牢“三保”底线。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将保工资、保运转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、保基本民生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放到更加突出的地位，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优先预算安排和库款拨付。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支持健全基本公共服务体系。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将教育、社会保障和就业、卫生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健康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住房保障政策落到实处，促进共享发展。重点支持区委区政府确定的民生工程，确保常态化疫情防控资金需求，保持财政对民生事业支出的刚性增长，为全区学有所教、劳有所得、病有所医、老有所养、住有所居持续取得新进展提供良好财政保障。</w:t>
      </w: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推进全区生态文明建设。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着力支持区委区政府重点推进的景点和旅游通道建设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统筹安排全区污染防治资金，切实保障大气、水和土壤污染防治工作开展，坚决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打好污染防治攻坚战，将安阳市“后花园”建设得更加靓丽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巩固拓展全区脱贫攻坚成果同乡村振兴有效衔接。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按照“四个不摘”工作要求，支持脱贫村特色产业发展壮大，持续推进脱贫村发展，加大乡村振兴支持力度，守好“三农”基础。</w:t>
      </w: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支持城市综合治理。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筹措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资金支持国家卫生城市复审、文明城市创建和老旧小区改造等工作，让人民群众有更多的获得感和幸福感。</w:t>
      </w:r>
    </w:p>
    <w:p>
      <w:pPr>
        <w:ind w:firstLine="643" w:firstLineChars="200"/>
        <w:rPr>
          <w:rFonts w:hint="eastAsia" w:ascii="仿宋_GB2312" w:hAnsi="楷体_GB2312" w:eastAsia="仿宋_GB2312" w:cs="楷体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楷体_GB2312" w:eastAsia="仿宋_GB2312" w:cs="楷体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</w:t>
      </w:r>
      <w:r>
        <w:rPr>
          <w:rFonts w:hint="eastAsia" w:ascii="仿宋_GB2312" w:hAnsi="楷体_GB2312" w:eastAsia="仿宋_GB2312" w:cs="楷体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持续</w:t>
      </w:r>
      <w:r>
        <w:rPr>
          <w:rFonts w:hint="eastAsia" w:ascii="仿宋_GB2312" w:hAnsi="楷体_GB2312" w:eastAsia="仿宋_GB2312" w:cs="楷体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强化财政管理</w:t>
      </w:r>
    </w:p>
    <w:p>
      <w:pPr>
        <w:ind w:firstLine="643" w:firstLineChars="200"/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稳妥推进财政改革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按照上级部署，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积极承接各项改革任务，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落实好2021年财政改革事项，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不折不扣完成各项改革任务。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强化预算绩效管理。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发挥预算绩效管理的引导作用，严格事前绩效评估，完善绩效目标管理，做实绩效运行监控。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健全共性项目和分行业分领域绩效指标体系，改进评价方式，提高评价质量，提升预算绩效管理标准化、科学化水平。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严格预算执行和国库资金管理。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坚持预算法定，强化制度约束。加大盘活存量资金力度，按规定及时收回长期沉淀闲置、难以按原定用途使用的预算资金。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清理财政暂付款项，规范暂付款项管理。加强上级直达资金的管理和调度，优化支付流程，提高直达资金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安排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效率和使用效果。严格执行政府会计准则制度，推进政府财务报告编制工作。规范财政专户和预算单位银行账户管理，提高银行账户管理水平。</w:t>
      </w:r>
      <w:r>
        <w:rPr>
          <w:rFonts w:hint="eastAsia" w:ascii="仿宋_GB2312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建立健全投资评审全程管控机制。</w:t>
      </w:r>
      <w:r>
        <w:rPr>
          <w:rFonts w:hint="eastAsia" w:ascii="仿宋_GB2312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强化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各类基本建设项目管理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全过程管控政府投资项目，确保工程投资节约高效。</w:t>
      </w:r>
      <w:r>
        <w:rPr>
          <w:rFonts w:hint="eastAsia" w:ascii="仿宋_GB2312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优化政府采购营商环境。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充分利用政府采购监督管理系统，对政府采购行为进行全流程监控。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帮助中标企业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扩大政府采购合同融资规模，增强中标单位的获得感。对照政府采购营商环境考核标准弥补短板弱项。</w:t>
      </w:r>
      <w:r>
        <w:rPr>
          <w:rFonts w:hint="eastAsia" w:ascii="仿宋_GB2312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提升国企、国资监管水平。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推进政府投融资平台转型发展，增强对区属国有企业监管力度，推进企业更高质量发展。认真履行国资监管职责，确保国资监管水平再上新台阶。</w:t>
      </w:r>
    </w:p>
    <w:p>
      <w:pPr>
        <w:ind w:left="643"/>
        <w:rPr>
          <w:rFonts w:hint="eastAsia" w:ascii="仿宋_GB2312" w:hAnsi="楷体_GB2312" w:eastAsia="仿宋_GB2312" w:cs="楷体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楷体_GB2312" w:eastAsia="仿宋_GB2312" w:cs="楷体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（四）加强政府债务管理</w:t>
      </w:r>
    </w:p>
    <w:p>
      <w:pPr>
        <w:ind w:firstLine="630" w:firstLineChars="196"/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继续做好债券管理工作。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结合债务限额情况，用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好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债券政策，积极争取政府专项债券，根据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专项债券项目穿透式监测方案要求，在项目“成熟度”上狠下功夫，努力使重大项目顺利入库，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支持我区经济社会发展。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提升风险监控能力。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加强债务风险监测预警管控，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做到全程监控、实时监控、依法监控，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增强风险防范化解工作的前瞻性、主动性和时效性，</w:t>
      </w:r>
      <w:r>
        <w:rPr>
          <w:rFonts w:hint="eastAsia" w:ascii="仿宋_GB2312" w:hAnsi="仿宋" w:eastAsia="仿宋_GB2312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坚决杜绝违法违规融资举债行为，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确保举债有度、用债有效、还债有信。</w:t>
      </w:r>
    </w:p>
    <w:p>
      <w:pPr>
        <w:pStyle w:val="2"/>
        <w:rPr>
          <w:rFonts w:hint="eastAsia" w:ascii="仿宋_GB2312" w:hAnsi="仿宋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各位代表，2021年财政工作任务艰巨，责任重大、使命光荣！我们将在区委的坚强领导和区人大、区政协的监督指导下，认真贯彻习近平新时代中国特色社会主义思想，遵循新发展理念，锚定目标、坚定信心、真抓实干、克难攻坚，更好发挥财政职能作用，努力推动我区高质量发展，为建设新时代现代化强区提供有力财政支撑，以优异成绩迎接建党100周年！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highlight w:val="yellow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yellow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>
      <w:pPr>
        <w:pStyle w:val="2"/>
        <w:ind w:left="0" w:leftChars="0" w:firstLine="0" w:firstLineChars="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>
      <w:pPr>
        <w:pStyle w:val="2"/>
        <w:ind w:left="0" w:leftChars="0" w:firstLine="0" w:firstLineChars="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>
      <w:pPr>
        <w:pStyle w:val="2"/>
        <w:ind w:left="0" w:leftChars="0" w:firstLine="0" w:firstLineChars="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>
      <w:pPr>
        <w:pStyle w:val="2"/>
        <w:ind w:left="0" w:leftChars="0" w:firstLine="0" w:firstLineChars="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>
      <w:pPr>
        <w:pStyle w:val="2"/>
        <w:ind w:left="0" w:leftChars="0" w:firstLine="0" w:firstLineChars="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>
      <w:pPr>
        <w:pStyle w:val="2"/>
        <w:ind w:left="0" w:leftChars="0" w:firstLine="0" w:firstLineChars="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- 1 -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6FCA916"/>
    <w:multiLevelType w:val="singleLevel"/>
    <w:tmpl w:val="A6FCA916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51A33956"/>
    <w:multiLevelType w:val="singleLevel"/>
    <w:tmpl w:val="51A33956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BE1BCF"/>
    <w:rsid w:val="00000591"/>
    <w:rsid w:val="00001030"/>
    <w:rsid w:val="000266BF"/>
    <w:rsid w:val="00061671"/>
    <w:rsid w:val="00064AA6"/>
    <w:rsid w:val="000710DC"/>
    <w:rsid w:val="0008420F"/>
    <w:rsid w:val="00086D96"/>
    <w:rsid w:val="00095080"/>
    <w:rsid w:val="000A1250"/>
    <w:rsid w:val="000A5AFF"/>
    <w:rsid w:val="000D3B4A"/>
    <w:rsid w:val="000D5B1C"/>
    <w:rsid w:val="000D5CE0"/>
    <w:rsid w:val="000E31AC"/>
    <w:rsid w:val="00103971"/>
    <w:rsid w:val="00103D51"/>
    <w:rsid w:val="00110D0E"/>
    <w:rsid w:val="001353A4"/>
    <w:rsid w:val="001362E3"/>
    <w:rsid w:val="001374BA"/>
    <w:rsid w:val="00141C55"/>
    <w:rsid w:val="001423F1"/>
    <w:rsid w:val="0014394F"/>
    <w:rsid w:val="00154F1E"/>
    <w:rsid w:val="00157FEE"/>
    <w:rsid w:val="001A1C04"/>
    <w:rsid w:val="001A3112"/>
    <w:rsid w:val="001A4C9A"/>
    <w:rsid w:val="001A4C9E"/>
    <w:rsid w:val="001A740E"/>
    <w:rsid w:val="001B2188"/>
    <w:rsid w:val="001C08A6"/>
    <w:rsid w:val="001C0BA0"/>
    <w:rsid w:val="001C4E8B"/>
    <w:rsid w:val="001D413A"/>
    <w:rsid w:val="001D5DD4"/>
    <w:rsid w:val="001F269C"/>
    <w:rsid w:val="00202210"/>
    <w:rsid w:val="0022356F"/>
    <w:rsid w:val="00235F4E"/>
    <w:rsid w:val="00250A6C"/>
    <w:rsid w:val="00266AD5"/>
    <w:rsid w:val="00270A8E"/>
    <w:rsid w:val="002A7E10"/>
    <w:rsid w:val="002B58D3"/>
    <w:rsid w:val="002C5311"/>
    <w:rsid w:val="002D4B86"/>
    <w:rsid w:val="002E25CA"/>
    <w:rsid w:val="002F4B6E"/>
    <w:rsid w:val="003305C8"/>
    <w:rsid w:val="00343830"/>
    <w:rsid w:val="00351FFE"/>
    <w:rsid w:val="003607F5"/>
    <w:rsid w:val="00376225"/>
    <w:rsid w:val="003A2CCF"/>
    <w:rsid w:val="003B0363"/>
    <w:rsid w:val="003D18FE"/>
    <w:rsid w:val="003E130B"/>
    <w:rsid w:val="003E49AE"/>
    <w:rsid w:val="003F3B04"/>
    <w:rsid w:val="00401471"/>
    <w:rsid w:val="00415C9F"/>
    <w:rsid w:val="00435430"/>
    <w:rsid w:val="004538CE"/>
    <w:rsid w:val="00472E6E"/>
    <w:rsid w:val="004810BB"/>
    <w:rsid w:val="004A0D9B"/>
    <w:rsid w:val="004A17D4"/>
    <w:rsid w:val="004A73B8"/>
    <w:rsid w:val="004C2DBA"/>
    <w:rsid w:val="004E04E8"/>
    <w:rsid w:val="004E66E9"/>
    <w:rsid w:val="004E6CCA"/>
    <w:rsid w:val="004F54C3"/>
    <w:rsid w:val="005137BD"/>
    <w:rsid w:val="005544F9"/>
    <w:rsid w:val="00571E71"/>
    <w:rsid w:val="0059200D"/>
    <w:rsid w:val="005A621C"/>
    <w:rsid w:val="005D1E37"/>
    <w:rsid w:val="00616EF3"/>
    <w:rsid w:val="00645440"/>
    <w:rsid w:val="006460BA"/>
    <w:rsid w:val="006775F9"/>
    <w:rsid w:val="006864CD"/>
    <w:rsid w:val="00691CBD"/>
    <w:rsid w:val="006932F3"/>
    <w:rsid w:val="006B2422"/>
    <w:rsid w:val="006B5D76"/>
    <w:rsid w:val="006D324F"/>
    <w:rsid w:val="006F00B6"/>
    <w:rsid w:val="007125B2"/>
    <w:rsid w:val="00721A2B"/>
    <w:rsid w:val="007313BC"/>
    <w:rsid w:val="00741963"/>
    <w:rsid w:val="007447DB"/>
    <w:rsid w:val="007608BE"/>
    <w:rsid w:val="00760DB9"/>
    <w:rsid w:val="007903B1"/>
    <w:rsid w:val="00796A5B"/>
    <w:rsid w:val="007978A8"/>
    <w:rsid w:val="007C530C"/>
    <w:rsid w:val="007C5A6A"/>
    <w:rsid w:val="007E3B58"/>
    <w:rsid w:val="008010D8"/>
    <w:rsid w:val="0081045F"/>
    <w:rsid w:val="00813986"/>
    <w:rsid w:val="00820544"/>
    <w:rsid w:val="008246C2"/>
    <w:rsid w:val="00847756"/>
    <w:rsid w:val="00851174"/>
    <w:rsid w:val="008575AC"/>
    <w:rsid w:val="00867F1B"/>
    <w:rsid w:val="00894B07"/>
    <w:rsid w:val="008B4E73"/>
    <w:rsid w:val="008C0CD6"/>
    <w:rsid w:val="008D260E"/>
    <w:rsid w:val="008E08B7"/>
    <w:rsid w:val="008F2E11"/>
    <w:rsid w:val="009207E1"/>
    <w:rsid w:val="00922CC1"/>
    <w:rsid w:val="00927D36"/>
    <w:rsid w:val="009322C0"/>
    <w:rsid w:val="00963038"/>
    <w:rsid w:val="009757D5"/>
    <w:rsid w:val="00982625"/>
    <w:rsid w:val="00986ACD"/>
    <w:rsid w:val="00996A7C"/>
    <w:rsid w:val="009A1EB8"/>
    <w:rsid w:val="009C69DA"/>
    <w:rsid w:val="00A05722"/>
    <w:rsid w:val="00A14850"/>
    <w:rsid w:val="00A20A12"/>
    <w:rsid w:val="00A308FC"/>
    <w:rsid w:val="00A43B30"/>
    <w:rsid w:val="00A921A8"/>
    <w:rsid w:val="00AC0538"/>
    <w:rsid w:val="00AC4777"/>
    <w:rsid w:val="00AE3C63"/>
    <w:rsid w:val="00AE7952"/>
    <w:rsid w:val="00AF3867"/>
    <w:rsid w:val="00AF7EB7"/>
    <w:rsid w:val="00B006B5"/>
    <w:rsid w:val="00B129E2"/>
    <w:rsid w:val="00B139A1"/>
    <w:rsid w:val="00B26B16"/>
    <w:rsid w:val="00B33DD0"/>
    <w:rsid w:val="00B44A2A"/>
    <w:rsid w:val="00B72BB7"/>
    <w:rsid w:val="00BA1214"/>
    <w:rsid w:val="00BA274C"/>
    <w:rsid w:val="00BA6FFB"/>
    <w:rsid w:val="00BC105F"/>
    <w:rsid w:val="00BF7033"/>
    <w:rsid w:val="00C01DE4"/>
    <w:rsid w:val="00C11A3C"/>
    <w:rsid w:val="00C1287F"/>
    <w:rsid w:val="00C173A2"/>
    <w:rsid w:val="00C205DD"/>
    <w:rsid w:val="00C2729C"/>
    <w:rsid w:val="00C372F8"/>
    <w:rsid w:val="00C373EA"/>
    <w:rsid w:val="00C61B98"/>
    <w:rsid w:val="00C73D59"/>
    <w:rsid w:val="00C875D5"/>
    <w:rsid w:val="00C94135"/>
    <w:rsid w:val="00CA1997"/>
    <w:rsid w:val="00CA4645"/>
    <w:rsid w:val="00CC7446"/>
    <w:rsid w:val="00CE3E8E"/>
    <w:rsid w:val="00D03806"/>
    <w:rsid w:val="00D14A54"/>
    <w:rsid w:val="00D14CE7"/>
    <w:rsid w:val="00D33B86"/>
    <w:rsid w:val="00D5194B"/>
    <w:rsid w:val="00D72821"/>
    <w:rsid w:val="00DC43C0"/>
    <w:rsid w:val="00DD57C1"/>
    <w:rsid w:val="00DF4DAE"/>
    <w:rsid w:val="00E13A6F"/>
    <w:rsid w:val="00E22865"/>
    <w:rsid w:val="00E33D34"/>
    <w:rsid w:val="00E42383"/>
    <w:rsid w:val="00E5732E"/>
    <w:rsid w:val="00E643F1"/>
    <w:rsid w:val="00E81325"/>
    <w:rsid w:val="00E84392"/>
    <w:rsid w:val="00E967DC"/>
    <w:rsid w:val="00EC5A4F"/>
    <w:rsid w:val="00F21331"/>
    <w:rsid w:val="00F25E85"/>
    <w:rsid w:val="00F266B8"/>
    <w:rsid w:val="00F54E88"/>
    <w:rsid w:val="00F571DB"/>
    <w:rsid w:val="00F7160E"/>
    <w:rsid w:val="00F77545"/>
    <w:rsid w:val="00F86AFA"/>
    <w:rsid w:val="00FA077A"/>
    <w:rsid w:val="00FB238F"/>
    <w:rsid w:val="00FC0C4E"/>
    <w:rsid w:val="00FD1EB3"/>
    <w:rsid w:val="00FE70BF"/>
    <w:rsid w:val="0162050F"/>
    <w:rsid w:val="028D23AA"/>
    <w:rsid w:val="029E2084"/>
    <w:rsid w:val="029F281A"/>
    <w:rsid w:val="02A95619"/>
    <w:rsid w:val="034C7A3F"/>
    <w:rsid w:val="036D14B2"/>
    <w:rsid w:val="03D44D6E"/>
    <w:rsid w:val="04DB2F13"/>
    <w:rsid w:val="05AB63B7"/>
    <w:rsid w:val="05FC066B"/>
    <w:rsid w:val="060C5C00"/>
    <w:rsid w:val="06756908"/>
    <w:rsid w:val="06DE4BE7"/>
    <w:rsid w:val="092F7B5B"/>
    <w:rsid w:val="094F680B"/>
    <w:rsid w:val="095E220C"/>
    <w:rsid w:val="0993610B"/>
    <w:rsid w:val="09F34ED0"/>
    <w:rsid w:val="0A9F4E85"/>
    <w:rsid w:val="0ABC3EF4"/>
    <w:rsid w:val="0B4811D9"/>
    <w:rsid w:val="0DC22703"/>
    <w:rsid w:val="0E4C0072"/>
    <w:rsid w:val="0FAD046A"/>
    <w:rsid w:val="103324A9"/>
    <w:rsid w:val="104037BC"/>
    <w:rsid w:val="118C5802"/>
    <w:rsid w:val="11AF6DC5"/>
    <w:rsid w:val="127962EB"/>
    <w:rsid w:val="12FA0C38"/>
    <w:rsid w:val="1329216B"/>
    <w:rsid w:val="13AB3C9B"/>
    <w:rsid w:val="147B20B0"/>
    <w:rsid w:val="14AF5199"/>
    <w:rsid w:val="14DF790F"/>
    <w:rsid w:val="14FC5310"/>
    <w:rsid w:val="154D7FC2"/>
    <w:rsid w:val="15F24C06"/>
    <w:rsid w:val="177E5807"/>
    <w:rsid w:val="186D61A3"/>
    <w:rsid w:val="1A21451C"/>
    <w:rsid w:val="1A537712"/>
    <w:rsid w:val="1A91208D"/>
    <w:rsid w:val="1B545FC8"/>
    <w:rsid w:val="1BDC13C0"/>
    <w:rsid w:val="1C55637D"/>
    <w:rsid w:val="1D332EDF"/>
    <w:rsid w:val="1D8925E8"/>
    <w:rsid w:val="1D89620A"/>
    <w:rsid w:val="1E2C677C"/>
    <w:rsid w:val="1E914423"/>
    <w:rsid w:val="1EB32F4F"/>
    <w:rsid w:val="1F853C21"/>
    <w:rsid w:val="1FAA17F2"/>
    <w:rsid w:val="1FCF01B4"/>
    <w:rsid w:val="2065234C"/>
    <w:rsid w:val="206F0EC3"/>
    <w:rsid w:val="20AC3C46"/>
    <w:rsid w:val="20BA13B8"/>
    <w:rsid w:val="20D563E2"/>
    <w:rsid w:val="20D91494"/>
    <w:rsid w:val="210A02FD"/>
    <w:rsid w:val="213F2E0F"/>
    <w:rsid w:val="214136D9"/>
    <w:rsid w:val="21B2379C"/>
    <w:rsid w:val="21D73976"/>
    <w:rsid w:val="22FB1F69"/>
    <w:rsid w:val="230C040D"/>
    <w:rsid w:val="23AC7FA5"/>
    <w:rsid w:val="24BA1A32"/>
    <w:rsid w:val="251E043C"/>
    <w:rsid w:val="25295DA0"/>
    <w:rsid w:val="2579542A"/>
    <w:rsid w:val="258F43CC"/>
    <w:rsid w:val="25B97622"/>
    <w:rsid w:val="26921350"/>
    <w:rsid w:val="26CD68E3"/>
    <w:rsid w:val="275C2174"/>
    <w:rsid w:val="2769166F"/>
    <w:rsid w:val="27C063B2"/>
    <w:rsid w:val="291423B9"/>
    <w:rsid w:val="2A561076"/>
    <w:rsid w:val="2A755A95"/>
    <w:rsid w:val="2AE306AA"/>
    <w:rsid w:val="2BB1205D"/>
    <w:rsid w:val="2BD31A99"/>
    <w:rsid w:val="2C007EF8"/>
    <w:rsid w:val="2C634A69"/>
    <w:rsid w:val="2C760DE1"/>
    <w:rsid w:val="2E9A3622"/>
    <w:rsid w:val="2EC60EF1"/>
    <w:rsid w:val="306E4992"/>
    <w:rsid w:val="307A4084"/>
    <w:rsid w:val="31027DEC"/>
    <w:rsid w:val="322F357C"/>
    <w:rsid w:val="329238C7"/>
    <w:rsid w:val="32FC42C5"/>
    <w:rsid w:val="337622D0"/>
    <w:rsid w:val="349A6501"/>
    <w:rsid w:val="35796FCF"/>
    <w:rsid w:val="357F373F"/>
    <w:rsid w:val="35934191"/>
    <w:rsid w:val="35CC6293"/>
    <w:rsid w:val="367C044C"/>
    <w:rsid w:val="36C803EC"/>
    <w:rsid w:val="36DE3AA2"/>
    <w:rsid w:val="36DF1002"/>
    <w:rsid w:val="39291450"/>
    <w:rsid w:val="39967D31"/>
    <w:rsid w:val="39EC5C81"/>
    <w:rsid w:val="3AAD5B83"/>
    <w:rsid w:val="3B19189F"/>
    <w:rsid w:val="3BEE6C1A"/>
    <w:rsid w:val="3C2B6BB6"/>
    <w:rsid w:val="3CDF5FF7"/>
    <w:rsid w:val="3CEC1F46"/>
    <w:rsid w:val="3D8835CB"/>
    <w:rsid w:val="3DB61FB4"/>
    <w:rsid w:val="40243E17"/>
    <w:rsid w:val="40260F8D"/>
    <w:rsid w:val="40E3416F"/>
    <w:rsid w:val="412851BA"/>
    <w:rsid w:val="4302526B"/>
    <w:rsid w:val="4386366F"/>
    <w:rsid w:val="44874618"/>
    <w:rsid w:val="4496537B"/>
    <w:rsid w:val="44B222AB"/>
    <w:rsid w:val="44C96B9F"/>
    <w:rsid w:val="450C3B3D"/>
    <w:rsid w:val="451829E5"/>
    <w:rsid w:val="452419F8"/>
    <w:rsid w:val="461F21B4"/>
    <w:rsid w:val="479A1D6A"/>
    <w:rsid w:val="4865047C"/>
    <w:rsid w:val="48663E12"/>
    <w:rsid w:val="48AA6C19"/>
    <w:rsid w:val="49B64B2A"/>
    <w:rsid w:val="49E61AE0"/>
    <w:rsid w:val="49F5104E"/>
    <w:rsid w:val="4A6F4AE1"/>
    <w:rsid w:val="4B5255F3"/>
    <w:rsid w:val="4BD666B5"/>
    <w:rsid w:val="4C212D7E"/>
    <w:rsid w:val="4C245A7F"/>
    <w:rsid w:val="4CE5607E"/>
    <w:rsid w:val="4D020545"/>
    <w:rsid w:val="4D48571B"/>
    <w:rsid w:val="4D862D70"/>
    <w:rsid w:val="4E4E73FF"/>
    <w:rsid w:val="4E554B19"/>
    <w:rsid w:val="4EF34719"/>
    <w:rsid w:val="4F3B5A96"/>
    <w:rsid w:val="4FE04474"/>
    <w:rsid w:val="503C6D7C"/>
    <w:rsid w:val="503E769A"/>
    <w:rsid w:val="509C63C7"/>
    <w:rsid w:val="50C86233"/>
    <w:rsid w:val="50E765BA"/>
    <w:rsid w:val="51331098"/>
    <w:rsid w:val="51EB3AFC"/>
    <w:rsid w:val="52253C9A"/>
    <w:rsid w:val="53245F14"/>
    <w:rsid w:val="53426A39"/>
    <w:rsid w:val="53B76D66"/>
    <w:rsid w:val="53C05259"/>
    <w:rsid w:val="53CD24C2"/>
    <w:rsid w:val="54895C85"/>
    <w:rsid w:val="55825B4B"/>
    <w:rsid w:val="55BB5EDC"/>
    <w:rsid w:val="55D41A28"/>
    <w:rsid w:val="563919B1"/>
    <w:rsid w:val="56F46C4E"/>
    <w:rsid w:val="57275A20"/>
    <w:rsid w:val="57984190"/>
    <w:rsid w:val="583B4087"/>
    <w:rsid w:val="588A04C2"/>
    <w:rsid w:val="58985638"/>
    <w:rsid w:val="59F26538"/>
    <w:rsid w:val="5A362E4D"/>
    <w:rsid w:val="5A5B62C8"/>
    <w:rsid w:val="5A735BD2"/>
    <w:rsid w:val="5A8755A4"/>
    <w:rsid w:val="5B135956"/>
    <w:rsid w:val="5B91692E"/>
    <w:rsid w:val="5BA86ABC"/>
    <w:rsid w:val="5BB96A9F"/>
    <w:rsid w:val="5BD332DE"/>
    <w:rsid w:val="5D6179F5"/>
    <w:rsid w:val="5DA253A0"/>
    <w:rsid w:val="5EBE1BCF"/>
    <w:rsid w:val="5F0751BF"/>
    <w:rsid w:val="5F2E2687"/>
    <w:rsid w:val="5F2F459B"/>
    <w:rsid w:val="601F6401"/>
    <w:rsid w:val="607A40A1"/>
    <w:rsid w:val="610024EC"/>
    <w:rsid w:val="610025DC"/>
    <w:rsid w:val="614F3C56"/>
    <w:rsid w:val="630C52BA"/>
    <w:rsid w:val="65C73108"/>
    <w:rsid w:val="669B1154"/>
    <w:rsid w:val="66D74900"/>
    <w:rsid w:val="66EE486B"/>
    <w:rsid w:val="671E0C83"/>
    <w:rsid w:val="685E2616"/>
    <w:rsid w:val="68857F76"/>
    <w:rsid w:val="68B14BCC"/>
    <w:rsid w:val="690A55FB"/>
    <w:rsid w:val="692076F4"/>
    <w:rsid w:val="69263C28"/>
    <w:rsid w:val="69BC0A91"/>
    <w:rsid w:val="6A1F0B81"/>
    <w:rsid w:val="6A381363"/>
    <w:rsid w:val="6A5156BC"/>
    <w:rsid w:val="6AB409FD"/>
    <w:rsid w:val="6B0E60F4"/>
    <w:rsid w:val="6B6B7562"/>
    <w:rsid w:val="6BEA3247"/>
    <w:rsid w:val="6BFD361E"/>
    <w:rsid w:val="6E9A18FB"/>
    <w:rsid w:val="6EDC7EBA"/>
    <w:rsid w:val="6FA65B97"/>
    <w:rsid w:val="70EE71C6"/>
    <w:rsid w:val="72666744"/>
    <w:rsid w:val="72834F56"/>
    <w:rsid w:val="728B32BB"/>
    <w:rsid w:val="72EF4650"/>
    <w:rsid w:val="73C3378A"/>
    <w:rsid w:val="73C436ED"/>
    <w:rsid w:val="74365DC0"/>
    <w:rsid w:val="74C96495"/>
    <w:rsid w:val="74D70F15"/>
    <w:rsid w:val="753B4C72"/>
    <w:rsid w:val="755B5F89"/>
    <w:rsid w:val="759C462A"/>
    <w:rsid w:val="75D4795E"/>
    <w:rsid w:val="76AC090B"/>
    <w:rsid w:val="787B5FFB"/>
    <w:rsid w:val="78A00D1B"/>
    <w:rsid w:val="78CB2651"/>
    <w:rsid w:val="794E6000"/>
    <w:rsid w:val="79676579"/>
    <w:rsid w:val="79AD43C4"/>
    <w:rsid w:val="79DF7670"/>
    <w:rsid w:val="7A0A576F"/>
    <w:rsid w:val="7ADE4043"/>
    <w:rsid w:val="7B212AB0"/>
    <w:rsid w:val="7B9B3925"/>
    <w:rsid w:val="7BAA1EF8"/>
    <w:rsid w:val="7BFC78F4"/>
    <w:rsid w:val="7C0B122A"/>
    <w:rsid w:val="7C351A2B"/>
    <w:rsid w:val="7D0762C7"/>
    <w:rsid w:val="7D3D3486"/>
    <w:rsid w:val="7E2F0E9B"/>
    <w:rsid w:val="7EC81EA2"/>
    <w:rsid w:val="7EE556F7"/>
    <w:rsid w:val="7F500444"/>
    <w:rsid w:val="7F612718"/>
    <w:rsid w:val="7FF014C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iPriority="99" w:semiHidden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qFormat="1"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7">
    <w:name w:val="Strong"/>
    <w:basedOn w:val="6"/>
    <w:qFormat/>
    <w:uiPriority w:val="0"/>
    <w:rPr>
      <w:b/>
      <w:bCs/>
    </w:rPr>
  </w:style>
  <w:style w:type="character" w:styleId="8">
    <w:name w:val="FollowedHyperlink"/>
    <w:basedOn w:val="6"/>
    <w:semiHidden/>
    <w:unhideWhenUsed/>
    <w:qFormat/>
    <w:uiPriority w:val="0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9">
    <w:name w:val="Hyperlink"/>
    <w:basedOn w:val="6"/>
    <w:unhideWhenUsed/>
    <w:qFormat/>
    <w:uiPriority w:val="99"/>
    <w:rPr>
      <w:color w:val="0000FF"/>
      <w:u w:val="single"/>
    </w:rPr>
  </w:style>
  <w:style w:type="paragraph" w:customStyle="1" w:styleId="10">
    <w:name w:val="Char Char Char Char Char Char"/>
    <w:basedOn w:val="1"/>
    <w:qFormat/>
    <w:uiPriority w:val="0"/>
    <w:pPr>
      <w:widowControl/>
      <w:spacing w:after="160" w:line="240" w:lineRule="exact"/>
      <w:jc w:val="left"/>
    </w:pPr>
    <w:rPr>
      <w:szCs w:val="20"/>
    </w:rPr>
  </w:style>
  <w:style w:type="paragraph" w:customStyle="1" w:styleId="11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26</Pages>
  <Words>12068</Words>
  <Characters>13346</Characters>
  <Lines>98</Lines>
  <Paragraphs>27</Paragraphs>
  <TotalTime>4</TotalTime>
  <ScaleCrop>false</ScaleCrop>
  <LinksUpToDate>false</LinksUpToDate>
  <CharactersWithSpaces>13452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2020-05-29T00:40:00Z</dcterms:created>
  <dc:creator>起个名字真难</dc:creator>
  <cp:lastModifiedBy>灵珠</cp:lastModifiedBy>
  <cp:lastPrinted>2021-04-25T09:41:02Z</cp:lastPrinted>
  <dcterms:modified xsi:type="dcterms:W3CDTF">2021-04-25T09:41:12Z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62AB5C0BD50147B0BA43B1EB1557BA64</vt:lpwstr>
  </property>
  <property fmtid="{D5CDD505-2E9C-101B-9397-08002B2CF9AE}" pid="4" name="KSOSaveFontToCloudKey">
    <vt:lpwstr>301649023_btnclosed</vt:lpwstr>
  </property>
</Properties>
</file>