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35" w:rsidRDefault="00A55C35">
      <w:pPr>
        <w:adjustRightInd w:val="0"/>
        <w:snapToGrid w:val="0"/>
        <w:spacing w:line="1400" w:lineRule="exact"/>
        <w:jc w:val="center"/>
        <w:rPr>
          <w:rFonts w:ascii="方正小标宋简体" w:eastAsia="方正小标宋简体" w:hAnsi="Times New Roman" w:hint="eastAsia"/>
          <w:bCs/>
          <w:sz w:val="84"/>
          <w:szCs w:val="84"/>
        </w:rPr>
      </w:pPr>
    </w:p>
    <w:p w:rsidR="00A55C35" w:rsidRDefault="0054604A">
      <w:pPr>
        <w:adjustRightInd w:val="0"/>
        <w:snapToGrid w:val="0"/>
        <w:spacing w:line="1400" w:lineRule="exact"/>
        <w:jc w:val="center"/>
        <w:rPr>
          <w:rFonts w:ascii="方正小标宋简体" w:eastAsia="方正小标宋简体" w:hAnsi="Times New Roman"/>
          <w:bCs/>
          <w:sz w:val="84"/>
          <w:szCs w:val="84"/>
        </w:rPr>
      </w:pPr>
      <w:r>
        <w:rPr>
          <w:rFonts w:ascii="方正小标宋简体" w:eastAsia="方正小标宋简体" w:hAnsi="Times New Roman" w:hint="eastAsia"/>
          <w:bCs/>
          <w:sz w:val="84"/>
          <w:szCs w:val="84"/>
        </w:rPr>
        <w:t>龙安区应急管理局</w:t>
      </w:r>
    </w:p>
    <w:p w:rsidR="00A55C35" w:rsidRDefault="0054604A">
      <w:pPr>
        <w:adjustRightInd w:val="0"/>
        <w:snapToGrid w:val="0"/>
        <w:spacing w:line="1400" w:lineRule="exact"/>
        <w:jc w:val="center"/>
        <w:rPr>
          <w:rFonts w:ascii="方正小标宋简体" w:eastAsia="方正小标宋简体" w:hAnsi="Times New Roman"/>
          <w:bCs/>
          <w:sz w:val="84"/>
          <w:szCs w:val="84"/>
        </w:rPr>
      </w:pPr>
      <w:r>
        <w:rPr>
          <w:rFonts w:ascii="方正小标宋简体" w:eastAsia="方正小标宋简体" w:hAnsi="Times New Roman" w:hint="eastAsia"/>
          <w:bCs/>
          <w:sz w:val="84"/>
          <w:szCs w:val="84"/>
        </w:rPr>
        <w:t>2020年度部门预算</w:t>
      </w:r>
    </w:p>
    <w:p w:rsidR="00A55C35" w:rsidRDefault="00A55C35">
      <w:pPr>
        <w:adjustRightInd w:val="0"/>
        <w:snapToGrid w:val="0"/>
        <w:spacing w:line="360" w:lineRule="auto"/>
        <w:jc w:val="center"/>
        <w:rPr>
          <w:rFonts w:ascii="方正小标宋简体" w:eastAsia="方正小标宋简体" w:hAnsi="Times New Roman"/>
          <w:b/>
          <w:sz w:val="84"/>
          <w:szCs w:val="84"/>
        </w:rPr>
      </w:pPr>
    </w:p>
    <w:p w:rsidR="00A55C35" w:rsidRDefault="00A55C35">
      <w:pPr>
        <w:adjustRightInd w:val="0"/>
        <w:snapToGrid w:val="0"/>
        <w:spacing w:line="360" w:lineRule="auto"/>
        <w:rPr>
          <w:rFonts w:ascii="方正小标宋简体" w:eastAsia="方正小标宋简体" w:hAnsi="Times New Roman"/>
          <w:b/>
          <w:sz w:val="84"/>
          <w:szCs w:val="84"/>
        </w:rPr>
      </w:pPr>
    </w:p>
    <w:p w:rsidR="00A55C35" w:rsidRDefault="0054604A">
      <w:pPr>
        <w:kinsoku w:val="0"/>
        <w:overflowPunct w:val="0"/>
        <w:adjustRightInd w:val="0"/>
        <w:snapToGrid w:val="0"/>
        <w:spacing w:line="360" w:lineRule="auto"/>
        <w:ind w:left="101" w:right="3569" w:firstLineChars="500" w:firstLine="1600"/>
        <w:rPr>
          <w:rFonts w:ascii="仿宋_GB2312" w:eastAsia="仿宋_GB2312" w:hAnsi="Times New Roman"/>
          <w:sz w:val="32"/>
          <w:szCs w:val="32"/>
        </w:rPr>
      </w:pPr>
      <w:r>
        <w:rPr>
          <w:rFonts w:ascii="仿宋_GB2312" w:eastAsia="仿宋_GB2312" w:hAnsi="Times New Roman" w:hint="eastAsia"/>
          <w:sz w:val="32"/>
          <w:szCs w:val="32"/>
        </w:rPr>
        <w:t>单 位 负 责 人：吴庆兵</w:t>
      </w:r>
    </w:p>
    <w:p w:rsidR="00A55C35" w:rsidRDefault="0054604A">
      <w:pPr>
        <w:tabs>
          <w:tab w:val="left" w:pos="8364"/>
        </w:tabs>
        <w:kinsoku w:val="0"/>
        <w:overflowPunct w:val="0"/>
        <w:adjustRightInd w:val="0"/>
        <w:snapToGrid w:val="0"/>
        <w:spacing w:line="360" w:lineRule="auto"/>
        <w:ind w:right="-58" w:firstLineChars="530" w:firstLine="1696"/>
        <w:rPr>
          <w:rFonts w:ascii="仿宋_GB2312" w:eastAsia="仿宋_GB2312" w:hAnsi="Times New Roman"/>
          <w:color w:val="FF0000"/>
          <w:sz w:val="32"/>
          <w:szCs w:val="32"/>
        </w:rPr>
      </w:pPr>
      <w:r>
        <w:rPr>
          <w:rFonts w:ascii="仿宋_GB2312" w:eastAsia="仿宋_GB2312" w:hAnsi="Times New Roman" w:hint="eastAsia"/>
          <w:sz w:val="32"/>
          <w:szCs w:val="32"/>
        </w:rPr>
        <w:t>负责人联系方式：5022131</w:t>
      </w:r>
    </w:p>
    <w:p w:rsidR="00A55C35" w:rsidRDefault="0054604A">
      <w:pPr>
        <w:kinsoku w:val="0"/>
        <w:overflowPunct w:val="0"/>
        <w:adjustRightInd w:val="0"/>
        <w:snapToGrid w:val="0"/>
        <w:spacing w:line="360" w:lineRule="auto"/>
        <w:ind w:left="101" w:right="-58" w:firstLineChars="500" w:firstLine="1600"/>
        <w:rPr>
          <w:rFonts w:ascii="仿宋_GB2312" w:eastAsia="仿宋_GB2312" w:hAnsi="Times New Roman"/>
          <w:sz w:val="32"/>
          <w:szCs w:val="32"/>
        </w:rPr>
      </w:pPr>
      <w:r>
        <w:rPr>
          <w:rFonts w:ascii="仿宋_GB2312" w:eastAsia="仿宋_GB2312" w:hAnsi="Times New Roman" w:hint="eastAsia"/>
          <w:sz w:val="32"/>
          <w:szCs w:val="32"/>
        </w:rPr>
        <w:t>公 开 负 责 人：刘勇军</w:t>
      </w:r>
    </w:p>
    <w:p w:rsidR="00A55C35" w:rsidRDefault="0054604A">
      <w:pPr>
        <w:kinsoku w:val="0"/>
        <w:overflowPunct w:val="0"/>
        <w:adjustRightInd w:val="0"/>
        <w:snapToGrid w:val="0"/>
        <w:spacing w:line="360" w:lineRule="auto"/>
        <w:ind w:left="101" w:right="-58" w:firstLineChars="500" w:firstLine="1600"/>
        <w:rPr>
          <w:rFonts w:ascii="仿宋_GB2312" w:eastAsia="仿宋_GB2312" w:hAnsi="Times New Roman"/>
          <w:sz w:val="32"/>
          <w:szCs w:val="32"/>
        </w:rPr>
      </w:pPr>
      <w:r>
        <w:rPr>
          <w:rFonts w:ascii="仿宋_GB2312" w:eastAsia="仿宋_GB2312" w:hAnsi="Times New Roman" w:hint="eastAsia"/>
          <w:sz w:val="32"/>
          <w:szCs w:val="32"/>
        </w:rPr>
        <w:t>负责人联系方式：5022882</w:t>
      </w:r>
    </w:p>
    <w:p w:rsidR="00A55C35" w:rsidRDefault="0054604A">
      <w:pPr>
        <w:kinsoku w:val="0"/>
        <w:overflowPunct w:val="0"/>
        <w:adjustRightInd w:val="0"/>
        <w:snapToGrid w:val="0"/>
        <w:spacing w:line="360" w:lineRule="auto"/>
        <w:ind w:left="101" w:right="-58" w:firstLineChars="500" w:firstLine="1600"/>
        <w:rPr>
          <w:rFonts w:ascii="仿宋_GB2312" w:eastAsia="仿宋_GB2312" w:hAnsi="Times New Roman"/>
          <w:sz w:val="32"/>
          <w:szCs w:val="32"/>
        </w:rPr>
      </w:pPr>
      <w:r>
        <w:rPr>
          <w:rFonts w:ascii="仿宋_GB2312" w:eastAsia="仿宋_GB2312" w:hAnsi="Times New Roman" w:hint="eastAsia"/>
          <w:sz w:val="32"/>
          <w:szCs w:val="32"/>
        </w:rPr>
        <w:t>公  开  时  间：2020年7月6日</w:t>
      </w:r>
    </w:p>
    <w:p w:rsidR="00A55C35" w:rsidRDefault="0054604A">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                    （单位公章）</w:t>
      </w:r>
    </w:p>
    <w:p w:rsidR="00A55C35" w:rsidRDefault="00A55C35">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p>
    <w:p w:rsidR="00A55C35" w:rsidRDefault="00A55C35">
      <w:pPr>
        <w:kinsoku w:val="0"/>
        <w:overflowPunct w:val="0"/>
        <w:adjustRightInd w:val="0"/>
        <w:snapToGrid w:val="0"/>
        <w:spacing w:line="360" w:lineRule="auto"/>
        <w:ind w:right="-58"/>
        <w:rPr>
          <w:rFonts w:ascii="仿宋_GB2312" w:eastAsia="仿宋_GB2312" w:hAnsi="Times New Roman"/>
          <w:sz w:val="32"/>
          <w:szCs w:val="32"/>
        </w:rPr>
      </w:pPr>
    </w:p>
    <w:p w:rsidR="00A55C35" w:rsidRDefault="00A55C35">
      <w:pPr>
        <w:kinsoku w:val="0"/>
        <w:overflowPunct w:val="0"/>
        <w:adjustRightInd w:val="0"/>
        <w:snapToGrid w:val="0"/>
        <w:spacing w:line="360" w:lineRule="auto"/>
        <w:ind w:left="-142" w:firstLineChars="7" w:firstLine="39"/>
        <w:jc w:val="center"/>
        <w:rPr>
          <w:rFonts w:ascii="黑体" w:eastAsia="黑体" w:hAnsi="Times New Roman" w:cs="黑体"/>
          <w:sz w:val="56"/>
          <w:szCs w:val="56"/>
        </w:rPr>
      </w:pPr>
    </w:p>
    <w:p w:rsidR="00A55C35" w:rsidRDefault="0054604A">
      <w:pPr>
        <w:kinsoku w:val="0"/>
        <w:overflowPunct w:val="0"/>
        <w:adjustRightInd w:val="0"/>
        <w:snapToGrid w:val="0"/>
        <w:spacing w:line="360" w:lineRule="auto"/>
        <w:ind w:left="-142" w:firstLineChars="7" w:firstLine="39"/>
        <w:jc w:val="center"/>
        <w:rPr>
          <w:rFonts w:ascii="黑体" w:eastAsia="黑体" w:hAnsi="Times New Roman" w:cs="黑体"/>
          <w:sz w:val="56"/>
          <w:szCs w:val="56"/>
        </w:rPr>
      </w:pPr>
      <w:r>
        <w:rPr>
          <w:rFonts w:ascii="黑体" w:eastAsia="黑体" w:hAnsi="Times New Roman" w:cs="黑体" w:hint="eastAsia"/>
          <w:sz w:val="56"/>
          <w:szCs w:val="56"/>
        </w:rPr>
        <w:lastRenderedPageBreak/>
        <w:t>目录</w:t>
      </w:r>
    </w:p>
    <w:p w:rsidR="00A55C35" w:rsidRDefault="0054604A">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 xml:space="preserve">第一部分   </w:t>
      </w:r>
      <w:r>
        <w:rPr>
          <w:rFonts w:ascii="黑体" w:eastAsia="黑体" w:hAnsi="黑体" w:hint="eastAsia"/>
          <w:sz w:val="32"/>
          <w:szCs w:val="32"/>
        </w:rPr>
        <w:t>龙安区应急管理局部门</w:t>
      </w:r>
      <w:r>
        <w:rPr>
          <w:rFonts w:ascii="黑体" w:eastAsia="黑体" w:hAnsi="Times New Roman" w:cs="黑体" w:hint="eastAsia"/>
          <w:sz w:val="32"/>
          <w:szCs w:val="32"/>
        </w:rPr>
        <w:t>概况</w:t>
      </w:r>
    </w:p>
    <w:p w:rsidR="00A55C35" w:rsidRDefault="0054604A">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一、主要职能</w:t>
      </w:r>
    </w:p>
    <w:p w:rsidR="00A55C35" w:rsidRDefault="0054604A">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二、部门预算单位构成</w:t>
      </w:r>
    </w:p>
    <w:p w:rsidR="00A55C35" w:rsidRDefault="0054604A">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 xml:space="preserve">第二部分  </w:t>
      </w:r>
      <w:r>
        <w:rPr>
          <w:rFonts w:ascii="黑体" w:eastAsia="黑体" w:hAnsi="黑体" w:hint="eastAsia"/>
          <w:sz w:val="32"/>
          <w:szCs w:val="32"/>
        </w:rPr>
        <w:t>龙安区应急管理局</w:t>
      </w:r>
      <w:r>
        <w:rPr>
          <w:rFonts w:ascii="黑体" w:eastAsia="黑体" w:hAnsi="Times New Roman" w:cs="黑体" w:hint="eastAsia"/>
          <w:sz w:val="32"/>
          <w:szCs w:val="32"/>
        </w:rPr>
        <w:t>2020年度部门预算情况说明</w:t>
      </w:r>
    </w:p>
    <w:p w:rsidR="00A55C35" w:rsidRDefault="0054604A">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一、收入支出预算总体情况说明</w:t>
      </w:r>
    </w:p>
    <w:p w:rsidR="00A55C35" w:rsidRDefault="0054604A">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二、收入预算总体情况说明</w:t>
      </w:r>
    </w:p>
    <w:p w:rsidR="00A55C35" w:rsidRDefault="0054604A">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三、支出预算总体情况说明</w:t>
      </w:r>
    </w:p>
    <w:p w:rsidR="00A55C35" w:rsidRDefault="0054604A">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四、财政拨款收支预算总体情况说明</w:t>
      </w:r>
    </w:p>
    <w:p w:rsidR="00A55C35" w:rsidRDefault="0054604A">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五、一般公共预算支出情况说明</w:t>
      </w:r>
    </w:p>
    <w:p w:rsidR="00A55C35" w:rsidRDefault="0054604A">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六、一般公共预算基本支出经济分类情况说明</w:t>
      </w:r>
    </w:p>
    <w:p w:rsidR="00A55C35" w:rsidRDefault="0054604A">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七、政府性基金预算支出情况说明</w:t>
      </w:r>
    </w:p>
    <w:p w:rsidR="00A55C35" w:rsidRDefault="0054604A">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八、“三公”经费支出预算情况说明</w:t>
      </w:r>
    </w:p>
    <w:p w:rsidR="00A55C35" w:rsidRDefault="0054604A">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九、其他重要事项的情况说明</w:t>
      </w:r>
    </w:p>
    <w:p w:rsidR="00A55C35" w:rsidRDefault="0054604A">
      <w:pPr>
        <w:kinsoku w:val="0"/>
        <w:overflowPunct w:val="0"/>
        <w:adjustRightInd w:val="0"/>
        <w:snapToGrid w:val="0"/>
        <w:spacing w:line="360" w:lineRule="auto"/>
        <w:ind w:firstLine="630"/>
        <w:rPr>
          <w:rFonts w:ascii="黑体" w:eastAsia="黑体" w:hAnsi="Times New Roman" w:cs="黑体"/>
          <w:sz w:val="32"/>
          <w:szCs w:val="32"/>
        </w:rPr>
      </w:pPr>
      <w:r>
        <w:rPr>
          <w:rFonts w:ascii="黑体" w:eastAsia="黑体" w:hAnsi="Times New Roman" w:cs="黑体" w:hint="eastAsia"/>
          <w:sz w:val="32"/>
          <w:szCs w:val="32"/>
        </w:rPr>
        <w:t xml:space="preserve">第三部分  </w:t>
      </w:r>
      <w:r>
        <w:rPr>
          <w:rFonts w:ascii="黑体" w:eastAsia="黑体" w:hAnsi="Times New Roman" w:cs="黑体" w:hint="eastAsia"/>
          <w:spacing w:val="-32"/>
          <w:sz w:val="32"/>
          <w:szCs w:val="32"/>
        </w:rPr>
        <w:t>主要名词解释</w:t>
      </w:r>
    </w:p>
    <w:p w:rsidR="00A55C35" w:rsidRDefault="0054604A">
      <w:pPr>
        <w:kinsoku w:val="0"/>
        <w:overflowPunct w:val="0"/>
        <w:adjustRightInd w:val="0"/>
        <w:snapToGrid w:val="0"/>
        <w:spacing w:line="360" w:lineRule="auto"/>
        <w:ind w:firstLine="630"/>
        <w:rPr>
          <w:rFonts w:ascii="黑体" w:eastAsia="黑体" w:hAnsi="Times New Roman" w:cs="黑体"/>
          <w:spacing w:val="-32"/>
          <w:sz w:val="32"/>
          <w:szCs w:val="32"/>
        </w:rPr>
      </w:pPr>
      <w:r>
        <w:rPr>
          <w:rFonts w:ascii="黑体" w:eastAsia="黑体" w:hAnsi="Times New Roman" w:cs="黑体" w:hint="eastAsia"/>
          <w:sz w:val="32"/>
          <w:szCs w:val="32"/>
        </w:rPr>
        <w:t xml:space="preserve">第四部分  </w:t>
      </w:r>
      <w:r>
        <w:rPr>
          <w:rFonts w:ascii="黑体" w:eastAsia="黑体" w:hAnsi="Times New Roman" w:cs="黑体" w:hint="eastAsia"/>
          <w:spacing w:val="-32"/>
          <w:sz w:val="32"/>
          <w:szCs w:val="32"/>
        </w:rPr>
        <w:t>附件及其他</w:t>
      </w:r>
    </w:p>
    <w:p w:rsidR="00A55C35" w:rsidRDefault="0054604A">
      <w:pPr>
        <w:kinsoku w:val="0"/>
        <w:overflowPunct w:val="0"/>
        <w:adjustRightInd w:val="0"/>
        <w:snapToGrid w:val="0"/>
        <w:spacing w:line="360" w:lineRule="auto"/>
        <w:ind w:firstLine="630"/>
        <w:rPr>
          <w:rFonts w:ascii="黑体" w:eastAsia="黑体" w:hAnsi="Times New Roman" w:cs="黑体"/>
          <w:sz w:val="32"/>
          <w:szCs w:val="32"/>
        </w:rPr>
      </w:pPr>
      <w:r>
        <w:rPr>
          <w:rFonts w:ascii="黑体" w:eastAsia="黑体" w:hAnsi="黑体" w:hint="eastAsia"/>
          <w:sz w:val="32"/>
          <w:szCs w:val="32"/>
        </w:rPr>
        <w:t>附件：龙安区应急局</w:t>
      </w:r>
      <w:r>
        <w:rPr>
          <w:rFonts w:ascii="黑体" w:eastAsia="黑体" w:hAnsi="Times New Roman" w:cs="黑体" w:hint="eastAsia"/>
          <w:sz w:val="32"/>
          <w:szCs w:val="32"/>
        </w:rPr>
        <w:t>2020年度部门预算表</w:t>
      </w:r>
    </w:p>
    <w:p w:rsidR="00A55C35" w:rsidRDefault="0054604A">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w:t>
      </w:r>
      <w:r>
        <w:rPr>
          <w:rFonts w:ascii="仿宋_GB2312" w:eastAsia="仿宋_GB2312" w:hint="eastAsia"/>
          <w:sz w:val="32"/>
          <w:szCs w:val="32"/>
        </w:rPr>
        <w:t>部门收支总体情况表</w:t>
      </w:r>
    </w:p>
    <w:p w:rsidR="00A55C35" w:rsidRDefault="0054604A">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w:t>
      </w:r>
      <w:r>
        <w:rPr>
          <w:rFonts w:ascii="仿宋_GB2312" w:eastAsia="仿宋_GB2312" w:hint="eastAsia"/>
          <w:sz w:val="32"/>
          <w:szCs w:val="32"/>
        </w:rPr>
        <w:t>部门收入总体情况表</w:t>
      </w:r>
    </w:p>
    <w:p w:rsidR="00A55C35" w:rsidRDefault="0054604A">
      <w:pPr>
        <w:kinsoku w:val="0"/>
        <w:overflowPunct w:val="0"/>
        <w:adjustRightInd w:val="0"/>
        <w:snapToGrid w:val="0"/>
        <w:spacing w:line="360" w:lineRule="auto"/>
        <w:ind w:right="51" w:firstLineChars="300" w:firstLine="960"/>
        <w:jc w:val="left"/>
        <w:rPr>
          <w:rFonts w:ascii="仿宋_GB2312" w:eastAsia="仿宋_GB2312"/>
          <w:sz w:val="32"/>
          <w:szCs w:val="32"/>
        </w:rPr>
      </w:pPr>
      <w:r>
        <w:rPr>
          <w:rFonts w:ascii="仿宋_GB2312" w:eastAsia="仿宋_GB2312" w:hAnsi="Times New Roman" w:cs="仿宋_GB2312" w:hint="eastAsia"/>
          <w:sz w:val="32"/>
          <w:szCs w:val="32"/>
        </w:rPr>
        <w:t>三、</w:t>
      </w:r>
      <w:r>
        <w:rPr>
          <w:rFonts w:ascii="仿宋_GB2312" w:eastAsia="仿宋_GB2312" w:hint="eastAsia"/>
          <w:sz w:val="32"/>
          <w:szCs w:val="32"/>
        </w:rPr>
        <w:t>部门支出总体情况表</w:t>
      </w:r>
    </w:p>
    <w:p w:rsidR="00A55C35" w:rsidRDefault="0054604A">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四、</w:t>
      </w:r>
      <w:r>
        <w:rPr>
          <w:rFonts w:ascii="仿宋_GB2312" w:eastAsia="仿宋_GB2312" w:hint="eastAsia"/>
          <w:sz w:val="32"/>
          <w:szCs w:val="32"/>
        </w:rPr>
        <w:t>财政拨款收支总体情况表</w:t>
      </w:r>
    </w:p>
    <w:p w:rsidR="00A55C35" w:rsidRDefault="0054604A">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五、</w:t>
      </w:r>
      <w:r>
        <w:rPr>
          <w:rFonts w:ascii="仿宋_GB2312" w:eastAsia="仿宋_GB2312" w:hint="eastAsia"/>
          <w:sz w:val="32"/>
          <w:szCs w:val="32"/>
        </w:rPr>
        <w:t>一般公共预算支出情况表</w:t>
      </w:r>
    </w:p>
    <w:p w:rsidR="00A55C35" w:rsidRDefault="0054604A">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lastRenderedPageBreak/>
        <w:t>六、</w:t>
      </w:r>
      <w:r>
        <w:rPr>
          <w:rFonts w:ascii="仿宋_GB2312" w:eastAsia="仿宋_GB2312" w:hint="eastAsia"/>
          <w:sz w:val="32"/>
          <w:szCs w:val="32"/>
        </w:rPr>
        <w:t>一般公共预算基本支出经济分类汇总表</w:t>
      </w:r>
    </w:p>
    <w:p w:rsidR="00A55C35" w:rsidRDefault="0054604A">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七、</w:t>
      </w:r>
      <w:r>
        <w:rPr>
          <w:rFonts w:ascii="仿宋_GB2312" w:eastAsia="仿宋_GB2312" w:hint="eastAsia"/>
          <w:sz w:val="32"/>
          <w:szCs w:val="32"/>
        </w:rPr>
        <w:t>一般公共预算“三公”经费支出情况表</w:t>
      </w:r>
    </w:p>
    <w:p w:rsidR="00A55C35" w:rsidRDefault="0054604A">
      <w:pPr>
        <w:kinsoku w:val="0"/>
        <w:overflowPunct w:val="0"/>
        <w:adjustRightInd w:val="0"/>
        <w:snapToGrid w:val="0"/>
        <w:spacing w:line="360" w:lineRule="auto"/>
        <w:ind w:right="51" w:firstLineChars="300" w:firstLine="960"/>
        <w:jc w:val="left"/>
        <w:rPr>
          <w:rFonts w:ascii="仿宋_GB2312" w:eastAsia="仿宋_GB2312"/>
          <w:sz w:val="32"/>
          <w:szCs w:val="32"/>
        </w:rPr>
      </w:pPr>
      <w:r>
        <w:rPr>
          <w:rFonts w:ascii="仿宋_GB2312" w:eastAsia="仿宋_GB2312" w:hAnsi="Times New Roman" w:cs="仿宋_GB2312" w:hint="eastAsia"/>
          <w:sz w:val="32"/>
          <w:szCs w:val="32"/>
        </w:rPr>
        <w:t>八、</w:t>
      </w:r>
      <w:r>
        <w:rPr>
          <w:rFonts w:ascii="仿宋_GB2312" w:eastAsia="仿宋_GB2312" w:hint="eastAsia"/>
          <w:sz w:val="32"/>
          <w:szCs w:val="32"/>
        </w:rPr>
        <w:t>政府性基金预算支出情况表</w:t>
      </w:r>
    </w:p>
    <w:p w:rsidR="00A55C35" w:rsidRDefault="00A55C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A55C35" w:rsidRDefault="00A55C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A55C35" w:rsidRDefault="00A55C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A55C35" w:rsidRDefault="00A55C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A55C35" w:rsidRDefault="00A55C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A55C35" w:rsidRDefault="00A55C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A55C35" w:rsidRDefault="00A55C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A55C35" w:rsidRDefault="00A55C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A55C35" w:rsidRDefault="00A55C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A55C35" w:rsidRDefault="00A55C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A55C35" w:rsidRDefault="00A55C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A55C35" w:rsidRDefault="00A55C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A55C35" w:rsidRDefault="00A55C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A55C35" w:rsidRDefault="00A55C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A55C35" w:rsidRDefault="00A55C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A55C35" w:rsidRDefault="00A55C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A55C35" w:rsidRDefault="00A55C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A55C35" w:rsidRDefault="00A55C35">
      <w:pPr>
        <w:kinsoku w:val="0"/>
        <w:overflowPunct w:val="0"/>
        <w:adjustRightInd w:val="0"/>
        <w:snapToGrid w:val="0"/>
        <w:spacing w:line="360" w:lineRule="auto"/>
        <w:ind w:right="51" w:firstLineChars="300" w:firstLine="960"/>
        <w:jc w:val="left"/>
        <w:rPr>
          <w:rFonts w:ascii="仿宋_GB2312" w:eastAsia="仿宋_GB2312"/>
          <w:sz w:val="32"/>
          <w:szCs w:val="32"/>
        </w:rPr>
      </w:pPr>
    </w:p>
    <w:p w:rsidR="00A55C35" w:rsidRDefault="00A55C35">
      <w:pPr>
        <w:adjustRightInd w:val="0"/>
        <w:snapToGrid w:val="0"/>
        <w:spacing w:line="360" w:lineRule="auto"/>
        <w:rPr>
          <w:rFonts w:ascii="黑体" w:eastAsia="黑体" w:hAnsi="黑体"/>
          <w:sz w:val="32"/>
          <w:szCs w:val="32"/>
        </w:rPr>
      </w:pPr>
    </w:p>
    <w:p w:rsidR="00A55C35" w:rsidRDefault="00A55C35">
      <w:pPr>
        <w:adjustRightInd w:val="0"/>
        <w:snapToGrid w:val="0"/>
        <w:spacing w:line="360" w:lineRule="auto"/>
        <w:jc w:val="center"/>
        <w:rPr>
          <w:rFonts w:ascii="黑体" w:eastAsia="黑体" w:hAnsi="黑体"/>
          <w:sz w:val="32"/>
          <w:szCs w:val="32"/>
        </w:rPr>
        <w:sectPr w:rsidR="00A55C35">
          <w:footerReference w:type="default" r:id="rId10"/>
          <w:pgSz w:w="11906" w:h="16838"/>
          <w:pgMar w:top="1440" w:right="1083" w:bottom="1440" w:left="1083" w:header="851" w:footer="992" w:gutter="0"/>
          <w:pgNumType w:fmt="numberInDash"/>
          <w:cols w:space="0"/>
          <w:docGrid w:type="lines" w:linePitch="314"/>
        </w:sectPr>
      </w:pPr>
    </w:p>
    <w:p w:rsidR="00A55C35" w:rsidRDefault="0054604A">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lastRenderedPageBreak/>
        <w:t>第一部分</w:t>
      </w:r>
    </w:p>
    <w:p w:rsidR="00A55C35" w:rsidRDefault="0054604A">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龙安区应急管理局</w:t>
      </w:r>
      <w:r>
        <w:rPr>
          <w:rFonts w:ascii="黑体" w:eastAsia="黑体" w:hAnsi="黑体" w:hint="eastAsia"/>
          <w:b/>
          <w:bCs/>
          <w:sz w:val="32"/>
          <w:szCs w:val="32"/>
        </w:rPr>
        <w:t>部门概</w:t>
      </w:r>
      <w:r>
        <w:rPr>
          <w:rFonts w:ascii="黑体" w:eastAsia="黑体" w:hAnsi="黑体" w:hint="eastAsia"/>
          <w:sz w:val="32"/>
          <w:szCs w:val="32"/>
        </w:rPr>
        <w:t>况</w:t>
      </w:r>
    </w:p>
    <w:p w:rsidR="00A55C35" w:rsidRDefault="00A55C35">
      <w:pPr>
        <w:adjustRightInd w:val="0"/>
        <w:snapToGrid w:val="0"/>
        <w:spacing w:line="360" w:lineRule="auto"/>
        <w:ind w:firstLineChars="200" w:firstLine="640"/>
        <w:jc w:val="center"/>
        <w:rPr>
          <w:rFonts w:ascii="黑体" w:eastAsia="黑体" w:hAnsi="黑体"/>
          <w:sz w:val="32"/>
          <w:szCs w:val="32"/>
        </w:rPr>
      </w:pPr>
    </w:p>
    <w:p w:rsidR="00A55C35" w:rsidRDefault="0054604A">
      <w:pPr>
        <w:adjustRightInd w:val="0"/>
        <w:snapToGrid w:val="0"/>
        <w:spacing w:line="360" w:lineRule="auto"/>
        <w:ind w:firstLineChars="200" w:firstLine="640"/>
        <w:rPr>
          <w:rFonts w:ascii="黑体" w:eastAsia="黑体" w:hAnsi="黑体"/>
          <w:b/>
          <w:bCs/>
          <w:sz w:val="32"/>
          <w:szCs w:val="32"/>
        </w:rPr>
      </w:pPr>
      <w:r>
        <w:rPr>
          <w:rFonts w:ascii="黑体" w:eastAsia="黑体" w:hAnsi="黑体" w:hint="eastAsia"/>
          <w:sz w:val="32"/>
          <w:szCs w:val="32"/>
        </w:rPr>
        <w:t>一、龙安区应急管理局</w:t>
      </w:r>
      <w:r>
        <w:rPr>
          <w:rFonts w:ascii="黑体" w:eastAsia="黑体" w:hAnsi="黑体" w:hint="eastAsia"/>
          <w:b/>
          <w:bCs/>
          <w:sz w:val="32"/>
          <w:szCs w:val="32"/>
        </w:rPr>
        <w:t>部门主要职责</w:t>
      </w:r>
    </w:p>
    <w:p w:rsidR="00A55C35" w:rsidRDefault="0054604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（一）负责全区应急管理工作，指导乡（镇）、街道、区直各部门应对安全生产类、自然灾害类等突发事件和综合防灾减灾救灾工作。负责全区安全生产综合监督管理和工矿商贸行业安全生产监督管理工作。</w:t>
      </w:r>
    </w:p>
    <w:p w:rsidR="00A55C35" w:rsidRDefault="0054604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（二）拟定全区应急管理、安全生产等政策规定，组织编制区应急体系建设、安全生产和综合防灾减灾规划，起草相关规范性文件，并组织实施。</w:t>
      </w:r>
    </w:p>
    <w:p w:rsidR="00A55C35" w:rsidRDefault="0054604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指导全区应急预案体系建设，建立完善事故灾难和自然灾害分级应对制度，组织编制全区总体应急预案和安全生产类、自然灾害类专项预案，综合协调应急预案衔接工作，组织开展预案演练，推动应急避难设施建设。</w:t>
      </w:r>
    </w:p>
    <w:p w:rsidR="00A55C35" w:rsidRDefault="0054604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（四）牵头建立统一的全区应急管理信息系统，负责信息传输和共享，建立监测预警和灾情报告制度，健全自然灾害信息资源获取和共享机制，依法统一发布灾情。</w:t>
      </w:r>
    </w:p>
    <w:p w:rsidR="00A55C35" w:rsidRDefault="0054604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组织指导协调安全生产类、自然灾害类等突发事件应急救援，承担区应对一般灾害指挥机构工作，综合研判突发事件发展态势并提出应对建议，协助区委、区政府指定的负责同志组织一般灾害应急处置工作。</w:t>
      </w:r>
    </w:p>
    <w:p w:rsidR="00A55C35" w:rsidRDefault="0054604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（六）统一协调指挥各类应急专业队伍，建立应急协调联动机制，</w:t>
      </w:r>
      <w:r>
        <w:rPr>
          <w:rFonts w:ascii="仿宋_GB2312" w:eastAsia="仿宋_GB2312" w:hAnsi="仿宋_GB2312" w:cs="仿宋_GB2312" w:hint="eastAsia"/>
          <w:sz w:val="32"/>
          <w:szCs w:val="32"/>
        </w:rPr>
        <w:lastRenderedPageBreak/>
        <w:t>推进指挥平台对接。</w:t>
      </w:r>
    </w:p>
    <w:p w:rsidR="00A55C35" w:rsidRDefault="0054604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统筹应急救援力量建设，负责森林和草原火灾扑救、抗洪抢险、地震和地质灾害救援、生产安全事故救援(含煤矿)等专业应急救援力量建设，指导区综合性应急救援队伍建设，指导乡（镇）、街道及社会应急救援力量建设。</w:t>
      </w:r>
    </w:p>
    <w:p w:rsidR="00A55C35" w:rsidRDefault="0054604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（八）组织指导消防工作，指导消防监督、火灾预防、火灾扑救等工作。</w:t>
      </w:r>
    </w:p>
    <w:p w:rsidR="00A55C35" w:rsidRDefault="0054604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（九）指导协调全区森林和草原火灾、水旱灾害、地震和地质灾害等防治工作；负责自然灾害综合监测预警工作，指导开展自然灾害综合风险评估工作。</w:t>
      </w:r>
    </w:p>
    <w:p w:rsidR="00A55C35" w:rsidRDefault="0054604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（十）组织协调全区灾害救助工作，组织指导灾情核查、损失评估、救灾捐赠工作，按权限管理、分配救灾款物并监督使用。</w:t>
      </w:r>
    </w:p>
    <w:p w:rsidR="00A55C35" w:rsidRDefault="0054604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依法行使安全生产综合监督管理职权，指导协调、监督检查区政府有关部门和各乡（镇）政府安全生产工作，督促、指导安全生产责任落实。组织开展安全生产巡查、考核工作。承担安阳市龙安区安全生产委员会日常工作。</w:t>
      </w:r>
    </w:p>
    <w:p w:rsidR="00A55C35" w:rsidRDefault="0054604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按照分级、属地原则，依法监督检查非煤矿山（含地质勘探）、石油（不含炼化、成品油管道）、化工（含石油化工）、医药、危险化学品和烟花爆竹、冶金、有色、建材、机械、轻工、纺织、烟草、商贸等工矿商贸行业生产经营单位贯彻执行安全生产法律法规和标准情况，及其安全生产条件和有关设备(特种设备除外)、材料、劳动防护用品的安全生产管理工作。依法组织实施安全生产准入制度，并对执行情况进行指导和监督。负责危险化学品安全监督管理综合工作和烟花爆竹经营企业安全生产监督管理工作。</w:t>
      </w:r>
    </w:p>
    <w:p w:rsidR="00A55C35" w:rsidRDefault="0054604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依法组织指导生产安全事故调查处理，监督事故查处和责任追究落实情况。组织开展自然灾害类突发事件的调查评估工作。协助国家、省、市调查处理特别重大、重大事故、较大事故。综合管理全区生产安全伤亡事故、事故隐患排查治理、安全生产统计分析工作。</w:t>
      </w:r>
    </w:p>
    <w:p w:rsidR="00A55C35" w:rsidRDefault="0054604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（十四）制定应急物资储备和应急救援装备规划并组织实施，会同龙安区发展和改革委员会（区粮食和物资储备局）等部门建立健全应急物资信息平台和调拨制度，在救灾时统一调度。</w:t>
      </w:r>
    </w:p>
    <w:p w:rsidR="00A55C35" w:rsidRDefault="0054604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负责应急管理、安全生产宣传教育和培训工作，组织指导应急管理、安全生产的科学技术研究、推广应用和信息化建设工作；依法组织、指导并监督本行政区域内除中央企业、省属、市属生产经营单位以外的其他工矿商贸生产经营单位（不含煤矿企业）的主要负责人和安全生产管理人员安全生产知识和管理能力考核工作，监督检查工矿商贸生产经营单位安全培训工作。</w:t>
      </w:r>
    </w:p>
    <w:p w:rsidR="00A55C35" w:rsidRDefault="0054604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（十六）负责监督指导和组织协调全区安全生产行政执法工作。</w:t>
      </w:r>
    </w:p>
    <w:p w:rsidR="00A55C35" w:rsidRDefault="0054604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七）开展应急管理方面的交流与合作，组织参与安全生产类、自然灾害类等突发事件的跨区域救援工作。依法查处不具备安全生产条件的工贸商贸生产经营单位；负责安全生产执法综合性工作，负责一般安全生产违法案件查处和跨区域执法的组织协调工作。</w:t>
      </w:r>
    </w:p>
    <w:p w:rsidR="00A55C35" w:rsidRDefault="0054604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（十八）完成区委、区政府交办的其他任务。</w:t>
      </w:r>
    </w:p>
    <w:p w:rsidR="00A55C35" w:rsidRDefault="0054604A">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二、龙安区应急管理局</w:t>
      </w:r>
      <w:r>
        <w:rPr>
          <w:rFonts w:ascii="黑体" w:eastAsia="黑体" w:hAnsi="黑体" w:hint="eastAsia"/>
          <w:b/>
          <w:bCs/>
          <w:sz w:val="32"/>
          <w:szCs w:val="32"/>
        </w:rPr>
        <w:t>部门预</w:t>
      </w:r>
      <w:r>
        <w:rPr>
          <w:rFonts w:ascii="黑体" w:eastAsia="黑体" w:hAnsi="黑体" w:hint="eastAsia"/>
          <w:sz w:val="32"/>
          <w:szCs w:val="32"/>
        </w:rPr>
        <w:t>算单位构成</w:t>
      </w:r>
    </w:p>
    <w:p w:rsidR="00A55C35" w:rsidRDefault="0054604A">
      <w:pPr>
        <w:pStyle w:val="a3"/>
        <w:kinsoku w:val="0"/>
        <w:overflowPunct w:val="0"/>
        <w:snapToGrid w:val="0"/>
        <w:spacing w:line="360" w:lineRule="auto"/>
        <w:ind w:left="0" w:firstLineChars="200" w:firstLine="648"/>
        <w:rPr>
          <w:rFonts w:eastAsia="仿宋_GB2312" w:hAnsi="Times New Roman"/>
          <w:spacing w:val="2"/>
          <w:sz w:val="32"/>
        </w:rPr>
      </w:pPr>
      <w:r>
        <w:rPr>
          <w:rFonts w:eastAsia="仿宋_GB2312" w:hAnsi="Times New Roman" w:hint="eastAsia"/>
          <w:spacing w:val="2"/>
          <w:sz w:val="32"/>
        </w:rPr>
        <w:t>龙安区应急管理局部门预算包括局机关本级预算和局属事业单位预算。</w:t>
      </w:r>
    </w:p>
    <w:p w:rsidR="00A55C35" w:rsidRDefault="0054604A">
      <w:pPr>
        <w:pStyle w:val="a3"/>
        <w:kinsoku w:val="0"/>
        <w:overflowPunct w:val="0"/>
        <w:snapToGrid w:val="0"/>
        <w:spacing w:line="360" w:lineRule="auto"/>
        <w:ind w:left="0" w:firstLineChars="200" w:firstLine="648"/>
        <w:rPr>
          <w:rFonts w:eastAsia="仿宋_GB2312" w:hAnsi="Times New Roman"/>
          <w:spacing w:val="2"/>
          <w:sz w:val="32"/>
        </w:rPr>
      </w:pPr>
      <w:r>
        <w:rPr>
          <w:rFonts w:eastAsia="仿宋_GB2312" w:hAnsi="Times New Roman" w:hint="eastAsia"/>
          <w:spacing w:val="2"/>
          <w:sz w:val="32"/>
        </w:rPr>
        <w:t>1.局机关本级</w:t>
      </w:r>
    </w:p>
    <w:p w:rsidR="00A55C35" w:rsidRDefault="0054604A">
      <w:pPr>
        <w:pStyle w:val="a3"/>
        <w:kinsoku w:val="0"/>
        <w:overflowPunct w:val="0"/>
        <w:snapToGrid w:val="0"/>
        <w:spacing w:line="360" w:lineRule="auto"/>
        <w:ind w:left="0" w:firstLineChars="200" w:firstLine="648"/>
        <w:rPr>
          <w:rFonts w:eastAsia="仿宋_GB2312" w:hAnsi="Times New Roman"/>
          <w:spacing w:val="2"/>
          <w:sz w:val="32"/>
        </w:rPr>
      </w:pPr>
      <w:r>
        <w:rPr>
          <w:rFonts w:eastAsia="仿宋_GB2312" w:hAnsi="Times New Roman" w:hint="eastAsia"/>
          <w:spacing w:val="2"/>
          <w:sz w:val="32"/>
        </w:rPr>
        <w:lastRenderedPageBreak/>
        <w:t>2.局所属事业单位一个：龙安区安全生产监察大队。</w:t>
      </w:r>
    </w:p>
    <w:p w:rsidR="00A55C35" w:rsidRDefault="0054604A">
      <w:pPr>
        <w:adjustRightInd w:val="0"/>
        <w:snapToGrid w:val="0"/>
        <w:spacing w:line="360" w:lineRule="auto"/>
        <w:jc w:val="center"/>
        <w:rPr>
          <w:rFonts w:ascii="黑体" w:eastAsia="黑体" w:hAnsi="Times New Roman" w:cs="黑体"/>
          <w:spacing w:val="-38"/>
          <w:sz w:val="32"/>
          <w:szCs w:val="32"/>
        </w:rPr>
      </w:pPr>
      <w:r>
        <w:rPr>
          <w:rFonts w:ascii="黑体" w:eastAsia="黑体" w:hAnsi="Times New Roman" w:cs="黑体" w:hint="eastAsia"/>
          <w:sz w:val="32"/>
          <w:szCs w:val="32"/>
        </w:rPr>
        <w:t>第二部分</w:t>
      </w:r>
    </w:p>
    <w:p w:rsidR="00A55C35" w:rsidRDefault="0054604A">
      <w:pPr>
        <w:adjustRightInd w:val="0"/>
        <w:snapToGrid w:val="0"/>
        <w:spacing w:line="360" w:lineRule="auto"/>
        <w:jc w:val="center"/>
        <w:rPr>
          <w:rFonts w:ascii="黑体" w:eastAsia="黑体" w:hAnsi="黑体"/>
          <w:b/>
          <w:bCs/>
          <w:sz w:val="32"/>
          <w:szCs w:val="32"/>
        </w:rPr>
      </w:pPr>
      <w:r>
        <w:rPr>
          <w:rFonts w:ascii="黑体" w:eastAsia="黑体" w:hAnsi="黑体" w:hint="eastAsia"/>
          <w:b/>
          <w:bCs/>
          <w:sz w:val="32"/>
          <w:szCs w:val="32"/>
        </w:rPr>
        <w:t>龙安区应急管理局</w:t>
      </w:r>
      <w:r>
        <w:rPr>
          <w:rFonts w:ascii="黑体" w:eastAsia="黑体" w:hAnsi="Times New Roman" w:cs="黑体"/>
          <w:b/>
          <w:bCs/>
          <w:sz w:val="32"/>
          <w:szCs w:val="32"/>
        </w:rPr>
        <w:t>20</w:t>
      </w:r>
      <w:r>
        <w:rPr>
          <w:rFonts w:ascii="黑体" w:eastAsia="黑体" w:hAnsi="Times New Roman" w:cs="黑体" w:hint="eastAsia"/>
          <w:b/>
          <w:bCs/>
          <w:sz w:val="32"/>
          <w:szCs w:val="32"/>
        </w:rPr>
        <w:t>20年度部门预算情况说明</w:t>
      </w:r>
    </w:p>
    <w:p w:rsidR="00A55C35" w:rsidRDefault="00A55C35">
      <w:pPr>
        <w:adjustRightInd w:val="0"/>
        <w:snapToGrid w:val="0"/>
        <w:spacing w:line="360" w:lineRule="auto"/>
        <w:ind w:firstLineChars="200" w:firstLine="640"/>
        <w:rPr>
          <w:rFonts w:ascii="黑体" w:eastAsia="黑体" w:hAnsi="黑体"/>
          <w:sz w:val="32"/>
          <w:szCs w:val="32"/>
        </w:rPr>
      </w:pPr>
    </w:p>
    <w:p w:rsidR="00A55C35" w:rsidRDefault="0054604A">
      <w:pPr>
        <w:numPr>
          <w:ilvl w:val="0"/>
          <w:numId w:val="1"/>
        </w:num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收入支出预算总体情况说明</w:t>
      </w:r>
    </w:p>
    <w:p w:rsidR="00A55C35" w:rsidRDefault="0054604A">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int="eastAsia"/>
          <w:sz w:val="32"/>
          <w:szCs w:val="32"/>
        </w:rPr>
        <w:t>龙安区应急管理局</w:t>
      </w:r>
      <w:r>
        <w:rPr>
          <w:rFonts w:ascii="仿宋_GB2312" w:eastAsia="仿宋_GB2312" w:hAnsi="宋体" w:cs="Courier New" w:hint="eastAsia"/>
          <w:sz w:val="32"/>
          <w:szCs w:val="32"/>
        </w:rPr>
        <w:t>2020年收入301.43总计万元，支出总计</w:t>
      </w:r>
      <w:r>
        <w:rPr>
          <w:rFonts w:ascii="仿宋_GB2312" w:eastAsia="仿宋_GB2312" w:hint="eastAsia"/>
          <w:sz w:val="32"/>
          <w:szCs w:val="32"/>
        </w:rPr>
        <w:t>301.43</w:t>
      </w:r>
      <w:r>
        <w:rPr>
          <w:rFonts w:ascii="仿宋_GB2312" w:eastAsia="仿宋_GB2312" w:hAnsi="宋体" w:cs="Courier New" w:hint="eastAsia"/>
          <w:sz w:val="32"/>
          <w:szCs w:val="32"/>
        </w:rPr>
        <w:t>万元，与2019年相比，收入总计增加</w:t>
      </w:r>
      <w:r>
        <w:rPr>
          <w:rFonts w:ascii="仿宋_GB2312" w:eastAsia="仿宋_GB2312" w:hint="eastAsia"/>
          <w:sz w:val="32"/>
          <w:szCs w:val="32"/>
        </w:rPr>
        <w:t>46.84</w:t>
      </w:r>
      <w:r>
        <w:rPr>
          <w:rFonts w:ascii="仿宋_GB2312" w:eastAsia="仿宋_GB2312" w:hAnsi="宋体" w:cs="Courier New" w:hint="eastAsia"/>
          <w:sz w:val="32"/>
          <w:szCs w:val="32"/>
        </w:rPr>
        <w:t>万元，增长</w:t>
      </w:r>
      <w:r>
        <w:rPr>
          <w:rFonts w:ascii="仿宋_GB2312" w:eastAsia="仿宋_GB2312" w:hint="eastAsia"/>
          <w:sz w:val="32"/>
          <w:szCs w:val="32"/>
        </w:rPr>
        <w:t>15.54</w:t>
      </w:r>
      <w:r>
        <w:rPr>
          <w:rFonts w:ascii="仿宋_GB2312" w:eastAsia="仿宋_GB2312" w:hAnsi="宋体" w:cs="Courier New" w:hint="eastAsia"/>
          <w:sz w:val="32"/>
          <w:szCs w:val="32"/>
        </w:rPr>
        <w:t>%；支出总计增加46.84万元，增长15.54%。主要原因：增加人员，增加了人员经费支出。</w:t>
      </w:r>
    </w:p>
    <w:p w:rsidR="00A55C35" w:rsidRDefault="0054604A">
      <w:pPr>
        <w:spacing w:line="560" w:lineRule="exact"/>
        <w:ind w:firstLineChars="200" w:firstLine="640"/>
        <w:rPr>
          <w:rFonts w:ascii="黑体" w:eastAsia="黑体" w:hAnsi="黑体"/>
          <w:sz w:val="32"/>
          <w:szCs w:val="32"/>
        </w:rPr>
      </w:pPr>
      <w:r>
        <w:rPr>
          <w:rFonts w:ascii="黑体" w:eastAsia="黑体" w:hAnsi="黑体" w:hint="eastAsia"/>
          <w:sz w:val="32"/>
          <w:szCs w:val="32"/>
        </w:rPr>
        <w:t>二、收入预算总体情况说明</w:t>
      </w:r>
    </w:p>
    <w:p w:rsidR="00A55C35" w:rsidRDefault="0054604A">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龙安区应急管理局</w:t>
      </w:r>
      <w:r>
        <w:rPr>
          <w:rFonts w:ascii="仿宋_GB2312" w:eastAsia="仿宋_GB2312" w:hAnsi="Times New Roman" w:hint="eastAsia"/>
          <w:sz w:val="32"/>
          <w:szCs w:val="32"/>
        </w:rPr>
        <w:t>2020年收入合计</w:t>
      </w:r>
      <w:r>
        <w:rPr>
          <w:rFonts w:ascii="仿宋_GB2312" w:eastAsia="仿宋_GB2312" w:hint="eastAsia"/>
          <w:sz w:val="32"/>
          <w:szCs w:val="32"/>
        </w:rPr>
        <w:t>301.43</w:t>
      </w:r>
      <w:r>
        <w:rPr>
          <w:rFonts w:ascii="仿宋_GB2312" w:eastAsia="仿宋_GB2312" w:hAnsi="Times New Roman" w:hint="eastAsia"/>
          <w:sz w:val="32"/>
          <w:szCs w:val="32"/>
        </w:rPr>
        <w:t>万元，</w:t>
      </w:r>
      <w:r>
        <w:rPr>
          <w:rFonts w:ascii="仿宋_GB2312" w:eastAsia="仿宋_GB2312" w:hint="eastAsia"/>
          <w:sz w:val="32"/>
          <w:szCs w:val="32"/>
        </w:rPr>
        <w:t>其中：一般公共预算301.43万元;</w:t>
      </w:r>
      <w:r>
        <w:rPr>
          <w:rFonts w:ascii="仿宋_GB2312" w:eastAsia="仿宋_GB2312" w:hAnsi="Times New Roman"/>
          <w:sz w:val="32"/>
          <w:szCs w:val="32"/>
        </w:rPr>
        <w:t xml:space="preserve"> 政府性基金收入</w:t>
      </w:r>
      <w:r>
        <w:rPr>
          <w:rFonts w:ascii="仿宋_GB2312" w:eastAsia="仿宋_GB2312" w:hint="eastAsia"/>
          <w:sz w:val="32"/>
          <w:szCs w:val="32"/>
        </w:rPr>
        <w:t>0</w:t>
      </w:r>
      <w:r>
        <w:rPr>
          <w:rFonts w:ascii="仿宋_GB2312" w:eastAsia="仿宋_GB2312" w:hAnsi="Times New Roman"/>
          <w:sz w:val="32"/>
          <w:szCs w:val="32"/>
        </w:rPr>
        <w:t>万元；专户管理的教育收费</w:t>
      </w:r>
      <w:r>
        <w:rPr>
          <w:rFonts w:ascii="仿宋_GB2312" w:eastAsia="仿宋_GB2312" w:hint="eastAsia"/>
          <w:sz w:val="32"/>
          <w:szCs w:val="32"/>
        </w:rPr>
        <w:t>0</w:t>
      </w:r>
      <w:r>
        <w:rPr>
          <w:rFonts w:ascii="仿宋_GB2312" w:eastAsia="仿宋_GB2312" w:hAnsi="Times New Roman"/>
          <w:sz w:val="32"/>
          <w:szCs w:val="32"/>
        </w:rPr>
        <w:t>万元</w:t>
      </w:r>
      <w:r>
        <w:rPr>
          <w:rFonts w:ascii="仿宋_GB2312" w:eastAsia="仿宋_GB2312" w:hAnsi="Times New Roman" w:hint="eastAsia"/>
          <w:sz w:val="32"/>
          <w:szCs w:val="32"/>
        </w:rPr>
        <w:t>；国有资本经营预算收入0万元；事业收入0万元；经营收入0万元；其他收入0万元。</w:t>
      </w:r>
    </w:p>
    <w:p w:rsidR="00A55C35" w:rsidRDefault="0054604A">
      <w:pPr>
        <w:spacing w:line="560" w:lineRule="exact"/>
        <w:ind w:firstLineChars="200" w:firstLine="640"/>
        <w:rPr>
          <w:rFonts w:ascii="黑体" w:eastAsia="黑体" w:hAnsi="黑体"/>
          <w:sz w:val="32"/>
          <w:szCs w:val="32"/>
        </w:rPr>
      </w:pPr>
      <w:r>
        <w:rPr>
          <w:rFonts w:ascii="黑体" w:eastAsia="黑体" w:hAnsi="黑体" w:hint="eastAsia"/>
          <w:sz w:val="32"/>
          <w:szCs w:val="32"/>
        </w:rPr>
        <w:t>三、支出预算总体情况说明</w:t>
      </w:r>
    </w:p>
    <w:p w:rsidR="00A55C35" w:rsidRDefault="0054604A">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龙安区应急管理局</w:t>
      </w:r>
      <w:r>
        <w:rPr>
          <w:rFonts w:ascii="仿宋_GB2312" w:eastAsia="仿宋_GB2312" w:hAnsi="宋体" w:cs="Courier New" w:hint="eastAsia"/>
          <w:sz w:val="32"/>
          <w:szCs w:val="32"/>
        </w:rPr>
        <w:t>2020年支出合计301.43万元，其中：基本支出</w:t>
      </w:r>
      <w:r>
        <w:rPr>
          <w:rFonts w:ascii="仿宋_GB2312" w:eastAsia="仿宋_GB2312" w:hint="eastAsia"/>
          <w:sz w:val="32"/>
          <w:szCs w:val="32"/>
        </w:rPr>
        <w:t>301.43</w:t>
      </w:r>
      <w:r>
        <w:rPr>
          <w:rFonts w:ascii="仿宋_GB2312" w:eastAsia="仿宋_GB2312" w:hAnsi="宋体" w:cs="Courier New" w:hint="eastAsia"/>
          <w:sz w:val="32"/>
          <w:szCs w:val="32"/>
        </w:rPr>
        <w:t>万元，占</w:t>
      </w:r>
      <w:r>
        <w:rPr>
          <w:rFonts w:ascii="仿宋_GB2312" w:eastAsia="仿宋_GB2312" w:hint="eastAsia"/>
          <w:sz w:val="32"/>
          <w:szCs w:val="32"/>
        </w:rPr>
        <w:t>100</w:t>
      </w:r>
      <w:r>
        <w:rPr>
          <w:rFonts w:ascii="仿宋_GB2312" w:eastAsia="仿宋_GB2312" w:hAnsi="宋体" w:cs="Courier New"/>
          <w:sz w:val="32"/>
          <w:szCs w:val="32"/>
        </w:rPr>
        <w:t>%</w:t>
      </w:r>
      <w:r>
        <w:rPr>
          <w:rFonts w:ascii="仿宋_GB2312" w:eastAsia="仿宋_GB2312" w:hAnsi="宋体" w:cs="Courier New" w:hint="eastAsia"/>
          <w:sz w:val="32"/>
          <w:szCs w:val="32"/>
        </w:rPr>
        <w:t>，项目支出</w:t>
      </w:r>
      <w:r>
        <w:rPr>
          <w:rFonts w:ascii="仿宋_GB2312" w:eastAsia="仿宋_GB2312" w:hint="eastAsia"/>
          <w:sz w:val="32"/>
          <w:szCs w:val="32"/>
        </w:rPr>
        <w:t>0</w:t>
      </w:r>
      <w:r>
        <w:rPr>
          <w:rFonts w:ascii="仿宋_GB2312" w:eastAsia="仿宋_GB2312" w:hAnsi="宋体" w:cs="Courier New" w:hint="eastAsia"/>
          <w:sz w:val="32"/>
          <w:szCs w:val="32"/>
        </w:rPr>
        <w:t>万元，占</w:t>
      </w:r>
      <w:r>
        <w:rPr>
          <w:rFonts w:ascii="仿宋_GB2312" w:eastAsia="仿宋_GB2312" w:hint="eastAsia"/>
          <w:sz w:val="32"/>
          <w:szCs w:val="32"/>
        </w:rPr>
        <w:t>0</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A55C35" w:rsidRDefault="0054604A">
      <w:pPr>
        <w:spacing w:line="560" w:lineRule="exact"/>
        <w:ind w:firstLineChars="200" w:firstLine="640"/>
        <w:rPr>
          <w:rFonts w:ascii="黑体" w:eastAsia="黑体" w:hAnsi="黑体"/>
          <w:sz w:val="32"/>
          <w:szCs w:val="32"/>
        </w:rPr>
      </w:pPr>
      <w:r>
        <w:rPr>
          <w:rFonts w:ascii="黑体" w:eastAsia="黑体" w:hAnsi="黑体" w:hint="eastAsia"/>
          <w:sz w:val="32"/>
          <w:szCs w:val="32"/>
        </w:rPr>
        <w:t>四、财政拨款收入支出预算总体情况说明</w:t>
      </w:r>
    </w:p>
    <w:p w:rsidR="00A55C35" w:rsidRDefault="0054604A">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龙安区应急管理局</w:t>
      </w:r>
      <w:r>
        <w:rPr>
          <w:rFonts w:ascii="仿宋_GB2312" w:eastAsia="仿宋_GB2312" w:hAnsi="宋体" w:cs="Courier New"/>
          <w:sz w:val="32"/>
          <w:szCs w:val="32"/>
        </w:rPr>
        <w:t>20</w:t>
      </w:r>
      <w:r>
        <w:rPr>
          <w:rFonts w:ascii="仿宋_GB2312" w:eastAsia="仿宋_GB2312" w:hAnsi="宋体" w:cs="Courier New" w:hint="eastAsia"/>
          <w:sz w:val="32"/>
          <w:szCs w:val="32"/>
        </w:rPr>
        <w:t>20</w:t>
      </w:r>
      <w:r>
        <w:rPr>
          <w:rFonts w:ascii="仿宋_GB2312" w:eastAsia="仿宋_GB2312" w:hAnsi="宋体" w:cs="Courier New"/>
          <w:sz w:val="32"/>
          <w:szCs w:val="32"/>
        </w:rPr>
        <w:t>年</w:t>
      </w:r>
      <w:r>
        <w:rPr>
          <w:rFonts w:ascii="仿宋_GB2312" w:eastAsia="仿宋_GB2312" w:hAnsi="宋体" w:cs="Courier New" w:hint="eastAsia"/>
          <w:sz w:val="32"/>
          <w:szCs w:val="32"/>
        </w:rPr>
        <w:t>一般公共预算收支预算</w:t>
      </w:r>
      <w:r>
        <w:rPr>
          <w:rFonts w:ascii="仿宋_GB2312" w:eastAsia="仿宋_GB2312" w:hint="eastAsia"/>
          <w:sz w:val="32"/>
          <w:szCs w:val="32"/>
        </w:rPr>
        <w:t>301.43</w:t>
      </w:r>
      <w:r>
        <w:rPr>
          <w:rFonts w:ascii="仿宋_GB2312" w:eastAsia="仿宋_GB2312" w:hAnsi="宋体" w:cs="Courier New" w:hint="eastAsia"/>
          <w:sz w:val="32"/>
          <w:szCs w:val="32"/>
        </w:rPr>
        <w:t>万元，政府性基金收支预算</w:t>
      </w:r>
      <w:r>
        <w:rPr>
          <w:rFonts w:ascii="仿宋_GB2312" w:eastAsia="仿宋_GB2312" w:hint="eastAsia"/>
          <w:sz w:val="32"/>
          <w:szCs w:val="32"/>
        </w:rPr>
        <w:t>0</w:t>
      </w:r>
      <w:r>
        <w:rPr>
          <w:rFonts w:ascii="仿宋_GB2312" w:eastAsia="仿宋_GB2312" w:hAnsi="宋体" w:cs="Courier New" w:hint="eastAsia"/>
          <w:sz w:val="32"/>
          <w:szCs w:val="32"/>
        </w:rPr>
        <w:t>万元。与</w:t>
      </w:r>
      <w:r>
        <w:rPr>
          <w:rFonts w:ascii="仿宋_GB2312" w:eastAsia="仿宋_GB2312" w:hAnsi="宋体" w:cs="Courier New"/>
          <w:sz w:val="32"/>
          <w:szCs w:val="32"/>
        </w:rPr>
        <w:t xml:space="preserve"> 201</w:t>
      </w:r>
      <w:r>
        <w:rPr>
          <w:rFonts w:ascii="仿宋_GB2312" w:eastAsia="仿宋_GB2312" w:hAnsi="宋体" w:cs="Courier New" w:hint="eastAsia"/>
          <w:sz w:val="32"/>
          <w:szCs w:val="32"/>
        </w:rPr>
        <w:t>9年相比，一般公共预算收支预算增加46.84万元，增长15.54</w:t>
      </w:r>
      <w:r>
        <w:rPr>
          <w:rFonts w:ascii="仿宋_GB2312" w:eastAsia="仿宋_GB2312" w:hAnsi="宋体" w:cs="Courier New"/>
          <w:sz w:val="32"/>
          <w:szCs w:val="32"/>
        </w:rPr>
        <w:t>%</w:t>
      </w:r>
      <w:r>
        <w:rPr>
          <w:rFonts w:ascii="仿宋_GB2312" w:eastAsia="仿宋_GB2312" w:hAnsi="宋体" w:cs="Courier New" w:hint="eastAsia"/>
          <w:sz w:val="32"/>
          <w:szCs w:val="32"/>
        </w:rPr>
        <w:t>，主要原因：增加人员，增加了人员经费支出；政府性基金收支预算增加0万元，与2019年相比无增减。</w:t>
      </w:r>
    </w:p>
    <w:p w:rsidR="00A55C35" w:rsidRDefault="0054604A">
      <w:pPr>
        <w:spacing w:line="560" w:lineRule="exact"/>
        <w:ind w:firstLineChars="200" w:firstLine="640"/>
        <w:rPr>
          <w:rFonts w:ascii="仿宋_GB2312" w:eastAsia="仿宋_GB2312"/>
          <w:sz w:val="32"/>
          <w:szCs w:val="32"/>
        </w:rPr>
      </w:pPr>
      <w:r>
        <w:rPr>
          <w:rFonts w:ascii="黑体" w:eastAsia="黑体" w:hAnsi="黑体" w:hint="eastAsia"/>
          <w:sz w:val="32"/>
          <w:szCs w:val="32"/>
        </w:rPr>
        <w:t>五、一般公共预算支出预算情况说明</w:t>
      </w:r>
    </w:p>
    <w:p w:rsidR="00A55C35" w:rsidRDefault="0054604A">
      <w:pPr>
        <w:adjustRightInd w:val="0"/>
        <w:snapToGrid w:val="0"/>
        <w:spacing w:line="360" w:lineRule="auto"/>
        <w:ind w:firstLine="640"/>
        <w:rPr>
          <w:rFonts w:ascii="仿宋_GB2312" w:eastAsia="仿宋_GB2312" w:hAnsi="宋体" w:cs="Courier New"/>
          <w:sz w:val="32"/>
          <w:szCs w:val="32"/>
        </w:rPr>
      </w:pPr>
      <w:r>
        <w:rPr>
          <w:rFonts w:ascii="仿宋_GB2312" w:eastAsia="仿宋_GB2312" w:hint="eastAsia"/>
          <w:sz w:val="32"/>
          <w:szCs w:val="32"/>
        </w:rPr>
        <w:t>龙安区应急管理局</w:t>
      </w:r>
      <w:r>
        <w:rPr>
          <w:rFonts w:ascii="仿宋_GB2312" w:eastAsia="仿宋_GB2312" w:hAnsi="宋体" w:cs="Courier New"/>
          <w:sz w:val="32"/>
          <w:szCs w:val="32"/>
        </w:rPr>
        <w:t>2</w:t>
      </w:r>
      <w:r>
        <w:rPr>
          <w:rFonts w:ascii="仿宋_GB2312" w:eastAsia="仿宋_GB2312" w:hAnsi="宋体" w:cs="Courier New" w:hint="eastAsia"/>
          <w:sz w:val="32"/>
          <w:szCs w:val="32"/>
        </w:rPr>
        <w:t>020年一般公共预算支出年初预算为</w:t>
      </w:r>
      <w:r>
        <w:rPr>
          <w:rFonts w:ascii="仿宋_GB2312" w:eastAsia="仿宋_GB2312" w:hint="eastAsia"/>
          <w:sz w:val="32"/>
          <w:szCs w:val="32"/>
        </w:rPr>
        <w:t>301.43</w:t>
      </w:r>
      <w:r>
        <w:rPr>
          <w:rFonts w:ascii="仿宋_GB2312" w:eastAsia="仿宋_GB2312" w:hAnsi="宋体" w:cs="Courier New" w:hint="eastAsia"/>
          <w:sz w:val="32"/>
          <w:szCs w:val="32"/>
        </w:rPr>
        <w:lastRenderedPageBreak/>
        <w:t>万元。主要用于以下方面：机关事业单位基本养老保险缴费支出33.46万元，占11.10%；公务员医疗补助12.55万元，占4.16%；其他行政事业单位医疗支出14.64万元，占4.86%；住房公积金25.1万元，占8.33%；商品与服务支出5.8万元，占1.92%；工资福利支出支出209.15万元，占69.39%；其他社会保障和就业支出0.73万元，占0.24%。</w:t>
      </w:r>
    </w:p>
    <w:p w:rsidR="00A55C35" w:rsidRDefault="0054604A">
      <w:pPr>
        <w:spacing w:line="560" w:lineRule="exact"/>
        <w:ind w:firstLineChars="200" w:firstLine="640"/>
        <w:rPr>
          <w:rFonts w:ascii="黑体" w:eastAsia="黑体" w:hAnsi="Times New Roman" w:cs="黑体"/>
          <w:kern w:val="0"/>
          <w:sz w:val="32"/>
          <w:szCs w:val="32"/>
        </w:rPr>
      </w:pPr>
      <w:r>
        <w:rPr>
          <w:rFonts w:ascii="黑体" w:eastAsia="黑体" w:hAnsi="Times New Roman" w:cs="黑体" w:hint="eastAsia"/>
          <w:kern w:val="0"/>
          <w:sz w:val="32"/>
          <w:szCs w:val="32"/>
        </w:rPr>
        <w:t>六、支出预算经济分类情况说明</w:t>
      </w:r>
    </w:p>
    <w:p w:rsidR="00A55C35" w:rsidRDefault="0054604A">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按照《财政部关于印发&lt;支出经济分类科目改革方案&gt;的通知》（财预〔2017〕98号）要求，从2019年起全面实施支出经济分类科目改革，根据政府预算管理和部门预算管理的不同特点，分设部门预算支出经济分类科目和政府预算支出经济分类科目，两套科目之间保持对应关系。为适应改革要求，我部门《支出经济分类汇总表》由上年仅反映一般公共预算基本支出经济分类科目预算，调整为按两套经济分类科目分别反映不同资金来源的全部预算支出。</w:t>
      </w:r>
    </w:p>
    <w:p w:rsidR="00A55C35" w:rsidRDefault="0054604A">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（一）2020年应急管理局部门预算支出301.43万元，具体分为：</w:t>
      </w:r>
    </w:p>
    <w:p w:rsidR="00A55C35" w:rsidRDefault="0054604A">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工资福利支出（类301）295.63万元，包括基本工资（款01）100.93万元、津贴补贴（款02）67.05万元、绩效工资（款07）41.17万元、机关事业单位基本养老保险缴费（款08）33.46万元、职工基本医疗保险缴费（款10）14.64万元、公务员医疗补助缴费（款11）12.55万元、其他社会保障缴费（款12）0.73万元、住房公积金（款13）25.1万元；</w:t>
      </w:r>
    </w:p>
    <w:p w:rsidR="00A55C35" w:rsidRDefault="0054604A">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对个人和家庭补助支出（类303）0万元，包括退休费（款02），其他对个人和家庭的补助（款99）；</w:t>
      </w:r>
    </w:p>
    <w:p w:rsidR="00A55C35" w:rsidRDefault="0054604A">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办公经费支出（类302）5.8万元，包括办公费（款01）1万元、</w:t>
      </w:r>
      <w:r>
        <w:rPr>
          <w:rFonts w:ascii="仿宋_GB2312" w:eastAsia="仿宋_GB2312" w:hint="eastAsia"/>
          <w:sz w:val="32"/>
          <w:szCs w:val="32"/>
        </w:rPr>
        <w:lastRenderedPageBreak/>
        <w:t>印刷费（款02）1万元、邮电费（款07）0.4万元、公务接待（款17）1.2万元、公务车运行维护费（款31）2.2万元。</w:t>
      </w:r>
    </w:p>
    <w:p w:rsidR="00A55C35" w:rsidRDefault="0054604A">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（二）龙安区应急管理局2019年政府预算支出301.43万元。具体分为：</w:t>
      </w:r>
    </w:p>
    <w:p w:rsidR="00A55C35" w:rsidRDefault="0054604A">
      <w:pPr>
        <w:adjustRightInd w:val="0"/>
        <w:snapToGrid w:val="0"/>
        <w:spacing w:line="600" w:lineRule="exact"/>
        <w:ind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机关工资福利支出（类501）254.46万元，包括基本工资、津贴补贴（款01）</w:t>
      </w:r>
      <w:r>
        <w:rPr>
          <w:rFonts w:ascii="仿宋_GB2312" w:eastAsia="仿宋_GB2312" w:hint="eastAsia"/>
          <w:color w:val="000000" w:themeColor="text1"/>
          <w:sz w:val="32"/>
          <w:szCs w:val="32"/>
        </w:rPr>
        <w:t>167.98</w:t>
      </w:r>
      <w:r>
        <w:rPr>
          <w:rFonts w:ascii="仿宋_GB2312" w:eastAsia="仿宋_GB2312" w:hAnsi="宋体" w:cs="Courier New" w:hint="eastAsia"/>
          <w:color w:val="000000" w:themeColor="text1"/>
          <w:sz w:val="32"/>
          <w:szCs w:val="32"/>
        </w:rPr>
        <w:t>万元、社会保障缴费（款02）61.38万元、住房公积金（款03）25.1万元。</w:t>
      </w:r>
    </w:p>
    <w:p w:rsidR="00A55C35" w:rsidRDefault="0054604A">
      <w:pPr>
        <w:adjustRightInd w:val="0"/>
        <w:snapToGrid w:val="0"/>
        <w:spacing w:line="600" w:lineRule="exact"/>
        <w:ind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工资福利支出（类505）41.17万元，包括工资福利（款01）41.17万元。</w:t>
      </w:r>
    </w:p>
    <w:p w:rsidR="00A55C35" w:rsidRDefault="0054604A">
      <w:pPr>
        <w:adjustRightInd w:val="0"/>
        <w:snapToGrid w:val="0"/>
        <w:spacing w:line="600" w:lineRule="exact"/>
        <w:ind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办公经费支出（类502）5.8万元，包括办公经费（款01）2.4万元、公务接待费（款06）1.2万元、公务车运行维护费（08款）2.2万元。</w:t>
      </w:r>
    </w:p>
    <w:p w:rsidR="00A55C35" w:rsidRDefault="0054604A">
      <w:pPr>
        <w:spacing w:line="560" w:lineRule="exact"/>
        <w:rPr>
          <w:rFonts w:ascii="仿宋_GB2312" w:eastAsia="仿宋_GB2312"/>
          <w:sz w:val="32"/>
          <w:szCs w:val="32"/>
        </w:rPr>
      </w:pPr>
      <w:r>
        <w:rPr>
          <w:rFonts w:ascii="黑体" w:eastAsia="黑体" w:hAnsi="Times New Roman" w:cs="黑体" w:hint="eastAsia"/>
          <w:kern w:val="0"/>
          <w:sz w:val="32"/>
          <w:szCs w:val="32"/>
        </w:rPr>
        <w:t xml:space="preserve">    七、政府性基金预算支出情况说明</w:t>
      </w:r>
    </w:p>
    <w:p w:rsidR="00A55C35" w:rsidRDefault="0054604A">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龙安区应急管理局2020年无政府性基金预算拨款安排的支出。</w:t>
      </w:r>
    </w:p>
    <w:p w:rsidR="00A55C35" w:rsidRDefault="0054604A">
      <w:pPr>
        <w:spacing w:line="560" w:lineRule="exact"/>
        <w:ind w:firstLineChars="200" w:firstLine="640"/>
        <w:rPr>
          <w:rFonts w:ascii="仿宋_GB2312" w:eastAsia="仿宋_GB2312"/>
          <w:sz w:val="32"/>
          <w:szCs w:val="32"/>
        </w:rPr>
      </w:pPr>
      <w:r>
        <w:rPr>
          <w:rFonts w:ascii="黑体" w:eastAsia="黑体" w:hAnsi="Times New Roman" w:cs="黑体" w:hint="eastAsia"/>
          <w:kern w:val="0"/>
          <w:sz w:val="32"/>
          <w:szCs w:val="32"/>
        </w:rPr>
        <w:t>八、“三公”经费支出预算情况说明</w:t>
      </w:r>
    </w:p>
    <w:p w:rsidR="00A55C35" w:rsidRDefault="0054604A">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龙安区应急管理局</w:t>
      </w:r>
      <w:r>
        <w:rPr>
          <w:rFonts w:ascii="仿宋_GB2312" w:eastAsia="仿宋_GB2312" w:hAnsi="宋体" w:cs="Courier New" w:hint="eastAsia"/>
          <w:sz w:val="32"/>
          <w:szCs w:val="32"/>
        </w:rPr>
        <w:t>2020年“三公”经费预算为</w:t>
      </w:r>
      <w:r>
        <w:rPr>
          <w:rFonts w:ascii="仿宋_GB2312" w:eastAsia="仿宋_GB2312" w:hint="eastAsia"/>
          <w:sz w:val="32"/>
          <w:szCs w:val="32"/>
        </w:rPr>
        <w:t>3.4</w:t>
      </w:r>
      <w:r>
        <w:rPr>
          <w:rFonts w:ascii="仿宋_GB2312" w:eastAsia="仿宋_GB2312" w:hAnsi="宋体" w:cs="Courier New" w:hint="eastAsia"/>
          <w:sz w:val="32"/>
          <w:szCs w:val="32"/>
        </w:rPr>
        <w:t>万元。2020年“三公”经费支出预算数与 2019年相比无增减。</w:t>
      </w:r>
    </w:p>
    <w:p w:rsidR="00A55C35" w:rsidRDefault="0054604A">
      <w:pPr>
        <w:kinsoku w:val="0"/>
        <w:overflowPunct w:val="0"/>
        <w:autoSpaceDE w:val="0"/>
        <w:autoSpaceDN w:val="0"/>
        <w:adjustRightInd w:val="0"/>
        <w:snapToGrid w:val="0"/>
        <w:spacing w:line="56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具体支出情况如下：</w:t>
      </w:r>
    </w:p>
    <w:p w:rsidR="00A55C35" w:rsidRDefault="0054604A" w:rsidP="00D60389">
      <w:pPr>
        <w:kinsoku w:val="0"/>
        <w:overflowPunct w:val="0"/>
        <w:autoSpaceDE w:val="0"/>
        <w:autoSpaceDN w:val="0"/>
        <w:adjustRightInd w:val="0"/>
        <w:snapToGrid w:val="0"/>
        <w:spacing w:line="560" w:lineRule="exact"/>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（一）因公出国（境）费</w:t>
      </w:r>
      <w:r>
        <w:rPr>
          <w:rFonts w:ascii="仿宋_GB2312" w:eastAsia="仿宋_GB2312" w:hint="eastAsia"/>
          <w:sz w:val="32"/>
          <w:szCs w:val="32"/>
        </w:rPr>
        <w:t>0</w:t>
      </w:r>
      <w:r>
        <w:rPr>
          <w:rFonts w:ascii="仿宋_GB2312" w:eastAsia="仿宋_GB2312" w:hAnsi="Times New Roman" w:cs="仿宋_GB2312" w:hint="eastAsia"/>
          <w:spacing w:val="-1"/>
          <w:kern w:val="0"/>
          <w:sz w:val="32"/>
          <w:szCs w:val="32"/>
        </w:rPr>
        <w:t>万元，</w:t>
      </w:r>
      <w:r>
        <w:rPr>
          <w:rFonts w:ascii="仿宋_GB2312" w:eastAsia="仿宋_GB2312" w:hAnsi="宋体" w:cs="Courier New" w:hint="eastAsia"/>
          <w:sz w:val="32"/>
          <w:szCs w:val="32"/>
        </w:rPr>
        <w:t>主要用于单位工作人员公务出国（境）的住宿费、旅费、伙食补助费、杂费、培训费等支出。因公出国（境）费预算数与2019年相比无增减。</w:t>
      </w:r>
    </w:p>
    <w:p w:rsidR="00A55C35" w:rsidRDefault="0054604A" w:rsidP="00D60389">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（二）公务用车购置及运行费</w:t>
      </w:r>
      <w:r>
        <w:rPr>
          <w:rFonts w:ascii="仿宋_GB2312" w:eastAsia="仿宋_GB2312" w:hint="eastAsia"/>
          <w:sz w:val="32"/>
          <w:szCs w:val="32"/>
        </w:rPr>
        <w:t>2.2</w:t>
      </w:r>
      <w:r>
        <w:rPr>
          <w:rFonts w:ascii="仿宋_GB2312" w:eastAsia="仿宋_GB2312" w:hAnsi="Times New Roman" w:cs="仿宋_GB2312" w:hint="eastAsia"/>
          <w:kern w:val="0"/>
          <w:sz w:val="32"/>
          <w:szCs w:val="32"/>
        </w:rPr>
        <w:t>万</w:t>
      </w:r>
      <w:r>
        <w:rPr>
          <w:rFonts w:ascii="仿宋_GB2312" w:eastAsia="仿宋_GB2312" w:hAnsi="宋体" w:cs="Courier New" w:hint="eastAsia"/>
          <w:sz w:val="32"/>
          <w:szCs w:val="32"/>
        </w:rPr>
        <w:t>元，其中，公务用车购置费</w:t>
      </w:r>
      <w:r>
        <w:rPr>
          <w:rFonts w:ascii="仿宋_GB2312" w:eastAsia="仿宋_GB2312" w:hint="eastAsia"/>
          <w:sz w:val="32"/>
          <w:szCs w:val="32"/>
        </w:rPr>
        <w:t>0</w:t>
      </w:r>
      <w:r>
        <w:rPr>
          <w:rFonts w:ascii="仿宋_GB2312" w:eastAsia="仿宋_GB2312" w:hAnsi="宋体" w:cs="Courier New" w:hint="eastAsia"/>
          <w:sz w:val="32"/>
          <w:szCs w:val="32"/>
        </w:rPr>
        <w:t>万元；公务用车运行维护费</w:t>
      </w:r>
      <w:r>
        <w:rPr>
          <w:rFonts w:ascii="仿宋_GB2312" w:eastAsia="仿宋_GB2312" w:hint="eastAsia"/>
          <w:sz w:val="32"/>
          <w:szCs w:val="32"/>
        </w:rPr>
        <w:t>2.2</w:t>
      </w:r>
      <w:r>
        <w:rPr>
          <w:rFonts w:ascii="仿宋_GB2312" w:eastAsia="仿宋_GB2312" w:hAnsi="宋体" w:cs="Courier New" w:hint="eastAsia"/>
          <w:sz w:val="32"/>
          <w:szCs w:val="32"/>
        </w:rPr>
        <w:t>万元，主要用于开展工作所需公务用车的燃料费、维修费、过路过桥费、保险费、安全奖励费用等支出。公</w:t>
      </w:r>
      <w:r>
        <w:rPr>
          <w:rFonts w:ascii="仿宋_GB2312" w:eastAsia="仿宋_GB2312" w:hAnsi="宋体" w:cs="Courier New" w:hint="eastAsia"/>
          <w:sz w:val="32"/>
          <w:szCs w:val="32"/>
        </w:rPr>
        <w:lastRenderedPageBreak/>
        <w:t>务用车购置费预算数与 2019 年相比无增减。公务用车运行维护费预算数与 2019年相比无增减。</w:t>
      </w:r>
    </w:p>
    <w:p w:rsidR="00A55C35" w:rsidRDefault="0054604A" w:rsidP="00D60389">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（三）公务接待费</w:t>
      </w:r>
      <w:r>
        <w:rPr>
          <w:rFonts w:ascii="仿宋_GB2312" w:eastAsia="仿宋_GB2312" w:hint="eastAsia"/>
          <w:sz w:val="32"/>
          <w:szCs w:val="32"/>
        </w:rPr>
        <w:t>1.2</w:t>
      </w:r>
      <w:r>
        <w:rPr>
          <w:rFonts w:ascii="仿宋_GB2312" w:eastAsia="仿宋_GB2312" w:hAnsi="宋体" w:cs="Courier New" w:hint="eastAsia"/>
          <w:sz w:val="32"/>
          <w:szCs w:val="32"/>
        </w:rPr>
        <w:t>万元，主要用于按规定开支的各类公务接待（含外宾接待）支出。公务接待费预算数与 2019年相比无增减。</w:t>
      </w:r>
    </w:p>
    <w:p w:rsidR="00A55C35" w:rsidRDefault="00384B34">
      <w:pPr>
        <w:kinsoku w:val="0"/>
        <w:overflowPunct w:val="0"/>
        <w:autoSpaceDE w:val="0"/>
        <w:autoSpaceDN w:val="0"/>
        <w:adjustRightInd w:val="0"/>
        <w:snapToGrid w:val="0"/>
        <w:spacing w:line="360" w:lineRule="auto"/>
        <w:ind w:firstLineChars="200" w:firstLine="636"/>
        <w:rPr>
          <w:rFonts w:ascii="黑体" w:eastAsia="黑体" w:hAnsi="Times New Roman" w:cs="黑体"/>
          <w:color w:val="FF0000"/>
          <w:spacing w:val="-1"/>
          <w:kern w:val="0"/>
          <w:sz w:val="32"/>
          <w:szCs w:val="32"/>
        </w:rPr>
      </w:pPr>
      <w:r>
        <w:rPr>
          <w:rFonts w:ascii="黑体" w:eastAsia="黑体" w:hAnsi="Times New Roman" w:cs="黑体" w:hint="eastAsia"/>
          <w:spacing w:val="-1"/>
          <w:kern w:val="0"/>
          <w:sz w:val="32"/>
          <w:szCs w:val="32"/>
        </w:rPr>
        <w:t>九</w:t>
      </w:r>
      <w:r w:rsidR="0054604A">
        <w:rPr>
          <w:rFonts w:ascii="黑体" w:eastAsia="黑体" w:hAnsi="Times New Roman" w:cs="黑体" w:hint="eastAsia"/>
          <w:spacing w:val="-1"/>
          <w:kern w:val="0"/>
          <w:sz w:val="32"/>
          <w:szCs w:val="32"/>
        </w:rPr>
        <w:t>、其他重要事项的情况说明</w:t>
      </w:r>
    </w:p>
    <w:p w:rsidR="00A55C35" w:rsidRDefault="0054604A">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Times New Roman" w:cs="仿宋_GB2312" w:hint="eastAsia"/>
          <w:b/>
          <w:kern w:val="0"/>
          <w:sz w:val="32"/>
          <w:szCs w:val="32"/>
        </w:rPr>
        <w:t>（一）机关运行经费支出情况</w:t>
      </w:r>
    </w:p>
    <w:p w:rsidR="00A55C35" w:rsidRDefault="0054604A">
      <w:pPr>
        <w:kinsoku w:val="0"/>
        <w:overflowPunct w:val="0"/>
        <w:autoSpaceDE w:val="0"/>
        <w:autoSpaceDN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应急管理局</w:t>
      </w:r>
      <w:r>
        <w:rPr>
          <w:rFonts w:ascii="仿宋_GB2312" w:eastAsia="仿宋_GB2312" w:hAnsi="宋体" w:cs="Courier New"/>
          <w:sz w:val="32"/>
          <w:szCs w:val="32"/>
        </w:rPr>
        <w:t>20</w:t>
      </w:r>
      <w:r>
        <w:rPr>
          <w:rFonts w:ascii="仿宋_GB2312" w:eastAsia="仿宋_GB2312" w:hAnsi="宋体" w:cs="Courier New" w:hint="eastAsia"/>
          <w:sz w:val="32"/>
          <w:szCs w:val="32"/>
        </w:rPr>
        <w:t>20</w:t>
      </w:r>
      <w:r>
        <w:rPr>
          <w:rFonts w:ascii="仿宋_GB2312" w:eastAsia="仿宋_GB2312" w:hAnsi="宋体" w:cs="Courier New"/>
          <w:sz w:val="32"/>
          <w:szCs w:val="32"/>
        </w:rPr>
        <w:t>年</w:t>
      </w:r>
      <w:r>
        <w:rPr>
          <w:rFonts w:ascii="仿宋_GB2312" w:eastAsia="仿宋_GB2312" w:hAnsi="宋体" w:cs="Courier New" w:hint="eastAsia"/>
          <w:sz w:val="32"/>
          <w:szCs w:val="32"/>
        </w:rPr>
        <w:t>机关运行经费支出预算</w:t>
      </w:r>
      <w:r>
        <w:rPr>
          <w:rFonts w:ascii="仿宋_GB2312" w:eastAsia="仿宋_GB2312" w:hint="eastAsia"/>
          <w:sz w:val="32"/>
          <w:szCs w:val="32"/>
        </w:rPr>
        <w:t>5.8</w:t>
      </w:r>
      <w:r>
        <w:rPr>
          <w:rFonts w:ascii="仿宋_GB2312" w:eastAsia="仿宋_GB2312" w:hAnsi="宋体" w:cs="Courier New" w:hint="eastAsia"/>
          <w:sz w:val="32"/>
          <w:szCs w:val="32"/>
        </w:rPr>
        <w:t>万元，</w:t>
      </w:r>
      <w:r>
        <w:rPr>
          <w:rFonts w:ascii="仿宋_GB2312" w:eastAsia="仿宋_GB2312" w:hint="eastAsia"/>
          <w:sz w:val="32"/>
          <w:szCs w:val="32"/>
        </w:rPr>
        <w:t>主要保障机构正常运转及正常履职需要，</w:t>
      </w:r>
      <w:r>
        <w:rPr>
          <w:rFonts w:ascii="仿宋_GB2312" w:eastAsia="仿宋_GB2312" w:hAnsi="宋体" w:cs="Courier New" w:hint="eastAsia"/>
          <w:sz w:val="32"/>
          <w:szCs w:val="32"/>
        </w:rPr>
        <w:t>与2019年相比减少19.6万元，下降337.93%，主要原因是：节约开支</w:t>
      </w:r>
      <w:r>
        <w:rPr>
          <w:rFonts w:ascii="仿宋_GB2312" w:eastAsia="仿宋_GB2312" w:hint="eastAsia"/>
          <w:sz w:val="32"/>
          <w:szCs w:val="32"/>
        </w:rPr>
        <w:t>。</w:t>
      </w:r>
    </w:p>
    <w:p w:rsidR="00A55C35" w:rsidRDefault="0054604A">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（二）政府采购支出情况</w:t>
      </w:r>
    </w:p>
    <w:p w:rsidR="00A55C35" w:rsidRDefault="0054604A">
      <w:pPr>
        <w:kinsoku w:val="0"/>
        <w:overflowPunct w:val="0"/>
        <w:autoSpaceDE w:val="0"/>
        <w:autoSpaceDN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2020年政府采购预算安排0万元，与2019年相比减少5万元，主要原因是节约开支。</w:t>
      </w:r>
    </w:p>
    <w:p w:rsidR="00A55C35" w:rsidRDefault="0054604A">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（三）重点项目预算绩效目标等情况说明</w:t>
      </w:r>
    </w:p>
    <w:p w:rsidR="00A55C35" w:rsidRDefault="0054604A">
      <w:pPr>
        <w:kinsoku w:val="0"/>
        <w:overflowPunct w:val="0"/>
        <w:autoSpaceDE w:val="0"/>
        <w:autoSpaceDN w:val="0"/>
        <w:adjustRightInd w:val="0"/>
        <w:snapToGrid w:val="0"/>
        <w:spacing w:line="360" w:lineRule="auto"/>
        <w:ind w:firstLineChars="250" w:firstLine="800"/>
        <w:rPr>
          <w:rFonts w:ascii="仿宋_GB2312" w:eastAsia="仿宋_GB2312" w:hAnsi="宋体" w:cs="Courier New"/>
          <w:sz w:val="32"/>
          <w:szCs w:val="32"/>
        </w:rPr>
      </w:pPr>
      <w:r>
        <w:rPr>
          <w:rFonts w:ascii="仿宋_GB2312" w:eastAsia="仿宋_GB2312" w:hAnsi="宋体" w:cs="Courier New" w:hint="eastAsia"/>
          <w:sz w:val="32"/>
          <w:szCs w:val="32"/>
        </w:rPr>
        <w:t>2019年，我单位共开展预算绩效项目0个，涉及预算资金0万元，2020年，</w:t>
      </w:r>
      <w:r>
        <w:rPr>
          <w:rFonts w:ascii="仿宋_GB2312" w:eastAsia="仿宋_GB2312" w:hint="eastAsia"/>
          <w:sz w:val="32"/>
          <w:szCs w:val="32"/>
        </w:rPr>
        <w:t>我单位无重点项目未开展重点项目预算绩效目标管理</w:t>
      </w:r>
      <w:r>
        <w:rPr>
          <w:rFonts w:ascii="仿宋_GB2312" w:eastAsia="仿宋_GB2312" w:hAnsi="宋体" w:cs="Courier New" w:hint="eastAsia"/>
          <w:sz w:val="32"/>
          <w:szCs w:val="32"/>
        </w:rPr>
        <w:t>，下一步如有重点项目，将严格按照政策要求开展项目预算绩效目标管理，按照要求下一步专项转移支付项目资金也全部展开绩效评价。</w:t>
      </w:r>
    </w:p>
    <w:p w:rsidR="00A55C35" w:rsidRDefault="0054604A">
      <w:pPr>
        <w:kinsoku w:val="0"/>
        <w:overflowPunct w:val="0"/>
        <w:autoSpaceDE w:val="0"/>
        <w:autoSpaceDN w:val="0"/>
        <w:adjustRightInd w:val="0"/>
        <w:snapToGrid w:val="0"/>
        <w:spacing w:line="384"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（四）国有资产占用情况。</w:t>
      </w:r>
    </w:p>
    <w:p w:rsidR="00A55C35" w:rsidRDefault="0054604A">
      <w:pPr>
        <w:pStyle w:val="a3"/>
        <w:kinsoku w:val="0"/>
        <w:overflowPunct w:val="0"/>
        <w:snapToGrid w:val="0"/>
        <w:spacing w:line="384" w:lineRule="auto"/>
        <w:ind w:left="0" w:firstLineChars="200" w:firstLine="640"/>
        <w:jc w:val="both"/>
        <w:rPr>
          <w:rFonts w:eastAsia="仿宋_GB2312" w:hAnsi="宋体" w:cs="Courier New"/>
          <w:kern w:val="2"/>
          <w:sz w:val="32"/>
        </w:rPr>
      </w:pPr>
      <w:r>
        <w:rPr>
          <w:rFonts w:eastAsia="仿宋_GB2312" w:hAnsi="宋体" w:cs="Courier New" w:hint="eastAsia"/>
          <w:kern w:val="2"/>
          <w:sz w:val="32"/>
        </w:rPr>
        <w:t>截至2019年12月31日，应急管理局共有车辆1辆，其中，一般公务用车1辆，无一般执法执勤用车辆而及特种专业技术用车辆，我单位无价值100万元以上专用设备。</w:t>
      </w:r>
    </w:p>
    <w:p w:rsidR="00A55C35" w:rsidRDefault="0054604A">
      <w:pPr>
        <w:kinsoku w:val="0"/>
        <w:overflowPunct w:val="0"/>
        <w:autoSpaceDE w:val="0"/>
        <w:autoSpaceDN w:val="0"/>
        <w:adjustRightInd w:val="0"/>
        <w:snapToGrid w:val="0"/>
        <w:spacing w:line="384" w:lineRule="auto"/>
        <w:ind w:firstLineChars="200" w:firstLine="643"/>
        <w:rPr>
          <w:rFonts w:ascii="仿宋_GB2312" w:eastAsia="仿宋_GB2312" w:hAnsi="宋体" w:cs="Courier New"/>
          <w:b/>
          <w:sz w:val="32"/>
          <w:szCs w:val="32"/>
        </w:rPr>
      </w:pPr>
      <w:r>
        <w:rPr>
          <w:rFonts w:ascii="仿宋_GB2312" w:eastAsia="仿宋_GB2312" w:hAnsi="宋体" w:cs="Courier New" w:hint="eastAsia"/>
          <w:b/>
          <w:sz w:val="32"/>
          <w:szCs w:val="32"/>
        </w:rPr>
        <w:t>（五）专项转移支付项目情况</w:t>
      </w:r>
    </w:p>
    <w:p w:rsidR="00A55C35" w:rsidRDefault="0054604A">
      <w:pPr>
        <w:kinsoku w:val="0"/>
        <w:overflowPunct w:val="0"/>
        <w:autoSpaceDE w:val="0"/>
        <w:autoSpaceDN w:val="0"/>
        <w:adjustRightInd w:val="0"/>
        <w:snapToGrid w:val="0"/>
        <w:spacing w:line="384" w:lineRule="auto"/>
        <w:ind w:firstLineChars="200" w:firstLine="640"/>
        <w:rPr>
          <w:rFonts w:ascii="仿宋_GB2312" w:eastAsia="仿宋_GB2312" w:hAnsi="宋体" w:cs="Courier New"/>
          <w:color w:val="FF0000"/>
          <w:sz w:val="32"/>
          <w:szCs w:val="32"/>
        </w:rPr>
      </w:pPr>
      <w:r>
        <w:rPr>
          <w:rFonts w:ascii="仿宋_GB2312" w:eastAsia="仿宋_GB2312" w:hAnsi="宋体" w:cs="Courier New" w:hint="eastAsia"/>
          <w:sz w:val="32"/>
          <w:szCs w:val="32"/>
        </w:rPr>
        <w:lastRenderedPageBreak/>
        <w:t>龙安区应急管理局2020年没有负责管理的专著转移支付项目。</w:t>
      </w:r>
    </w:p>
    <w:p w:rsidR="00A55C35" w:rsidRDefault="0054604A">
      <w:pPr>
        <w:adjustRightInd w:val="0"/>
        <w:snapToGrid w:val="0"/>
        <w:spacing w:line="384" w:lineRule="auto"/>
        <w:ind w:firstLineChars="200" w:firstLine="643"/>
        <w:jc w:val="left"/>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(六)扶贫项目及资金安排情况</w:t>
      </w:r>
    </w:p>
    <w:p w:rsidR="00A55C35" w:rsidRDefault="0054604A">
      <w:pPr>
        <w:adjustRightInd w:val="0"/>
        <w:snapToGrid w:val="0"/>
        <w:spacing w:line="384" w:lineRule="auto"/>
        <w:ind w:firstLineChars="200" w:firstLine="640"/>
        <w:jc w:val="left"/>
        <w:rPr>
          <w:rFonts w:ascii="楷体_GB2312" w:eastAsia="楷体_GB2312" w:hAnsi="Times New Roman" w:cs="仿宋_GB2312"/>
          <w:b/>
          <w:color w:val="FF0000"/>
          <w:kern w:val="0"/>
          <w:sz w:val="32"/>
          <w:szCs w:val="32"/>
        </w:rPr>
      </w:pPr>
      <w:r>
        <w:rPr>
          <w:rFonts w:ascii="楷体_GB2312" w:eastAsia="楷体_GB2312" w:hAnsi="Times New Roman" w:cs="仿宋_GB2312" w:hint="eastAsia"/>
          <w:kern w:val="0"/>
          <w:sz w:val="32"/>
          <w:szCs w:val="32"/>
        </w:rPr>
        <w:t>龙安区应急管理局年初未安排专项扶贫项目资金。</w:t>
      </w:r>
    </w:p>
    <w:p w:rsidR="00A55C35" w:rsidRDefault="0054604A">
      <w:pPr>
        <w:adjustRightInd w:val="0"/>
        <w:snapToGrid w:val="0"/>
        <w:spacing w:line="384" w:lineRule="auto"/>
        <w:jc w:val="center"/>
        <w:rPr>
          <w:rFonts w:ascii="黑体" w:eastAsia="黑体" w:hAnsi="黑体"/>
          <w:sz w:val="32"/>
          <w:szCs w:val="32"/>
        </w:rPr>
      </w:pPr>
      <w:r>
        <w:rPr>
          <w:rFonts w:ascii="黑体" w:eastAsia="黑体" w:hAnsi="黑体" w:hint="eastAsia"/>
          <w:sz w:val="32"/>
          <w:szCs w:val="32"/>
        </w:rPr>
        <w:t>第三部分主要名词解释</w:t>
      </w:r>
    </w:p>
    <w:p w:rsidR="00A55C35" w:rsidRDefault="00A55C35">
      <w:pPr>
        <w:adjustRightInd w:val="0"/>
        <w:snapToGrid w:val="0"/>
        <w:spacing w:line="384" w:lineRule="auto"/>
        <w:jc w:val="center"/>
        <w:rPr>
          <w:rFonts w:ascii="黑体" w:eastAsia="黑体" w:hAnsi="黑体"/>
          <w:sz w:val="32"/>
          <w:szCs w:val="32"/>
        </w:rPr>
      </w:pPr>
    </w:p>
    <w:p w:rsidR="00A55C35" w:rsidRDefault="0054604A">
      <w:pPr>
        <w:kinsoku w:val="0"/>
        <w:overflowPunct w:val="0"/>
        <w:autoSpaceDE w:val="0"/>
        <w:autoSpaceDN w:val="0"/>
        <w:adjustRightInd w:val="0"/>
        <w:snapToGrid w:val="0"/>
        <w:spacing w:line="384"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一、财政拨款收入：是指同级财政当年拨付的资金。</w:t>
      </w:r>
    </w:p>
    <w:p w:rsidR="00A55C35" w:rsidRDefault="0054604A">
      <w:pPr>
        <w:kinsoku w:val="0"/>
        <w:overflowPunct w:val="0"/>
        <w:autoSpaceDE w:val="0"/>
        <w:autoSpaceDN w:val="0"/>
        <w:adjustRightInd w:val="0"/>
        <w:snapToGrid w:val="0"/>
        <w:spacing w:line="384"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二、事业收入：是指事业单位开展专业活动及辅助活动所取得的收入。</w:t>
      </w:r>
    </w:p>
    <w:p w:rsidR="00A55C35" w:rsidRDefault="0054604A">
      <w:pPr>
        <w:kinsoku w:val="0"/>
        <w:overflowPunct w:val="0"/>
        <w:autoSpaceDE w:val="0"/>
        <w:autoSpaceDN w:val="0"/>
        <w:adjustRightInd w:val="0"/>
        <w:snapToGrid w:val="0"/>
        <w:spacing w:line="384"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 xml:space="preserve">三、其他收入：是指部门取得的除“财政拨款”、“事业收入”、“事业单位经营收入”等以外的收入。 </w:t>
      </w:r>
    </w:p>
    <w:p w:rsidR="00A55C35" w:rsidRDefault="0054604A">
      <w:pPr>
        <w:kinsoku w:val="0"/>
        <w:overflowPunct w:val="0"/>
        <w:autoSpaceDE w:val="0"/>
        <w:autoSpaceDN w:val="0"/>
        <w:adjustRightInd w:val="0"/>
        <w:snapToGrid w:val="0"/>
        <w:spacing w:line="384"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rsidR="00A55C35" w:rsidRDefault="0054604A">
      <w:pPr>
        <w:kinsoku w:val="0"/>
        <w:overflowPunct w:val="0"/>
        <w:autoSpaceDE w:val="0"/>
        <w:autoSpaceDN w:val="0"/>
        <w:adjustRightInd w:val="0"/>
        <w:snapToGrid w:val="0"/>
        <w:spacing w:line="384"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五、基本支出：是指为保障机构正常运转、完成日常工作任务所必需的开支，其内容包括人员经费和日常公用经费两部分。</w:t>
      </w:r>
    </w:p>
    <w:p w:rsidR="00A55C35" w:rsidRDefault="0054604A">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六、项目支出：是指在基本支出之外，为完成特定的行政工作任务或事业发展目标所发生的支出。</w:t>
      </w:r>
    </w:p>
    <w:p w:rsidR="00A55C35" w:rsidRDefault="0054604A">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七、“三公”经费：是指纳入同级财政预算管理，部门使用财政拨款安排的因公出国（境）费、公务用车购置及运行费和公务接待费</w:t>
      </w:r>
      <w:r>
        <w:rPr>
          <w:rFonts w:ascii="仿宋_GB2312" w:eastAsia="仿宋_GB2312" w:hAnsi="宋体" w:cs="Courier New" w:hint="eastAsia"/>
          <w:sz w:val="32"/>
          <w:szCs w:val="32"/>
        </w:rPr>
        <w:lastRenderedPageBreak/>
        <w:t>。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A55C35" w:rsidRDefault="0054604A">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A55C35" w:rsidRDefault="00A55C3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A55C35" w:rsidRDefault="00A55C3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A55C35" w:rsidRDefault="00A55C3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A55C35" w:rsidRDefault="00A55C3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A55C35" w:rsidRDefault="00A55C3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A55C35" w:rsidRDefault="00A55C35">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sectPr w:rsidR="00A55C35">
          <w:pgSz w:w="11906" w:h="16838"/>
          <w:pgMar w:top="1440" w:right="1083" w:bottom="1440" w:left="1083" w:header="851" w:footer="992" w:gutter="0"/>
          <w:pgNumType w:fmt="numberInDash"/>
          <w:cols w:space="0"/>
          <w:docGrid w:type="lines" w:linePitch="314"/>
        </w:sectPr>
      </w:pPr>
    </w:p>
    <w:p w:rsidR="00A55C35" w:rsidRDefault="0054604A">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r>
        <w:rPr>
          <w:rFonts w:ascii="仿宋_GB2312" w:eastAsia="仿宋_GB2312" w:hAnsi="宋体" w:cs="Courier New" w:hint="eastAsia"/>
          <w:sz w:val="32"/>
          <w:szCs w:val="32"/>
        </w:rPr>
        <w:lastRenderedPageBreak/>
        <w:t>第四部分    附件及其他</w:t>
      </w:r>
    </w:p>
    <w:p w:rsidR="00A55C35" w:rsidRDefault="00A55C35">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A55C35" w:rsidRDefault="0054604A">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附件：应急管理局2020年度部门预算表</w:t>
      </w:r>
    </w:p>
    <w:p w:rsidR="00A55C35" w:rsidRDefault="0054604A">
      <w:pPr>
        <w:adjustRightInd w:val="0"/>
        <w:snapToGrid w:val="0"/>
        <w:spacing w:line="360" w:lineRule="auto"/>
        <w:rPr>
          <w:rFonts w:ascii="仿宋_GB2312" w:eastAsia="仿宋_GB2312" w:hAnsi="仿宋_GB2312" w:cs="仿宋_GB2312"/>
          <w:sz w:val="32"/>
          <w:szCs w:val="32"/>
        </w:rPr>
      </w:pPr>
      <w:r>
        <w:rPr>
          <w:noProof/>
        </w:rPr>
        <w:lastRenderedPageBreak/>
        <w:drawing>
          <wp:inline distT="0" distB="0" distL="114300" distR="114300">
            <wp:extent cx="8853805" cy="6659880"/>
            <wp:effectExtent l="0" t="0" r="444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8853805" cy="6659880"/>
                    </a:xfrm>
                    <a:prstGeom prst="rect">
                      <a:avLst/>
                    </a:prstGeom>
                    <a:noFill/>
                    <a:ln>
                      <a:noFill/>
                    </a:ln>
                  </pic:spPr>
                </pic:pic>
              </a:graphicData>
            </a:graphic>
          </wp:inline>
        </w:drawing>
      </w:r>
    </w:p>
    <w:p w:rsidR="00A55C35" w:rsidRDefault="0054604A">
      <w:pPr>
        <w:adjustRightInd w:val="0"/>
        <w:snapToGrid w:val="0"/>
        <w:spacing w:line="360" w:lineRule="auto"/>
      </w:pPr>
      <w:r>
        <w:rPr>
          <w:noProof/>
        </w:rPr>
        <w:lastRenderedPageBreak/>
        <w:drawing>
          <wp:inline distT="0" distB="0" distL="114300" distR="114300">
            <wp:extent cx="8850630" cy="2351405"/>
            <wp:effectExtent l="0" t="0" r="762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8850630" cy="2351405"/>
                    </a:xfrm>
                    <a:prstGeom prst="rect">
                      <a:avLst/>
                    </a:prstGeom>
                    <a:noFill/>
                    <a:ln>
                      <a:noFill/>
                    </a:ln>
                  </pic:spPr>
                </pic:pic>
              </a:graphicData>
            </a:graphic>
          </wp:inline>
        </w:drawing>
      </w:r>
    </w:p>
    <w:p w:rsidR="00A55C35" w:rsidRDefault="00A55C35">
      <w:pPr>
        <w:adjustRightInd w:val="0"/>
        <w:snapToGrid w:val="0"/>
        <w:spacing w:line="360" w:lineRule="auto"/>
      </w:pPr>
    </w:p>
    <w:p w:rsidR="00A55C35" w:rsidRDefault="0054604A">
      <w:pPr>
        <w:adjustRightInd w:val="0"/>
        <w:snapToGrid w:val="0"/>
        <w:spacing w:line="360" w:lineRule="auto"/>
      </w:pPr>
      <w:r>
        <w:rPr>
          <w:noProof/>
        </w:rPr>
        <w:lastRenderedPageBreak/>
        <w:drawing>
          <wp:inline distT="0" distB="0" distL="114300" distR="114300">
            <wp:extent cx="8859520" cy="3647440"/>
            <wp:effectExtent l="0" t="0" r="17780"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8859520" cy="3647440"/>
                    </a:xfrm>
                    <a:prstGeom prst="rect">
                      <a:avLst/>
                    </a:prstGeom>
                    <a:noFill/>
                    <a:ln>
                      <a:noFill/>
                    </a:ln>
                  </pic:spPr>
                </pic:pic>
              </a:graphicData>
            </a:graphic>
          </wp:inline>
        </w:drawing>
      </w:r>
    </w:p>
    <w:p w:rsidR="00A55C35" w:rsidRDefault="00A55C35">
      <w:pPr>
        <w:adjustRightInd w:val="0"/>
        <w:snapToGrid w:val="0"/>
        <w:spacing w:line="360" w:lineRule="auto"/>
      </w:pPr>
    </w:p>
    <w:p w:rsidR="00A55C35" w:rsidRDefault="0054604A">
      <w:pPr>
        <w:adjustRightInd w:val="0"/>
        <w:snapToGrid w:val="0"/>
        <w:spacing w:line="360" w:lineRule="auto"/>
      </w:pPr>
      <w:r>
        <w:rPr>
          <w:noProof/>
        </w:rPr>
        <w:lastRenderedPageBreak/>
        <w:drawing>
          <wp:inline distT="0" distB="0" distL="114300" distR="114300">
            <wp:extent cx="8860155" cy="6308090"/>
            <wp:effectExtent l="0" t="0" r="17145" b="165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8860155" cy="6308090"/>
                    </a:xfrm>
                    <a:prstGeom prst="rect">
                      <a:avLst/>
                    </a:prstGeom>
                    <a:noFill/>
                    <a:ln>
                      <a:noFill/>
                    </a:ln>
                  </pic:spPr>
                </pic:pic>
              </a:graphicData>
            </a:graphic>
          </wp:inline>
        </w:drawing>
      </w:r>
    </w:p>
    <w:p w:rsidR="00A55C35" w:rsidRDefault="0054604A">
      <w:pPr>
        <w:adjustRightInd w:val="0"/>
        <w:snapToGrid w:val="0"/>
        <w:spacing w:line="360" w:lineRule="auto"/>
      </w:pPr>
      <w:r>
        <w:rPr>
          <w:noProof/>
        </w:rPr>
        <w:lastRenderedPageBreak/>
        <w:drawing>
          <wp:inline distT="0" distB="0" distL="114300" distR="114300">
            <wp:extent cx="8853805" cy="2786380"/>
            <wp:effectExtent l="0" t="0" r="4445" b="139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8853805" cy="2786380"/>
                    </a:xfrm>
                    <a:prstGeom prst="rect">
                      <a:avLst/>
                    </a:prstGeom>
                    <a:noFill/>
                    <a:ln>
                      <a:noFill/>
                    </a:ln>
                  </pic:spPr>
                </pic:pic>
              </a:graphicData>
            </a:graphic>
          </wp:inline>
        </w:drawing>
      </w:r>
    </w:p>
    <w:p w:rsidR="00A55C35" w:rsidRDefault="00A55C35">
      <w:pPr>
        <w:adjustRightInd w:val="0"/>
        <w:snapToGrid w:val="0"/>
        <w:spacing w:line="360" w:lineRule="auto"/>
      </w:pPr>
    </w:p>
    <w:p w:rsidR="00A55C35" w:rsidRDefault="0054604A">
      <w:pPr>
        <w:adjustRightInd w:val="0"/>
        <w:snapToGrid w:val="0"/>
        <w:spacing w:line="360" w:lineRule="auto"/>
      </w:pPr>
      <w:r>
        <w:rPr>
          <w:noProof/>
        </w:rPr>
        <w:lastRenderedPageBreak/>
        <w:drawing>
          <wp:inline distT="0" distB="0" distL="114300" distR="114300">
            <wp:extent cx="8860155" cy="4270375"/>
            <wp:effectExtent l="0" t="0" r="17145" b="158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stretch>
                      <a:fillRect/>
                    </a:stretch>
                  </pic:blipFill>
                  <pic:spPr>
                    <a:xfrm>
                      <a:off x="0" y="0"/>
                      <a:ext cx="8860155" cy="4270375"/>
                    </a:xfrm>
                    <a:prstGeom prst="rect">
                      <a:avLst/>
                    </a:prstGeom>
                    <a:noFill/>
                    <a:ln>
                      <a:noFill/>
                    </a:ln>
                  </pic:spPr>
                </pic:pic>
              </a:graphicData>
            </a:graphic>
          </wp:inline>
        </w:drawing>
      </w:r>
    </w:p>
    <w:p w:rsidR="00A55C35" w:rsidRDefault="00A55C35">
      <w:pPr>
        <w:adjustRightInd w:val="0"/>
        <w:snapToGrid w:val="0"/>
        <w:spacing w:line="360" w:lineRule="auto"/>
      </w:pPr>
    </w:p>
    <w:p w:rsidR="00A55C35" w:rsidRDefault="00A55C35">
      <w:pPr>
        <w:adjustRightInd w:val="0"/>
        <w:snapToGrid w:val="0"/>
        <w:spacing w:line="360" w:lineRule="auto"/>
      </w:pPr>
    </w:p>
    <w:p w:rsidR="00A55C35" w:rsidRDefault="0054604A">
      <w:pPr>
        <w:adjustRightInd w:val="0"/>
        <w:snapToGrid w:val="0"/>
        <w:spacing w:line="360" w:lineRule="auto"/>
      </w:pPr>
      <w:r>
        <w:rPr>
          <w:noProof/>
        </w:rPr>
        <w:lastRenderedPageBreak/>
        <w:drawing>
          <wp:inline distT="0" distB="0" distL="114300" distR="114300">
            <wp:extent cx="8854440" cy="1883410"/>
            <wp:effectExtent l="0" t="0" r="381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8854440" cy="1883410"/>
                    </a:xfrm>
                    <a:prstGeom prst="rect">
                      <a:avLst/>
                    </a:prstGeom>
                    <a:noFill/>
                    <a:ln>
                      <a:noFill/>
                    </a:ln>
                  </pic:spPr>
                </pic:pic>
              </a:graphicData>
            </a:graphic>
          </wp:inline>
        </w:drawing>
      </w:r>
    </w:p>
    <w:p w:rsidR="00A55C35" w:rsidRDefault="00A55C35">
      <w:pPr>
        <w:adjustRightInd w:val="0"/>
        <w:snapToGrid w:val="0"/>
        <w:spacing w:line="360" w:lineRule="auto"/>
      </w:pPr>
    </w:p>
    <w:p w:rsidR="00A55C35" w:rsidRDefault="0054604A">
      <w:pPr>
        <w:adjustRightInd w:val="0"/>
        <w:snapToGrid w:val="0"/>
        <w:spacing w:line="360" w:lineRule="auto"/>
        <w:rPr>
          <w:rFonts w:hint="eastAsia"/>
        </w:rPr>
      </w:pPr>
      <w:r>
        <w:rPr>
          <w:noProof/>
        </w:rPr>
        <w:drawing>
          <wp:inline distT="0" distB="0" distL="114300" distR="114300">
            <wp:extent cx="8860790" cy="1807845"/>
            <wp:effectExtent l="0" t="0" r="16510"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stretch>
                      <a:fillRect/>
                    </a:stretch>
                  </pic:blipFill>
                  <pic:spPr>
                    <a:xfrm>
                      <a:off x="0" y="0"/>
                      <a:ext cx="8860790" cy="1807845"/>
                    </a:xfrm>
                    <a:prstGeom prst="rect">
                      <a:avLst/>
                    </a:prstGeom>
                    <a:noFill/>
                    <a:ln>
                      <a:noFill/>
                    </a:ln>
                  </pic:spPr>
                </pic:pic>
              </a:graphicData>
            </a:graphic>
          </wp:inline>
        </w:drawing>
      </w:r>
    </w:p>
    <w:p w:rsidR="00A37525" w:rsidRDefault="00A37525">
      <w:pPr>
        <w:adjustRightInd w:val="0"/>
        <w:snapToGrid w:val="0"/>
        <w:spacing w:line="360" w:lineRule="auto"/>
        <w:rPr>
          <w:rFonts w:hint="eastAsia"/>
        </w:rPr>
      </w:pPr>
    </w:p>
    <w:p w:rsidR="00A37525" w:rsidRDefault="00A37525">
      <w:pPr>
        <w:adjustRightInd w:val="0"/>
        <w:snapToGrid w:val="0"/>
        <w:spacing w:line="360" w:lineRule="auto"/>
        <w:rPr>
          <w:rFonts w:hint="eastAsia"/>
        </w:rPr>
      </w:pPr>
    </w:p>
    <w:p w:rsidR="00A37525" w:rsidRDefault="00A37525">
      <w:pPr>
        <w:adjustRightInd w:val="0"/>
        <w:snapToGrid w:val="0"/>
        <w:spacing w:line="360" w:lineRule="auto"/>
      </w:pPr>
      <w:r>
        <w:rPr>
          <w:rFonts w:hint="eastAsia"/>
        </w:rPr>
        <w:t>本单位没有政府性基金支出</w:t>
      </w:r>
      <w:bookmarkStart w:id="0" w:name="_GoBack"/>
      <w:bookmarkEnd w:id="0"/>
    </w:p>
    <w:p w:rsidR="00A55C35" w:rsidRDefault="0054604A">
      <w:pPr>
        <w:adjustRightInd w:val="0"/>
        <w:snapToGrid w:val="0"/>
        <w:spacing w:line="360" w:lineRule="auto"/>
      </w:pPr>
      <w:r>
        <w:rPr>
          <w:noProof/>
        </w:rPr>
        <w:lastRenderedPageBreak/>
        <w:drawing>
          <wp:inline distT="0" distB="0" distL="114300" distR="114300">
            <wp:extent cx="8858885" cy="1440180"/>
            <wp:effectExtent l="0" t="0" r="18415"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9"/>
                    <a:stretch>
                      <a:fillRect/>
                    </a:stretch>
                  </pic:blipFill>
                  <pic:spPr>
                    <a:xfrm>
                      <a:off x="0" y="0"/>
                      <a:ext cx="8858885" cy="1440180"/>
                    </a:xfrm>
                    <a:prstGeom prst="rect">
                      <a:avLst/>
                    </a:prstGeom>
                    <a:noFill/>
                    <a:ln>
                      <a:noFill/>
                    </a:ln>
                  </pic:spPr>
                </pic:pic>
              </a:graphicData>
            </a:graphic>
          </wp:inline>
        </w:drawing>
      </w:r>
    </w:p>
    <w:p w:rsidR="00A55C35" w:rsidRDefault="00A55C35">
      <w:pPr>
        <w:adjustRightInd w:val="0"/>
        <w:snapToGrid w:val="0"/>
        <w:spacing w:line="360" w:lineRule="auto"/>
      </w:pPr>
    </w:p>
    <w:p w:rsidR="00A55C35" w:rsidRDefault="00A55C35">
      <w:pPr>
        <w:adjustRightInd w:val="0"/>
        <w:snapToGrid w:val="0"/>
        <w:spacing w:line="360" w:lineRule="auto"/>
      </w:pPr>
    </w:p>
    <w:sectPr w:rsidR="00A55C35">
      <w:pgSz w:w="16838" w:h="11906" w:orient="landscape"/>
      <w:pgMar w:top="1083" w:right="1440" w:bottom="1083" w:left="1440" w:header="851" w:footer="992" w:gutter="0"/>
      <w:pgNumType w:fmt="numberInDash"/>
      <w:cols w:space="0"/>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D83" w:rsidRDefault="00177D83">
      <w:r>
        <w:separator/>
      </w:r>
    </w:p>
  </w:endnote>
  <w:endnote w:type="continuationSeparator" w:id="0">
    <w:p w:rsidR="00177D83" w:rsidRDefault="0017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C35" w:rsidRDefault="00D3213B">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2540" b="0"/>
              <wp:wrapNone/>
              <wp:docPr id="5"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C35" w:rsidRDefault="0054604A">
                          <w:pPr>
                            <w:pStyle w:val="a5"/>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D3213B">
                            <w:rPr>
                              <w:rFonts w:asciiTheme="majorEastAsia" w:eastAsiaTheme="majorEastAsia" w:hAnsiTheme="majorEastAsia" w:cstheme="majorEastAsia"/>
                              <w:noProof/>
                              <w:sz w:val="28"/>
                              <w:szCs w:val="28"/>
                            </w:rPr>
                            <w:t>- 20 -</w:t>
                          </w:r>
                          <w:r>
                            <w:rPr>
                              <w:rFonts w:asciiTheme="majorEastAsia" w:eastAsiaTheme="majorEastAsia" w:hAnsiTheme="majorEastAsia" w:cstheme="majorEastAsia"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" filled="f" stroked="f">
              <v:textbox style="mso-fit-shape-to-text:t" inset="0,0,0,0">
                <w:txbxContent>
                  <w:p w:rsidR="00A55C35" w:rsidRDefault="0054604A">
                    <w:pPr>
                      <w:pStyle w:val="a5"/>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D3213B">
                      <w:rPr>
                        <w:rFonts w:asciiTheme="majorEastAsia" w:eastAsiaTheme="majorEastAsia" w:hAnsiTheme="majorEastAsia" w:cstheme="majorEastAsia"/>
                        <w:noProof/>
                        <w:sz w:val="28"/>
                        <w:szCs w:val="28"/>
                      </w:rPr>
                      <w:t>- 20 -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03505" cy="139700"/>
              <wp:effectExtent l="0" t="0" r="2540" b="0"/>
              <wp:wrapNone/>
              <wp:docPr id="4"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C35" w:rsidRDefault="00A55C35">
                          <w:pPr>
                            <w:pStyle w:val="a5"/>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26" o:spid="_x0000_s1027" type="#_x0000_t202" style="position:absolute;margin-left:-43.05pt;margin-top:0;width:8.15pt;height:11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" filled="f" stroked="f">
              <v:textbox style="mso-fit-shape-to-text:t" inset="0,0,0,0">
                <w:txbxContent>
                  <w:p w:rsidR="00A55C35" w:rsidRDefault="00A55C35">
                    <w:pPr>
                      <w:pStyle w:val="a5"/>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D83" w:rsidRDefault="00177D83">
      <w:r>
        <w:separator/>
      </w:r>
    </w:p>
  </w:footnote>
  <w:footnote w:type="continuationSeparator" w:id="0">
    <w:p w:rsidR="00177D83" w:rsidRDefault="00177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706934"/>
    <w:multiLevelType w:val="singleLevel"/>
    <w:tmpl w:val="D770693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7"/>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0B"/>
    <w:rsid w:val="00044158"/>
    <w:rsid w:val="000445AA"/>
    <w:rsid w:val="000642D8"/>
    <w:rsid w:val="00073592"/>
    <w:rsid w:val="00091356"/>
    <w:rsid w:val="000A16EC"/>
    <w:rsid w:val="000A1FF3"/>
    <w:rsid w:val="000A2C68"/>
    <w:rsid w:val="000E720F"/>
    <w:rsid w:val="000F6C8B"/>
    <w:rsid w:val="0010210A"/>
    <w:rsid w:val="00110824"/>
    <w:rsid w:val="00115771"/>
    <w:rsid w:val="00115915"/>
    <w:rsid w:val="00120F39"/>
    <w:rsid w:val="00135308"/>
    <w:rsid w:val="001422FF"/>
    <w:rsid w:val="001470AF"/>
    <w:rsid w:val="00160C6A"/>
    <w:rsid w:val="00175E9C"/>
    <w:rsid w:val="00177D83"/>
    <w:rsid w:val="00184A45"/>
    <w:rsid w:val="00186BD2"/>
    <w:rsid w:val="001A21DA"/>
    <w:rsid w:val="001D4BA6"/>
    <w:rsid w:val="001D7273"/>
    <w:rsid w:val="001E0F8C"/>
    <w:rsid w:val="00200BD7"/>
    <w:rsid w:val="00202EA8"/>
    <w:rsid w:val="00273D47"/>
    <w:rsid w:val="0029168C"/>
    <w:rsid w:val="002A1344"/>
    <w:rsid w:val="002C5AAE"/>
    <w:rsid w:val="002E3BE4"/>
    <w:rsid w:val="002E4313"/>
    <w:rsid w:val="003352BA"/>
    <w:rsid w:val="00350476"/>
    <w:rsid w:val="00384B34"/>
    <w:rsid w:val="00390DEF"/>
    <w:rsid w:val="003A0434"/>
    <w:rsid w:val="003A6F18"/>
    <w:rsid w:val="00401345"/>
    <w:rsid w:val="00420855"/>
    <w:rsid w:val="00451611"/>
    <w:rsid w:val="00496B7C"/>
    <w:rsid w:val="004A4265"/>
    <w:rsid w:val="004A7AF2"/>
    <w:rsid w:val="004C13EB"/>
    <w:rsid w:val="004D5B4E"/>
    <w:rsid w:val="004F3DF3"/>
    <w:rsid w:val="00521104"/>
    <w:rsid w:val="0054604A"/>
    <w:rsid w:val="00563E46"/>
    <w:rsid w:val="00577C4A"/>
    <w:rsid w:val="00593810"/>
    <w:rsid w:val="00594E25"/>
    <w:rsid w:val="005D30D9"/>
    <w:rsid w:val="00600B18"/>
    <w:rsid w:val="00662E14"/>
    <w:rsid w:val="0067124D"/>
    <w:rsid w:val="006B49B5"/>
    <w:rsid w:val="006B7E0B"/>
    <w:rsid w:val="006C3CD3"/>
    <w:rsid w:val="006C7564"/>
    <w:rsid w:val="006D6D49"/>
    <w:rsid w:val="006E4BF1"/>
    <w:rsid w:val="006F5EEE"/>
    <w:rsid w:val="00700744"/>
    <w:rsid w:val="00730F26"/>
    <w:rsid w:val="0073591F"/>
    <w:rsid w:val="007829BC"/>
    <w:rsid w:val="007B5898"/>
    <w:rsid w:val="007C2AA9"/>
    <w:rsid w:val="007C788C"/>
    <w:rsid w:val="007F7E98"/>
    <w:rsid w:val="00804322"/>
    <w:rsid w:val="00812F5C"/>
    <w:rsid w:val="00833DBE"/>
    <w:rsid w:val="00850CE1"/>
    <w:rsid w:val="00860A29"/>
    <w:rsid w:val="00874331"/>
    <w:rsid w:val="00891536"/>
    <w:rsid w:val="0089458A"/>
    <w:rsid w:val="008C14BF"/>
    <w:rsid w:val="008D01B3"/>
    <w:rsid w:val="00943D7C"/>
    <w:rsid w:val="00944A2D"/>
    <w:rsid w:val="00952BFE"/>
    <w:rsid w:val="009821A1"/>
    <w:rsid w:val="00987FE0"/>
    <w:rsid w:val="00A330EC"/>
    <w:rsid w:val="00A34341"/>
    <w:rsid w:val="00A35A79"/>
    <w:rsid w:val="00A37525"/>
    <w:rsid w:val="00A46E26"/>
    <w:rsid w:val="00A55C35"/>
    <w:rsid w:val="00A6267D"/>
    <w:rsid w:val="00AE549A"/>
    <w:rsid w:val="00B10D6F"/>
    <w:rsid w:val="00B20C5F"/>
    <w:rsid w:val="00BA362F"/>
    <w:rsid w:val="00BA4FA7"/>
    <w:rsid w:val="00BA7185"/>
    <w:rsid w:val="00BB6662"/>
    <w:rsid w:val="00BE56FB"/>
    <w:rsid w:val="00BE716F"/>
    <w:rsid w:val="00C34784"/>
    <w:rsid w:val="00C435CB"/>
    <w:rsid w:val="00C436B8"/>
    <w:rsid w:val="00C437E8"/>
    <w:rsid w:val="00C831C5"/>
    <w:rsid w:val="00C83F94"/>
    <w:rsid w:val="00CA1215"/>
    <w:rsid w:val="00CA7ADA"/>
    <w:rsid w:val="00CD03AD"/>
    <w:rsid w:val="00CD03DA"/>
    <w:rsid w:val="00CE3259"/>
    <w:rsid w:val="00CF1B5A"/>
    <w:rsid w:val="00D12D03"/>
    <w:rsid w:val="00D15C54"/>
    <w:rsid w:val="00D3213B"/>
    <w:rsid w:val="00D32932"/>
    <w:rsid w:val="00D43363"/>
    <w:rsid w:val="00D4466F"/>
    <w:rsid w:val="00D46069"/>
    <w:rsid w:val="00D53D97"/>
    <w:rsid w:val="00D60389"/>
    <w:rsid w:val="00D6792C"/>
    <w:rsid w:val="00D8037E"/>
    <w:rsid w:val="00DA458E"/>
    <w:rsid w:val="00DB68B2"/>
    <w:rsid w:val="00DC0C6B"/>
    <w:rsid w:val="00DC3D97"/>
    <w:rsid w:val="00DC6FBB"/>
    <w:rsid w:val="00DF3140"/>
    <w:rsid w:val="00E20E6F"/>
    <w:rsid w:val="00E31EE0"/>
    <w:rsid w:val="00E33EBB"/>
    <w:rsid w:val="00E36AE5"/>
    <w:rsid w:val="00E3795E"/>
    <w:rsid w:val="00E57174"/>
    <w:rsid w:val="00E57C5A"/>
    <w:rsid w:val="00E607D3"/>
    <w:rsid w:val="00E776E0"/>
    <w:rsid w:val="00EC2B0B"/>
    <w:rsid w:val="00ED5B3D"/>
    <w:rsid w:val="00EF42A2"/>
    <w:rsid w:val="00F0089D"/>
    <w:rsid w:val="00F2137C"/>
    <w:rsid w:val="00F51FB3"/>
    <w:rsid w:val="00F754BD"/>
    <w:rsid w:val="00FA0A5A"/>
    <w:rsid w:val="01D44016"/>
    <w:rsid w:val="01F23931"/>
    <w:rsid w:val="02095D11"/>
    <w:rsid w:val="027443EB"/>
    <w:rsid w:val="027D383A"/>
    <w:rsid w:val="03097C8B"/>
    <w:rsid w:val="03236ACE"/>
    <w:rsid w:val="03430689"/>
    <w:rsid w:val="039A79A9"/>
    <w:rsid w:val="03C01545"/>
    <w:rsid w:val="04071F22"/>
    <w:rsid w:val="041B73B0"/>
    <w:rsid w:val="04312810"/>
    <w:rsid w:val="04670C4A"/>
    <w:rsid w:val="04E00A35"/>
    <w:rsid w:val="051D220E"/>
    <w:rsid w:val="05E027B5"/>
    <w:rsid w:val="063E0A07"/>
    <w:rsid w:val="064E4CD9"/>
    <w:rsid w:val="069A49E7"/>
    <w:rsid w:val="06B03C2C"/>
    <w:rsid w:val="073C6098"/>
    <w:rsid w:val="08822177"/>
    <w:rsid w:val="08BE1F22"/>
    <w:rsid w:val="08DE2C81"/>
    <w:rsid w:val="0939206D"/>
    <w:rsid w:val="09A41FBC"/>
    <w:rsid w:val="09E0359C"/>
    <w:rsid w:val="0A8875E9"/>
    <w:rsid w:val="0AE50835"/>
    <w:rsid w:val="0AEB4BEA"/>
    <w:rsid w:val="0B5177A0"/>
    <w:rsid w:val="0B6B6B35"/>
    <w:rsid w:val="0B6F61DE"/>
    <w:rsid w:val="0B746B3E"/>
    <w:rsid w:val="0BCC3620"/>
    <w:rsid w:val="0BE84829"/>
    <w:rsid w:val="0C076337"/>
    <w:rsid w:val="0C2809EA"/>
    <w:rsid w:val="0C326845"/>
    <w:rsid w:val="0C560B70"/>
    <w:rsid w:val="0C7505FE"/>
    <w:rsid w:val="0C917180"/>
    <w:rsid w:val="0CF30D6A"/>
    <w:rsid w:val="0D7851B6"/>
    <w:rsid w:val="0DB95B3F"/>
    <w:rsid w:val="0E117F51"/>
    <w:rsid w:val="0E9D15AE"/>
    <w:rsid w:val="0EB64884"/>
    <w:rsid w:val="0F016B41"/>
    <w:rsid w:val="0F3427CE"/>
    <w:rsid w:val="0F5B4885"/>
    <w:rsid w:val="0F6C0C8B"/>
    <w:rsid w:val="0FB14618"/>
    <w:rsid w:val="0FD945E6"/>
    <w:rsid w:val="0FDD2FEA"/>
    <w:rsid w:val="0FE7728B"/>
    <w:rsid w:val="1011676F"/>
    <w:rsid w:val="10297E0B"/>
    <w:rsid w:val="1061480C"/>
    <w:rsid w:val="118A6C82"/>
    <w:rsid w:val="119E1F22"/>
    <w:rsid w:val="11BC2EA0"/>
    <w:rsid w:val="11D71829"/>
    <w:rsid w:val="11EC20B4"/>
    <w:rsid w:val="127F144F"/>
    <w:rsid w:val="12823C5F"/>
    <w:rsid w:val="12BC2796"/>
    <w:rsid w:val="12D3398F"/>
    <w:rsid w:val="12E1795E"/>
    <w:rsid w:val="13103590"/>
    <w:rsid w:val="133A4815"/>
    <w:rsid w:val="13551690"/>
    <w:rsid w:val="13C008DF"/>
    <w:rsid w:val="14345414"/>
    <w:rsid w:val="14421903"/>
    <w:rsid w:val="147009AB"/>
    <w:rsid w:val="147F7A4B"/>
    <w:rsid w:val="149B582A"/>
    <w:rsid w:val="14A87B0B"/>
    <w:rsid w:val="14BE2BE2"/>
    <w:rsid w:val="14EC4190"/>
    <w:rsid w:val="14ED773F"/>
    <w:rsid w:val="15043300"/>
    <w:rsid w:val="150B6610"/>
    <w:rsid w:val="15247A41"/>
    <w:rsid w:val="16086E96"/>
    <w:rsid w:val="16101724"/>
    <w:rsid w:val="165F26D8"/>
    <w:rsid w:val="16DC07CB"/>
    <w:rsid w:val="16E32D3E"/>
    <w:rsid w:val="16ED0D3A"/>
    <w:rsid w:val="175934FE"/>
    <w:rsid w:val="178A2BAC"/>
    <w:rsid w:val="17FD0F37"/>
    <w:rsid w:val="180C119D"/>
    <w:rsid w:val="18136A2C"/>
    <w:rsid w:val="18751B08"/>
    <w:rsid w:val="18C25467"/>
    <w:rsid w:val="19154A91"/>
    <w:rsid w:val="19290C0B"/>
    <w:rsid w:val="19A375A3"/>
    <w:rsid w:val="19E950CF"/>
    <w:rsid w:val="19EC3D6B"/>
    <w:rsid w:val="1A1D646C"/>
    <w:rsid w:val="1A561C75"/>
    <w:rsid w:val="1A6073F3"/>
    <w:rsid w:val="1AE41EBC"/>
    <w:rsid w:val="1AF8349E"/>
    <w:rsid w:val="1B1F58DD"/>
    <w:rsid w:val="1B203D94"/>
    <w:rsid w:val="1B454F83"/>
    <w:rsid w:val="1B922F86"/>
    <w:rsid w:val="1B965B53"/>
    <w:rsid w:val="1BB101E2"/>
    <w:rsid w:val="1BD30204"/>
    <w:rsid w:val="1C345770"/>
    <w:rsid w:val="1C7967C9"/>
    <w:rsid w:val="1D103812"/>
    <w:rsid w:val="1D360DEC"/>
    <w:rsid w:val="1E0370A1"/>
    <w:rsid w:val="1E9E29A3"/>
    <w:rsid w:val="1EC84653"/>
    <w:rsid w:val="1F085F10"/>
    <w:rsid w:val="1F1062BD"/>
    <w:rsid w:val="1FA06820"/>
    <w:rsid w:val="1FD87E17"/>
    <w:rsid w:val="1FF345A1"/>
    <w:rsid w:val="1FF72F9C"/>
    <w:rsid w:val="217E59C2"/>
    <w:rsid w:val="21901FC5"/>
    <w:rsid w:val="21E513A8"/>
    <w:rsid w:val="21EF0A53"/>
    <w:rsid w:val="22730F9A"/>
    <w:rsid w:val="22AD6E0C"/>
    <w:rsid w:val="22C35274"/>
    <w:rsid w:val="22E4479A"/>
    <w:rsid w:val="22F35AFF"/>
    <w:rsid w:val="232648CF"/>
    <w:rsid w:val="23696768"/>
    <w:rsid w:val="23705D18"/>
    <w:rsid w:val="239421F2"/>
    <w:rsid w:val="239D55D0"/>
    <w:rsid w:val="24411342"/>
    <w:rsid w:val="2465214A"/>
    <w:rsid w:val="24AF27E4"/>
    <w:rsid w:val="24C018B1"/>
    <w:rsid w:val="24DE05C4"/>
    <w:rsid w:val="252A655C"/>
    <w:rsid w:val="25520AF7"/>
    <w:rsid w:val="256D7191"/>
    <w:rsid w:val="260A4AB7"/>
    <w:rsid w:val="263C1EB7"/>
    <w:rsid w:val="26571A2C"/>
    <w:rsid w:val="268770D3"/>
    <w:rsid w:val="26E955CE"/>
    <w:rsid w:val="26EA2DF1"/>
    <w:rsid w:val="27167343"/>
    <w:rsid w:val="279415E3"/>
    <w:rsid w:val="27BE03C1"/>
    <w:rsid w:val="27D63196"/>
    <w:rsid w:val="28495E9C"/>
    <w:rsid w:val="28807E00"/>
    <w:rsid w:val="28B331E2"/>
    <w:rsid w:val="291F6E73"/>
    <w:rsid w:val="29463698"/>
    <w:rsid w:val="29CA4007"/>
    <w:rsid w:val="2A150175"/>
    <w:rsid w:val="2A486739"/>
    <w:rsid w:val="2A4D1C87"/>
    <w:rsid w:val="2A67229F"/>
    <w:rsid w:val="2A696AF9"/>
    <w:rsid w:val="2AA17B64"/>
    <w:rsid w:val="2AA6484B"/>
    <w:rsid w:val="2ABB3D7C"/>
    <w:rsid w:val="2AD7501A"/>
    <w:rsid w:val="2B6B6F54"/>
    <w:rsid w:val="2B9B2F2D"/>
    <w:rsid w:val="2BD64501"/>
    <w:rsid w:val="2C221981"/>
    <w:rsid w:val="2CA602F1"/>
    <w:rsid w:val="2D327F05"/>
    <w:rsid w:val="2D701D1B"/>
    <w:rsid w:val="2D956D8B"/>
    <w:rsid w:val="2DE70E94"/>
    <w:rsid w:val="2E082710"/>
    <w:rsid w:val="2E6355DC"/>
    <w:rsid w:val="2E970891"/>
    <w:rsid w:val="2F7740F3"/>
    <w:rsid w:val="2F935434"/>
    <w:rsid w:val="30196AB6"/>
    <w:rsid w:val="305F765C"/>
    <w:rsid w:val="3064706F"/>
    <w:rsid w:val="30D70384"/>
    <w:rsid w:val="30F022C2"/>
    <w:rsid w:val="31272B8B"/>
    <w:rsid w:val="31F63947"/>
    <w:rsid w:val="320D6C7A"/>
    <w:rsid w:val="323B347B"/>
    <w:rsid w:val="327305D3"/>
    <w:rsid w:val="32A429E9"/>
    <w:rsid w:val="32CD0C35"/>
    <w:rsid w:val="32E54DD1"/>
    <w:rsid w:val="32F8221B"/>
    <w:rsid w:val="33521DF7"/>
    <w:rsid w:val="33D93B7A"/>
    <w:rsid w:val="3428651E"/>
    <w:rsid w:val="34296E5F"/>
    <w:rsid w:val="349E6238"/>
    <w:rsid w:val="34D5600A"/>
    <w:rsid w:val="34DD4AD4"/>
    <w:rsid w:val="35096FC8"/>
    <w:rsid w:val="350E786C"/>
    <w:rsid w:val="35341ED3"/>
    <w:rsid w:val="364D1BAC"/>
    <w:rsid w:val="367E1884"/>
    <w:rsid w:val="36C30711"/>
    <w:rsid w:val="36CA0866"/>
    <w:rsid w:val="36ED4144"/>
    <w:rsid w:val="370004E8"/>
    <w:rsid w:val="37876122"/>
    <w:rsid w:val="379E654B"/>
    <w:rsid w:val="37E4720A"/>
    <w:rsid w:val="37F0784D"/>
    <w:rsid w:val="383E2275"/>
    <w:rsid w:val="38A22858"/>
    <w:rsid w:val="38BA093E"/>
    <w:rsid w:val="38FB07F9"/>
    <w:rsid w:val="39012922"/>
    <w:rsid w:val="391B49AB"/>
    <w:rsid w:val="394656BB"/>
    <w:rsid w:val="39782474"/>
    <w:rsid w:val="39BF6F22"/>
    <w:rsid w:val="39CD518F"/>
    <w:rsid w:val="3A243A91"/>
    <w:rsid w:val="3A3478AC"/>
    <w:rsid w:val="3A45758E"/>
    <w:rsid w:val="3A814418"/>
    <w:rsid w:val="3A896402"/>
    <w:rsid w:val="3ABB2DF0"/>
    <w:rsid w:val="3ADD728B"/>
    <w:rsid w:val="3B212AB1"/>
    <w:rsid w:val="3B8576F8"/>
    <w:rsid w:val="3BB34EBF"/>
    <w:rsid w:val="3BBC7178"/>
    <w:rsid w:val="3C187C2C"/>
    <w:rsid w:val="3C3E19DF"/>
    <w:rsid w:val="3C6B3D07"/>
    <w:rsid w:val="3CA91A9E"/>
    <w:rsid w:val="3D307611"/>
    <w:rsid w:val="3D343777"/>
    <w:rsid w:val="3D632948"/>
    <w:rsid w:val="3D7477E5"/>
    <w:rsid w:val="3D8267DF"/>
    <w:rsid w:val="3D8D4352"/>
    <w:rsid w:val="3D9B7E59"/>
    <w:rsid w:val="3DEF3B29"/>
    <w:rsid w:val="3E0E240E"/>
    <w:rsid w:val="3EEF306C"/>
    <w:rsid w:val="3F467639"/>
    <w:rsid w:val="3F820B67"/>
    <w:rsid w:val="3F9F2CB4"/>
    <w:rsid w:val="3FB41A37"/>
    <w:rsid w:val="3FDA4E2F"/>
    <w:rsid w:val="40792D19"/>
    <w:rsid w:val="40AF3E03"/>
    <w:rsid w:val="41262172"/>
    <w:rsid w:val="415765C6"/>
    <w:rsid w:val="416E4C2C"/>
    <w:rsid w:val="41784524"/>
    <w:rsid w:val="4197212B"/>
    <w:rsid w:val="41E1130D"/>
    <w:rsid w:val="42521E2E"/>
    <w:rsid w:val="42606175"/>
    <w:rsid w:val="42634E4A"/>
    <w:rsid w:val="42945E12"/>
    <w:rsid w:val="42A200DD"/>
    <w:rsid w:val="42D12464"/>
    <w:rsid w:val="431474BB"/>
    <w:rsid w:val="43197176"/>
    <w:rsid w:val="43407FD5"/>
    <w:rsid w:val="43CE0AE4"/>
    <w:rsid w:val="43E81D5E"/>
    <w:rsid w:val="446D4EC1"/>
    <w:rsid w:val="45DF29A3"/>
    <w:rsid w:val="4616025D"/>
    <w:rsid w:val="464C784F"/>
    <w:rsid w:val="4659372D"/>
    <w:rsid w:val="46933E2C"/>
    <w:rsid w:val="46A8196D"/>
    <w:rsid w:val="46F26C72"/>
    <w:rsid w:val="470620FB"/>
    <w:rsid w:val="473915C3"/>
    <w:rsid w:val="478406D1"/>
    <w:rsid w:val="47DE0C6A"/>
    <w:rsid w:val="487A356A"/>
    <w:rsid w:val="48873C10"/>
    <w:rsid w:val="48DC28AD"/>
    <w:rsid w:val="49205312"/>
    <w:rsid w:val="493E625D"/>
    <w:rsid w:val="49A957F4"/>
    <w:rsid w:val="49D03137"/>
    <w:rsid w:val="4A0122DF"/>
    <w:rsid w:val="4A2D7334"/>
    <w:rsid w:val="4A49647F"/>
    <w:rsid w:val="4AC94994"/>
    <w:rsid w:val="4AEE4AC8"/>
    <w:rsid w:val="4B300535"/>
    <w:rsid w:val="4B525B39"/>
    <w:rsid w:val="4B980128"/>
    <w:rsid w:val="4BF2400B"/>
    <w:rsid w:val="4BFD4F2F"/>
    <w:rsid w:val="4BFF5642"/>
    <w:rsid w:val="4C441E06"/>
    <w:rsid w:val="4CD27940"/>
    <w:rsid w:val="4CEA581A"/>
    <w:rsid w:val="4CF16EEE"/>
    <w:rsid w:val="4D9D038D"/>
    <w:rsid w:val="4DF33BBF"/>
    <w:rsid w:val="4E160168"/>
    <w:rsid w:val="4E2C50F4"/>
    <w:rsid w:val="4EC65927"/>
    <w:rsid w:val="4EED05F5"/>
    <w:rsid w:val="4FCB08F8"/>
    <w:rsid w:val="4FD771D1"/>
    <w:rsid w:val="4FDD2BEA"/>
    <w:rsid w:val="50354D3E"/>
    <w:rsid w:val="50357B6D"/>
    <w:rsid w:val="50940B62"/>
    <w:rsid w:val="509B161F"/>
    <w:rsid w:val="50D22DC2"/>
    <w:rsid w:val="50E6671C"/>
    <w:rsid w:val="51150BBA"/>
    <w:rsid w:val="513955CC"/>
    <w:rsid w:val="5174213C"/>
    <w:rsid w:val="51896736"/>
    <w:rsid w:val="518B27B4"/>
    <w:rsid w:val="51B61929"/>
    <w:rsid w:val="521C2083"/>
    <w:rsid w:val="52720D5B"/>
    <w:rsid w:val="52794F85"/>
    <w:rsid w:val="527F46D9"/>
    <w:rsid w:val="529B4B41"/>
    <w:rsid w:val="52A817C3"/>
    <w:rsid w:val="52CC1D9F"/>
    <w:rsid w:val="52E74883"/>
    <w:rsid w:val="53494A81"/>
    <w:rsid w:val="53AD7608"/>
    <w:rsid w:val="542573B8"/>
    <w:rsid w:val="548E5084"/>
    <w:rsid w:val="54DA7B57"/>
    <w:rsid w:val="5534296B"/>
    <w:rsid w:val="555922D5"/>
    <w:rsid w:val="557426E2"/>
    <w:rsid w:val="55F40CDD"/>
    <w:rsid w:val="566F39B4"/>
    <w:rsid w:val="56793427"/>
    <w:rsid w:val="569C7EF0"/>
    <w:rsid w:val="56BA1F06"/>
    <w:rsid w:val="576D4084"/>
    <w:rsid w:val="57713A71"/>
    <w:rsid w:val="581F0BE0"/>
    <w:rsid w:val="58245F6A"/>
    <w:rsid w:val="584107BF"/>
    <w:rsid w:val="58616C9A"/>
    <w:rsid w:val="587E47A9"/>
    <w:rsid w:val="58ED3AC0"/>
    <w:rsid w:val="58FC774F"/>
    <w:rsid w:val="59514B44"/>
    <w:rsid w:val="596C1DB5"/>
    <w:rsid w:val="59905EF8"/>
    <w:rsid w:val="59CE5132"/>
    <w:rsid w:val="59F95632"/>
    <w:rsid w:val="5A1F6AA1"/>
    <w:rsid w:val="5A4C481C"/>
    <w:rsid w:val="5A5B593C"/>
    <w:rsid w:val="5AFE4FCF"/>
    <w:rsid w:val="5B941562"/>
    <w:rsid w:val="5B995E3B"/>
    <w:rsid w:val="5BFA2EF5"/>
    <w:rsid w:val="5C307A46"/>
    <w:rsid w:val="5C374E8F"/>
    <w:rsid w:val="5C3C3E3C"/>
    <w:rsid w:val="5C645150"/>
    <w:rsid w:val="5CB23BF7"/>
    <w:rsid w:val="5D0F5924"/>
    <w:rsid w:val="5E3B55DF"/>
    <w:rsid w:val="5E6D2BB4"/>
    <w:rsid w:val="5EAB367A"/>
    <w:rsid w:val="5EC528D0"/>
    <w:rsid w:val="5F253414"/>
    <w:rsid w:val="5F3528D3"/>
    <w:rsid w:val="5F784E7C"/>
    <w:rsid w:val="5FB740B2"/>
    <w:rsid w:val="5FED68F0"/>
    <w:rsid w:val="604A174A"/>
    <w:rsid w:val="607A50C2"/>
    <w:rsid w:val="60DE6AA2"/>
    <w:rsid w:val="6104167F"/>
    <w:rsid w:val="614C1893"/>
    <w:rsid w:val="616D0EFF"/>
    <w:rsid w:val="61A7354F"/>
    <w:rsid w:val="61A873C7"/>
    <w:rsid w:val="61B77880"/>
    <w:rsid w:val="61FD56B8"/>
    <w:rsid w:val="623D591A"/>
    <w:rsid w:val="627B75E6"/>
    <w:rsid w:val="62914253"/>
    <w:rsid w:val="629806CC"/>
    <w:rsid w:val="62A56445"/>
    <w:rsid w:val="62A63574"/>
    <w:rsid w:val="62B023CD"/>
    <w:rsid w:val="62BA1731"/>
    <w:rsid w:val="632854D0"/>
    <w:rsid w:val="634A62F8"/>
    <w:rsid w:val="63693A2C"/>
    <w:rsid w:val="637C54F6"/>
    <w:rsid w:val="63C749D6"/>
    <w:rsid w:val="63EC1DE8"/>
    <w:rsid w:val="64066C89"/>
    <w:rsid w:val="649917B1"/>
    <w:rsid w:val="64BE0F0C"/>
    <w:rsid w:val="64DC34C9"/>
    <w:rsid w:val="650A5059"/>
    <w:rsid w:val="650F5B1E"/>
    <w:rsid w:val="65230BD5"/>
    <w:rsid w:val="652D3F96"/>
    <w:rsid w:val="65647A43"/>
    <w:rsid w:val="665C003E"/>
    <w:rsid w:val="665F7E92"/>
    <w:rsid w:val="666614F2"/>
    <w:rsid w:val="66913281"/>
    <w:rsid w:val="66920F6C"/>
    <w:rsid w:val="66C52452"/>
    <w:rsid w:val="671554E0"/>
    <w:rsid w:val="67CC5715"/>
    <w:rsid w:val="68274BE8"/>
    <w:rsid w:val="68427A8E"/>
    <w:rsid w:val="68467026"/>
    <w:rsid w:val="684D0BA7"/>
    <w:rsid w:val="688000E6"/>
    <w:rsid w:val="68E33384"/>
    <w:rsid w:val="68F07FB2"/>
    <w:rsid w:val="699E29D3"/>
    <w:rsid w:val="6A014452"/>
    <w:rsid w:val="6A1214E4"/>
    <w:rsid w:val="6A183E2C"/>
    <w:rsid w:val="6A2210AB"/>
    <w:rsid w:val="6A3547A9"/>
    <w:rsid w:val="6B494CB2"/>
    <w:rsid w:val="6B8A3B08"/>
    <w:rsid w:val="6BCD6FBC"/>
    <w:rsid w:val="6BCE210C"/>
    <w:rsid w:val="6BD81B2D"/>
    <w:rsid w:val="6BEB73FD"/>
    <w:rsid w:val="6C0679A1"/>
    <w:rsid w:val="6C387F07"/>
    <w:rsid w:val="6CE92EA4"/>
    <w:rsid w:val="6D486EA8"/>
    <w:rsid w:val="6D6874CE"/>
    <w:rsid w:val="6DC940C2"/>
    <w:rsid w:val="6E0E5487"/>
    <w:rsid w:val="6E3A3406"/>
    <w:rsid w:val="6F377310"/>
    <w:rsid w:val="6FC407F1"/>
    <w:rsid w:val="701D356B"/>
    <w:rsid w:val="706E0C25"/>
    <w:rsid w:val="71C820E9"/>
    <w:rsid w:val="72756D28"/>
    <w:rsid w:val="728344A2"/>
    <w:rsid w:val="72911CC4"/>
    <w:rsid w:val="73147D0F"/>
    <w:rsid w:val="733F5DBA"/>
    <w:rsid w:val="7363160F"/>
    <w:rsid w:val="73A321CB"/>
    <w:rsid w:val="73B9690A"/>
    <w:rsid w:val="74446ACB"/>
    <w:rsid w:val="74562B7E"/>
    <w:rsid w:val="748A4624"/>
    <w:rsid w:val="74AE49ED"/>
    <w:rsid w:val="74BD3483"/>
    <w:rsid w:val="74DA1477"/>
    <w:rsid w:val="751B409C"/>
    <w:rsid w:val="75231232"/>
    <w:rsid w:val="76442610"/>
    <w:rsid w:val="76D577C6"/>
    <w:rsid w:val="76E658BA"/>
    <w:rsid w:val="772265D1"/>
    <w:rsid w:val="772A6DE2"/>
    <w:rsid w:val="774A42B8"/>
    <w:rsid w:val="774F6489"/>
    <w:rsid w:val="778A2D3E"/>
    <w:rsid w:val="778E343B"/>
    <w:rsid w:val="78C66339"/>
    <w:rsid w:val="78C76AF1"/>
    <w:rsid w:val="78DB2C0B"/>
    <w:rsid w:val="78DF6D3C"/>
    <w:rsid w:val="79440DE1"/>
    <w:rsid w:val="797304B7"/>
    <w:rsid w:val="799501E5"/>
    <w:rsid w:val="79A375E9"/>
    <w:rsid w:val="7AFB7582"/>
    <w:rsid w:val="7B7F3A16"/>
    <w:rsid w:val="7B8C5D5D"/>
    <w:rsid w:val="7C05799E"/>
    <w:rsid w:val="7C1A235E"/>
    <w:rsid w:val="7C1A719A"/>
    <w:rsid w:val="7CA87C2A"/>
    <w:rsid w:val="7CCB6C01"/>
    <w:rsid w:val="7CD30E47"/>
    <w:rsid w:val="7CE315A3"/>
    <w:rsid w:val="7CEC7BAF"/>
    <w:rsid w:val="7D7B5D1A"/>
    <w:rsid w:val="7D9214F8"/>
    <w:rsid w:val="7DB40AD2"/>
    <w:rsid w:val="7DEC76BD"/>
    <w:rsid w:val="7E24720C"/>
    <w:rsid w:val="7E2D68C2"/>
    <w:rsid w:val="7F2C345B"/>
    <w:rsid w:val="7F4966E0"/>
    <w:rsid w:val="7FD46215"/>
    <w:rsid w:val="7FFF3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adjustRightInd w:val="0"/>
      <w:ind w:left="761"/>
      <w:jc w:val="left"/>
    </w:pPr>
    <w:rPr>
      <w:rFonts w:ascii="仿宋_GB2312"/>
      <w:kern w:val="0"/>
      <w:szCs w:val="32"/>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rFonts w:ascii="Calibri" w:eastAsia="宋体" w:hAnsi="Calibri" w:cs="Times New Roman"/>
      <w:sz w:val="18"/>
      <w:szCs w:val="18"/>
    </w:rPr>
  </w:style>
  <w:style w:type="character" w:customStyle="1" w:styleId="Char0">
    <w:name w:val="页脚 Char"/>
    <w:basedOn w:val="a0"/>
    <w:link w:val="a5"/>
    <w:uiPriority w:val="99"/>
    <w:qFormat/>
    <w:rPr>
      <w:rFonts w:ascii="Calibri" w:eastAsia="宋体" w:hAnsi="Calibri" w:cs="Times New Roman"/>
      <w:sz w:val="18"/>
      <w:szCs w:val="18"/>
    </w:rPr>
  </w:style>
  <w:style w:type="character" w:customStyle="1" w:styleId="Char">
    <w:name w:val="批注框文本 Char"/>
    <w:basedOn w:val="a0"/>
    <w:link w:val="a4"/>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adjustRightInd w:val="0"/>
      <w:ind w:left="761"/>
      <w:jc w:val="left"/>
    </w:pPr>
    <w:rPr>
      <w:rFonts w:ascii="仿宋_GB2312"/>
      <w:kern w:val="0"/>
      <w:szCs w:val="32"/>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rFonts w:ascii="Calibri" w:eastAsia="宋体" w:hAnsi="Calibri" w:cs="Times New Roman"/>
      <w:sz w:val="18"/>
      <w:szCs w:val="18"/>
    </w:rPr>
  </w:style>
  <w:style w:type="character" w:customStyle="1" w:styleId="Char0">
    <w:name w:val="页脚 Char"/>
    <w:basedOn w:val="a0"/>
    <w:link w:val="a5"/>
    <w:uiPriority w:val="99"/>
    <w:qFormat/>
    <w:rPr>
      <w:rFonts w:ascii="Calibri" w:eastAsia="宋体" w:hAnsi="Calibri" w:cs="Times New Roman"/>
      <w:sz w:val="18"/>
      <w:szCs w:val="18"/>
    </w:rPr>
  </w:style>
  <w:style w:type="character" w:customStyle="1" w:styleId="Char">
    <w:name w:val="批注框文本 Char"/>
    <w:basedOn w:val="a0"/>
    <w:link w:val="a4"/>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668347-F2EA-413E-9749-7CE890DB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820</Words>
  <Characters>4677</Characters>
  <Application>Microsoft Office Word</Application>
  <DocSecurity>0</DocSecurity>
  <Lines>38</Lines>
  <Paragraphs>10</Paragraphs>
  <ScaleCrop>false</ScaleCrop>
  <Company>微软中国</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cp:revision>
  <cp:lastPrinted>2019-06-19T08:03:00Z</cp:lastPrinted>
  <dcterms:created xsi:type="dcterms:W3CDTF">2021-06-07T08:57:00Z</dcterms:created>
  <dcterms:modified xsi:type="dcterms:W3CDTF">2021-06-07T08:57:00Z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