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FD" w:rsidRDefault="00B22B7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龙安区供销社联合社</w:t>
      </w:r>
    </w:p>
    <w:p w:rsidR="009819FD" w:rsidRDefault="00B22B72">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9819FD" w:rsidRDefault="009819FD">
      <w:pPr>
        <w:adjustRightInd w:val="0"/>
        <w:snapToGrid w:val="0"/>
        <w:spacing w:line="360" w:lineRule="auto"/>
        <w:jc w:val="center"/>
        <w:rPr>
          <w:rFonts w:ascii="方正小标宋简体" w:eastAsia="方正小标宋简体" w:hAnsi="Times New Roman"/>
          <w:b/>
          <w:sz w:val="84"/>
          <w:szCs w:val="84"/>
        </w:rPr>
      </w:pPr>
    </w:p>
    <w:p w:rsidR="009819FD" w:rsidRDefault="009819FD">
      <w:pPr>
        <w:adjustRightInd w:val="0"/>
        <w:snapToGrid w:val="0"/>
        <w:spacing w:line="360" w:lineRule="auto"/>
        <w:rPr>
          <w:rFonts w:ascii="方正小标宋简体" w:eastAsia="方正小标宋简体" w:hAnsi="Times New Roman"/>
          <w:b/>
          <w:sz w:val="84"/>
          <w:szCs w:val="84"/>
        </w:rPr>
      </w:pPr>
    </w:p>
    <w:p w:rsidR="009819FD" w:rsidRDefault="00B22B72">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人：郭青松</w:t>
      </w:r>
    </w:p>
    <w:p w:rsidR="009819FD" w:rsidRDefault="00B22B72">
      <w:pPr>
        <w:tabs>
          <w:tab w:val="left" w:pos="8364"/>
        </w:tabs>
        <w:kinsoku w:val="0"/>
        <w:overflowPunct w:val="0"/>
        <w:adjustRightInd w:val="0"/>
        <w:snapToGrid w:val="0"/>
        <w:spacing w:line="360" w:lineRule="auto"/>
        <w:ind w:right="-58" w:firstLineChars="231" w:firstLine="739"/>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5022830</w:t>
      </w:r>
    </w:p>
    <w:p w:rsidR="009819FD" w:rsidRDefault="00B22B7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人：王广义</w:t>
      </w:r>
    </w:p>
    <w:p w:rsidR="009819FD" w:rsidRDefault="00B22B7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5022830</w:t>
      </w:r>
    </w:p>
    <w:p w:rsidR="009819FD" w:rsidRDefault="00B22B7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6</w:t>
      </w:r>
      <w:r>
        <w:rPr>
          <w:rFonts w:ascii="仿宋_GB2312" w:eastAsia="仿宋_GB2312" w:hAnsi="Times New Roman" w:hint="eastAsia"/>
          <w:sz w:val="32"/>
          <w:szCs w:val="32"/>
        </w:rPr>
        <w:t>月</w:t>
      </w:r>
      <w:r>
        <w:rPr>
          <w:rFonts w:ascii="仿宋_GB2312" w:eastAsia="仿宋_GB2312" w:hAnsi="Times New Roman" w:hint="eastAsia"/>
          <w:sz w:val="32"/>
          <w:szCs w:val="32"/>
        </w:rPr>
        <w:t>25</w:t>
      </w:r>
      <w:r>
        <w:rPr>
          <w:rFonts w:ascii="仿宋_GB2312" w:eastAsia="仿宋_GB2312" w:hAnsi="Times New Roman" w:hint="eastAsia"/>
          <w:sz w:val="32"/>
          <w:szCs w:val="32"/>
        </w:rPr>
        <w:t>日</w:t>
      </w:r>
    </w:p>
    <w:p w:rsidR="009819FD" w:rsidRDefault="00B22B72">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9819FD" w:rsidRDefault="009819FD">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9819FD" w:rsidRDefault="009819FD">
      <w:pPr>
        <w:kinsoku w:val="0"/>
        <w:overflowPunct w:val="0"/>
        <w:adjustRightInd w:val="0"/>
        <w:snapToGrid w:val="0"/>
        <w:spacing w:line="360" w:lineRule="auto"/>
        <w:ind w:right="-58"/>
        <w:rPr>
          <w:rFonts w:ascii="仿宋_GB2312" w:eastAsia="仿宋_GB2312" w:hAnsi="Times New Roman"/>
          <w:sz w:val="32"/>
          <w:szCs w:val="32"/>
        </w:rPr>
      </w:pPr>
    </w:p>
    <w:p w:rsidR="009819FD" w:rsidRDefault="00B22B72">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lastRenderedPageBreak/>
        <w:t>目录</w:t>
      </w:r>
    </w:p>
    <w:p w:rsidR="009819FD" w:rsidRDefault="00B22B7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龙安区供销社联合</w:t>
      </w:r>
      <w:proofErr w:type="gramStart"/>
      <w:r>
        <w:rPr>
          <w:rFonts w:ascii="黑体" w:eastAsia="黑体" w:hAnsi="黑体" w:hint="eastAsia"/>
          <w:sz w:val="32"/>
          <w:szCs w:val="32"/>
        </w:rPr>
        <w:t>社部门</w:t>
      </w:r>
      <w:proofErr w:type="gramEnd"/>
      <w:r>
        <w:rPr>
          <w:rFonts w:ascii="黑体" w:eastAsia="黑体" w:hAnsi="Times New Roman" w:cs="黑体" w:hint="eastAsia"/>
          <w:sz w:val="32"/>
          <w:szCs w:val="32"/>
        </w:rPr>
        <w:t>概况</w:t>
      </w:r>
    </w:p>
    <w:p w:rsidR="009819FD" w:rsidRDefault="00B22B7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9819FD" w:rsidRDefault="00B22B7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9819FD" w:rsidRDefault="00B22B72">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龙安区供销社联合社</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9819FD" w:rsidRDefault="00B22B72">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9819FD" w:rsidRDefault="00B22B72">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9819FD" w:rsidRDefault="00B22B72">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9819FD" w:rsidRDefault="00B22B72">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9819FD" w:rsidRDefault="00B22B72">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附件：龙安区供销社联合社</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六、</w:t>
      </w:r>
      <w:r>
        <w:rPr>
          <w:rFonts w:ascii="仿宋_GB2312" w:eastAsia="仿宋_GB2312" w:hint="eastAsia"/>
          <w:sz w:val="32"/>
          <w:szCs w:val="32"/>
        </w:rPr>
        <w:t>一般公共预算基本支出经济分类汇总表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9819FD" w:rsidRDefault="00B22B72">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sz w:val="32"/>
          <w:szCs w:val="32"/>
        </w:rPr>
      </w:pPr>
    </w:p>
    <w:p w:rsidR="009819FD" w:rsidRDefault="009819FD">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9819FD" w:rsidRDefault="00B22B7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9819FD" w:rsidRDefault="00B22B7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龙安区供销社联合</w:t>
      </w:r>
      <w:proofErr w:type="gramStart"/>
      <w:r>
        <w:rPr>
          <w:rFonts w:ascii="黑体" w:eastAsia="黑体" w:hAnsi="黑体" w:hint="eastAsia"/>
          <w:sz w:val="32"/>
          <w:szCs w:val="32"/>
        </w:rPr>
        <w:t>社</w:t>
      </w:r>
      <w:r>
        <w:rPr>
          <w:rFonts w:ascii="黑体" w:eastAsia="黑体" w:hAnsi="黑体" w:hint="eastAsia"/>
          <w:b/>
          <w:bCs/>
          <w:sz w:val="32"/>
          <w:szCs w:val="32"/>
        </w:rPr>
        <w:t>部门</w:t>
      </w:r>
      <w:proofErr w:type="gramEnd"/>
      <w:r>
        <w:rPr>
          <w:rFonts w:ascii="黑体" w:eastAsia="黑体" w:hAnsi="黑体" w:hint="eastAsia"/>
          <w:b/>
          <w:bCs/>
          <w:sz w:val="32"/>
          <w:szCs w:val="32"/>
        </w:rPr>
        <w:t>概</w:t>
      </w:r>
      <w:r>
        <w:rPr>
          <w:rFonts w:ascii="黑体" w:eastAsia="黑体" w:hAnsi="黑体" w:hint="eastAsia"/>
          <w:sz w:val="32"/>
          <w:szCs w:val="32"/>
        </w:rPr>
        <w:t>况</w:t>
      </w:r>
    </w:p>
    <w:p w:rsidR="009819FD" w:rsidRDefault="009819FD">
      <w:pPr>
        <w:adjustRightInd w:val="0"/>
        <w:snapToGrid w:val="0"/>
        <w:spacing w:line="360" w:lineRule="auto"/>
        <w:ind w:firstLineChars="200" w:firstLine="640"/>
        <w:jc w:val="center"/>
        <w:rPr>
          <w:rFonts w:ascii="黑体" w:eastAsia="黑体" w:hAnsi="黑体"/>
          <w:sz w:val="32"/>
          <w:szCs w:val="32"/>
        </w:rPr>
      </w:pPr>
    </w:p>
    <w:p w:rsidR="009819FD" w:rsidRDefault="00B22B72">
      <w:pPr>
        <w:adjustRightInd w:val="0"/>
        <w:snapToGrid w:val="0"/>
        <w:spacing w:line="360" w:lineRule="auto"/>
        <w:ind w:firstLineChars="200" w:firstLine="640"/>
        <w:rPr>
          <w:rFonts w:ascii="黑体" w:eastAsia="黑体" w:hAnsi="黑体"/>
          <w:b/>
          <w:bCs/>
          <w:color w:val="FF0000"/>
          <w:sz w:val="32"/>
          <w:szCs w:val="32"/>
        </w:rPr>
      </w:pPr>
      <w:r>
        <w:rPr>
          <w:rFonts w:ascii="黑体" w:eastAsia="黑体" w:hAnsi="黑体" w:hint="eastAsia"/>
          <w:sz w:val="32"/>
          <w:szCs w:val="32"/>
        </w:rPr>
        <w:t>一、龙安区供销社联合</w:t>
      </w:r>
      <w:proofErr w:type="gramStart"/>
      <w:r>
        <w:rPr>
          <w:rFonts w:ascii="黑体" w:eastAsia="黑体" w:hAnsi="黑体" w:hint="eastAsia"/>
          <w:sz w:val="32"/>
          <w:szCs w:val="32"/>
        </w:rPr>
        <w:t>社</w:t>
      </w:r>
      <w:r>
        <w:rPr>
          <w:rFonts w:ascii="黑体" w:eastAsia="黑体" w:hAnsi="黑体" w:hint="eastAsia"/>
          <w:b/>
          <w:bCs/>
          <w:sz w:val="32"/>
          <w:szCs w:val="32"/>
        </w:rPr>
        <w:t>部门</w:t>
      </w:r>
      <w:proofErr w:type="gramEnd"/>
      <w:r>
        <w:rPr>
          <w:rFonts w:ascii="黑体" w:eastAsia="黑体" w:hAnsi="黑体" w:hint="eastAsia"/>
          <w:b/>
          <w:bCs/>
          <w:sz w:val="32"/>
          <w:szCs w:val="32"/>
        </w:rPr>
        <w:t>主要职责</w:t>
      </w:r>
    </w:p>
    <w:p w:rsidR="009819FD" w:rsidRDefault="00B22B72">
      <w:pPr>
        <w:adjustRightInd w:val="0"/>
        <w:snapToGrid w:val="0"/>
        <w:spacing w:line="360" w:lineRule="auto"/>
        <w:ind w:firstLineChars="200" w:firstLine="640"/>
        <w:rPr>
          <w:rFonts w:ascii="楷体_GB2312" w:eastAsia="楷体_GB2312" w:hAnsi="宋体" w:cs="Courier New"/>
          <w:kern w:val="0"/>
          <w:sz w:val="32"/>
          <w:szCs w:val="32"/>
        </w:rPr>
      </w:pPr>
      <w:r>
        <w:rPr>
          <w:rFonts w:ascii="楷体_GB2312" w:eastAsia="楷体_GB2312" w:hAnsi="宋体" w:cs="Courier New" w:hint="eastAsia"/>
          <w:kern w:val="0"/>
          <w:sz w:val="32"/>
          <w:szCs w:val="32"/>
        </w:rPr>
        <w:t>按照政府授权，负责对重要农业生产资料、农副产品、烟花爆竹和再生资源经营的组织、协调和管理；负责管理棉花、化肥、农药等重要物资的区级储备工作。</w:t>
      </w:r>
    </w:p>
    <w:p w:rsidR="009819FD" w:rsidRDefault="00B22B72">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二、龙安区供销社联合</w:t>
      </w:r>
      <w:proofErr w:type="gramStart"/>
      <w:r>
        <w:rPr>
          <w:rFonts w:ascii="黑体" w:eastAsia="黑体" w:hAnsi="黑体" w:hint="eastAsia"/>
          <w:sz w:val="32"/>
          <w:szCs w:val="32"/>
        </w:rPr>
        <w:t>社</w:t>
      </w:r>
      <w:r>
        <w:rPr>
          <w:rFonts w:ascii="黑体" w:eastAsia="黑体" w:hAnsi="黑体" w:hint="eastAsia"/>
          <w:b/>
          <w:bCs/>
          <w:sz w:val="32"/>
          <w:szCs w:val="32"/>
        </w:rPr>
        <w:t>部门</w:t>
      </w:r>
      <w:proofErr w:type="gramEnd"/>
      <w:r>
        <w:rPr>
          <w:rFonts w:ascii="黑体" w:eastAsia="黑体" w:hAnsi="黑体" w:hint="eastAsia"/>
          <w:b/>
          <w:bCs/>
          <w:sz w:val="32"/>
          <w:szCs w:val="32"/>
        </w:rPr>
        <w:t>预</w:t>
      </w:r>
      <w:r>
        <w:rPr>
          <w:rFonts w:ascii="黑体" w:eastAsia="黑体" w:hAnsi="黑体" w:hint="eastAsia"/>
          <w:sz w:val="32"/>
          <w:szCs w:val="32"/>
        </w:rPr>
        <w:t>算单位构成</w:t>
      </w:r>
    </w:p>
    <w:p w:rsidR="009819FD" w:rsidRDefault="00B22B72">
      <w:pPr>
        <w:adjustRightInd w:val="0"/>
        <w:snapToGri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龙安区供销社联合社有二级预算单位</w:t>
      </w:r>
      <w:r>
        <w:rPr>
          <w:rFonts w:ascii="仿宋_GB2312" w:eastAsia="仿宋_GB2312" w:hAnsi="黑体" w:hint="eastAsia"/>
          <w:sz w:val="32"/>
          <w:szCs w:val="32"/>
        </w:rPr>
        <w:t>0</w:t>
      </w:r>
      <w:r>
        <w:rPr>
          <w:rFonts w:ascii="仿宋_GB2312" w:eastAsia="仿宋_GB2312" w:hAnsi="黑体" w:hint="eastAsia"/>
          <w:sz w:val="32"/>
          <w:szCs w:val="32"/>
        </w:rPr>
        <w:t>个，三级预算单位</w:t>
      </w:r>
      <w:r>
        <w:rPr>
          <w:rFonts w:ascii="仿宋_GB2312" w:eastAsia="仿宋_GB2312" w:hAnsi="黑体" w:hint="eastAsia"/>
          <w:sz w:val="32"/>
          <w:szCs w:val="32"/>
        </w:rPr>
        <w:t>0</w:t>
      </w:r>
      <w:r>
        <w:rPr>
          <w:rFonts w:ascii="仿宋_GB2312" w:eastAsia="仿宋_GB2312" w:hAnsi="黑体" w:hint="eastAsia"/>
          <w:sz w:val="32"/>
          <w:szCs w:val="32"/>
        </w:rPr>
        <w:t>个。供销社内设办公室、业务科、安全科，无下设机构。本部门预算包括供销社机关本级预算。</w:t>
      </w:r>
    </w:p>
    <w:p w:rsidR="009819FD" w:rsidRDefault="009819FD">
      <w:pPr>
        <w:adjustRightInd w:val="0"/>
        <w:snapToGrid w:val="0"/>
        <w:spacing w:line="360" w:lineRule="auto"/>
        <w:jc w:val="center"/>
        <w:rPr>
          <w:rFonts w:ascii="黑体" w:eastAsia="黑体" w:hAnsi="Times New Roman" w:cs="黑体"/>
          <w:sz w:val="32"/>
          <w:szCs w:val="32"/>
        </w:rPr>
      </w:pPr>
    </w:p>
    <w:p w:rsidR="009819FD" w:rsidRDefault="009819FD">
      <w:pPr>
        <w:adjustRightInd w:val="0"/>
        <w:snapToGrid w:val="0"/>
        <w:spacing w:line="360" w:lineRule="auto"/>
        <w:jc w:val="center"/>
        <w:rPr>
          <w:rFonts w:ascii="黑体" w:eastAsia="黑体" w:hAnsi="Times New Roman" w:cs="黑体"/>
          <w:sz w:val="32"/>
          <w:szCs w:val="32"/>
        </w:rPr>
      </w:pPr>
    </w:p>
    <w:p w:rsidR="009819FD" w:rsidRDefault="00B22B72">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9819FD" w:rsidRDefault="00B22B72">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sz w:val="32"/>
          <w:szCs w:val="32"/>
        </w:rPr>
        <w:t>供销社联合社</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9819FD" w:rsidRDefault="009819FD">
      <w:pPr>
        <w:adjustRightInd w:val="0"/>
        <w:snapToGrid w:val="0"/>
        <w:spacing w:line="360" w:lineRule="auto"/>
        <w:ind w:firstLineChars="200" w:firstLine="640"/>
        <w:rPr>
          <w:rFonts w:ascii="黑体" w:eastAsia="黑体" w:hAnsi="黑体"/>
          <w:sz w:val="32"/>
          <w:szCs w:val="32"/>
        </w:rPr>
      </w:pPr>
    </w:p>
    <w:p w:rsidR="009819FD" w:rsidRDefault="00B22B72">
      <w:pPr>
        <w:pStyle w:val="a6"/>
        <w:adjustRightInd w:val="0"/>
        <w:snapToGrid w:val="0"/>
        <w:spacing w:line="360" w:lineRule="auto"/>
        <w:ind w:left="640" w:firstLine="640"/>
        <w:rPr>
          <w:rFonts w:ascii="黑体" w:eastAsia="黑体" w:hAnsi="黑体"/>
          <w:color w:val="FF0000"/>
          <w:sz w:val="32"/>
          <w:szCs w:val="32"/>
        </w:rPr>
      </w:pPr>
      <w:r>
        <w:rPr>
          <w:rFonts w:ascii="黑体" w:eastAsia="黑体" w:hAnsi="黑体" w:hint="eastAsia"/>
          <w:sz w:val="32"/>
          <w:szCs w:val="32"/>
        </w:rPr>
        <w:t>一、收入支出预算总体情况说明</w:t>
      </w:r>
    </w:p>
    <w:p w:rsidR="009819FD" w:rsidRDefault="00B22B72">
      <w:pPr>
        <w:adjustRightInd w:val="0"/>
        <w:snapToGrid w:val="0"/>
        <w:spacing w:line="360" w:lineRule="auto"/>
        <w:ind w:left="640" w:firstLineChars="200" w:firstLine="640"/>
        <w:rPr>
          <w:rFonts w:ascii="仿宋_GB2312" w:eastAsia="仿宋_GB2312" w:hAnsi="宋体" w:cs="Courier New"/>
          <w:sz w:val="32"/>
          <w:szCs w:val="32"/>
        </w:rPr>
      </w:pPr>
      <w:r>
        <w:rPr>
          <w:rFonts w:ascii="仿宋_GB2312" w:eastAsia="仿宋_GB2312" w:hint="eastAsia"/>
          <w:sz w:val="32"/>
          <w:szCs w:val="32"/>
        </w:rPr>
        <w:t>龙安区供销社联合社</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161.45</w:t>
      </w:r>
      <w:r>
        <w:rPr>
          <w:rFonts w:ascii="仿宋_GB2312" w:eastAsia="仿宋_GB2312" w:hAnsi="宋体" w:cs="Courier New" w:hint="eastAsia"/>
          <w:sz w:val="32"/>
          <w:szCs w:val="32"/>
        </w:rPr>
        <w:t>万元，支出总计</w:t>
      </w:r>
      <w:r>
        <w:rPr>
          <w:rFonts w:ascii="仿宋_GB2312" w:eastAsia="仿宋_GB2312" w:hint="eastAsia"/>
          <w:sz w:val="32"/>
          <w:szCs w:val="32"/>
        </w:rPr>
        <w:t>161.45</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年相比，收入总计增加</w:t>
      </w:r>
      <w:r>
        <w:rPr>
          <w:rFonts w:ascii="仿宋_GB2312" w:eastAsia="仿宋_GB2312" w:hint="eastAsia"/>
          <w:sz w:val="32"/>
          <w:szCs w:val="32"/>
        </w:rPr>
        <w:t>24.13</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17.57%</w:t>
      </w:r>
      <w:r>
        <w:rPr>
          <w:rFonts w:ascii="仿宋_GB2312" w:eastAsia="仿宋_GB2312" w:hAnsi="宋体" w:cs="Courier New" w:hint="eastAsia"/>
          <w:sz w:val="32"/>
          <w:szCs w:val="32"/>
        </w:rPr>
        <w:t>；支出总计增加</w:t>
      </w:r>
      <w:r>
        <w:rPr>
          <w:rFonts w:ascii="仿宋_GB2312" w:eastAsia="仿宋_GB2312" w:hAnsi="宋体" w:cs="Courier New" w:hint="eastAsia"/>
          <w:sz w:val="32"/>
          <w:szCs w:val="32"/>
        </w:rPr>
        <w:t>24.13</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17.57%</w:t>
      </w:r>
      <w:r>
        <w:rPr>
          <w:rFonts w:ascii="仿宋_GB2312" w:eastAsia="仿宋_GB2312" w:hAnsi="宋体" w:cs="Courier New" w:hint="eastAsia"/>
          <w:sz w:val="32"/>
          <w:szCs w:val="32"/>
        </w:rPr>
        <w:t>。主要原因：人员增资，业务量增加。</w:t>
      </w:r>
    </w:p>
    <w:p w:rsidR="009819FD" w:rsidRDefault="00B22B72">
      <w:pPr>
        <w:pStyle w:val="a6"/>
        <w:spacing w:line="560" w:lineRule="exact"/>
        <w:ind w:left="640" w:firstLine="640"/>
        <w:rPr>
          <w:rFonts w:ascii="黑体" w:eastAsia="黑体" w:hAnsi="黑体"/>
          <w:color w:val="FF0000"/>
          <w:sz w:val="32"/>
          <w:szCs w:val="32"/>
        </w:rPr>
      </w:pPr>
      <w:r>
        <w:rPr>
          <w:rFonts w:ascii="黑体" w:eastAsia="黑体" w:hAnsi="黑体" w:hint="eastAsia"/>
          <w:sz w:val="32"/>
          <w:szCs w:val="32"/>
        </w:rPr>
        <w:t>二、收入预算总体情况说明</w:t>
      </w:r>
    </w:p>
    <w:p w:rsidR="009819FD" w:rsidRDefault="00B22B72">
      <w:pPr>
        <w:spacing w:line="560" w:lineRule="exact"/>
        <w:ind w:left="640" w:firstLineChars="200" w:firstLine="640"/>
        <w:rPr>
          <w:rFonts w:ascii="仿宋_GB2312" w:eastAsia="仿宋_GB2312"/>
          <w:sz w:val="32"/>
          <w:szCs w:val="32"/>
        </w:rPr>
      </w:pPr>
      <w:r>
        <w:rPr>
          <w:rFonts w:ascii="仿宋_GB2312" w:eastAsia="仿宋_GB2312" w:hint="eastAsia"/>
          <w:sz w:val="32"/>
          <w:szCs w:val="32"/>
        </w:rPr>
        <w:lastRenderedPageBreak/>
        <w:t>龙安区供销社</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161.45</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161.45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9819FD" w:rsidRDefault="00B22B72">
      <w:pPr>
        <w:pStyle w:val="a6"/>
        <w:spacing w:line="560" w:lineRule="exact"/>
        <w:ind w:left="640" w:firstLine="640"/>
        <w:rPr>
          <w:rFonts w:ascii="黑体" w:eastAsia="黑体" w:hAnsi="黑体"/>
          <w:color w:val="FF0000"/>
          <w:sz w:val="32"/>
          <w:szCs w:val="32"/>
        </w:rPr>
      </w:pPr>
      <w:r>
        <w:rPr>
          <w:rFonts w:ascii="黑体" w:eastAsia="黑体" w:hAnsi="黑体" w:hint="eastAsia"/>
          <w:sz w:val="32"/>
          <w:szCs w:val="32"/>
        </w:rPr>
        <w:t>三、支出预算总体情况说明</w:t>
      </w:r>
    </w:p>
    <w:p w:rsidR="009819FD" w:rsidRDefault="00B22B72">
      <w:pPr>
        <w:spacing w:line="560" w:lineRule="exact"/>
        <w:ind w:left="640" w:firstLineChars="200" w:firstLine="640"/>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161.45</w:t>
      </w:r>
      <w:r>
        <w:rPr>
          <w:rFonts w:ascii="仿宋_GB2312" w:eastAsia="仿宋_GB2312" w:hAnsi="宋体" w:cs="Courier New" w:hint="eastAsia"/>
          <w:sz w:val="32"/>
          <w:szCs w:val="32"/>
        </w:rPr>
        <w:t>万元，其中：基本支出</w:t>
      </w:r>
      <w:r>
        <w:rPr>
          <w:rFonts w:ascii="仿宋_GB2312" w:eastAsia="仿宋_GB2312" w:hint="eastAsia"/>
          <w:sz w:val="32"/>
          <w:szCs w:val="32"/>
        </w:rPr>
        <w:t>161.45</w:t>
      </w:r>
      <w:r>
        <w:rPr>
          <w:rFonts w:ascii="仿宋_GB2312" w:eastAsia="仿宋_GB2312" w:hAnsi="宋体" w:cs="Courier New" w:hint="eastAsia"/>
          <w:sz w:val="32"/>
          <w:szCs w:val="32"/>
        </w:rPr>
        <w:t>万元，占</w:t>
      </w:r>
      <w:r>
        <w:rPr>
          <w:rFonts w:ascii="仿宋_GB2312" w:eastAsia="仿宋_GB2312" w:hint="eastAsia"/>
          <w:sz w:val="32"/>
          <w:szCs w:val="32"/>
        </w:rPr>
        <w:t>100</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0</w:t>
      </w:r>
      <w:r>
        <w:rPr>
          <w:rFonts w:ascii="仿宋_GB2312" w:eastAsia="仿宋_GB2312" w:hAnsi="宋体" w:cs="Courier New" w:hint="eastAsia"/>
          <w:sz w:val="32"/>
          <w:szCs w:val="32"/>
        </w:rPr>
        <w:t>万元，占</w:t>
      </w:r>
      <w:r>
        <w:rPr>
          <w:rFonts w:ascii="仿宋_GB2312" w:eastAsia="仿宋_GB2312"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9819FD" w:rsidRDefault="00B22B72">
      <w:pPr>
        <w:pStyle w:val="a6"/>
        <w:spacing w:line="560" w:lineRule="exact"/>
        <w:ind w:left="640" w:firstLine="640"/>
        <w:rPr>
          <w:rFonts w:ascii="黑体" w:eastAsia="黑体" w:hAnsi="黑体"/>
          <w:color w:val="FF0000"/>
          <w:sz w:val="32"/>
          <w:szCs w:val="32"/>
        </w:rPr>
      </w:pPr>
      <w:r>
        <w:rPr>
          <w:rFonts w:ascii="黑体" w:eastAsia="黑体" w:hAnsi="黑体" w:hint="eastAsia"/>
          <w:sz w:val="32"/>
          <w:szCs w:val="32"/>
        </w:rPr>
        <w:t>四、财政拨款收入支出预算总体情况说明</w:t>
      </w:r>
    </w:p>
    <w:p w:rsidR="009819FD" w:rsidRDefault="00B22B72">
      <w:pPr>
        <w:spacing w:line="560" w:lineRule="exact"/>
        <w:ind w:left="640" w:firstLineChars="200" w:firstLine="640"/>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161.45</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hint="eastAsia"/>
          <w:sz w:val="32"/>
          <w:szCs w:val="32"/>
        </w:rPr>
        <w:t>24.13</w:t>
      </w:r>
      <w:r>
        <w:rPr>
          <w:rFonts w:ascii="仿宋_GB2312" w:eastAsia="仿宋_GB2312" w:hAnsi="宋体" w:cs="Courier New" w:hint="eastAsia"/>
          <w:sz w:val="32"/>
          <w:szCs w:val="32"/>
        </w:rPr>
        <w:t>万元，</w:t>
      </w:r>
      <w:proofErr w:type="gramStart"/>
      <w:r>
        <w:rPr>
          <w:rFonts w:ascii="仿宋_GB2312" w:eastAsia="仿宋_GB2312" w:hAnsi="宋体" w:cs="Courier New" w:hint="eastAsia"/>
          <w:sz w:val="32"/>
          <w:szCs w:val="32"/>
        </w:rPr>
        <w:t>增长增长</w:t>
      </w:r>
      <w:proofErr w:type="gramEnd"/>
      <w:r>
        <w:rPr>
          <w:rFonts w:ascii="仿宋_GB2312" w:eastAsia="仿宋_GB2312" w:hAnsi="宋体" w:cs="Courier New" w:hint="eastAsia"/>
          <w:sz w:val="32"/>
          <w:szCs w:val="32"/>
        </w:rPr>
        <w:t>17.57%</w:t>
      </w:r>
      <w:r>
        <w:rPr>
          <w:rFonts w:ascii="仿宋_GB2312" w:eastAsia="仿宋_GB2312" w:hAnsi="宋体" w:cs="Courier New" w:hint="eastAsia"/>
          <w:sz w:val="32"/>
          <w:szCs w:val="32"/>
        </w:rPr>
        <w:t>。主要原因：人员增资，业</w:t>
      </w:r>
      <w:r>
        <w:rPr>
          <w:rFonts w:ascii="仿宋_GB2312" w:eastAsia="仿宋_GB2312" w:hAnsi="宋体" w:cs="Courier New" w:hint="eastAsia"/>
          <w:sz w:val="32"/>
          <w:szCs w:val="32"/>
        </w:rPr>
        <w:t>务量增加；政府性基金收支预算增加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9819FD" w:rsidRDefault="00B22B72">
      <w:pPr>
        <w:pStyle w:val="a6"/>
        <w:spacing w:line="560" w:lineRule="exact"/>
        <w:ind w:left="640" w:firstLine="640"/>
        <w:rPr>
          <w:rFonts w:ascii="黑体" w:eastAsia="黑体" w:hAnsi="黑体"/>
          <w:color w:val="FF0000"/>
          <w:sz w:val="32"/>
          <w:szCs w:val="32"/>
        </w:rPr>
      </w:pPr>
      <w:r>
        <w:rPr>
          <w:rFonts w:ascii="黑体" w:eastAsia="黑体" w:hAnsi="黑体" w:hint="eastAsia"/>
          <w:sz w:val="32"/>
          <w:szCs w:val="32"/>
        </w:rPr>
        <w:t>五、一般公共预算支出预算情况说明</w:t>
      </w:r>
    </w:p>
    <w:p w:rsidR="009819FD" w:rsidRDefault="00B22B72">
      <w:pPr>
        <w:spacing w:line="560" w:lineRule="exact"/>
        <w:ind w:left="640"/>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161.45</w:t>
      </w:r>
      <w:r>
        <w:rPr>
          <w:rFonts w:ascii="仿宋_GB2312" w:eastAsia="仿宋_GB2312" w:hAnsi="宋体" w:cs="Courier New" w:hint="eastAsia"/>
          <w:sz w:val="32"/>
          <w:szCs w:val="32"/>
        </w:rPr>
        <w:t>万元。主要用于以下方面：社会保障和就业支出（类）支出</w:t>
      </w:r>
      <w:r>
        <w:rPr>
          <w:rFonts w:ascii="仿宋_GB2312" w:eastAsia="仿宋_GB2312" w:hAnsi="宋体" w:cs="Courier New" w:hint="eastAsia"/>
          <w:sz w:val="32"/>
          <w:szCs w:val="32"/>
        </w:rPr>
        <w:t>14.57</w:t>
      </w:r>
      <w:r>
        <w:rPr>
          <w:rFonts w:ascii="仿宋_GB2312" w:eastAsia="仿宋_GB2312" w:hAnsi="宋体" w:cs="Courier New" w:hint="eastAsia"/>
          <w:sz w:val="32"/>
          <w:szCs w:val="32"/>
        </w:rPr>
        <w:t>万元，占</w:t>
      </w:r>
      <w:r>
        <w:rPr>
          <w:rFonts w:ascii="仿宋_GB2312" w:eastAsia="仿宋_GB2312" w:hint="eastAsia"/>
          <w:sz w:val="32"/>
          <w:szCs w:val="32"/>
        </w:rPr>
        <w:t>9.02</w:t>
      </w:r>
      <w:r>
        <w:rPr>
          <w:rFonts w:ascii="仿宋_GB2312" w:eastAsia="仿宋_GB2312" w:hAnsi="宋体" w:cs="Courier New"/>
          <w:sz w:val="32"/>
          <w:szCs w:val="32"/>
        </w:rPr>
        <w:t>%</w:t>
      </w:r>
      <w:r>
        <w:rPr>
          <w:rFonts w:ascii="仿宋_GB2312" w:eastAsia="仿宋_GB2312" w:hAnsi="宋体" w:cs="Courier New" w:hint="eastAsia"/>
          <w:sz w:val="32"/>
          <w:szCs w:val="32"/>
        </w:rPr>
        <w:t>；商品服务业等事务（类）支出</w:t>
      </w:r>
      <w:r>
        <w:rPr>
          <w:rFonts w:ascii="仿宋_GB2312" w:eastAsia="仿宋_GB2312" w:hint="eastAsia"/>
          <w:sz w:val="32"/>
          <w:szCs w:val="32"/>
        </w:rPr>
        <w:t>131.84</w:t>
      </w:r>
      <w:r>
        <w:rPr>
          <w:rFonts w:ascii="仿宋_GB2312" w:eastAsia="仿宋_GB2312" w:hAnsi="宋体" w:cs="Courier New" w:hint="eastAsia"/>
          <w:sz w:val="32"/>
          <w:szCs w:val="32"/>
        </w:rPr>
        <w:t>万元，占</w:t>
      </w:r>
      <w:r>
        <w:rPr>
          <w:rFonts w:ascii="仿宋_GB2312" w:eastAsia="仿宋_GB2312" w:hint="eastAsia"/>
          <w:sz w:val="32"/>
          <w:szCs w:val="32"/>
        </w:rPr>
        <w:t>81.66</w:t>
      </w:r>
      <w:r>
        <w:rPr>
          <w:rFonts w:ascii="仿宋_GB2312" w:eastAsia="仿宋_GB2312" w:hAnsi="宋体" w:cs="Courier New"/>
          <w:sz w:val="32"/>
          <w:szCs w:val="32"/>
        </w:rPr>
        <w:t>%</w:t>
      </w:r>
      <w:r>
        <w:rPr>
          <w:rFonts w:ascii="仿宋_GB2312" w:eastAsia="仿宋_GB2312" w:hAnsi="宋体" w:cs="Courier New" w:hint="eastAsia"/>
          <w:sz w:val="32"/>
          <w:szCs w:val="32"/>
        </w:rPr>
        <w:t>；住房保障（类）支出</w:t>
      </w:r>
      <w:r>
        <w:rPr>
          <w:rFonts w:ascii="仿宋_GB2312" w:eastAsia="仿宋_GB2312" w:hint="eastAsia"/>
          <w:sz w:val="32"/>
          <w:szCs w:val="32"/>
        </w:rPr>
        <w:t>7.01</w:t>
      </w:r>
      <w:r>
        <w:rPr>
          <w:rFonts w:ascii="仿宋_GB2312" w:eastAsia="仿宋_GB2312" w:hAnsi="宋体" w:cs="Courier New" w:hint="eastAsia"/>
          <w:sz w:val="32"/>
          <w:szCs w:val="32"/>
        </w:rPr>
        <w:t>万元，占</w:t>
      </w:r>
      <w:r>
        <w:rPr>
          <w:rFonts w:ascii="仿宋_GB2312" w:eastAsia="仿宋_GB2312" w:hint="eastAsia"/>
          <w:sz w:val="32"/>
          <w:szCs w:val="32"/>
        </w:rPr>
        <w:t>9.32</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9819FD" w:rsidRDefault="00B22B72">
      <w:pPr>
        <w:spacing w:line="560" w:lineRule="exact"/>
        <w:ind w:firstLineChars="400" w:firstLine="128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9819FD" w:rsidRDefault="00B22B7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9819FD" w:rsidRDefault="00B22B7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w:t>
      </w:r>
      <w:r>
        <w:rPr>
          <w:rFonts w:ascii="仿宋_GB2312" w:eastAsia="仿宋_GB2312" w:hint="eastAsia"/>
          <w:sz w:val="32"/>
          <w:szCs w:val="32"/>
        </w:rPr>
        <w:t>2020</w:t>
      </w:r>
      <w:r>
        <w:rPr>
          <w:rFonts w:ascii="仿宋_GB2312" w:eastAsia="仿宋_GB2312" w:hint="eastAsia"/>
          <w:sz w:val="32"/>
          <w:szCs w:val="32"/>
        </w:rPr>
        <w:t>年龙安区供销社部门预算支出</w:t>
      </w:r>
      <w:r>
        <w:rPr>
          <w:rFonts w:ascii="仿宋_GB2312" w:eastAsia="仿宋_GB2312" w:hint="eastAsia"/>
          <w:sz w:val="32"/>
          <w:szCs w:val="32"/>
        </w:rPr>
        <w:t>161.44</w:t>
      </w:r>
      <w:r>
        <w:rPr>
          <w:rFonts w:ascii="仿宋_GB2312" w:eastAsia="仿宋_GB2312" w:hint="eastAsia"/>
          <w:sz w:val="32"/>
          <w:szCs w:val="32"/>
        </w:rPr>
        <w:t>万元，具体分为：</w:t>
      </w:r>
    </w:p>
    <w:p w:rsidR="009819FD" w:rsidRDefault="00B22B7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111.2</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30.12</w:t>
      </w:r>
      <w:r>
        <w:rPr>
          <w:rFonts w:ascii="仿宋_GB2312" w:eastAsia="仿宋_GB2312" w:hint="eastAsia"/>
          <w:sz w:val="32"/>
          <w:szCs w:val="32"/>
        </w:rPr>
        <w:t>万元、</w:t>
      </w:r>
      <w:r>
        <w:rPr>
          <w:rFonts w:ascii="仿宋_GB2312" w:eastAsia="仿宋_GB2312" w:hint="eastAsia"/>
          <w:sz w:val="32"/>
          <w:szCs w:val="32"/>
        </w:rPr>
        <w:t>津贴补贴（款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31.64</w:t>
      </w:r>
      <w:r>
        <w:rPr>
          <w:rFonts w:ascii="仿宋_GB2312" w:eastAsia="仿宋_GB2312" w:hint="eastAsia"/>
          <w:sz w:val="32"/>
          <w:szCs w:val="32"/>
        </w:rPr>
        <w:t>万元、机关事业单位基本养老保险缴费（款</w:t>
      </w:r>
      <w:r>
        <w:rPr>
          <w:rFonts w:ascii="仿宋_GB2312" w:eastAsia="仿宋_GB2312" w:hint="eastAsia"/>
          <w:sz w:val="32"/>
          <w:szCs w:val="32"/>
        </w:rPr>
        <w:t>08</w:t>
      </w:r>
      <w:r>
        <w:rPr>
          <w:rFonts w:ascii="仿宋_GB2312" w:eastAsia="仿宋_GB2312" w:hint="eastAsia"/>
          <w:sz w:val="32"/>
          <w:szCs w:val="32"/>
        </w:rPr>
        <w:t>）</w:t>
      </w:r>
      <w:r>
        <w:rPr>
          <w:rFonts w:ascii="仿宋_GB2312" w:eastAsia="仿宋_GB2312" w:hint="eastAsia"/>
          <w:sz w:val="32"/>
          <w:szCs w:val="32"/>
        </w:rPr>
        <w:t>9.35</w:t>
      </w:r>
      <w:r>
        <w:rPr>
          <w:rFonts w:ascii="仿宋_GB2312" w:eastAsia="仿宋_GB2312" w:hint="eastAsia"/>
          <w:sz w:val="32"/>
          <w:szCs w:val="32"/>
        </w:rPr>
        <w:t>万元、职工基本医疗保险缴费（款</w:t>
      </w: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4.32</w:t>
      </w:r>
      <w:r>
        <w:rPr>
          <w:rFonts w:ascii="仿宋_GB2312" w:eastAsia="仿宋_GB2312" w:hint="eastAsia"/>
          <w:sz w:val="32"/>
          <w:szCs w:val="32"/>
        </w:rPr>
        <w:t>万元、公务员医疗补助缴费（款</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3.71</w:t>
      </w:r>
      <w:r>
        <w:rPr>
          <w:rFonts w:ascii="仿宋_GB2312" w:eastAsia="仿宋_GB2312" w:hint="eastAsia"/>
          <w:sz w:val="32"/>
          <w:szCs w:val="32"/>
        </w:rPr>
        <w:t>万元、住房公积金（款</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7.01</w:t>
      </w:r>
      <w:r>
        <w:rPr>
          <w:rFonts w:ascii="仿宋_GB2312" w:eastAsia="仿宋_GB2312" w:hint="eastAsia"/>
          <w:sz w:val="32"/>
          <w:szCs w:val="32"/>
        </w:rPr>
        <w:t>万元，其他社会保障缴费（款</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0.2</w:t>
      </w:r>
      <w:r>
        <w:rPr>
          <w:rFonts w:ascii="仿宋_GB2312" w:eastAsia="仿宋_GB2312" w:hint="eastAsia"/>
          <w:sz w:val="32"/>
          <w:szCs w:val="32"/>
        </w:rPr>
        <w:t>万元、其他工资福利（款</w:t>
      </w: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21.5</w:t>
      </w:r>
      <w:r>
        <w:rPr>
          <w:rFonts w:ascii="仿宋_GB2312" w:eastAsia="仿宋_GB2312" w:hint="eastAsia"/>
          <w:sz w:val="32"/>
          <w:szCs w:val="32"/>
        </w:rPr>
        <w:t>万元；</w:t>
      </w:r>
    </w:p>
    <w:p w:rsidR="009819FD" w:rsidRDefault="00B22B7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43.64</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int="eastAsia"/>
          <w:sz w:val="32"/>
          <w:szCs w:val="32"/>
        </w:rPr>
        <w:t>3.33</w:t>
      </w:r>
      <w:r>
        <w:rPr>
          <w:rFonts w:ascii="仿宋_GB2312" w:eastAsia="仿宋_GB2312" w:hint="eastAsia"/>
          <w:sz w:val="32"/>
          <w:szCs w:val="32"/>
        </w:rPr>
        <w:t>万元、退职费（款</w:t>
      </w:r>
      <w:r>
        <w:rPr>
          <w:rFonts w:ascii="仿宋_GB2312" w:eastAsia="仿宋_GB2312" w:hint="eastAsia"/>
          <w:sz w:val="32"/>
          <w:szCs w:val="32"/>
        </w:rPr>
        <w:t>03</w:t>
      </w:r>
      <w:r>
        <w:rPr>
          <w:rFonts w:ascii="仿宋_GB2312" w:eastAsia="仿宋_GB2312" w:hint="eastAsia"/>
          <w:sz w:val="32"/>
          <w:szCs w:val="32"/>
        </w:rPr>
        <w:t>）</w:t>
      </w:r>
      <w:r>
        <w:rPr>
          <w:rFonts w:ascii="仿宋_GB2312" w:eastAsia="仿宋_GB2312" w:hint="eastAsia"/>
          <w:sz w:val="32"/>
          <w:szCs w:val="32"/>
        </w:rPr>
        <w:t>5.49</w:t>
      </w:r>
      <w:r>
        <w:rPr>
          <w:rFonts w:ascii="仿宋_GB2312" w:eastAsia="仿宋_GB2312" w:hint="eastAsia"/>
          <w:sz w:val="32"/>
          <w:szCs w:val="32"/>
        </w:rPr>
        <w:t>万元、抚恤金</w:t>
      </w:r>
      <w:r>
        <w:rPr>
          <w:rFonts w:ascii="仿宋_GB2312" w:eastAsia="仿宋_GB2312" w:hint="eastAsia"/>
          <w:sz w:val="32"/>
          <w:szCs w:val="32"/>
        </w:rPr>
        <w:t>(</w:t>
      </w:r>
      <w:r>
        <w:rPr>
          <w:rFonts w:ascii="仿宋_GB2312" w:eastAsia="仿宋_GB2312" w:hint="eastAsia"/>
          <w:sz w:val="32"/>
          <w:szCs w:val="32"/>
        </w:rPr>
        <w:t>款</w:t>
      </w:r>
      <w:r>
        <w:rPr>
          <w:rFonts w:ascii="仿宋_GB2312" w:eastAsia="仿宋_GB2312" w:hint="eastAsia"/>
          <w:sz w:val="32"/>
          <w:szCs w:val="32"/>
        </w:rPr>
        <w:t>04</w:t>
      </w:r>
      <w:r>
        <w:rPr>
          <w:rFonts w:ascii="仿宋_GB2312" w:eastAsia="仿宋_GB2312" w:hint="eastAsia"/>
          <w:sz w:val="32"/>
          <w:szCs w:val="32"/>
        </w:rPr>
        <w:t>）</w:t>
      </w:r>
      <w:r>
        <w:rPr>
          <w:rFonts w:ascii="仿宋_GB2312" w:eastAsia="仿宋_GB2312" w:hint="eastAsia"/>
          <w:sz w:val="32"/>
          <w:szCs w:val="32"/>
        </w:rPr>
        <w:t>1.67</w:t>
      </w:r>
      <w:r>
        <w:rPr>
          <w:rFonts w:ascii="仿宋_GB2312" w:eastAsia="仿宋_GB2312" w:hint="eastAsia"/>
          <w:sz w:val="32"/>
          <w:szCs w:val="32"/>
        </w:rPr>
        <w:t>万元、生活补助（款</w:t>
      </w:r>
      <w:r>
        <w:rPr>
          <w:rFonts w:ascii="仿宋_GB2312" w:eastAsia="仿宋_GB2312" w:hint="eastAsia"/>
          <w:sz w:val="32"/>
          <w:szCs w:val="32"/>
        </w:rPr>
        <w:t>05</w:t>
      </w:r>
      <w:r>
        <w:rPr>
          <w:rFonts w:ascii="仿宋_GB2312" w:eastAsia="仿宋_GB2312" w:hint="eastAsia"/>
          <w:sz w:val="32"/>
          <w:szCs w:val="32"/>
        </w:rPr>
        <w:t>）</w:t>
      </w:r>
      <w:r>
        <w:rPr>
          <w:rFonts w:ascii="仿宋_GB2312" w:eastAsia="仿宋_GB2312" w:hint="eastAsia"/>
          <w:sz w:val="32"/>
          <w:szCs w:val="32"/>
        </w:rPr>
        <w:t>12.21</w:t>
      </w:r>
      <w:r>
        <w:rPr>
          <w:rFonts w:ascii="仿宋_GB2312" w:eastAsia="仿宋_GB2312" w:hint="eastAsia"/>
          <w:sz w:val="32"/>
          <w:szCs w:val="32"/>
        </w:rPr>
        <w:t>万元、医疗费补助（款</w:t>
      </w:r>
      <w:r>
        <w:rPr>
          <w:rFonts w:ascii="仿宋_GB2312" w:eastAsia="仿宋_GB2312" w:hint="eastAsia"/>
          <w:sz w:val="32"/>
          <w:szCs w:val="32"/>
        </w:rPr>
        <w:t>07</w:t>
      </w:r>
      <w:r>
        <w:rPr>
          <w:rFonts w:ascii="仿宋_GB2312" w:eastAsia="仿宋_GB2312" w:hint="eastAsia"/>
          <w:sz w:val="32"/>
          <w:szCs w:val="32"/>
        </w:rPr>
        <w:t>）</w:t>
      </w:r>
      <w:r>
        <w:rPr>
          <w:rFonts w:ascii="仿宋_GB2312" w:eastAsia="仿宋_GB2312" w:hint="eastAsia"/>
          <w:sz w:val="32"/>
          <w:szCs w:val="32"/>
        </w:rPr>
        <w:t>6.43</w:t>
      </w:r>
      <w:r>
        <w:rPr>
          <w:rFonts w:ascii="仿宋_GB2312" w:eastAsia="仿宋_GB2312" w:hint="eastAsia"/>
          <w:sz w:val="32"/>
          <w:szCs w:val="32"/>
        </w:rPr>
        <w:t>万元、奖励金（款</w:t>
      </w:r>
      <w:r>
        <w:rPr>
          <w:rFonts w:ascii="仿宋_GB2312" w:eastAsia="仿宋_GB2312" w:hint="eastAsia"/>
          <w:sz w:val="32"/>
          <w:szCs w:val="32"/>
        </w:rPr>
        <w:t>09</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.88</w:t>
      </w:r>
      <w:r>
        <w:rPr>
          <w:rFonts w:ascii="仿宋_GB2312" w:eastAsia="仿宋_GB2312" w:hint="eastAsia"/>
          <w:sz w:val="32"/>
          <w:szCs w:val="32"/>
        </w:rPr>
        <w:t>万元、其他对个人和家庭的补助（款</w:t>
      </w: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2.63</w:t>
      </w:r>
      <w:r>
        <w:rPr>
          <w:rFonts w:ascii="仿宋_GB2312" w:eastAsia="仿宋_GB2312" w:hint="eastAsia"/>
          <w:sz w:val="32"/>
          <w:szCs w:val="32"/>
        </w:rPr>
        <w:t>万元；</w:t>
      </w:r>
    </w:p>
    <w:p w:rsidR="009819FD" w:rsidRDefault="00B22B72">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6.6</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万元、电费（款</w:t>
      </w:r>
      <w:r>
        <w:rPr>
          <w:rFonts w:ascii="仿宋_GB2312" w:eastAsia="仿宋_GB2312" w:hint="eastAsia"/>
          <w:sz w:val="32"/>
          <w:szCs w:val="32"/>
        </w:rPr>
        <w:t>06</w:t>
      </w:r>
      <w:r>
        <w:rPr>
          <w:rFonts w:ascii="仿宋_GB2312" w:eastAsia="仿宋_GB2312" w:hint="eastAsia"/>
          <w:sz w:val="32"/>
          <w:szCs w:val="32"/>
        </w:rPr>
        <w:t>）</w:t>
      </w:r>
      <w:r>
        <w:rPr>
          <w:rFonts w:ascii="仿宋_GB2312" w:eastAsia="仿宋_GB2312" w:hint="eastAsia"/>
          <w:sz w:val="32"/>
          <w:szCs w:val="32"/>
        </w:rPr>
        <w:t>0.4</w:t>
      </w:r>
      <w:r>
        <w:rPr>
          <w:rFonts w:ascii="仿宋_GB2312" w:eastAsia="仿宋_GB2312" w:hint="eastAsia"/>
          <w:sz w:val="32"/>
          <w:szCs w:val="32"/>
        </w:rPr>
        <w:t>万元，其他商品和服务支出（款</w:t>
      </w: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万元。</w:t>
      </w:r>
    </w:p>
    <w:p w:rsidR="009819FD" w:rsidRDefault="00B22B72">
      <w:pPr>
        <w:numPr>
          <w:ilvl w:val="0"/>
          <w:numId w:val="1"/>
        </w:num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龙安区供销社</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161.44</w:t>
      </w:r>
      <w:r>
        <w:rPr>
          <w:rFonts w:ascii="仿宋_GB2312" w:eastAsia="仿宋_GB2312" w:hint="eastAsia"/>
          <w:color w:val="000000" w:themeColor="text1"/>
          <w:sz w:val="32"/>
          <w:szCs w:val="32"/>
        </w:rPr>
        <w:t>万元。具体分为：</w:t>
      </w:r>
    </w:p>
    <w:p w:rsidR="009819FD" w:rsidRDefault="00B22B7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111.2</w:t>
      </w:r>
      <w:r>
        <w:rPr>
          <w:rFonts w:ascii="仿宋_GB2312" w:eastAsia="仿宋_GB2312" w:hAnsi="宋体" w:cs="Courier New" w:hint="eastAsia"/>
          <w:color w:val="000000" w:themeColor="text1"/>
          <w:sz w:val="32"/>
          <w:szCs w:val="32"/>
        </w:rPr>
        <w:t>万元，包括基本工资、津贴补贴、社会保障缴费、其他工资福利支出、住房公积金；</w:t>
      </w:r>
    </w:p>
    <w:p w:rsidR="009819FD" w:rsidRDefault="00B22B72">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themeColor="text1"/>
          <w:sz w:val="32"/>
          <w:szCs w:val="32"/>
        </w:rPr>
        <w:t>对个人和家庭补助支出（类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43.64</w:t>
      </w:r>
      <w:r>
        <w:rPr>
          <w:rFonts w:ascii="仿宋_GB2312" w:eastAsia="仿宋_GB2312" w:hAnsi="宋体" w:cs="Courier New" w:hint="eastAsia"/>
          <w:color w:val="000000" w:themeColor="text1"/>
          <w:sz w:val="32"/>
          <w:szCs w:val="32"/>
        </w:rPr>
        <w:t>万元，包括退休费、</w:t>
      </w:r>
      <w:r>
        <w:rPr>
          <w:rFonts w:ascii="仿宋_GB2312" w:eastAsia="仿宋_GB2312" w:hint="eastAsia"/>
          <w:sz w:val="32"/>
          <w:szCs w:val="32"/>
        </w:rPr>
        <w:t>退职费、退职费、抚恤金、生活补助、医疗费补助、奖励金、其他对个人和家庭的补助。</w:t>
      </w:r>
    </w:p>
    <w:p w:rsidR="009819FD" w:rsidRDefault="00B22B72">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6.6</w:t>
      </w:r>
      <w:r>
        <w:rPr>
          <w:rFonts w:ascii="仿宋_GB2312" w:eastAsia="仿宋_GB2312" w:hAnsi="宋体" w:cs="Courier New" w:hint="eastAsia"/>
          <w:color w:val="000000" w:themeColor="text1"/>
          <w:sz w:val="32"/>
          <w:szCs w:val="32"/>
        </w:rPr>
        <w:t>万元，包括办公经费、电费、其他商品和服务支出。</w:t>
      </w:r>
    </w:p>
    <w:p w:rsidR="009819FD" w:rsidRDefault="009819FD">
      <w:pPr>
        <w:adjustRightInd w:val="0"/>
        <w:snapToGrid w:val="0"/>
        <w:spacing w:line="600" w:lineRule="exact"/>
        <w:rPr>
          <w:rFonts w:ascii="仿宋_GB2312" w:eastAsia="仿宋_GB2312"/>
          <w:color w:val="000000" w:themeColor="text1"/>
          <w:sz w:val="32"/>
          <w:szCs w:val="32"/>
        </w:rPr>
      </w:pPr>
    </w:p>
    <w:p w:rsidR="009819FD" w:rsidRDefault="00B22B72">
      <w:pPr>
        <w:spacing w:line="560" w:lineRule="exact"/>
        <w:rPr>
          <w:rFonts w:ascii="仿宋_GB2312" w:eastAsia="仿宋_GB2312"/>
          <w:sz w:val="32"/>
          <w:szCs w:val="32"/>
        </w:rPr>
      </w:pPr>
      <w:r>
        <w:rPr>
          <w:rFonts w:ascii="黑体" w:eastAsia="黑体" w:hAnsi="Times New Roman" w:cs="黑体" w:hint="eastAsia"/>
          <w:kern w:val="0"/>
          <w:sz w:val="32"/>
          <w:szCs w:val="32"/>
        </w:rPr>
        <w:lastRenderedPageBreak/>
        <w:t xml:space="preserve">    </w:t>
      </w:r>
      <w:r>
        <w:rPr>
          <w:rFonts w:ascii="黑体" w:eastAsia="黑体" w:hAnsi="Times New Roman" w:cs="黑体" w:hint="eastAsia"/>
          <w:kern w:val="0"/>
          <w:sz w:val="32"/>
          <w:szCs w:val="32"/>
        </w:rPr>
        <w:t>七、政府性基金预算支出情况说明</w:t>
      </w:r>
    </w:p>
    <w:p w:rsidR="009819FD" w:rsidRDefault="00B22B72">
      <w:pPr>
        <w:spacing w:line="560" w:lineRule="exact"/>
        <w:ind w:leftChars="304" w:left="638"/>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9819FD" w:rsidRDefault="00B22B72">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w:t>
      </w:r>
      <w:r>
        <w:rPr>
          <w:rFonts w:ascii="仿宋_GB2312" w:eastAsia="仿宋_GB2312" w:hAnsi="宋体" w:cs="Courier New" w:hint="eastAsia"/>
          <w:sz w:val="32"/>
          <w:szCs w:val="32"/>
        </w:rPr>
        <w:t>万元。</w:t>
      </w:r>
    </w:p>
    <w:p w:rsidR="009819FD" w:rsidRDefault="00B22B72">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9819FD" w:rsidRDefault="00B22B72" w:rsidP="00DF45CC">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年相比，减少</w:t>
      </w:r>
      <w:r>
        <w:rPr>
          <w:rFonts w:ascii="仿宋_GB2312" w:eastAsia="仿宋_GB2312" w:hAnsi="宋体" w:cs="Courier New" w:hint="eastAsia"/>
          <w:sz w:val="32"/>
          <w:szCs w:val="32"/>
        </w:rPr>
        <w:t>1</w:t>
      </w:r>
      <w:r>
        <w:rPr>
          <w:rFonts w:ascii="仿宋_GB2312" w:eastAsia="仿宋_GB2312" w:hAnsi="宋体" w:cs="Courier New" w:hint="eastAsia"/>
          <w:sz w:val="32"/>
          <w:szCs w:val="32"/>
        </w:rPr>
        <w:t>万元。主要原因：</w:t>
      </w:r>
      <w:r>
        <w:rPr>
          <w:rFonts w:ascii="仿宋_GB2312" w:eastAsia="仿宋_GB2312" w:hAnsi="宋体" w:cs="宋体" w:hint="eastAsia"/>
          <w:color w:val="333333"/>
          <w:kern w:val="0"/>
          <w:sz w:val="32"/>
          <w:szCs w:val="32"/>
        </w:rPr>
        <w:t>单位执行节约开支、严控标准，坚持减少接待就餐，降低接待费用支出</w:t>
      </w:r>
      <w:r>
        <w:rPr>
          <w:rFonts w:ascii="仿宋_GB2312" w:eastAsia="仿宋_GB2312" w:hAnsi="宋体" w:cs="Courier New" w:hint="eastAsia"/>
          <w:sz w:val="32"/>
          <w:szCs w:val="32"/>
        </w:rPr>
        <w:t>。</w:t>
      </w:r>
    </w:p>
    <w:p w:rsidR="009819FD" w:rsidRDefault="00B22B72" w:rsidP="00DF45CC">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9819FD" w:rsidRDefault="00B22B72" w:rsidP="00DF45CC">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，主要用于按规定开支的各类公务接待（含外宾接待）支出。公务接待费预算数比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1</w:t>
      </w:r>
      <w:r>
        <w:rPr>
          <w:rFonts w:ascii="仿宋_GB2312" w:eastAsia="仿宋_GB2312" w:hAnsi="宋体" w:cs="Courier New" w:hint="eastAsia"/>
          <w:sz w:val="32"/>
          <w:szCs w:val="32"/>
        </w:rPr>
        <w:t>万元。主要原因：</w:t>
      </w:r>
      <w:r>
        <w:rPr>
          <w:rFonts w:ascii="仿宋_GB2312" w:eastAsia="仿宋_GB2312" w:hAnsi="宋体" w:cs="宋体" w:hint="eastAsia"/>
          <w:color w:val="333333"/>
          <w:kern w:val="0"/>
          <w:sz w:val="32"/>
          <w:szCs w:val="32"/>
        </w:rPr>
        <w:t>单位执行节约开支、严控标准，坚持减少接待就餐，降低接待费用支出</w:t>
      </w:r>
      <w:r>
        <w:rPr>
          <w:rFonts w:ascii="仿宋_GB2312" w:eastAsia="仿宋_GB2312" w:hAnsi="宋体" w:cs="Courier New" w:hint="eastAsia"/>
          <w:sz w:val="32"/>
          <w:szCs w:val="32"/>
        </w:rPr>
        <w:t>。</w:t>
      </w:r>
    </w:p>
    <w:p w:rsidR="009819FD" w:rsidRDefault="00B22B72">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9819FD" w:rsidRDefault="00B22B72">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龙安区供销社</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6.6</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9819FD" w:rsidRDefault="00B22B7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lastRenderedPageBreak/>
        <w:t>（二）政府采购支出情况</w:t>
      </w:r>
    </w:p>
    <w:p w:rsidR="009819FD" w:rsidRDefault="00B22B72">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9819FD" w:rsidRDefault="00B22B7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9819FD" w:rsidRDefault="00B22B72">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共开展预算绩效项目</w:t>
      </w:r>
      <w:r>
        <w:rPr>
          <w:rFonts w:ascii="仿宋_GB2312" w:eastAsia="仿宋_GB2312" w:hAnsi="宋体" w:cs="Courier New" w:hint="eastAsia"/>
          <w:sz w:val="32"/>
          <w:szCs w:val="32"/>
        </w:rPr>
        <w:t>0</w:t>
      </w:r>
      <w:r>
        <w:rPr>
          <w:rFonts w:ascii="仿宋_GB2312" w:eastAsia="仿宋_GB2312" w:hAnsi="宋体" w:cs="Courier New" w:hint="eastAsia"/>
          <w:sz w:val="32"/>
          <w:szCs w:val="32"/>
        </w:rPr>
        <w:t>个，涉及预算资金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proofErr w:type="gramStart"/>
      <w:r>
        <w:rPr>
          <w:rFonts w:ascii="仿宋_GB2312" w:eastAsia="仿宋_GB2312" w:hint="eastAsia"/>
          <w:sz w:val="32"/>
          <w:szCs w:val="32"/>
        </w:rPr>
        <w:t>我部门</w:t>
      </w:r>
      <w:proofErr w:type="gramEnd"/>
      <w:r>
        <w:rPr>
          <w:rFonts w:ascii="仿宋_GB2312" w:eastAsia="仿宋_GB2312" w:hint="eastAsia"/>
          <w:sz w:val="32"/>
          <w:szCs w:val="32"/>
        </w:rPr>
        <w:t>编制绩效目标的预算项目共</w:t>
      </w:r>
      <w:r>
        <w:rPr>
          <w:rFonts w:ascii="仿宋_GB2312" w:eastAsia="仿宋_GB2312" w:hint="eastAsia"/>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hint="eastAsia"/>
          <w:sz w:val="32"/>
          <w:szCs w:val="32"/>
        </w:rPr>
        <w:t>0</w:t>
      </w:r>
      <w:r>
        <w:rPr>
          <w:rFonts w:ascii="仿宋_GB2312" w:eastAsia="仿宋_GB2312" w:hAnsi="宋体" w:cs="Courier New" w:hint="eastAsia"/>
          <w:sz w:val="32"/>
          <w:szCs w:val="32"/>
        </w:rPr>
        <w:t>万元。</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年将按政策要求对今年的专项转移支付项目资金全部展开绩效评价工作。</w:t>
      </w:r>
    </w:p>
    <w:p w:rsidR="009819FD" w:rsidRDefault="00B22B72">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0</w:t>
      </w:r>
      <w:r>
        <w:rPr>
          <w:rFonts w:ascii="仿宋_GB2312" w:eastAsia="仿宋_GB2312" w:hAnsi="宋体" w:cs="Courier New" w:hint="eastAsia"/>
          <w:sz w:val="32"/>
          <w:szCs w:val="32"/>
        </w:rPr>
        <w:t>辆，其中：一般公务用车</w:t>
      </w:r>
      <w:r>
        <w:rPr>
          <w:rFonts w:ascii="仿宋_GB2312" w:eastAsia="仿宋_GB2312" w:hint="eastAsia"/>
          <w:sz w:val="32"/>
          <w:szCs w:val="32"/>
        </w:rPr>
        <w:t>0</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9819FD" w:rsidRDefault="00B22B72">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龙安区供销社</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年没有负责管理的专项转移支付项目。</w:t>
      </w:r>
    </w:p>
    <w:p w:rsidR="009819FD" w:rsidRDefault="00B22B72">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9819FD" w:rsidRDefault="00B22B72">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龙安区供销社联合社</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年年初未安排专项扶贫项目资金。</w:t>
      </w:r>
    </w:p>
    <w:p w:rsidR="009819FD" w:rsidRDefault="009819FD">
      <w:pPr>
        <w:adjustRightInd w:val="0"/>
        <w:snapToGrid w:val="0"/>
        <w:spacing w:line="360" w:lineRule="auto"/>
        <w:ind w:firstLineChars="200" w:firstLine="643"/>
        <w:jc w:val="left"/>
        <w:rPr>
          <w:rFonts w:ascii="楷体_GB2312" w:eastAsia="楷体_GB2312" w:hAnsi="Times New Roman" w:cs="仿宋_GB2312"/>
          <w:b/>
          <w:color w:val="FF0000"/>
          <w:kern w:val="0"/>
          <w:sz w:val="32"/>
          <w:szCs w:val="32"/>
        </w:rPr>
      </w:pPr>
    </w:p>
    <w:p w:rsidR="009819FD" w:rsidRDefault="00B22B72">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w:t>
      </w:r>
      <w:r>
        <w:rPr>
          <w:rFonts w:ascii="仿宋_GB2312" w:eastAsia="仿宋_GB2312" w:hAnsi="宋体" w:cs="Courier New" w:hint="eastAsia"/>
          <w:sz w:val="32"/>
          <w:szCs w:val="32"/>
        </w:rPr>
        <w:lastRenderedPageBreak/>
        <w:t>事业单位经营收入”等以外的收入。</w:t>
      </w:r>
      <w:r>
        <w:rPr>
          <w:rFonts w:ascii="仿宋_GB2312" w:eastAsia="仿宋_GB2312" w:hAnsi="宋体" w:cs="Courier New" w:hint="eastAsia"/>
          <w:sz w:val="32"/>
          <w:szCs w:val="32"/>
        </w:rPr>
        <w:t xml:space="preserve"> </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w:t>
      </w:r>
      <w:r>
        <w:rPr>
          <w:rFonts w:ascii="仿宋_GB2312" w:eastAsia="仿宋_GB2312" w:hAnsi="宋体" w:cs="Courier New" w:hint="eastAsia"/>
          <w:sz w:val="32"/>
          <w:szCs w:val="32"/>
        </w:rPr>
        <w:t>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w:t>
      </w:r>
      <w:r>
        <w:rPr>
          <w:rFonts w:ascii="仿宋_GB2312" w:eastAsia="仿宋_GB2312" w:hAnsi="宋体" w:cs="Courier New" w:hint="eastAsia"/>
          <w:sz w:val="32"/>
          <w:szCs w:val="32"/>
        </w:rPr>
        <w:t>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9819FD" w:rsidRDefault="00B22B72">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w:t>
      </w:r>
    </w:p>
    <w:p w:rsidR="009819FD" w:rsidRDefault="009819F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8550" cy="3383915"/>
            <wp:effectExtent l="0" t="0" r="1270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178550" cy="3383915"/>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7915" cy="1388110"/>
            <wp:effectExtent l="0" t="0" r="133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177915" cy="1388110"/>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8550" cy="1820545"/>
            <wp:effectExtent l="0" t="0" r="1270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6178550" cy="1820545"/>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5375" cy="2983865"/>
            <wp:effectExtent l="0" t="0" r="1587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6175375" cy="2983865"/>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9820" cy="2015490"/>
            <wp:effectExtent l="0" t="0" r="1143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6179820" cy="2015490"/>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88710" cy="6390640"/>
            <wp:effectExtent l="0" t="0" r="254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6188710" cy="6390640"/>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79820" cy="996950"/>
            <wp:effectExtent l="0" t="0" r="1143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6179820" cy="996950"/>
                    </a:xfrm>
                    <a:prstGeom prst="rect">
                      <a:avLst/>
                    </a:prstGeom>
                    <a:noFill/>
                    <a:ln>
                      <a:noFill/>
                    </a:ln>
                  </pic:spPr>
                </pic:pic>
              </a:graphicData>
            </a:graphic>
          </wp:inline>
        </w:drawing>
      </w:r>
    </w:p>
    <w:p w:rsidR="009819FD" w:rsidRDefault="009819FD">
      <w:pPr>
        <w:kinsoku w:val="0"/>
        <w:overflowPunct w:val="0"/>
        <w:autoSpaceDE w:val="0"/>
        <w:autoSpaceDN w:val="0"/>
        <w:adjustRightInd w:val="0"/>
        <w:snapToGrid w:val="0"/>
        <w:spacing w:line="360" w:lineRule="auto"/>
        <w:ind w:firstLineChars="200" w:firstLine="420"/>
      </w:pPr>
    </w:p>
    <w:p w:rsidR="00DF45CC" w:rsidRDefault="00DF45CC" w:rsidP="00DF45CC">
      <w:pPr>
        <w:adjustRightInd w:val="0"/>
        <w:snapToGrid w:val="0"/>
        <w:spacing w:line="360" w:lineRule="auto"/>
      </w:pPr>
      <w:r>
        <w:rPr>
          <w:rFonts w:hint="eastAsia"/>
        </w:rPr>
        <w:t>本单位没有三公经费</w:t>
      </w: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ind w:firstLineChars="200" w:firstLine="420"/>
      </w:pPr>
    </w:p>
    <w:p w:rsidR="009819FD" w:rsidRDefault="009819FD">
      <w:pPr>
        <w:kinsoku w:val="0"/>
        <w:overflowPunct w:val="0"/>
        <w:autoSpaceDE w:val="0"/>
        <w:autoSpaceDN w:val="0"/>
        <w:adjustRightInd w:val="0"/>
        <w:snapToGrid w:val="0"/>
        <w:spacing w:line="360" w:lineRule="auto"/>
      </w:pPr>
    </w:p>
    <w:p w:rsidR="009819FD" w:rsidRDefault="009819FD">
      <w:pPr>
        <w:kinsoku w:val="0"/>
        <w:overflowPunct w:val="0"/>
        <w:autoSpaceDE w:val="0"/>
        <w:autoSpaceDN w:val="0"/>
        <w:adjustRightInd w:val="0"/>
        <w:snapToGrid w:val="0"/>
        <w:spacing w:line="360" w:lineRule="auto"/>
      </w:pPr>
    </w:p>
    <w:p w:rsidR="009819FD" w:rsidRDefault="00B22B72">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6182995" cy="922020"/>
            <wp:effectExtent l="0" t="0" r="825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6182995" cy="922020"/>
                    </a:xfrm>
                    <a:prstGeom prst="rect">
                      <a:avLst/>
                    </a:prstGeom>
                    <a:noFill/>
                    <a:ln>
                      <a:noFill/>
                    </a:ln>
                  </pic:spPr>
                </pic:pic>
              </a:graphicData>
            </a:graphic>
          </wp:inline>
        </w:drawing>
      </w:r>
    </w:p>
    <w:p w:rsidR="00DF45CC" w:rsidRDefault="00DF45CC" w:rsidP="00DF45CC">
      <w:pPr>
        <w:adjustRightInd w:val="0"/>
        <w:snapToGrid w:val="0"/>
        <w:spacing w:line="360" w:lineRule="auto"/>
      </w:pPr>
      <w:r>
        <w:rPr>
          <w:rFonts w:hint="eastAsia"/>
        </w:rPr>
        <w:t>本单位没有</w:t>
      </w:r>
      <w:r>
        <w:rPr>
          <w:rFonts w:hint="eastAsia"/>
        </w:rPr>
        <w:t>政府性基金支出</w:t>
      </w:r>
      <w:bookmarkStart w:id="0" w:name="_GoBack"/>
      <w:bookmarkEnd w:id="0"/>
    </w:p>
    <w:p w:rsidR="009819FD" w:rsidRDefault="009819FD">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p>
    <w:p w:rsidR="00DF45CC" w:rsidRDefault="00DF45CC">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9819FD" w:rsidRDefault="009819F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9819FD">
          <w:pgSz w:w="11906" w:h="16838"/>
          <w:pgMar w:top="1440" w:right="1080" w:bottom="1440" w:left="1080" w:header="851" w:footer="992" w:gutter="0"/>
          <w:cols w:space="425"/>
          <w:docGrid w:type="lines" w:linePitch="312"/>
        </w:sectPr>
      </w:pPr>
    </w:p>
    <w:p w:rsidR="009819FD" w:rsidRDefault="00B22B72">
      <w:pPr>
        <w:adjustRightInd w:val="0"/>
        <w:snapToGrid w:val="0"/>
        <w:spacing w:line="360" w:lineRule="auto"/>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lastRenderedPageBreak/>
        <w:t xml:space="preserve">   </w:t>
      </w:r>
      <w:r>
        <w:rPr>
          <w:noProof/>
        </w:rPr>
        <w:drawing>
          <wp:inline distT="0" distB="0" distL="114300" distR="114300">
            <wp:extent cx="6177915" cy="588645"/>
            <wp:effectExtent l="0" t="0" r="1333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6177915" cy="588645"/>
                    </a:xfrm>
                    <a:prstGeom prst="rect">
                      <a:avLst/>
                    </a:prstGeom>
                    <a:noFill/>
                    <a:ln>
                      <a:noFill/>
                    </a:ln>
                  </pic:spPr>
                </pic:pic>
              </a:graphicData>
            </a:graphic>
          </wp:inline>
        </w:drawing>
      </w:r>
      <w:r>
        <w:rPr>
          <w:rFonts w:ascii="仿宋_GB2312" w:eastAsia="仿宋_GB2312" w:hAnsi="仿宋_GB2312" w:cs="仿宋_GB2312" w:hint="eastAsia"/>
          <w:color w:val="FF0000"/>
          <w:sz w:val="32"/>
          <w:szCs w:val="32"/>
        </w:rPr>
        <w:t xml:space="preserve"> </w:t>
      </w: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p w:rsidR="009819FD" w:rsidRDefault="009819FD">
      <w:pPr>
        <w:adjustRightInd w:val="0"/>
        <w:snapToGrid w:val="0"/>
        <w:spacing w:line="360" w:lineRule="auto"/>
        <w:rPr>
          <w:rFonts w:ascii="仿宋_GB2312" w:eastAsia="仿宋_GB2312" w:hAnsi="仿宋_GB2312" w:cs="仿宋_GB2312"/>
          <w:color w:val="FF0000"/>
          <w:sz w:val="32"/>
          <w:szCs w:val="32"/>
        </w:rPr>
      </w:pPr>
    </w:p>
    <w:sectPr w:rsidR="009819F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E332"/>
    <w:multiLevelType w:val="singleLevel"/>
    <w:tmpl w:val="0573E33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05716"/>
    <w:rsid w:val="0003186D"/>
    <w:rsid w:val="00044158"/>
    <w:rsid w:val="000445AA"/>
    <w:rsid w:val="00051003"/>
    <w:rsid w:val="000642D8"/>
    <w:rsid w:val="00073592"/>
    <w:rsid w:val="00091356"/>
    <w:rsid w:val="00096FB6"/>
    <w:rsid w:val="000A16EC"/>
    <w:rsid w:val="000A1FF3"/>
    <w:rsid w:val="000A2C68"/>
    <w:rsid w:val="000E720F"/>
    <w:rsid w:val="000F3BB9"/>
    <w:rsid w:val="000F6C8B"/>
    <w:rsid w:val="0010210A"/>
    <w:rsid w:val="00110824"/>
    <w:rsid w:val="00115771"/>
    <w:rsid w:val="001158AC"/>
    <w:rsid w:val="00115915"/>
    <w:rsid w:val="00135308"/>
    <w:rsid w:val="001422FF"/>
    <w:rsid w:val="001470AF"/>
    <w:rsid w:val="00160C6A"/>
    <w:rsid w:val="00175E9C"/>
    <w:rsid w:val="00184A45"/>
    <w:rsid w:val="00186BD2"/>
    <w:rsid w:val="001A21DA"/>
    <w:rsid w:val="001D4BA6"/>
    <w:rsid w:val="001D6424"/>
    <w:rsid w:val="001D7273"/>
    <w:rsid w:val="001E0F8C"/>
    <w:rsid w:val="00200BD7"/>
    <w:rsid w:val="00202EA8"/>
    <w:rsid w:val="002669C1"/>
    <w:rsid w:val="002671AC"/>
    <w:rsid w:val="00273D47"/>
    <w:rsid w:val="0028181A"/>
    <w:rsid w:val="00291312"/>
    <w:rsid w:val="0029168C"/>
    <w:rsid w:val="002A0D95"/>
    <w:rsid w:val="002C5AAE"/>
    <w:rsid w:val="002E3BE4"/>
    <w:rsid w:val="002E4313"/>
    <w:rsid w:val="003125B6"/>
    <w:rsid w:val="003352BA"/>
    <w:rsid w:val="00350476"/>
    <w:rsid w:val="00390DEF"/>
    <w:rsid w:val="003A0434"/>
    <w:rsid w:val="003A6F18"/>
    <w:rsid w:val="003B01E0"/>
    <w:rsid w:val="00401345"/>
    <w:rsid w:val="00405898"/>
    <w:rsid w:val="00420855"/>
    <w:rsid w:val="00451611"/>
    <w:rsid w:val="004554A5"/>
    <w:rsid w:val="00496B7C"/>
    <w:rsid w:val="004A4265"/>
    <w:rsid w:val="004A7AF2"/>
    <w:rsid w:val="004C13EB"/>
    <w:rsid w:val="004D5B4E"/>
    <w:rsid w:val="004E4395"/>
    <w:rsid w:val="004F3DF3"/>
    <w:rsid w:val="004F4CA9"/>
    <w:rsid w:val="00521104"/>
    <w:rsid w:val="00560B7D"/>
    <w:rsid w:val="00563E46"/>
    <w:rsid w:val="00577C4A"/>
    <w:rsid w:val="0059380C"/>
    <w:rsid w:val="00593810"/>
    <w:rsid w:val="00594E25"/>
    <w:rsid w:val="005D30D9"/>
    <w:rsid w:val="005E20E2"/>
    <w:rsid w:val="00600B18"/>
    <w:rsid w:val="006460BF"/>
    <w:rsid w:val="00662E14"/>
    <w:rsid w:val="00665BF6"/>
    <w:rsid w:val="0067124D"/>
    <w:rsid w:val="006A44DE"/>
    <w:rsid w:val="006B49B5"/>
    <w:rsid w:val="006B7E0B"/>
    <w:rsid w:val="006C3CD3"/>
    <w:rsid w:val="006C7564"/>
    <w:rsid w:val="006D30AF"/>
    <w:rsid w:val="006D6D49"/>
    <w:rsid w:val="006E4BF1"/>
    <w:rsid w:val="006F5EEE"/>
    <w:rsid w:val="00700744"/>
    <w:rsid w:val="00730F26"/>
    <w:rsid w:val="0073591F"/>
    <w:rsid w:val="00782308"/>
    <w:rsid w:val="007829BC"/>
    <w:rsid w:val="00794383"/>
    <w:rsid w:val="007B5898"/>
    <w:rsid w:val="007C2AA9"/>
    <w:rsid w:val="007C788C"/>
    <w:rsid w:val="007F7E98"/>
    <w:rsid w:val="00804322"/>
    <w:rsid w:val="00812F5C"/>
    <w:rsid w:val="00833DBE"/>
    <w:rsid w:val="0083656C"/>
    <w:rsid w:val="00845EDA"/>
    <w:rsid w:val="00850CE1"/>
    <w:rsid w:val="00860A29"/>
    <w:rsid w:val="00874331"/>
    <w:rsid w:val="00891536"/>
    <w:rsid w:val="0089458A"/>
    <w:rsid w:val="008C14BF"/>
    <w:rsid w:val="008D01B3"/>
    <w:rsid w:val="00904811"/>
    <w:rsid w:val="00933A94"/>
    <w:rsid w:val="00934442"/>
    <w:rsid w:val="00943D7C"/>
    <w:rsid w:val="00944A2D"/>
    <w:rsid w:val="00952BFE"/>
    <w:rsid w:val="009819FD"/>
    <w:rsid w:val="009821A1"/>
    <w:rsid w:val="00987FE0"/>
    <w:rsid w:val="00A116CA"/>
    <w:rsid w:val="00A330EC"/>
    <w:rsid w:val="00A34341"/>
    <w:rsid w:val="00A35A79"/>
    <w:rsid w:val="00A46E26"/>
    <w:rsid w:val="00A60D33"/>
    <w:rsid w:val="00A6267D"/>
    <w:rsid w:val="00AE4F44"/>
    <w:rsid w:val="00AE549A"/>
    <w:rsid w:val="00B03DFE"/>
    <w:rsid w:val="00B10D6F"/>
    <w:rsid w:val="00B20C5F"/>
    <w:rsid w:val="00B22B72"/>
    <w:rsid w:val="00B34754"/>
    <w:rsid w:val="00BA362F"/>
    <w:rsid w:val="00BA4FA7"/>
    <w:rsid w:val="00BA7185"/>
    <w:rsid w:val="00BB6662"/>
    <w:rsid w:val="00BE56FB"/>
    <w:rsid w:val="00BE716F"/>
    <w:rsid w:val="00C01014"/>
    <w:rsid w:val="00C34784"/>
    <w:rsid w:val="00C37131"/>
    <w:rsid w:val="00C435CB"/>
    <w:rsid w:val="00C436B8"/>
    <w:rsid w:val="00C437E8"/>
    <w:rsid w:val="00C831C5"/>
    <w:rsid w:val="00C83779"/>
    <w:rsid w:val="00C83F94"/>
    <w:rsid w:val="00CA5B74"/>
    <w:rsid w:val="00CA7ADA"/>
    <w:rsid w:val="00CD03AD"/>
    <w:rsid w:val="00CE3259"/>
    <w:rsid w:val="00CF1B5A"/>
    <w:rsid w:val="00D01958"/>
    <w:rsid w:val="00D12D03"/>
    <w:rsid w:val="00D15C54"/>
    <w:rsid w:val="00D32932"/>
    <w:rsid w:val="00D354B8"/>
    <w:rsid w:val="00D43363"/>
    <w:rsid w:val="00D4466F"/>
    <w:rsid w:val="00D46069"/>
    <w:rsid w:val="00D508D2"/>
    <w:rsid w:val="00D53D97"/>
    <w:rsid w:val="00D55A62"/>
    <w:rsid w:val="00D6792C"/>
    <w:rsid w:val="00D8037E"/>
    <w:rsid w:val="00DA426F"/>
    <w:rsid w:val="00DA458E"/>
    <w:rsid w:val="00DB68B2"/>
    <w:rsid w:val="00DC0C6B"/>
    <w:rsid w:val="00DC3112"/>
    <w:rsid w:val="00DC3D97"/>
    <w:rsid w:val="00DC6FBB"/>
    <w:rsid w:val="00DF3140"/>
    <w:rsid w:val="00DF45CC"/>
    <w:rsid w:val="00E20E6F"/>
    <w:rsid w:val="00E30585"/>
    <w:rsid w:val="00E31EE0"/>
    <w:rsid w:val="00E33EBB"/>
    <w:rsid w:val="00E36AE5"/>
    <w:rsid w:val="00E3795E"/>
    <w:rsid w:val="00E57174"/>
    <w:rsid w:val="00E57C5A"/>
    <w:rsid w:val="00E607D3"/>
    <w:rsid w:val="00E776E0"/>
    <w:rsid w:val="00E82F7C"/>
    <w:rsid w:val="00EC2B0B"/>
    <w:rsid w:val="00ED5B3D"/>
    <w:rsid w:val="00EF42A2"/>
    <w:rsid w:val="00EF74FB"/>
    <w:rsid w:val="00F0089D"/>
    <w:rsid w:val="00F2137C"/>
    <w:rsid w:val="00F51FB3"/>
    <w:rsid w:val="00F63854"/>
    <w:rsid w:val="00F64DEA"/>
    <w:rsid w:val="00F754BD"/>
    <w:rsid w:val="00F862A9"/>
    <w:rsid w:val="00F9111D"/>
    <w:rsid w:val="00FA0A5A"/>
    <w:rsid w:val="00FE0C28"/>
    <w:rsid w:val="0C7C18FD"/>
    <w:rsid w:val="2E4252C5"/>
    <w:rsid w:val="2E992DAA"/>
    <w:rsid w:val="34A50C88"/>
    <w:rsid w:val="59792C35"/>
    <w:rsid w:val="5B6A3F28"/>
    <w:rsid w:val="612F3E69"/>
    <w:rsid w:val="7831263B"/>
    <w:rsid w:val="7A63590B"/>
    <w:rsid w:val="7B856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5902">
      <w:bodyDiv w:val="1"/>
      <w:marLeft w:val="0"/>
      <w:marRight w:val="0"/>
      <w:marTop w:val="0"/>
      <w:marBottom w:val="0"/>
      <w:divBdr>
        <w:top w:val="none" w:sz="0" w:space="0" w:color="auto"/>
        <w:left w:val="none" w:sz="0" w:space="0" w:color="auto"/>
        <w:bottom w:val="none" w:sz="0" w:space="0" w:color="auto"/>
        <w:right w:val="none" w:sz="0" w:space="0" w:color="auto"/>
      </w:divBdr>
    </w:div>
    <w:div w:id="73092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4F849-08A1-4E49-BAFB-AA5B2054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611</Words>
  <Characters>3489</Characters>
  <Application>Microsoft Office Word</Application>
  <DocSecurity>0</DocSecurity>
  <Lines>29</Lines>
  <Paragraphs>8</Paragraphs>
  <ScaleCrop>false</ScaleCrop>
  <Company>微软中国</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2021-06-07T09:17:00Z</dcterms:created>
  <dcterms:modified xsi:type="dcterms:W3CDTF">2021-06-07T09:17:00Z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